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江西区域硫酸亚铁采购项目（第二次）</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江西区域硫酸亚铁采购项目（第二次）</w:t>
      </w:r>
      <w:r>
        <w:rPr>
          <w:rFonts w:hint="eastAsia" w:ascii="仿宋_GB2312" w:hAnsi="仿宋_GB2312" w:eastAsia="仿宋_GB2312" w:cs="仿宋_GB2312"/>
          <w:bCs/>
          <w:color w:val="000000"/>
          <w:sz w:val="28"/>
          <w:szCs w:val="28"/>
        </w:rPr>
        <w:t>。</w:t>
      </w:r>
    </w:p>
    <w:p w14:paraId="21748013">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采购预算：10.2万元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采购需求：</w:t>
      </w:r>
    </w:p>
    <w:tbl>
      <w:tblPr>
        <w:tblStyle w:val="21"/>
        <w:tblW w:w="47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016"/>
        <w:gridCol w:w="1896"/>
        <w:gridCol w:w="714"/>
        <w:gridCol w:w="1013"/>
        <w:gridCol w:w="1316"/>
        <w:gridCol w:w="1033"/>
        <w:gridCol w:w="1202"/>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416" w:type="pct"/>
            <w:noWrap w:val="0"/>
            <w:vAlign w:val="center"/>
          </w:tcPr>
          <w:p w14:paraId="1DA1E215">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bookmarkStart w:id="0" w:name="_Hlk191890472"/>
            <w:r>
              <w:rPr>
                <w:rFonts w:hint="eastAsia" w:ascii="宋体" w:hAnsi="宋体" w:eastAsia="宋体" w:cs="宋体"/>
                <w:b/>
                <w:bCs/>
                <w:sz w:val="24"/>
                <w:szCs w:val="24"/>
              </w:rPr>
              <w:t>序号</w:t>
            </w:r>
          </w:p>
        </w:tc>
        <w:tc>
          <w:tcPr>
            <w:tcW w:w="579" w:type="pct"/>
            <w:noWrap w:val="0"/>
            <w:vAlign w:val="center"/>
          </w:tcPr>
          <w:p w14:paraId="31BDF3A2">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名称</w:t>
            </w:r>
          </w:p>
        </w:tc>
        <w:tc>
          <w:tcPr>
            <w:tcW w:w="999" w:type="pct"/>
            <w:noWrap w:val="0"/>
            <w:vAlign w:val="center"/>
          </w:tcPr>
          <w:p w14:paraId="242360E4">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规格</w:t>
            </w:r>
          </w:p>
        </w:tc>
        <w:tc>
          <w:tcPr>
            <w:tcW w:w="409" w:type="pct"/>
            <w:noWrap w:val="0"/>
            <w:vAlign w:val="center"/>
          </w:tcPr>
          <w:p w14:paraId="3672C37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rPr>
              <w:t>单位</w:t>
            </w:r>
          </w:p>
        </w:tc>
        <w:tc>
          <w:tcPr>
            <w:tcW w:w="577" w:type="pct"/>
            <w:noWrap w:val="0"/>
            <w:vAlign w:val="center"/>
          </w:tcPr>
          <w:p w14:paraId="160A42CC">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spacing w:val="-8"/>
                <w:sz w:val="24"/>
                <w:szCs w:val="24"/>
              </w:rPr>
            </w:pPr>
            <w:r>
              <w:rPr>
                <w:rFonts w:hint="eastAsia" w:ascii="宋体" w:hAnsi="宋体" w:eastAsia="宋体" w:cs="宋体"/>
                <w:b/>
                <w:bCs/>
                <w:sz w:val="24"/>
                <w:szCs w:val="24"/>
                <w:lang w:val="en-US" w:eastAsia="zh-CN"/>
              </w:rPr>
              <w:t>暂估</w:t>
            </w:r>
            <w:r>
              <w:rPr>
                <w:rFonts w:hint="eastAsia" w:ascii="宋体" w:hAnsi="宋体" w:eastAsia="宋体" w:cs="宋体"/>
                <w:b/>
                <w:bCs/>
                <w:sz w:val="24"/>
                <w:szCs w:val="24"/>
              </w:rPr>
              <w:t>量</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吨）</w:t>
            </w:r>
          </w:p>
        </w:tc>
        <w:tc>
          <w:tcPr>
            <w:tcW w:w="747" w:type="pct"/>
            <w:noWrap w:val="0"/>
            <w:vAlign w:val="center"/>
          </w:tcPr>
          <w:p w14:paraId="171EF07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含税上限单价（元/吨）</w:t>
            </w:r>
          </w:p>
        </w:tc>
        <w:tc>
          <w:tcPr>
            <w:tcW w:w="588" w:type="pct"/>
            <w:noWrap w:val="0"/>
            <w:vAlign w:val="center"/>
          </w:tcPr>
          <w:p w14:paraId="2B66B291">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送货地点</w:t>
            </w:r>
          </w:p>
        </w:tc>
        <w:tc>
          <w:tcPr>
            <w:tcW w:w="683" w:type="pct"/>
            <w:noWrap w:val="0"/>
            <w:vAlign w:val="center"/>
          </w:tcPr>
          <w:p w14:paraId="05D595D6">
            <w:pPr>
              <w:pStyle w:val="58"/>
              <w:keepNext w:val="0"/>
              <w:keepLines w:val="0"/>
              <w:pageBreakBefore w:val="0"/>
              <w:widowControl w:val="0"/>
              <w:kinsoku/>
              <w:wordWrap/>
              <w:overflowPunct/>
              <w:topLinePunct w:val="0"/>
              <w:bidi w:val="0"/>
              <w:spacing w:afterLines="0" w:line="240" w:lineRule="auto"/>
              <w:ind w:firstLine="0" w:firstLineChars="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416"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1033" w:type="dxa"/>
            <w:noWrap w:val="0"/>
            <w:vAlign w:val="center"/>
          </w:tcPr>
          <w:p w14:paraId="20BBD36F">
            <w:pPr>
              <w:pStyle w:val="58"/>
              <w:autoSpaceDE w:val="0"/>
              <w:autoSpaceDN w:val="0"/>
              <w:adjustRightInd w:val="0"/>
              <w:snapToGrid w:val="0"/>
              <w:spacing w:afterLines="0"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lang w:eastAsia="zh-CN"/>
              </w:rPr>
              <w:t>硫酸亚铁</w:t>
            </w:r>
          </w:p>
        </w:tc>
        <w:tc>
          <w:tcPr>
            <w:tcW w:w="1782" w:type="dxa"/>
            <w:noWrap w:val="0"/>
            <w:vAlign w:val="center"/>
          </w:tcPr>
          <w:p w14:paraId="4EDBEF36">
            <w:pPr>
              <w:pStyle w:val="58"/>
              <w:keepNext w:val="0"/>
              <w:keepLines w:val="0"/>
              <w:pageBreakBefore w:val="0"/>
              <w:widowControl w:val="0"/>
              <w:kinsoku/>
              <w:wordWrap/>
              <w:overflowPunct/>
              <w:topLinePunct w:val="0"/>
              <w:autoSpaceDE w:val="0"/>
              <w:autoSpaceDN w:val="0"/>
              <w:bidi w:val="0"/>
              <w:adjustRightInd w:val="0"/>
              <w:snapToGrid w:val="0"/>
              <w:spacing w:afterLines="0"/>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质量分数≥90%</w:t>
            </w:r>
          </w:p>
          <w:p w14:paraId="6864DD9A">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执行标准</w:t>
            </w:r>
            <w:r>
              <w:rPr>
                <w:rFonts w:hint="eastAsia" w:ascii="仿宋" w:hAnsi="仿宋" w:eastAsia="仿宋" w:cs="仿宋"/>
                <w:sz w:val="24"/>
                <w:szCs w:val="24"/>
              </w:rPr>
              <w:t>GB/T10531-2016</w:t>
            </w:r>
          </w:p>
        </w:tc>
        <w:tc>
          <w:tcPr>
            <w:tcW w:w="409"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rPr>
            </w:pPr>
            <w:r>
              <w:rPr>
                <w:rFonts w:hint="eastAsia" w:ascii="仿宋" w:hAnsi="仿宋" w:eastAsia="仿宋" w:cs="仿宋"/>
                <w:color w:val="000000"/>
                <w:kern w:val="0"/>
                <w:sz w:val="24"/>
                <w:szCs w:val="24"/>
              </w:rPr>
              <w:t>吨</w:t>
            </w:r>
          </w:p>
        </w:tc>
        <w:tc>
          <w:tcPr>
            <w:tcW w:w="577"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120</w:t>
            </w:r>
          </w:p>
        </w:tc>
        <w:tc>
          <w:tcPr>
            <w:tcW w:w="747"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default" w:ascii="仿宋" w:hAnsi="仿宋" w:eastAsia="仿宋" w:cs="仿宋"/>
                <w:color w:val="000000"/>
                <w:kern w:val="0"/>
                <w:sz w:val="24"/>
                <w:szCs w:val="24"/>
                <w:highlight w:val="none"/>
                <w:lang w:val="en-US" w:eastAsia="zh-CN"/>
              </w:rPr>
            </w:pPr>
            <w:r>
              <w:rPr>
                <w:rFonts w:hint="eastAsia" w:ascii="仿宋" w:hAnsi="仿宋" w:eastAsia="仿宋" w:cs="仿宋"/>
                <w:color w:val="000000"/>
                <w:kern w:val="0"/>
                <w:sz w:val="24"/>
                <w:szCs w:val="24"/>
                <w:highlight w:val="none"/>
                <w:lang w:val="en-US" w:eastAsia="zh-CN"/>
              </w:rPr>
              <w:t>850</w:t>
            </w:r>
          </w:p>
        </w:tc>
        <w:tc>
          <w:tcPr>
            <w:tcW w:w="588" w:type="pct"/>
            <w:noWrap w:val="0"/>
            <w:vAlign w:val="center"/>
          </w:tcPr>
          <w:p w14:paraId="31497541">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p>
          <w:p w14:paraId="68458E42">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83" w:type="pct"/>
            <w:noWrap w:val="0"/>
            <w:vAlign w:val="center"/>
          </w:tcPr>
          <w:p w14:paraId="456C11E8">
            <w:pPr>
              <w:keepNext w:val="0"/>
              <w:keepLines w:val="0"/>
              <w:pageBreakBefore w:val="0"/>
              <w:widowControl w:val="0"/>
              <w:kinsoku/>
              <w:wordWrap/>
              <w:overflowPunct/>
              <w:topLinePunct w:val="0"/>
              <w:autoSpaceDE w:val="0"/>
              <w:autoSpaceDN w:val="0"/>
              <w:bidi w:val="0"/>
              <w:adjustRightInd w:val="0"/>
              <w:snapToGrid w:val="0"/>
              <w:spacing w:afterLines="0" w:line="240" w:lineRule="auto"/>
              <w:jc w:val="left"/>
              <w:textAlignment w:val="auto"/>
              <w:rPr>
                <w:rFonts w:hint="eastAsia" w:ascii="仿宋" w:hAnsi="仿宋" w:eastAsia="仿宋" w:cs="仿宋"/>
                <w:sz w:val="24"/>
                <w:szCs w:val="24"/>
                <w:lang w:val="en-US" w:eastAsia="zh-CN"/>
              </w:rPr>
            </w:pPr>
            <w:r>
              <w:rPr>
                <w:rFonts w:hint="default" w:ascii="仿宋" w:hAnsi="仿宋" w:eastAsia="仿宋" w:cs="仿宋"/>
                <w:sz w:val="24"/>
                <w:szCs w:val="24"/>
                <w:lang w:val="en-US" w:eastAsia="zh-CN"/>
              </w:rPr>
              <w:t>采购数量为</w:t>
            </w:r>
            <w:r>
              <w:rPr>
                <w:rFonts w:hint="eastAsia" w:ascii="仿宋" w:hAnsi="仿宋" w:eastAsia="仿宋" w:cs="仿宋"/>
                <w:sz w:val="24"/>
                <w:szCs w:val="24"/>
                <w:lang w:val="en-US" w:eastAsia="zh-CN"/>
              </w:rPr>
              <w:t>暂估量</w:t>
            </w:r>
            <w:r>
              <w:rPr>
                <w:rFonts w:hint="default" w:ascii="仿宋" w:hAnsi="仿宋" w:eastAsia="仿宋" w:cs="仿宋"/>
                <w:sz w:val="24"/>
                <w:szCs w:val="24"/>
                <w:lang w:val="en-US" w:eastAsia="zh-CN"/>
              </w:rPr>
              <w:t>，具体以实际采购为准</w:t>
            </w:r>
            <w:r>
              <w:rPr>
                <w:rFonts w:hint="eastAsia" w:ascii="仿宋" w:hAnsi="仿宋" w:eastAsia="仿宋" w:cs="仿宋"/>
                <w:sz w:val="24"/>
                <w:szCs w:val="24"/>
                <w:lang w:val="en-US" w:eastAsia="zh-CN"/>
              </w:rPr>
              <w:t>。</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（一）采购期限：合同签订之日起</w:t>
      </w:r>
      <w:r>
        <w:rPr>
          <w:rFonts w:hint="eastAsia" w:ascii="Times New Roman" w:hAnsi="Times New Roman" w:eastAsia="仿宋_GB2312"/>
          <w:bCs/>
          <w:color w:val="000000"/>
          <w:sz w:val="28"/>
          <w:szCs w:val="28"/>
          <w:lang w:val="en-US" w:eastAsia="zh-CN"/>
        </w:rPr>
        <w:t>3</w:t>
      </w:r>
      <w:r>
        <w:rPr>
          <w:rFonts w:hint="eastAsia" w:ascii="Times New Roman" w:hAnsi="Times New Roman" w:eastAsia="仿宋_GB2312"/>
          <w:bCs/>
          <w:color w:val="000000"/>
          <w:sz w:val="28"/>
          <w:szCs w:val="28"/>
        </w:rPr>
        <w:t>个月，具体起止时间以合同签订为准。合同期满后由甲方根据实际需求及合同履行情况决定合同期限是否续签，最多续签2次，合同期内，甲方有权随时终止合同，乙方不得因合同终止或未能续签向甲方主张责任或要求赔偿预期利益等损失。</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w:t>
      </w:r>
      <w:r>
        <w:rPr>
          <w:rFonts w:hint="eastAsia" w:ascii="仿宋_GB2312" w:hAnsi="仿宋_GB2312" w:eastAsia="仿宋_GB2312" w:cs="仿宋_GB2312"/>
          <w:b/>
          <w:color w:val="000000"/>
          <w:sz w:val="28"/>
          <w:szCs w:val="28"/>
        </w:rPr>
        <w:t>24小时内</w:t>
      </w:r>
      <w:r>
        <w:rPr>
          <w:rFonts w:hint="eastAsia" w:ascii="仿宋_GB2312" w:hAnsi="仿宋_GB2312" w:eastAsia="仿宋_GB2312" w:cs="仿宋_GB2312"/>
          <w:bCs/>
          <w:color w:val="000000"/>
          <w:sz w:val="28"/>
          <w:szCs w:val="28"/>
        </w:rPr>
        <w:t>送达，紧急情况下</w:t>
      </w:r>
      <w:r>
        <w:rPr>
          <w:rFonts w:hint="eastAsia" w:ascii="仿宋_GB2312" w:hAnsi="仿宋_GB2312" w:eastAsia="仿宋_GB2312" w:cs="仿宋_GB2312"/>
          <w:b/>
          <w:color w:val="000000"/>
          <w:sz w:val="28"/>
          <w:szCs w:val="28"/>
        </w:rPr>
        <w:t>12小时内</w:t>
      </w:r>
      <w:r>
        <w:rPr>
          <w:rFonts w:hint="eastAsia" w:ascii="仿宋_GB2312" w:hAnsi="仿宋_GB2312" w:eastAsia="仿宋_GB2312" w:cs="仿宋_GB2312"/>
          <w:bCs/>
          <w:color w:val="000000"/>
          <w:sz w:val="28"/>
          <w:szCs w:val="28"/>
        </w:rPr>
        <w:t>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江西区域硫酸亚铁采购项目（第二次）</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highlight w:val="none"/>
        </w:rPr>
        <w:t>本次</w:t>
      </w:r>
      <w:r>
        <w:rPr>
          <w:rFonts w:hint="eastAsia" w:ascii="仿宋_GB2312" w:hAnsi="仿宋_GB2312" w:eastAsia="仿宋_GB2312" w:cs="仿宋_GB2312"/>
          <w:sz w:val="28"/>
          <w:szCs w:val="28"/>
          <w:highlight w:val="none"/>
        </w:rPr>
        <w:t>含税单价上限</w:t>
      </w:r>
      <w:r>
        <w:rPr>
          <w:rFonts w:hint="eastAsia" w:ascii="Times New Roman" w:hAnsi="Times New Roman" w:eastAsia="仿宋_GB2312"/>
          <w:sz w:val="28"/>
          <w:szCs w:val="22"/>
          <w:highlight w:val="none"/>
          <w:lang w:val="en-US" w:eastAsia="zh-CN"/>
        </w:rPr>
        <w:t>850</w:t>
      </w:r>
      <w:r>
        <w:rPr>
          <w:rFonts w:ascii="Times New Roman" w:hAnsi="Times New Roman" w:eastAsia="仿宋_GB2312"/>
          <w:sz w:val="28"/>
          <w:szCs w:val="22"/>
          <w:highlight w:val="none"/>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3</w:t>
      </w:r>
      <w:r>
        <w:rPr>
          <w:rFonts w:hint="eastAsia" w:ascii="仿宋_GB2312" w:hAnsi="仿宋_GB2312" w:eastAsia="仿宋_GB2312" w:cs="仿宋_GB2312"/>
          <w:bCs/>
          <w:color w:val="000000"/>
          <w:sz w:val="28"/>
          <w:szCs w:val="28"/>
        </w:rPr>
        <w:t>月</w:t>
      </w:r>
      <w:r>
        <w:rPr>
          <w:rFonts w:hint="eastAsia" w:ascii="仿宋_GB2312" w:hAnsi="仿宋_GB2312" w:eastAsia="仿宋_GB2312" w:cs="仿宋_GB2312"/>
          <w:bCs/>
          <w:color w:val="000000"/>
          <w:sz w:val="28"/>
          <w:szCs w:val="28"/>
          <w:lang w:val="en-US" w:eastAsia="zh-CN"/>
        </w:rPr>
        <w:t>12</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b</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3</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7</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75176544">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1D94DF96">
      <w:pPr>
        <w:spacing w:after="78"/>
        <w:jc w:val="center"/>
        <w:rPr>
          <w:rFonts w:hint="eastAsia" w:ascii="黑体" w:hAnsi="黑体" w:eastAsia="黑体" w:cs="黑体"/>
          <w:color w:val="000000"/>
          <w:szCs w:val="28"/>
          <w:u w:val="single"/>
        </w:rPr>
      </w:pP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江西区域硫酸亚铁</w:t>
      </w:r>
      <w:r>
        <w:rPr>
          <w:rFonts w:ascii="Times New Roman Regular" w:hAnsi="Times New Roman Regular" w:eastAsia="黑体" w:cs="Times New Roman Regular"/>
          <w:color w:val="000000"/>
          <w:sz w:val="56"/>
          <w:szCs w:val="56"/>
          <w:shd w:val="clear" w:color="auto" w:fill="FFFFFF"/>
          <w:lang w:eastAsia="zh-Hans"/>
        </w:rPr>
        <w:t>采购合同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江西区域硫酸亚铁采购项目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Hans"/>
        </w:rPr>
        <w:t>江西区域</w:t>
      </w:r>
      <w:r>
        <w:rPr>
          <w:rFonts w:hint="eastAsia" w:ascii="Times New Roman Regular" w:hAnsi="Times New Roman Regular" w:eastAsia="黑体" w:cs="Times New Roman Regular"/>
          <w:spacing w:val="-4"/>
          <w:sz w:val="36"/>
          <w:szCs w:val="48"/>
          <w:u w:val="single"/>
          <w:lang w:eastAsia="zh-CN"/>
        </w:rPr>
        <w:t>硫酸亚铁</w:t>
      </w:r>
      <w:r>
        <w:rPr>
          <w:rFonts w:ascii="Times New Roman Regular" w:hAnsi="Times New Roman Regular" w:eastAsia="黑体" w:cs="Times New Roman Regular"/>
          <w:spacing w:val="-4"/>
          <w:sz w:val="36"/>
          <w:szCs w:val="48"/>
          <w:lang w:eastAsia="zh-Hans"/>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乙双方本着长期合作、互惠互利的原则，经友好协商，就甲方</w:t>
      </w:r>
      <w:r>
        <w:rPr>
          <w:rFonts w:ascii="Times New Roman Regular" w:hAnsi="Times New Roman Regular" w:cs="Times New Roman Regular"/>
          <w:sz w:val="24"/>
          <w:lang w:eastAsia="zh-Hans"/>
        </w:rPr>
        <w:t>向</w:t>
      </w:r>
      <w:r>
        <w:rPr>
          <w:rFonts w:ascii="Times New Roman Regular" w:hAnsi="Times New Roman Regular" w:cs="Times New Roman Regular"/>
          <w:sz w:val="24"/>
        </w:rPr>
        <w:t>乙方</w:t>
      </w:r>
      <w:r>
        <w:rPr>
          <w:rFonts w:ascii="Times New Roman Regular" w:hAnsi="Times New Roman Regular" w:cs="Times New Roman Regular"/>
          <w:sz w:val="24"/>
          <w:lang w:eastAsia="zh-Hans"/>
        </w:rPr>
        <w:t>采购药剂</w:t>
      </w:r>
      <w:r>
        <w:rPr>
          <w:rFonts w:ascii="Times New Roman Regular" w:hAnsi="Times New Roman Regular" w:cs="Times New Roman Regular"/>
          <w:sz w:val="24"/>
        </w:rPr>
        <w:t>事宜，达成如下合同，以资双方共同恪守：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2844"/>
      <w:bookmarkStart w:id="11" w:name="_Toc201997927"/>
      <w:bookmarkStart w:id="12" w:name="_Toc201401643"/>
      <w:bookmarkStart w:id="13" w:name="_Toc201743099"/>
      <w:bookmarkStart w:id="14" w:name="_Toc199215931"/>
      <w:bookmarkStart w:id="15" w:name="_Toc199213728"/>
      <w:bookmarkStart w:id="16" w:name="_Toc201719103"/>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1B540D53">
      <w:pPr>
        <w:pStyle w:val="68"/>
        <w:spacing w:line="360" w:lineRule="auto"/>
        <w:ind w:firstLine="480"/>
        <w:rPr>
          <w:rFonts w:hint="eastAsia" w:ascii="宋体" w:hAnsi="宋体" w:cs="宋体"/>
          <w:lang w:eastAsia="zh-Hans"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3</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bidi="ar"/>
        </w:rPr>
        <w:t>合同期满后甲方有权根据乙方履约情况决定是否续签</w:t>
      </w:r>
      <w:r>
        <w:rPr>
          <w:rFonts w:hint="eastAsia" w:ascii="宋体" w:hAnsi="宋体" w:cs="宋体"/>
          <w:lang w:eastAsia="zh-CN" w:bidi="ar"/>
        </w:rPr>
        <w:t>，</w:t>
      </w:r>
      <w:r>
        <w:rPr>
          <w:rFonts w:hint="eastAsia" w:ascii="宋体" w:hAnsi="宋体" w:cs="宋体"/>
          <w:lang w:val="en-US" w:eastAsia="zh-CN" w:bidi="ar"/>
        </w:rPr>
        <w:t>最多续签2次</w:t>
      </w:r>
      <w:r>
        <w:rPr>
          <w:rFonts w:hint="eastAsia" w:ascii="宋体" w:hAnsi="宋体" w:cs="宋体"/>
          <w:lang w:bidi="ar"/>
        </w:rPr>
        <w:t>。同时，甲方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Hans"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7EFD7BC4">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7C8C2D44">
      <w:pPr>
        <w:pStyle w:val="68"/>
        <w:spacing w:line="360" w:lineRule="auto"/>
        <w:ind w:firstLine="480"/>
        <w:rPr>
          <w:rFonts w:hint="eastAsia" w:ascii="宋体" w:hAnsi="宋体" w:eastAsia="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p>
    <w:p w14:paraId="547DE4F8">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0610400D">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2EB08C26">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2D1F9008">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BFCEA21">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24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日内送达，紧急情况下【 12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6AA03E3">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甲方指定地点。</w:t>
      </w:r>
    </w:p>
    <w:p w14:paraId="2364136D">
      <w:pPr>
        <w:pStyle w:val="68"/>
        <w:spacing w:line="360" w:lineRule="auto"/>
        <w:ind w:firstLine="480"/>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12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12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1 】</w:t>
      </w:r>
      <w:r>
        <w:rPr>
          <w:rFonts w:hint="eastAsia" w:ascii="宋体" w:hAnsi="宋体" w:cs="宋体"/>
          <w:lang w:eastAsia="zh-Hans"/>
        </w:rPr>
        <w:t xml:space="preserve">天(即 </w:t>
      </w:r>
      <w:r>
        <w:rPr>
          <w:rFonts w:hint="eastAsia" w:ascii="宋体" w:hAnsi="宋体" w:cs="宋体"/>
        </w:rPr>
        <w:t>【 24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（紧急情况下，提前【 12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5000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1000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10000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【6】</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bookmarkStart w:id="22" w:name="_GoBack"/>
      <w:r>
        <w:rPr>
          <w:rFonts w:hint="eastAsia" w:ascii="宋体" w:hAnsi="宋体" w:cs="宋体"/>
          <w:color w:val="000000"/>
          <w:sz w:val="24"/>
        </w:rPr>
        <w:t>11</w:t>
      </w:r>
      <w:bookmarkEnd w:id="22"/>
      <w:r>
        <w:rPr>
          <w:rFonts w:hint="eastAsia" w:ascii="宋体" w:hAnsi="宋体" w:cs="宋体"/>
          <w:color w:val="000000"/>
          <w:sz w:val="24"/>
        </w:rPr>
        <w:t>.2不可抗力事件发生后，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1</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江西区域硫酸亚铁</w:t>
      </w:r>
      <w:r>
        <w:rPr>
          <w:rFonts w:hint="eastAsia"/>
        </w:rPr>
        <w:t>采购合同》签署页，无正文）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blPrEx>
          <w:tblCellMar>
            <w:top w:w="0" w:type="dxa"/>
            <w:left w:w="108" w:type="dxa"/>
            <w:bottom w:w="0" w:type="dxa"/>
            <w:right w:w="108" w:type="dxa"/>
          </w:tblCellMar>
        </w:tblPrEx>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硫酸亚铁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宋体" w:hAnsi="宋体" w:cs="宋体"/>
                <w:color w:val="333333"/>
                <w:sz w:val="24"/>
                <w:szCs w:val="24"/>
                <w:shd w:val="clear" w:color="auto" w:fill="FFFFFF"/>
                <w:lang w:eastAsia="zh-CN"/>
              </w:rPr>
              <w:t>质量分数≥90%</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7"/>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硫酸亚铁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GB/T10531-2016</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宋体" w:hAnsi="宋体" w:eastAsia="宋体" w:cs="宋体"/>
                <w:b w:val="0"/>
                <w:bCs w:val="0"/>
                <w:sz w:val="24"/>
                <w:szCs w:val="24"/>
              </w:rPr>
              <w:t>质量分数≥90%</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江西区域硫酸亚铁采购项目（第二次）</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江西区域硫酸亚铁采购项目（第二次）</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江西区域硫酸亚铁采购项目（第二次）</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3</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江西区域硫酸亚铁采购项目（第二次）</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lang w:eastAsia="zh-CN"/>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lang w:eastAsia="zh-CN"/>
        </w:rPr>
        <w:t>（</w:t>
      </w:r>
      <w:r>
        <w:rPr>
          <w:rFonts w:hint="eastAsia" w:ascii="仿宋" w:hAnsi="仿宋" w:eastAsia="仿宋" w:cs="宋体"/>
          <w:color w:val="000000"/>
          <w:sz w:val="24"/>
          <w:szCs w:val="21"/>
          <w:highlight w:val="yellow"/>
          <w:lang w:val="en-US" w:eastAsia="zh-CN"/>
        </w:rPr>
        <w:t>盖章</w:t>
      </w:r>
      <w:r>
        <w:rPr>
          <w:rFonts w:hint="eastAsia" w:ascii="仿宋" w:hAnsi="仿宋" w:eastAsia="仿宋" w:cs="宋体"/>
          <w:color w:val="000000"/>
          <w:sz w:val="24"/>
          <w:szCs w:val="21"/>
          <w:highlight w:val="yellow"/>
          <w:lang w:eastAsia="zh-CN"/>
        </w:rPr>
        <w:t>）</w:t>
      </w:r>
    </w:p>
    <w:p w14:paraId="398EC1B2">
      <w:pPr>
        <w:tabs>
          <w:tab w:val="left" w:pos="1110"/>
        </w:tabs>
        <w:spacing w:after="78" w:line="276" w:lineRule="auto"/>
        <w:ind w:firstLine="480" w:firstLineChars="200"/>
        <w:rPr>
          <w:rFonts w:hint="eastAsia" w:ascii="仿宋" w:hAnsi="仿宋" w:eastAsia="仿宋" w:cs="宋体"/>
          <w:color w:val="000000"/>
          <w:sz w:val="24"/>
          <w:szCs w:val="21"/>
          <w:highlight w:val="yellow"/>
        </w:rPr>
      </w:pPr>
      <w:r>
        <w:rPr>
          <w:sz w:val="24"/>
          <w:highlight w:val="yellow"/>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江西区域硫酸亚铁采购项目（第二次）</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江西区域硫酸亚铁采购项目（第二次）</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江西</w:t>
            </w:r>
            <w:r>
              <w:rPr>
                <w:rFonts w:hint="eastAsia" w:ascii="仿宋" w:hAnsi="仿宋" w:eastAsia="仿宋" w:cs="仿宋"/>
                <w:sz w:val="24"/>
                <w:szCs w:val="24"/>
              </w:rPr>
              <w:t>省</w:t>
            </w:r>
            <w:r>
              <w:rPr>
                <w:rFonts w:hint="eastAsia" w:ascii="仿宋" w:hAnsi="仿宋" w:eastAsia="仿宋" w:cs="仿宋"/>
                <w:sz w:val="24"/>
                <w:szCs w:val="24"/>
                <w:lang w:val="en-US" w:eastAsia="zh-CN"/>
              </w:rPr>
              <w:t>龙南</w:t>
            </w:r>
            <w:r>
              <w:rPr>
                <w:rFonts w:hint="eastAsia" w:ascii="仿宋" w:hAnsi="仿宋" w:eastAsia="仿宋" w:cs="仿宋"/>
                <w:sz w:val="24"/>
                <w:szCs w:val="24"/>
              </w:rPr>
              <w:t>市</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r>
              <w:rPr>
                <w:rFonts w:hint="eastAsia" w:ascii="仿宋" w:hAnsi="仿宋" w:eastAsia="仿宋"/>
                <w:b/>
                <w:sz w:val="24"/>
                <w:szCs w:val="24"/>
                <w:lang w:val="en-US" w:eastAsia="zh-CN"/>
              </w:rPr>
              <w:t>/吨</w:t>
            </w:r>
            <w:r>
              <w:rPr>
                <w:rFonts w:hint="eastAsia" w:ascii="仿宋" w:hAnsi="仿宋" w:eastAsia="仿宋"/>
                <w:b/>
                <w:sz w:val="24"/>
                <w:szCs w:val="24"/>
              </w:rPr>
              <w:t>）</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硫酸亚铁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质量分数≥90%</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r>
              <w:rPr>
                <w:rFonts w:hint="eastAsia" w:ascii="仿宋" w:hAnsi="仿宋" w:eastAsia="仿宋"/>
                <w:sz w:val="24"/>
                <w:szCs w:val="24"/>
              </w:rPr>
              <w:t>采购数量为暂估量，具体以实际采购为准。</w:t>
            </w: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成交供应商接到采购人通知后须24小时内送达，紧急情况下12小时内送达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rPr>
              <w:t>6个月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A75E37CA-6EDE-41B4-A4BF-EF87FA439D61}"/>
  </w:font>
  <w:font w:name="宋体">
    <w:panose1 w:val="02010600030101010101"/>
    <w:charset w:val="7A"/>
    <w:family w:val="auto"/>
    <w:pitch w:val="default"/>
    <w:sig w:usb0="00000203" w:usb1="288F0000" w:usb2="00000006" w:usb3="00000000" w:csb0="00040001" w:csb1="00000000"/>
    <w:embedRegular r:id="rId2" w:fontKey="{787020A8-0689-48FC-856F-A5E315A54705}"/>
  </w:font>
  <w:font w:name="Wingdings">
    <w:panose1 w:val="05000000000000000000"/>
    <w:charset w:val="02"/>
    <w:family w:val="auto"/>
    <w:pitch w:val="default"/>
    <w:sig w:usb0="00000000" w:usb1="00000000" w:usb2="00000000" w:usb3="00000000" w:csb0="80000000" w:csb1="00000000"/>
    <w:embedRegular r:id="rId3" w:fontKey="{0D0CB754-215E-4E24-B8FE-A776C47FF580}"/>
  </w:font>
  <w:font w:name="Arial">
    <w:panose1 w:val="020B0604020202020204"/>
    <w:charset w:val="01"/>
    <w:family w:val="swiss"/>
    <w:pitch w:val="default"/>
    <w:sig w:usb0="E0002EFF" w:usb1="C000785B" w:usb2="00000009" w:usb3="00000000" w:csb0="400001FF" w:csb1="FFFF0000"/>
    <w:embedRegular r:id="rId4" w:fontKey="{E298DE6A-C706-4568-A381-68B4B6200812}"/>
  </w:font>
  <w:font w:name="黑体">
    <w:panose1 w:val="02010609060101010101"/>
    <w:charset w:val="86"/>
    <w:family w:val="auto"/>
    <w:pitch w:val="default"/>
    <w:sig w:usb0="800002BF" w:usb1="38CF7CFA" w:usb2="00000016" w:usb3="00000000" w:csb0="00040001" w:csb1="00000000"/>
    <w:embedRegular r:id="rId5" w:fontKey="{4B272714-F0A2-4059-A420-A4E6987E8645}"/>
  </w:font>
  <w:font w:name="Courier New">
    <w:panose1 w:val="02070309020205020404"/>
    <w:charset w:val="01"/>
    <w:family w:val="modern"/>
    <w:pitch w:val="default"/>
    <w:sig w:usb0="E0002EFF" w:usb1="C0007843" w:usb2="00000009" w:usb3="00000000" w:csb0="400001FF" w:csb1="FFFF0000"/>
    <w:embedRegular r:id="rId6" w:fontKey="{A66C911C-0921-4289-837C-9882E6738483}"/>
  </w:font>
  <w:font w:name="Symbol">
    <w:panose1 w:val="05050102010706020507"/>
    <w:charset w:val="02"/>
    <w:family w:val="roman"/>
    <w:pitch w:val="default"/>
    <w:sig w:usb0="00000000" w:usb1="00000000" w:usb2="00000000" w:usb3="00000000" w:csb0="80000000" w:csb1="00000000"/>
    <w:embedRegular r:id="rId7" w:fontKey="{4E80A4C1-F9B6-4100-A75D-5EEA34EAD38E}"/>
  </w:font>
  <w:font w:name="Calibri">
    <w:panose1 w:val="020F0502020204030204"/>
    <w:charset w:val="00"/>
    <w:family w:val="swiss"/>
    <w:pitch w:val="default"/>
    <w:sig w:usb0="E4002EFF" w:usb1="C200247B" w:usb2="00000009" w:usb3="00000000" w:csb0="200001FF" w:csb1="00000000"/>
    <w:embedRegular r:id="rId8" w:fontKey="{8419A178-0B4F-4E4E-89FF-2EFAA19D992A}"/>
  </w:font>
  <w:font w:name="Calibri Light">
    <w:panose1 w:val="020F0302020204030204"/>
    <w:charset w:val="00"/>
    <w:family w:val="swiss"/>
    <w:pitch w:val="default"/>
    <w:sig w:usb0="E4002EFF" w:usb1="C200247B" w:usb2="00000009" w:usb3="00000000" w:csb0="200001FF" w:csb1="00000000"/>
    <w:embedRegular r:id="rId9" w:fontKey="{711CFA8A-ECE3-4E21-8278-8C267A21C69A}"/>
  </w:font>
  <w:font w:name="Cambria">
    <w:panose1 w:val="02040503050406030204"/>
    <w:charset w:val="00"/>
    <w:family w:val="roman"/>
    <w:pitch w:val="default"/>
    <w:sig w:usb0="E00006FF" w:usb1="420024FF" w:usb2="02000000" w:usb3="00000000" w:csb0="2000019F" w:csb1="00000000"/>
    <w:embedRegular r:id="rId10" w:fontKey="{A0AD1AFA-6613-482A-8B4A-DB872B5DFBBF}"/>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2F660DD5-D6F6-459D-95C5-1B63C8352092}"/>
  </w:font>
  <w:font w:name="方正小标宋简体">
    <w:panose1 w:val="02010600010101010101"/>
    <w:charset w:val="86"/>
    <w:family w:val="auto"/>
    <w:pitch w:val="default"/>
    <w:sig w:usb0="00000001" w:usb1="080E0000" w:usb2="00000000" w:usb3="00000000" w:csb0="00040000" w:csb1="00000000"/>
    <w:embedRegular r:id="rId12" w:fontKey="{3B3A941C-AFDA-4973-9B2A-BB887F59061C}"/>
  </w:font>
  <w:font w:name="长城小">
    <w:altName w:val="宋体"/>
    <w:panose1 w:val="00000000000000000000"/>
    <w:charset w:val="86"/>
    <w:family w:val="modern"/>
    <w:pitch w:val="default"/>
    <w:sig w:usb0="00000000" w:usb1="00000000" w:usb2="00000000" w:usb3="00000000" w:csb0="00040001" w:csb1="00000000"/>
    <w:embedRegular r:id="rId13" w:fontKey="{C96756E6-6E1A-48D5-9662-46FBE53451C3}"/>
  </w:font>
  <w:font w:name="长城小标宋体">
    <w:altName w:val="宋体"/>
    <w:panose1 w:val="00000000000000000000"/>
    <w:charset w:val="86"/>
    <w:family w:val="auto"/>
    <w:pitch w:val="default"/>
    <w:sig w:usb0="00000000" w:usb1="00000000" w:usb2="00000000" w:usb3="00000000" w:csb0="00000000" w:csb1="00000000"/>
    <w:embedRegular r:id="rId14" w:fontKey="{1D14A0A0-4E54-44F1-859D-EE31259785AF}"/>
  </w:font>
  <w:font w:name="仿宋">
    <w:panose1 w:val="02010609060101010101"/>
    <w:charset w:val="86"/>
    <w:family w:val="modern"/>
    <w:pitch w:val="default"/>
    <w:sig w:usb0="800002BF" w:usb1="38CF7CFA" w:usb2="00000016" w:usb3="00000000" w:csb0="00040001" w:csb1="00000000"/>
    <w:embedRegular r:id="rId15" w:fontKey="{3810CAC5-84EF-4581-A506-5E81BC41B1E4}"/>
  </w:font>
  <w:font w:name="微软雅黑">
    <w:panose1 w:val="020B0503020204020204"/>
    <w:charset w:val="86"/>
    <w:family w:val="swiss"/>
    <w:pitch w:val="default"/>
    <w:sig w:usb0="80000287" w:usb1="2ACF3C50" w:usb2="00000016" w:usb3="00000000" w:csb0="0004001F" w:csb1="00000000"/>
    <w:embedRegular r:id="rId16" w:fontKey="{E89D396D-4CF0-4024-9252-7979393F8664}"/>
  </w:font>
  <w:font w:name="Times New Roman Regular">
    <w:altName w:val="Times New Roman"/>
    <w:panose1 w:val="00000000000000000000"/>
    <w:charset w:val="00"/>
    <w:family w:val="auto"/>
    <w:pitch w:val="default"/>
    <w:sig w:usb0="00000000" w:usb1="00000000" w:usb2="00000009" w:usb3="00000000" w:csb0="400001FF" w:csb1="FFFF0000"/>
    <w:embedRegular r:id="rId17" w:fontKey="{366F0188-3235-4256-B318-38AC88A950B3}"/>
  </w:font>
  <w:font w:name="Wingdings 2">
    <w:panose1 w:val="05020102010507070707"/>
    <w:charset w:val="02"/>
    <w:family w:val="roman"/>
    <w:pitch w:val="default"/>
    <w:sig w:usb0="00000000" w:usb1="00000000" w:usb2="00000000" w:usb3="00000000" w:csb0="80000000" w:csb1="00000000"/>
    <w:embedRegular r:id="rId18" w:fontKey="{CD8FA6FB-C1A5-4F9E-8ADA-8C8531802BF3}"/>
  </w:font>
  <w:font w:name="WPSEMBED16">
    <w:panose1 w:val="02010609030101010101"/>
    <w:charset w:val="86"/>
    <w:family w:val="auto"/>
    <w:pitch w:val="default"/>
    <w:sig w:usb0="00000001" w:usb1="080E0000" w:usb2="00000000" w:usb3="00000000" w:csb0="00040000" w:csb1="00000000"/>
  </w:font>
  <w:font w:name="WPSEMBED17">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2325BE"/>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A363213"/>
    <w:rsid w:val="0A64315D"/>
    <w:rsid w:val="0A886720"/>
    <w:rsid w:val="0AA1428C"/>
    <w:rsid w:val="0AD251DE"/>
    <w:rsid w:val="0B0E30C9"/>
    <w:rsid w:val="0CD00C0D"/>
    <w:rsid w:val="0D7F8C1E"/>
    <w:rsid w:val="0D970DF6"/>
    <w:rsid w:val="0D9E3895"/>
    <w:rsid w:val="0DAFDDD2"/>
    <w:rsid w:val="0E4211FE"/>
    <w:rsid w:val="0EE17277"/>
    <w:rsid w:val="0EF32F07"/>
    <w:rsid w:val="0FD61205"/>
    <w:rsid w:val="1097590F"/>
    <w:rsid w:val="10C42B13"/>
    <w:rsid w:val="10DD77C5"/>
    <w:rsid w:val="10E7084B"/>
    <w:rsid w:val="10F22522"/>
    <w:rsid w:val="11C42C96"/>
    <w:rsid w:val="12855EB3"/>
    <w:rsid w:val="134E717A"/>
    <w:rsid w:val="135D7FEE"/>
    <w:rsid w:val="13AFEC81"/>
    <w:rsid w:val="15161207"/>
    <w:rsid w:val="153F1668"/>
    <w:rsid w:val="1595726D"/>
    <w:rsid w:val="15AD11DB"/>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7F9C30"/>
    <w:rsid w:val="1FA372AD"/>
    <w:rsid w:val="1FB39FF7"/>
    <w:rsid w:val="1FB54372"/>
    <w:rsid w:val="1FEC089C"/>
    <w:rsid w:val="1FFF4E3F"/>
    <w:rsid w:val="20077A2D"/>
    <w:rsid w:val="2089134F"/>
    <w:rsid w:val="208923CA"/>
    <w:rsid w:val="20AB0E9C"/>
    <w:rsid w:val="212271A1"/>
    <w:rsid w:val="22AC2486"/>
    <w:rsid w:val="23884315"/>
    <w:rsid w:val="247022A7"/>
    <w:rsid w:val="24B95082"/>
    <w:rsid w:val="24C1046C"/>
    <w:rsid w:val="257FF5EF"/>
    <w:rsid w:val="26DC0652"/>
    <w:rsid w:val="27BED872"/>
    <w:rsid w:val="27C81105"/>
    <w:rsid w:val="28AF13DB"/>
    <w:rsid w:val="28F434A6"/>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2FFB4CA4"/>
    <w:rsid w:val="30333B81"/>
    <w:rsid w:val="30BF60A9"/>
    <w:rsid w:val="30EE09A0"/>
    <w:rsid w:val="314945C0"/>
    <w:rsid w:val="31780B7B"/>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E13C4"/>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2D61365"/>
    <w:rsid w:val="433912CB"/>
    <w:rsid w:val="44131682"/>
    <w:rsid w:val="44292F68"/>
    <w:rsid w:val="44916958"/>
    <w:rsid w:val="46D81C53"/>
    <w:rsid w:val="477F8B44"/>
    <w:rsid w:val="48290A2B"/>
    <w:rsid w:val="4851744E"/>
    <w:rsid w:val="48D84455"/>
    <w:rsid w:val="48E45A97"/>
    <w:rsid w:val="49973E4D"/>
    <w:rsid w:val="499B1895"/>
    <w:rsid w:val="49C317F9"/>
    <w:rsid w:val="4ACDDF1D"/>
    <w:rsid w:val="4AFC0007"/>
    <w:rsid w:val="4B5E27AD"/>
    <w:rsid w:val="4B602117"/>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178076C"/>
    <w:rsid w:val="52B07B8F"/>
    <w:rsid w:val="52FF1484"/>
    <w:rsid w:val="53164D13"/>
    <w:rsid w:val="53F36D01"/>
    <w:rsid w:val="53FD523A"/>
    <w:rsid w:val="541C1980"/>
    <w:rsid w:val="545C420A"/>
    <w:rsid w:val="547B516E"/>
    <w:rsid w:val="54DE7F5F"/>
    <w:rsid w:val="54EA33D7"/>
    <w:rsid w:val="55091CB9"/>
    <w:rsid w:val="551D5A57"/>
    <w:rsid w:val="55214149"/>
    <w:rsid w:val="557F0F30"/>
    <w:rsid w:val="559E5CE3"/>
    <w:rsid w:val="56725AB1"/>
    <w:rsid w:val="56B12911"/>
    <w:rsid w:val="56DD8954"/>
    <w:rsid w:val="57831D16"/>
    <w:rsid w:val="57AFC3C2"/>
    <w:rsid w:val="57CC5C5D"/>
    <w:rsid w:val="580D494B"/>
    <w:rsid w:val="584D6CAB"/>
    <w:rsid w:val="58B21AB7"/>
    <w:rsid w:val="59632793"/>
    <w:rsid w:val="599107AF"/>
    <w:rsid w:val="59B3044E"/>
    <w:rsid w:val="59FF3A15"/>
    <w:rsid w:val="5A64198B"/>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2B35195"/>
    <w:rsid w:val="62D17DD9"/>
    <w:rsid w:val="62E01DCA"/>
    <w:rsid w:val="633C8FA8"/>
    <w:rsid w:val="633F0871"/>
    <w:rsid w:val="637FE448"/>
    <w:rsid w:val="63BC1BB4"/>
    <w:rsid w:val="63BD36A8"/>
    <w:rsid w:val="63F06F1A"/>
    <w:rsid w:val="649D52EE"/>
    <w:rsid w:val="653465C2"/>
    <w:rsid w:val="65385EEE"/>
    <w:rsid w:val="654FD8A0"/>
    <w:rsid w:val="65682C49"/>
    <w:rsid w:val="658B3FB6"/>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D3FAB0"/>
    <w:rsid w:val="72035AD5"/>
    <w:rsid w:val="72303D87"/>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BB9841"/>
    <w:rsid w:val="79DF1FD7"/>
    <w:rsid w:val="7A20571A"/>
    <w:rsid w:val="7A5F0597"/>
    <w:rsid w:val="7A801888"/>
    <w:rsid w:val="7A950461"/>
    <w:rsid w:val="7ABF0B18"/>
    <w:rsid w:val="7ADFE466"/>
    <w:rsid w:val="7B6EDD4B"/>
    <w:rsid w:val="7B737D6F"/>
    <w:rsid w:val="7BBD36C3"/>
    <w:rsid w:val="7BC6D504"/>
    <w:rsid w:val="7BD75F15"/>
    <w:rsid w:val="7BE134FE"/>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6F8A07"/>
    <w:rsid w:val="7E6F9801"/>
    <w:rsid w:val="7E7A170C"/>
    <w:rsid w:val="7E7D91AA"/>
    <w:rsid w:val="7EBF1024"/>
    <w:rsid w:val="7ED6EE61"/>
    <w:rsid w:val="7EF6E115"/>
    <w:rsid w:val="7EFC441B"/>
    <w:rsid w:val="7EFF0106"/>
    <w:rsid w:val="7EFF5357"/>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9255</Words>
  <Characters>9678</Characters>
  <Lines>12</Lines>
  <Paragraphs>23</Paragraphs>
  <TotalTime>7</TotalTime>
  <ScaleCrop>false</ScaleCrop>
  <LinksUpToDate>false</LinksUpToDate>
  <CharactersWithSpaces>10232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2026-03-07T01:44:10Z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