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液碱采购项目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液碱采购项目</w:t>
      </w:r>
      <w:r>
        <w:rPr>
          <w:rFonts w:hint="eastAsia" w:ascii="仿宋_GB2312" w:hAnsi="仿宋_GB2312" w:eastAsia="仿宋_GB2312" w:cs="仿宋_GB2312"/>
          <w:bCs/>
          <w:color w:val="000000"/>
          <w:sz w:val="28"/>
          <w:szCs w:val="28"/>
        </w:rPr>
        <w:t>。</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5"/>
        <w:gridCol w:w="863"/>
        <w:gridCol w:w="2812"/>
        <w:gridCol w:w="638"/>
        <w:gridCol w:w="993"/>
        <w:gridCol w:w="1163"/>
        <w:gridCol w:w="881"/>
        <w:gridCol w:w="980"/>
      </w:tblGrid>
      <w:tr w14:paraId="2020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328" w:type="pct"/>
            <w:noWrap w:val="0"/>
            <w:vAlign w:val="center"/>
          </w:tcPr>
          <w:p w14:paraId="1DA1E215">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bookmarkStart w:id="0" w:name="_Hlk191890472"/>
            <w:r>
              <w:rPr>
                <w:rFonts w:hint="eastAsia" w:ascii="宋体" w:hAnsi="宋体" w:eastAsia="宋体" w:cs="宋体"/>
                <w:b/>
                <w:bCs/>
                <w:sz w:val="24"/>
                <w:szCs w:val="24"/>
              </w:rPr>
              <w:t>序号</w:t>
            </w:r>
          </w:p>
        </w:tc>
        <w:tc>
          <w:tcPr>
            <w:tcW w:w="484" w:type="pct"/>
            <w:noWrap w:val="0"/>
            <w:vAlign w:val="center"/>
          </w:tcPr>
          <w:p w14:paraId="31BDF3A2">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名称</w:t>
            </w:r>
          </w:p>
        </w:tc>
        <w:tc>
          <w:tcPr>
            <w:tcW w:w="1577" w:type="pct"/>
            <w:noWrap w:val="0"/>
            <w:vAlign w:val="center"/>
          </w:tcPr>
          <w:p w14:paraId="242360E4">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规格</w:t>
            </w:r>
          </w:p>
        </w:tc>
        <w:tc>
          <w:tcPr>
            <w:tcW w:w="357" w:type="pct"/>
            <w:noWrap w:val="0"/>
            <w:vAlign w:val="center"/>
          </w:tcPr>
          <w:p w14:paraId="3672C37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rPr>
              <w:t>单位</w:t>
            </w:r>
          </w:p>
        </w:tc>
        <w:tc>
          <w:tcPr>
            <w:tcW w:w="556" w:type="pct"/>
            <w:noWrap w:val="0"/>
            <w:vAlign w:val="center"/>
          </w:tcPr>
          <w:p w14:paraId="160A42C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lang w:val="en-US" w:eastAsia="zh-CN"/>
              </w:rPr>
              <w:t>暂估</w:t>
            </w:r>
            <w:r>
              <w:rPr>
                <w:rFonts w:hint="eastAsia" w:ascii="宋体" w:hAnsi="宋体" w:eastAsia="宋体" w:cs="宋体"/>
                <w:b/>
                <w:bCs/>
                <w:sz w:val="24"/>
                <w:szCs w:val="24"/>
              </w:rPr>
              <w:t>量</w:t>
            </w: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吨）</w:t>
            </w:r>
          </w:p>
        </w:tc>
        <w:tc>
          <w:tcPr>
            <w:tcW w:w="652" w:type="pct"/>
            <w:noWrap w:val="0"/>
            <w:vAlign w:val="center"/>
          </w:tcPr>
          <w:p w14:paraId="171EF07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含税上限单价（元/吨）</w:t>
            </w:r>
          </w:p>
        </w:tc>
        <w:tc>
          <w:tcPr>
            <w:tcW w:w="494" w:type="pct"/>
            <w:noWrap w:val="0"/>
            <w:vAlign w:val="center"/>
          </w:tcPr>
          <w:p w14:paraId="2B66B29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送货地点</w:t>
            </w:r>
          </w:p>
        </w:tc>
        <w:tc>
          <w:tcPr>
            <w:tcW w:w="549" w:type="pct"/>
            <w:noWrap w:val="0"/>
            <w:vAlign w:val="center"/>
          </w:tcPr>
          <w:p w14:paraId="05D595D6">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备注</w:t>
            </w:r>
          </w:p>
        </w:tc>
      </w:tr>
      <w:tr w14:paraId="2AC71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328" w:type="pct"/>
            <w:noWrap w:val="0"/>
            <w:vAlign w:val="center"/>
          </w:tcPr>
          <w:p w14:paraId="718DC6C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484" w:type="pct"/>
            <w:noWrap w:val="0"/>
            <w:vAlign w:val="center"/>
          </w:tcPr>
          <w:p w14:paraId="20BBD36F">
            <w:pPr>
              <w:pStyle w:val="58"/>
              <w:autoSpaceDE w:val="0"/>
              <w:autoSpaceDN w:val="0"/>
              <w:adjustRightInd w:val="0"/>
              <w:snapToGrid w:val="0"/>
              <w:ind w:firstLine="0" w:firstLineChars="0"/>
              <w:jc w:val="center"/>
              <w:rPr>
                <w:rFonts w:hint="eastAsia" w:ascii="仿宋" w:hAnsi="仿宋" w:eastAsia="仿宋" w:cs="仿宋"/>
                <w:sz w:val="24"/>
                <w:szCs w:val="24"/>
                <w:lang w:eastAsia="zh-CN"/>
              </w:rPr>
            </w:pPr>
            <w:r>
              <w:rPr>
                <w:rFonts w:hint="eastAsia" w:ascii="仿宋" w:hAnsi="仿宋" w:eastAsia="仿宋" w:cs="仿宋"/>
                <w:sz w:val="24"/>
                <w:szCs w:val="24"/>
                <w:lang w:val="en-US" w:eastAsia="zh-CN"/>
              </w:rPr>
              <w:t>液碱</w:t>
            </w:r>
          </w:p>
        </w:tc>
        <w:tc>
          <w:tcPr>
            <w:tcW w:w="1577" w:type="pct"/>
            <w:noWrap w:val="0"/>
            <w:vAlign w:val="center"/>
          </w:tcPr>
          <w:p w14:paraId="7B20C2B5">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left"/>
              <w:textAlignment w:val="auto"/>
              <w:rPr>
                <w:rFonts w:hint="eastAsia" w:ascii="仿宋" w:hAnsi="仿宋" w:eastAsia="仿宋" w:cs="仿宋"/>
                <w:color w:val="333333"/>
                <w:sz w:val="24"/>
                <w:szCs w:val="24"/>
                <w:shd w:val="clear" w:color="auto" w:fill="FFFFFF"/>
                <w:lang w:eastAsia="zh-CN"/>
              </w:rPr>
            </w:pPr>
            <w:r>
              <w:rPr>
                <w:rFonts w:hint="eastAsia" w:ascii="仿宋" w:hAnsi="仿宋" w:eastAsia="仿宋" w:cs="仿宋"/>
                <w:color w:val="333333"/>
                <w:sz w:val="24"/>
                <w:szCs w:val="24"/>
                <w:shd w:val="clear" w:color="auto" w:fill="FFFFFF"/>
                <w:lang w:eastAsia="zh-CN"/>
              </w:rPr>
              <w:t>氢氧化钠（NaOH）含量≥30.0%；</w:t>
            </w:r>
          </w:p>
          <w:p w14:paraId="6864DD9A">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left"/>
              <w:textAlignment w:val="auto"/>
              <w:rPr>
                <w:rFonts w:hint="eastAsia" w:ascii="仿宋" w:hAnsi="仿宋" w:eastAsia="仿宋" w:cs="仿宋"/>
                <w:sz w:val="24"/>
                <w:szCs w:val="24"/>
              </w:rPr>
            </w:pPr>
            <w:r>
              <w:rPr>
                <w:rFonts w:hint="eastAsia" w:ascii="仿宋" w:hAnsi="仿宋" w:eastAsia="仿宋" w:cs="仿宋"/>
                <w:color w:val="333333"/>
                <w:sz w:val="24"/>
                <w:szCs w:val="24"/>
                <w:shd w:val="clear" w:color="auto" w:fill="FFFFFF"/>
                <w:lang w:eastAsia="zh-CN"/>
              </w:rPr>
              <w:t>应为无色或略带浅色透明粘稠状液体，无明显机械杂质。碳酸钠（Na₂CO₃）含量：≤0.5%；氯化钠（NaCl）含量：≤0.08%；三氧化二铁（Fe₂O₃）含量：≤0.005%。</w:t>
            </w:r>
          </w:p>
        </w:tc>
        <w:tc>
          <w:tcPr>
            <w:tcW w:w="357" w:type="pct"/>
            <w:noWrap w:val="0"/>
            <w:vAlign w:val="center"/>
          </w:tcPr>
          <w:p w14:paraId="5193BF06">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吨</w:t>
            </w:r>
          </w:p>
        </w:tc>
        <w:tc>
          <w:tcPr>
            <w:tcW w:w="556" w:type="pct"/>
            <w:noWrap w:val="0"/>
            <w:vAlign w:val="center"/>
          </w:tcPr>
          <w:p w14:paraId="6717F8E3">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highlight w:val="none"/>
                <w:lang w:val="en-US" w:eastAsia="zh-CN"/>
              </w:rPr>
            </w:pPr>
            <w:r>
              <w:rPr>
                <w:rFonts w:hint="eastAsia" w:ascii="仿宋" w:hAnsi="仿宋" w:eastAsia="仿宋" w:cs="仿宋"/>
                <w:color w:val="000000"/>
                <w:kern w:val="0"/>
                <w:sz w:val="24"/>
                <w:szCs w:val="24"/>
                <w:highlight w:val="none"/>
                <w:lang w:val="en-US" w:eastAsia="zh-CN"/>
              </w:rPr>
              <w:t>46</w:t>
            </w:r>
          </w:p>
        </w:tc>
        <w:tc>
          <w:tcPr>
            <w:tcW w:w="652" w:type="pct"/>
            <w:noWrap w:val="0"/>
            <w:vAlign w:val="center"/>
          </w:tcPr>
          <w:p w14:paraId="619754FF">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highlight w:val="none"/>
                <w:lang w:val="en-US" w:eastAsia="zh-CN"/>
              </w:rPr>
            </w:pPr>
            <w:r>
              <w:rPr>
                <w:rFonts w:hint="eastAsia" w:ascii="仿宋" w:hAnsi="仿宋" w:eastAsia="仿宋" w:cs="仿宋"/>
                <w:color w:val="000000"/>
                <w:kern w:val="0"/>
                <w:sz w:val="24"/>
                <w:szCs w:val="24"/>
                <w:highlight w:val="none"/>
                <w:lang w:val="en-US" w:eastAsia="zh-CN"/>
              </w:rPr>
              <w:t>1300</w:t>
            </w:r>
          </w:p>
        </w:tc>
        <w:tc>
          <w:tcPr>
            <w:tcW w:w="494" w:type="pct"/>
            <w:noWrap w:val="0"/>
            <w:vAlign w:val="center"/>
          </w:tcPr>
          <w:p w14:paraId="68458E42">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揭阳市榕城区甲方指定地点</w:t>
            </w:r>
          </w:p>
        </w:tc>
        <w:tc>
          <w:tcPr>
            <w:tcW w:w="549" w:type="pct"/>
            <w:noWrap w:val="0"/>
            <w:vAlign w:val="center"/>
          </w:tcPr>
          <w:p w14:paraId="456C11E8">
            <w:pPr>
              <w:keepNext w:val="0"/>
              <w:keepLines w:val="0"/>
              <w:pageBreakBefore w:val="0"/>
              <w:widowControl w:val="0"/>
              <w:kinsoku/>
              <w:wordWrap/>
              <w:overflowPunct/>
              <w:topLinePunct w:val="0"/>
              <w:autoSpaceDE w:val="0"/>
              <w:autoSpaceDN w:val="0"/>
              <w:bidi w:val="0"/>
              <w:adjustRightInd w:val="0"/>
              <w:snapToGrid w:val="0"/>
              <w:spacing w:afterLines="0" w:line="240" w:lineRule="auto"/>
              <w:jc w:val="left"/>
              <w:textAlignment w:val="auto"/>
              <w:rPr>
                <w:rFonts w:hint="eastAsia" w:ascii="仿宋" w:hAnsi="仿宋" w:eastAsia="仿宋" w:cs="仿宋"/>
                <w:sz w:val="24"/>
                <w:szCs w:val="24"/>
                <w:lang w:val="en-US" w:eastAsia="zh-CN"/>
              </w:rPr>
            </w:pPr>
            <w:r>
              <w:rPr>
                <w:rFonts w:hint="default" w:ascii="仿宋" w:hAnsi="仿宋" w:eastAsia="仿宋" w:cs="仿宋"/>
                <w:sz w:val="24"/>
                <w:szCs w:val="24"/>
                <w:lang w:val="en-US" w:eastAsia="zh-CN"/>
              </w:rPr>
              <w:t>采购数量为</w:t>
            </w:r>
            <w:r>
              <w:rPr>
                <w:rFonts w:hint="eastAsia" w:ascii="仿宋" w:hAnsi="仿宋" w:eastAsia="仿宋" w:cs="仿宋"/>
                <w:sz w:val="24"/>
                <w:szCs w:val="24"/>
                <w:lang w:val="en-US" w:eastAsia="zh-CN"/>
              </w:rPr>
              <w:t>暂估量</w:t>
            </w:r>
            <w:r>
              <w:rPr>
                <w:rFonts w:hint="default" w:ascii="仿宋" w:hAnsi="仿宋" w:eastAsia="仿宋" w:cs="仿宋"/>
                <w:sz w:val="24"/>
                <w:szCs w:val="24"/>
                <w:lang w:val="en-US" w:eastAsia="zh-CN"/>
              </w:rPr>
              <w:t>，具体以实际采购为准</w:t>
            </w:r>
            <w:r>
              <w:rPr>
                <w:rFonts w:hint="eastAsia" w:ascii="仿宋" w:hAnsi="仿宋" w:eastAsia="仿宋" w:cs="仿宋"/>
                <w:sz w:val="24"/>
                <w:szCs w:val="24"/>
                <w:lang w:val="en-US" w:eastAsia="zh-CN"/>
              </w:rPr>
              <w:t>。</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（一）采购期限：合同签订之日起</w:t>
      </w:r>
      <w:r>
        <w:rPr>
          <w:rFonts w:hint="eastAsia" w:ascii="Times New Roman" w:hAnsi="Times New Roman" w:eastAsia="仿宋_GB2312"/>
          <w:bCs/>
          <w:color w:val="000000"/>
          <w:sz w:val="28"/>
          <w:szCs w:val="28"/>
          <w:lang w:val="en-US" w:eastAsia="zh-CN"/>
        </w:rPr>
        <w:t>一年</w:t>
      </w:r>
      <w:r>
        <w:rPr>
          <w:rFonts w:hint="eastAsia" w:ascii="Times New Roman" w:hAnsi="Times New Roman" w:eastAsia="仿宋_GB2312"/>
          <w:bCs/>
          <w:color w:val="000000"/>
          <w:sz w:val="28"/>
          <w:szCs w:val="28"/>
        </w:rPr>
        <w:t>，具体起止时间以合同签订为准。合同期满后由甲方根据实际需求及合同履行情况决定合同期限是否续签，最多续签2次，合同期内，甲方有权随时终止合同，乙方不得因合同终止或未能续签向甲方主张责任或要求赔偿预期利益等损失。</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lang w:val="en-US" w:eastAsia="zh-CN"/>
        </w:rPr>
        <w:t>48</w:t>
      </w:r>
      <w:r>
        <w:rPr>
          <w:rFonts w:hint="eastAsia" w:ascii="仿宋_GB2312" w:hAnsi="仿宋_GB2312" w:eastAsia="仿宋_GB2312" w:cs="仿宋_GB2312"/>
          <w:b/>
          <w:color w:val="000000"/>
          <w:sz w:val="28"/>
          <w:szCs w:val="28"/>
        </w:rPr>
        <w:t>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lang w:val="en-US" w:eastAsia="zh-CN"/>
        </w:rPr>
        <w:t>24</w:t>
      </w:r>
      <w:r>
        <w:rPr>
          <w:rFonts w:hint="eastAsia" w:ascii="仿宋_GB2312" w:hAnsi="仿宋_GB2312" w:eastAsia="仿宋_GB2312" w:cs="仿宋_GB2312"/>
          <w:b/>
          <w:color w:val="000000"/>
          <w:sz w:val="28"/>
          <w:szCs w:val="28"/>
        </w:rPr>
        <w:t>小时内</w:t>
      </w:r>
      <w:r>
        <w:rPr>
          <w:rFonts w:hint="eastAsia" w:ascii="仿宋_GB2312" w:hAnsi="仿宋_GB2312" w:eastAsia="仿宋_GB2312" w:cs="仿宋_GB2312"/>
          <w:bCs/>
          <w:color w:val="000000"/>
          <w:sz w:val="28"/>
          <w:szCs w:val="28"/>
        </w:rPr>
        <w:t>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572B9100">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lang w:val="en-US" w:eastAsia="zh-CN"/>
        </w:rPr>
        <w:t>四）质保期：所供产品质保期为交付验收合格后 6 个月（或产品标注的保质期，以较长者为准），质保期内产品出现质量问题（非甲方储存或使用不当导致），供方应免费更换并承担相关费用。</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2</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val="0"/>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val="0"/>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参选单位必须具备危险化学品经营许可。（证明材料:提供危险化学品经营许可证复印件及附页，证件须在有效期内，并加盖参选单位公章、业务章或合同章（三选一））。</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w:t>
      </w:r>
      <w:r>
        <w:rPr>
          <w:rFonts w:hint="eastAsia" w:ascii="仿宋_GB2312" w:hAnsi="仿宋_GB2312" w:eastAsia="仿宋_GB2312" w:cs="仿宋_GB2312"/>
          <w:kern w:val="0"/>
          <w:sz w:val="28"/>
          <w:szCs w:val="28"/>
          <w:lang w:eastAsia="zh-CN"/>
        </w:rPr>
        <w:t>、危险化学品经营许可证复印件及附页</w:t>
      </w:r>
      <w:r>
        <w:rPr>
          <w:rFonts w:hint="eastAsia" w:ascii="仿宋_GB2312" w:hAnsi="仿宋_GB2312" w:eastAsia="仿宋_GB2312" w:cs="仿宋_GB2312"/>
          <w:kern w:val="0"/>
          <w:sz w:val="28"/>
          <w:szCs w:val="28"/>
        </w:rPr>
        <w:t>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液碱采购项目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2</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7</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highlight w:val="none"/>
        </w:rPr>
        <w:t>本次</w:t>
      </w:r>
      <w:r>
        <w:rPr>
          <w:rFonts w:hint="eastAsia" w:ascii="仿宋_GB2312" w:hAnsi="仿宋_GB2312" w:eastAsia="仿宋_GB2312" w:cs="仿宋_GB2312"/>
          <w:sz w:val="28"/>
          <w:szCs w:val="28"/>
          <w:highlight w:val="none"/>
        </w:rPr>
        <w:t>含税单价上限</w:t>
      </w:r>
      <w:r>
        <w:rPr>
          <w:rFonts w:hint="eastAsia" w:ascii="Times New Roman" w:hAnsi="Times New Roman" w:eastAsia="仿宋_GB2312"/>
          <w:sz w:val="28"/>
          <w:szCs w:val="22"/>
          <w:highlight w:val="none"/>
          <w:lang w:val="en-US" w:eastAsia="zh-CN"/>
        </w:rPr>
        <w:t>1300</w:t>
      </w:r>
      <w:r>
        <w:rPr>
          <w:rFonts w:ascii="Times New Roman" w:hAnsi="Times New Roman" w:eastAsia="仿宋_GB2312"/>
          <w:sz w:val="28"/>
          <w:szCs w:val="22"/>
          <w:highlight w:val="none"/>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2</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7</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w:t>
      </w:r>
      <w:r>
        <w:rPr>
          <w:rFonts w:hint="eastAsia" w:ascii="仿宋_GB2312" w:hAnsi="仿宋_GB2312" w:eastAsia="仿宋_GB2312" w:cs="仿宋_GB2312"/>
          <w:color w:val="000000"/>
          <w:kern w:val="0"/>
          <w:sz w:val="28"/>
          <w:szCs w:val="28"/>
          <w:lang w:val="en-US" w:eastAsia="zh-CN"/>
        </w:rPr>
        <w:t>b</w:t>
      </w:r>
      <w:r>
        <w:rPr>
          <w:rFonts w:hint="eastAsia" w:ascii="仿宋_GB2312" w:hAnsi="仿宋_GB2312" w:eastAsia="仿宋_GB2312" w:cs="仿宋_GB2312"/>
          <w:color w:val="000000"/>
          <w:kern w:val="0"/>
          <w:sz w:val="28"/>
          <w:szCs w:val="28"/>
        </w:rPr>
        <w:t>@163.com</w:t>
      </w:r>
    </w:p>
    <w:p w14:paraId="69ED3A83">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2</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4</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743097"/>
      <w:bookmarkStart w:id="7" w:name="_Toc201997925"/>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液碱</w:t>
      </w: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液碱采购项目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val="en-US" w:eastAsia="zh-CN"/>
        </w:rPr>
        <w:t>液碱</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199215931"/>
      <w:bookmarkStart w:id="11" w:name="_Toc199213728"/>
      <w:bookmarkStart w:id="12" w:name="_Toc201719103"/>
      <w:bookmarkStart w:id="13" w:name="_Toc201401643"/>
      <w:bookmarkStart w:id="14" w:name="_Toc201743099"/>
      <w:bookmarkStart w:id="15" w:name="_Toc199215763"/>
      <w:bookmarkStart w:id="16" w:name="_Toc201742844"/>
      <w:bookmarkStart w:id="17" w:name="_Toc201997927"/>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1B540D53">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1</w:t>
      </w:r>
      <w:r>
        <w:rPr>
          <w:rFonts w:hint="eastAsia" w:ascii="宋体" w:hAnsi="宋体" w:cs="宋体"/>
        </w:rPr>
        <w:t xml:space="preserve"> </w:t>
      </w:r>
      <w:r>
        <w:rPr>
          <w:rFonts w:hint="eastAsia" w:ascii="宋体" w:hAnsi="宋体" w:cs="宋体"/>
          <w:lang w:eastAsia="zh-Hans"/>
        </w:rPr>
        <w:t>】</w:t>
      </w:r>
      <w:r>
        <w:rPr>
          <w:rFonts w:hint="eastAsia" w:ascii="宋体" w:hAnsi="宋体" w:cs="宋体"/>
          <w:lang w:val="en-US" w:eastAsia="zh-CN"/>
        </w:rPr>
        <w:t>年</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bidi="ar"/>
        </w:rPr>
        <w:t>合同期满后甲方有权根据乙方履约情况决定是否续签</w:t>
      </w:r>
      <w:r>
        <w:rPr>
          <w:rFonts w:hint="eastAsia" w:ascii="宋体" w:hAnsi="宋体" w:cs="宋体"/>
          <w:lang w:eastAsia="zh-CN" w:bidi="ar"/>
        </w:rPr>
        <w:t>，</w:t>
      </w:r>
      <w:r>
        <w:rPr>
          <w:rFonts w:hint="eastAsia" w:ascii="宋体" w:hAnsi="宋体" w:cs="宋体"/>
          <w:lang w:val="en-US" w:eastAsia="zh-CN" w:bidi="ar"/>
        </w:rPr>
        <w:t>最多续签2次</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7ABC299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rPr>
        <w:t>月度</w:t>
      </w:r>
      <w:r>
        <w:rPr>
          <w:rFonts w:hint="eastAsia" w:ascii="宋体" w:hAnsi="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bCs/>
          <w:color w:val="000000"/>
        </w:rPr>
        <w:t>按月核对，</w:t>
      </w:r>
      <w:r>
        <w:rPr>
          <w:rFonts w:hint="eastAsia" w:ascii="宋体" w:hAnsi="宋体" w:cs="宋体"/>
        </w:rPr>
        <w:t>每月</w:t>
      </w:r>
      <w:r>
        <w:rPr>
          <w:rFonts w:hint="eastAsia" w:ascii="宋体" w:hAnsi="宋体" w:cs="宋体"/>
          <w:u w:val="single"/>
        </w:rPr>
        <w:t>2</w:t>
      </w:r>
      <w:r>
        <w:rPr>
          <w:rFonts w:hint="eastAsia" w:ascii="宋体" w:hAnsi="宋体" w:cs="宋体"/>
          <w:u w:val="single"/>
          <w:lang w:val="en-US" w:eastAsia="zh-CN"/>
        </w:rPr>
        <w:t>0</w:t>
      </w:r>
      <w:r>
        <w:rPr>
          <w:rFonts w:hint="eastAsia" w:ascii="宋体" w:hAnsi="宋体" w:cs="宋体"/>
          <w:u w:val="single"/>
        </w:rPr>
        <w:t>日</w:t>
      </w:r>
      <w:r>
        <w:rPr>
          <w:rFonts w:hint="eastAsia" w:ascii="宋体" w:hAnsi="宋体" w:cs="宋体"/>
        </w:rPr>
        <w:t>核对</w:t>
      </w:r>
      <w:r>
        <w:rPr>
          <w:rFonts w:hint="eastAsia" w:ascii="宋体" w:hAnsi="宋体" w:cs="宋体"/>
          <w:lang w:val="en-US" w:eastAsia="zh-CN"/>
        </w:rPr>
        <w:t>月度</w:t>
      </w:r>
      <w:r>
        <w:rPr>
          <w:rFonts w:hint="eastAsia" w:ascii="宋体" w:hAnsi="宋体" w:cs="宋体"/>
        </w:rPr>
        <w:t>验收合格的产品采购数量及价款</w:t>
      </w:r>
      <w:r>
        <w:rPr>
          <w:rFonts w:hint="eastAsia" w:ascii="宋体" w:hAnsi="宋体" w:cs="宋体"/>
          <w:bCs/>
          <w:color w:val="000000"/>
        </w:rPr>
        <w:t>，中选人提供费用付款申请、经双方验收核对无误的证明文件及国家税务正式的13%增值税专用发票至采购人，经采购人审核通过后提交付款流程。</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xml:space="preserve">【 </w:t>
      </w:r>
      <w:r>
        <w:rPr>
          <w:rFonts w:hint="eastAsia" w:ascii="宋体" w:hAnsi="宋体" w:cs="宋体"/>
          <w:lang w:val="en-US" w:eastAsia="zh-CN"/>
        </w:rPr>
        <w:t>48</w:t>
      </w:r>
      <w:r>
        <w:rPr>
          <w:rFonts w:hint="eastAsia" w:ascii="宋体" w:hAnsi="宋体" w:cs="宋体"/>
        </w:rPr>
        <w:t xml:space="preserve">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 xml:space="preserve">日内送达，紧急情况下【 </w:t>
      </w:r>
      <w:r>
        <w:rPr>
          <w:rFonts w:hint="eastAsia" w:ascii="宋体" w:hAnsi="宋体" w:cs="宋体"/>
          <w:lang w:val="en-US" w:eastAsia="zh-CN"/>
        </w:rPr>
        <w:t>24</w:t>
      </w:r>
      <w:r>
        <w:rPr>
          <w:rFonts w:hint="eastAsia" w:ascii="宋体" w:hAnsi="宋体" w:cs="宋体"/>
        </w:rPr>
        <w:t xml:space="preserve">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揭阳市榕城区甲方指定地点</w:t>
      </w:r>
      <w:bookmarkStart w:id="22" w:name="_GoBack"/>
      <w:bookmarkEnd w:id="22"/>
      <w:r>
        <w:rPr>
          <w:rFonts w:hint="eastAsia" w:ascii="宋体" w:hAnsi="宋体" w:cs="宋体"/>
          <w:lang w:eastAsia="zh-Hans"/>
        </w:rPr>
        <w:t>。</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xml:space="preserve">【 </w:t>
      </w:r>
      <w:r>
        <w:rPr>
          <w:rFonts w:hint="eastAsia" w:ascii="Times New Roman Regular" w:hAnsi="Times New Roman Regular" w:cs="Times New Roman Regular"/>
          <w:lang w:val="en-US" w:eastAsia="zh-CN"/>
        </w:rPr>
        <w:t>24</w:t>
      </w:r>
      <w:r>
        <w:rPr>
          <w:rFonts w:hint="eastAsia" w:ascii="Times New Roman Regular" w:hAnsi="Times New Roman Regular" w:cs="Times New Roman Regular"/>
        </w:rPr>
        <w:t xml:space="preserve">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xml:space="preserve">【 </w:t>
      </w:r>
      <w:r>
        <w:rPr>
          <w:rFonts w:hint="eastAsia" w:ascii="宋体" w:hAnsi="宋体" w:cs="宋体"/>
          <w:lang w:val="en-US" w:eastAsia="zh-CN"/>
        </w:rPr>
        <w:t>24</w:t>
      </w:r>
      <w:r>
        <w:rPr>
          <w:rFonts w:hint="eastAsia" w:ascii="宋体" w:hAnsi="宋体" w:cs="宋体"/>
        </w:rPr>
        <w:t xml:space="preserve">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xml:space="preserve">【 </w:t>
      </w:r>
      <w:r>
        <w:rPr>
          <w:rFonts w:hint="eastAsia" w:ascii="宋体" w:hAnsi="宋体" w:cs="宋体"/>
          <w:lang w:val="en-US" w:eastAsia="zh-CN"/>
        </w:rPr>
        <w:t>2</w:t>
      </w:r>
      <w:r>
        <w:rPr>
          <w:rFonts w:hint="eastAsia" w:ascii="宋体" w:hAnsi="宋体" w:cs="宋体"/>
        </w:rPr>
        <w:t xml:space="preserve"> 】</w:t>
      </w:r>
      <w:r>
        <w:rPr>
          <w:rFonts w:hint="eastAsia" w:ascii="宋体" w:hAnsi="宋体" w:cs="宋体"/>
          <w:lang w:eastAsia="zh-Hans"/>
        </w:rPr>
        <w:t xml:space="preserve">天(即 </w:t>
      </w:r>
      <w:r>
        <w:rPr>
          <w:rFonts w:hint="eastAsia" w:ascii="宋体" w:hAnsi="宋体" w:cs="宋体"/>
        </w:rPr>
        <w:t xml:space="preserve">【 </w:t>
      </w:r>
      <w:r>
        <w:rPr>
          <w:rFonts w:hint="eastAsia" w:ascii="宋体" w:hAnsi="宋体" w:cs="宋体"/>
          <w:lang w:val="en-US" w:eastAsia="zh-CN"/>
        </w:rPr>
        <w:t>48</w:t>
      </w:r>
      <w:r>
        <w:rPr>
          <w:rFonts w:hint="eastAsia" w:ascii="宋体" w:hAnsi="宋体" w:cs="宋体"/>
        </w:rPr>
        <w:t xml:space="preserve">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 xml:space="preserve">（紧急情况下，提前【 </w:t>
      </w:r>
      <w:r>
        <w:rPr>
          <w:rFonts w:hint="eastAsia" w:ascii="宋体" w:hAnsi="宋体" w:cs="宋体"/>
          <w:lang w:val="en-US" w:eastAsia="zh-CN"/>
        </w:rPr>
        <w:t>24</w:t>
      </w:r>
      <w:r>
        <w:rPr>
          <w:rFonts w:hint="eastAsia" w:ascii="宋体" w:hAnsi="宋体" w:cs="宋体"/>
        </w:rPr>
        <w:t xml:space="preserve">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2500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10000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1A6D357D">
      <w:pPr>
        <w:pStyle w:val="68"/>
        <w:spacing w:line="360" w:lineRule="auto"/>
        <w:ind w:firstLine="480"/>
        <w:rPr>
          <w:rFonts w:hint="eastAsia" w:ascii="Times New Roman Regular" w:hAnsi="Times New Roman Regular" w:cs="Times New Roman Regular"/>
          <w:lang w:eastAsia="zh-Hans"/>
        </w:rPr>
      </w:pPr>
      <w:r>
        <w:rPr>
          <w:rFonts w:hint="eastAsia" w:ascii="Times New Roman Regular" w:hAnsi="Times New Roman Regular" w:cs="Times New Roman Regular"/>
          <w:lang w:val="en-US" w:eastAsia="zh-CN"/>
        </w:rPr>
        <w:t>乙方</w:t>
      </w:r>
      <w:r>
        <w:rPr>
          <w:rFonts w:hint="eastAsia" w:ascii="Times New Roman Regular" w:hAnsi="Times New Roman Regular" w:cs="Times New Roman Regular"/>
          <w:lang w:eastAsia="zh-Hans"/>
        </w:rPr>
        <w:t>所供产品质保期为交付验收合格后 6 个月（或产品标注的保质期，以较长者为准），质保期内产品出现质量问题（非甲方储存或使用不当导致），乙方应免费更换并承担相关费用。</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1</w:t>
      </w:r>
      <w:r>
        <w:rPr>
          <w:rFonts w:hint="eastAsia" w:ascii="宋体" w:hAnsi="宋体" w:cs="宋体"/>
          <w:color w:val="000000"/>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液碱</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871"/>
        <w:gridCol w:w="2590"/>
        <w:gridCol w:w="767"/>
        <w:gridCol w:w="1456"/>
        <w:gridCol w:w="1403"/>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501"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492"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41"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426" w:type="pct"/>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501" w:type="pct"/>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val="en-US" w:eastAsia="zh-CN"/>
              </w:rPr>
              <w:t>液碱</w:t>
            </w:r>
          </w:p>
        </w:tc>
        <w:tc>
          <w:tcPr>
            <w:tcW w:w="1492" w:type="pct"/>
            <w:noWrap/>
            <w:vAlign w:val="center"/>
          </w:tcPr>
          <w:p w14:paraId="259BAA62">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both"/>
              <w:textAlignment w:val="auto"/>
              <w:rPr>
                <w:rFonts w:hint="eastAsia" w:ascii="宋体" w:hAnsi="宋体" w:cs="宋体"/>
                <w:color w:val="333333"/>
                <w:sz w:val="24"/>
                <w:szCs w:val="24"/>
                <w:shd w:val="clear" w:color="auto" w:fill="FFFFFF"/>
                <w:lang w:eastAsia="zh-CN"/>
              </w:rPr>
            </w:pPr>
            <w:r>
              <w:rPr>
                <w:rFonts w:hint="eastAsia" w:ascii="宋体" w:hAnsi="宋体" w:cs="宋体"/>
                <w:color w:val="333333"/>
                <w:sz w:val="24"/>
                <w:szCs w:val="24"/>
                <w:shd w:val="clear" w:color="auto" w:fill="FFFFFF"/>
                <w:lang w:eastAsia="zh-CN"/>
              </w:rPr>
              <w:t>氢氧化钠（NaOH）含量≥30.0%；</w:t>
            </w:r>
          </w:p>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both"/>
              <w:textAlignment w:val="auto"/>
              <w:rPr>
                <w:rFonts w:hint="eastAsia" w:ascii="宋体" w:hAnsi="宋体" w:cs="宋体"/>
                <w:b/>
                <w:bCs/>
                <w:color w:val="000000"/>
                <w:kern w:val="0"/>
                <w:sz w:val="24"/>
                <w:szCs w:val="24"/>
              </w:rPr>
            </w:pPr>
            <w:r>
              <w:rPr>
                <w:rFonts w:hint="eastAsia" w:ascii="宋体" w:hAnsi="宋体" w:cs="宋体"/>
                <w:color w:val="333333"/>
                <w:sz w:val="24"/>
                <w:szCs w:val="24"/>
                <w:shd w:val="clear" w:color="auto" w:fill="FFFFFF"/>
                <w:lang w:eastAsia="zh-CN"/>
              </w:rPr>
              <w:t>应为无色或略带浅色透明粘稠状液体，无明显机械杂质。碳酸钠（Na₂CO₃）含量：≤0.5%；氯化钠（NaCl）含量：≤0.08%；三氧化二铁（Fe₂O₃）含量：≤0.005%。</w:t>
            </w:r>
          </w:p>
        </w:tc>
        <w:tc>
          <w:tcPr>
            <w:tcW w:w="441"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2302"/>
        <w:gridCol w:w="2665"/>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326"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535"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931" w:type="pct"/>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color w:val="000000"/>
                <w:sz w:val="24"/>
                <w:szCs w:val="24"/>
                <w:lang w:eastAsia="zh-CN" w:bidi="ar"/>
              </w:rPr>
              <w:t>液碱</w:t>
            </w:r>
          </w:p>
        </w:tc>
        <w:tc>
          <w:tcPr>
            <w:tcW w:w="1207" w:type="pct"/>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sz w:val="24"/>
                <w:szCs w:val="24"/>
                <w:lang w:val="en-US" w:eastAsia="zh-CN"/>
              </w:rPr>
              <w:t>/</w:t>
            </w:r>
          </w:p>
        </w:tc>
        <w:tc>
          <w:tcPr>
            <w:tcW w:w="1326" w:type="pct"/>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val="0"/>
                <w:bCs w:val="0"/>
                <w:spacing w:val="-8"/>
                <w:sz w:val="24"/>
                <w:szCs w:val="24"/>
              </w:rPr>
            </w:pPr>
            <w:r>
              <w:rPr>
                <w:rFonts w:hint="eastAsia" w:ascii="宋体" w:hAnsi="宋体" w:eastAsia="宋体" w:cs="宋体"/>
                <w:b w:val="0"/>
                <w:bCs w:val="0"/>
                <w:sz w:val="24"/>
                <w:szCs w:val="24"/>
              </w:rPr>
              <w:t>氢氧化钠（NaOH）含量≥30.0%</w:t>
            </w:r>
          </w:p>
        </w:tc>
        <w:tc>
          <w:tcPr>
            <w:tcW w:w="1535" w:type="pct"/>
            <w:vAlign w:val="center"/>
          </w:tcPr>
          <w:p w14:paraId="5B37F992">
            <w:pPr>
              <w:keepNext w:val="0"/>
              <w:keepLines w:val="0"/>
              <w:pageBreakBefore w:val="0"/>
              <w:widowControl w:val="0"/>
              <w:kinsoku/>
              <w:wordWrap/>
              <w:overflowPunct/>
              <w:topLinePunct w:val="0"/>
              <w:bidi w:val="0"/>
              <w:adjustRightInd/>
              <w:snapToGrid/>
              <w:spacing w:afterLines="0" w:line="240" w:lineRule="auto"/>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应为无色或略带浅</w:t>
            </w:r>
          </w:p>
          <w:p w14:paraId="478261E2">
            <w:pPr>
              <w:keepNext w:val="0"/>
              <w:keepLines w:val="0"/>
              <w:pageBreakBefore w:val="0"/>
              <w:widowControl w:val="0"/>
              <w:kinsoku/>
              <w:wordWrap/>
              <w:overflowPunct/>
              <w:topLinePunct w:val="0"/>
              <w:bidi w:val="0"/>
              <w:adjustRightInd/>
              <w:snapToGrid/>
              <w:spacing w:afterLines="0" w:line="240" w:lineRule="auto"/>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色透明粘稠状液体，无明显机械杂质。</w:t>
            </w:r>
          </w:p>
          <w:p w14:paraId="5119E4BE">
            <w:pPr>
              <w:keepNext w:val="0"/>
              <w:keepLines w:val="0"/>
              <w:pageBreakBefore w:val="0"/>
              <w:widowControl w:val="0"/>
              <w:kinsoku/>
              <w:wordWrap/>
              <w:overflowPunct/>
              <w:topLinePunct w:val="0"/>
              <w:bidi w:val="0"/>
              <w:adjustRightInd/>
              <w:snapToGrid/>
              <w:spacing w:afterLines="0" w:line="240" w:lineRule="auto"/>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碳酸钠（Na₂CO₃）含量：≤0.5%；氯化钠（NaCl）含量：</w:t>
            </w:r>
          </w:p>
          <w:p w14:paraId="3FDBC6F9">
            <w:pPr>
              <w:keepNext w:val="0"/>
              <w:keepLines w:val="0"/>
              <w:pageBreakBefore w:val="0"/>
              <w:widowControl w:val="0"/>
              <w:kinsoku/>
              <w:wordWrap/>
              <w:overflowPunct/>
              <w:topLinePunct w:val="0"/>
              <w:bidi w:val="0"/>
              <w:adjustRightInd/>
              <w:snapToGrid/>
              <w:spacing w:afterLines="0" w:line="240" w:lineRule="auto"/>
              <w:jc w:val="left"/>
              <w:textAlignment w:val="auto"/>
              <w:rPr>
                <w:rFonts w:hint="eastAsia" w:ascii="宋体" w:hAnsi="宋体" w:eastAsia="宋体" w:cs="宋体"/>
                <w:b/>
                <w:bCs/>
                <w:sz w:val="24"/>
                <w:szCs w:val="24"/>
                <w:lang w:val="en-US" w:eastAsia="zh-CN"/>
              </w:rPr>
            </w:pPr>
            <w:r>
              <w:rPr>
                <w:rFonts w:hint="eastAsia" w:ascii="宋体" w:hAnsi="宋体" w:eastAsia="宋体" w:cs="宋体"/>
                <w:b w:val="0"/>
                <w:bCs w:val="0"/>
                <w:sz w:val="24"/>
                <w:szCs w:val="24"/>
                <w:lang w:val="en-US" w:eastAsia="zh-CN"/>
              </w:rPr>
              <w:t>≤0.08%；三氧化二铁（Fe₂O₃）含量：≤0.005%。</w:t>
            </w:r>
          </w:p>
        </w:tc>
      </w:tr>
    </w:tbl>
    <w:p w14:paraId="4E973ADB">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液碱采购项目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液碱采购项目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液碱采购项目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2</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液碱采购项目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default" w:ascii="仿宋" w:hAnsi="仿宋" w:eastAsia="仿宋" w:cs="宋体"/>
          <w:color w:val="000000"/>
          <w:sz w:val="24"/>
          <w:szCs w:val="21"/>
          <w:lang w:val="en-US" w:eastAsia="zh-CN"/>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lang w:eastAsia="zh-CN"/>
        </w:rPr>
        <w:t>（</w:t>
      </w:r>
      <w:r>
        <w:rPr>
          <w:rFonts w:hint="eastAsia" w:ascii="仿宋" w:hAnsi="仿宋" w:eastAsia="仿宋" w:cs="宋体"/>
          <w:color w:val="000000"/>
          <w:sz w:val="24"/>
          <w:szCs w:val="21"/>
          <w:highlight w:val="yellow"/>
          <w:lang w:val="en-US" w:eastAsia="zh-CN"/>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0A0DCA9C">
      <w:pPr>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05CD1B52">
      <w:pPr>
        <w:pStyle w:val="4"/>
        <w:spacing w:afterLines="0" w:line="240" w:lineRule="auto"/>
        <w:jc w:val="left"/>
        <w:rPr>
          <w:rFonts w:hint="eastAsia" w:ascii="仿宋" w:hAnsi="仿宋" w:eastAsia="仿宋" w:cs="仿宋"/>
          <w:b/>
          <w:bCs/>
          <w:color w:val="000000"/>
          <w:sz w:val="24"/>
          <w:lang w:bidi="ar"/>
        </w:rPr>
      </w:pPr>
      <w:r>
        <w:rPr>
          <w:rFonts w:hint="eastAsia" w:ascii="仿宋" w:hAnsi="仿宋" w:eastAsia="仿宋" w:cs="宋体"/>
          <w:color w:val="000000"/>
          <w:sz w:val="24"/>
          <w:szCs w:val="21"/>
        </w:rPr>
        <mc:AlternateContent>
          <mc:Choice Requires="wps">
            <w:drawing>
              <wp:anchor distT="0" distB="0" distL="114300" distR="114300" simplePos="0" relativeHeight="251665408" behindDoc="0" locked="0" layoutInCell="1" allowOverlap="1">
                <wp:simplePos x="0" y="0"/>
                <wp:positionH relativeFrom="column">
                  <wp:posOffset>4445</wp:posOffset>
                </wp:positionH>
                <wp:positionV relativeFrom="paragraph">
                  <wp:posOffset>283845</wp:posOffset>
                </wp:positionV>
                <wp:extent cx="5885180" cy="8099425"/>
                <wp:effectExtent l="4445" t="4445" r="15875" b="11430"/>
                <wp:wrapNone/>
                <wp:docPr id="1" name="文本框 1"/>
                <wp:cNvGraphicFramePr/>
                <a:graphic xmlns:a="http://schemas.openxmlformats.org/drawingml/2006/main">
                  <a:graphicData uri="http://schemas.microsoft.com/office/word/2010/wordprocessingShape">
                    <wps:wsp>
                      <wps:cNvSpPr txBox="1"/>
                      <wps:spPr>
                        <a:xfrm>
                          <a:off x="0" y="0"/>
                          <a:ext cx="5885180" cy="8099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17B43DB">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35pt;margin-top:22.35pt;height:637.75pt;width:463.4pt;z-index:251665408;mso-width-relative:page;mso-height-relative:page;" fillcolor="#FFFFFF [3201]" filled="t" stroked="t" coordsize="21600,21600" o:gfxdata="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YpGSC1QAAAAgB&#10;AAAPAAAAAAAAAAEAIAAAACIAAABkcnMvZG93bnJldi54bWxQSwECFAAUAAAACACHTuJABpubclcC&#10;AAC4BAAADgAAAAAAAAABACAAAAAkAQAAZHJzL2Uyb0RvYy54bWxQSwUGAAAAAAYABgBZAQAA7QUA&#10;AAAA&#10;">
                <v:fill on="t" focussize="0,0"/>
                <v:stroke weight="0.5pt" color="#000000 [3204]" joinstyle="round"/>
                <v:imagedata o:title=""/>
                <o:lock v:ext="edit" aspectratio="f"/>
                <v:textbox>
                  <w:txbxContent>
                    <w:p w14:paraId="717B43DB">
                      <w:pPr>
                        <w:spacing w:after="78"/>
                      </w:pPr>
                    </w:p>
                  </w:txbxContent>
                </v:textbox>
              </v:shape>
            </w:pict>
          </mc:Fallback>
        </mc:AlternateContent>
      </w:r>
      <w:r>
        <w:rPr>
          <w:rFonts w:hint="eastAsia" w:ascii="仿宋" w:hAnsi="仿宋" w:eastAsia="仿宋" w:cs="宋体"/>
          <w:color w:val="000000"/>
          <w:sz w:val="24"/>
          <w:szCs w:val="21"/>
        </w:rPr>
        <w:t>危险化学品经营许可证</w:t>
      </w:r>
      <w:r>
        <w:rPr>
          <w:rFonts w:hint="eastAsia" w:ascii="仿宋" w:hAnsi="仿宋" w:eastAsia="仿宋" w:cs="宋体"/>
          <w:color w:val="000000"/>
          <w:sz w:val="24"/>
          <w:szCs w:val="21"/>
          <w:highlight w:val="yellow"/>
          <w:lang w:val="en-US" w:eastAsia="zh-CN"/>
        </w:rPr>
        <w:t>及附页</w:t>
      </w:r>
      <w:r>
        <w:rPr>
          <w:rFonts w:hint="eastAsia" w:ascii="仿宋" w:hAnsi="仿宋" w:eastAsia="仿宋" w:cs="宋体"/>
          <w:color w:val="000000"/>
          <w:sz w:val="24"/>
          <w:szCs w:val="21"/>
          <w:highlight w:val="yellow"/>
        </w:rPr>
        <w:t>（盖章</w:t>
      </w:r>
      <w:r>
        <w:rPr>
          <w:rFonts w:hint="eastAsia" w:ascii="仿宋" w:hAnsi="仿宋" w:eastAsia="仿宋" w:cs="宋体"/>
          <w:color w:val="000000"/>
          <w:sz w:val="24"/>
          <w:szCs w:val="21"/>
          <w:highlight w:val="yellow"/>
          <w:lang w:eastAsia="zh-CN"/>
        </w:rPr>
        <w:t>）</w:t>
      </w: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液碱采购项目</w:t>
      </w:r>
      <w:r>
        <w:rPr>
          <w:rFonts w:hint="eastAsia" w:ascii="仿宋" w:hAnsi="仿宋" w:eastAsia="仿宋"/>
          <w:b/>
          <w:bCs/>
          <w:kern w:val="0"/>
          <w:sz w:val="24"/>
        </w:rPr>
        <w:t>报价一览表</w:t>
      </w:r>
    </w:p>
    <w:tbl>
      <w:tblPr>
        <w:tblStyle w:val="22"/>
        <w:tblpPr w:leftFromText="181" w:rightFromText="181" w:vertAnchor="text" w:horzAnchor="page" w:tblpXSpec="center" w:tblpY="58"/>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6"/>
        <w:gridCol w:w="958"/>
        <w:gridCol w:w="2330"/>
        <w:gridCol w:w="310"/>
        <w:gridCol w:w="559"/>
        <w:gridCol w:w="332"/>
        <w:gridCol w:w="986"/>
        <w:gridCol w:w="1459"/>
        <w:gridCol w:w="1071"/>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88"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311" w:type="pct"/>
            <w:gridSpan w:val="8"/>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液碱采购项目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8"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771"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647" w:type="pct"/>
            <w:gridSpan w:val="3"/>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1893"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88" w:type="pct"/>
            <w:vMerge w:val="continue"/>
            <w:vAlign w:val="center"/>
          </w:tcPr>
          <w:p w14:paraId="074635C1">
            <w:pPr>
              <w:spacing w:afterLines="0" w:line="300" w:lineRule="exact"/>
              <w:jc w:val="center"/>
              <w:rPr>
                <w:rFonts w:hint="eastAsia" w:ascii="仿宋" w:hAnsi="仿宋" w:eastAsia="仿宋"/>
                <w:sz w:val="24"/>
                <w:szCs w:val="24"/>
              </w:rPr>
            </w:pPr>
          </w:p>
        </w:tc>
        <w:tc>
          <w:tcPr>
            <w:tcW w:w="1771"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647" w:type="pct"/>
            <w:gridSpan w:val="3"/>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1893" w:type="pct"/>
            <w:gridSpan w:val="3"/>
            <w:vAlign w:val="center"/>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8"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771" w:type="pct"/>
            <w:gridSpan w:val="2"/>
            <w:vAlign w:val="center"/>
          </w:tcPr>
          <w:p w14:paraId="0347850D">
            <w:pPr>
              <w:spacing w:afterLines="0" w:line="300" w:lineRule="exact"/>
              <w:jc w:val="center"/>
              <w:rPr>
                <w:rFonts w:hint="eastAsia" w:ascii="仿宋" w:hAnsi="仿宋" w:eastAsia="仿宋"/>
                <w:sz w:val="24"/>
                <w:szCs w:val="24"/>
              </w:rPr>
            </w:pPr>
            <w:r>
              <w:rPr>
                <w:rFonts w:hint="eastAsia" w:ascii="仿宋" w:hAnsi="仿宋" w:eastAsia="仿宋" w:cs="仿宋"/>
                <w:sz w:val="24"/>
                <w:szCs w:val="24"/>
                <w:lang w:val="en-US" w:eastAsia="zh-CN"/>
              </w:rPr>
              <w:t>揭阳市榕城区甲方指定地点</w:t>
            </w:r>
          </w:p>
        </w:tc>
        <w:tc>
          <w:tcPr>
            <w:tcW w:w="647" w:type="pct"/>
            <w:gridSpan w:val="3"/>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1893" w:type="pct"/>
            <w:gridSpan w:val="3"/>
            <w:vAlign w:val="center"/>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9"/>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688"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516"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1422" w:type="pct"/>
            <w:gridSpan w:val="2"/>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480" w:type="pct"/>
            <w:gridSpan w:val="2"/>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531"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786"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575"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688"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516"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液碱</w:t>
            </w:r>
          </w:p>
        </w:tc>
        <w:tc>
          <w:tcPr>
            <w:tcW w:w="1422" w:type="pct"/>
            <w:gridSpan w:val="2"/>
            <w:vAlign w:val="center"/>
          </w:tcPr>
          <w:p w14:paraId="26621079">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left"/>
              <w:textAlignment w:val="auto"/>
              <w:rPr>
                <w:rFonts w:hint="eastAsia" w:ascii="仿宋" w:hAnsi="仿宋" w:eastAsia="仿宋" w:cs="仿宋"/>
                <w:color w:val="333333"/>
                <w:sz w:val="24"/>
                <w:szCs w:val="24"/>
                <w:shd w:val="clear" w:color="auto" w:fill="FFFFFF"/>
                <w:lang w:eastAsia="zh-CN"/>
              </w:rPr>
            </w:pPr>
            <w:r>
              <w:rPr>
                <w:rFonts w:hint="eastAsia" w:ascii="仿宋" w:hAnsi="仿宋" w:eastAsia="仿宋" w:cs="仿宋"/>
                <w:color w:val="333333"/>
                <w:sz w:val="24"/>
                <w:szCs w:val="24"/>
                <w:shd w:val="clear" w:color="auto" w:fill="FFFFFF"/>
                <w:lang w:eastAsia="zh-CN"/>
              </w:rPr>
              <w:t>氢氧化钠（NaOH）含量≥30.0%；</w:t>
            </w:r>
          </w:p>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left"/>
              <w:textAlignment w:val="auto"/>
              <w:rPr>
                <w:rFonts w:hint="eastAsia" w:ascii="仿宋" w:hAnsi="仿宋" w:eastAsia="仿宋" w:cs="仿宋"/>
                <w:color w:val="000000"/>
                <w:sz w:val="24"/>
                <w:szCs w:val="24"/>
                <w:lang w:bidi="ar"/>
              </w:rPr>
            </w:pPr>
            <w:r>
              <w:rPr>
                <w:rFonts w:hint="eastAsia" w:ascii="仿宋" w:hAnsi="仿宋" w:eastAsia="仿宋" w:cs="仿宋"/>
                <w:color w:val="333333"/>
                <w:sz w:val="24"/>
                <w:szCs w:val="24"/>
                <w:shd w:val="clear" w:color="auto" w:fill="FFFFFF"/>
                <w:lang w:eastAsia="zh-CN"/>
              </w:rPr>
              <w:t>应为无色或略带浅色透明粘稠状液体，无明显机械杂质。碳酸钠（Na₂CO₃）含量：≤0.5%；氯化钠（NaCl）含量：≤0.08%；三氧化二铁（Fe₂O₃）含量：≤0.005%。</w:t>
            </w:r>
          </w:p>
        </w:tc>
        <w:tc>
          <w:tcPr>
            <w:tcW w:w="480" w:type="pct"/>
            <w:gridSpan w:val="2"/>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531"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786"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575" w:type="pct"/>
            <w:vAlign w:val="center"/>
          </w:tcPr>
          <w:p w14:paraId="2600D178">
            <w:pPr>
              <w:spacing w:afterLines="0" w:line="240" w:lineRule="auto"/>
              <w:jc w:val="left"/>
              <w:rPr>
                <w:rFonts w:hint="eastAsia" w:ascii="仿宋" w:hAnsi="仿宋" w:eastAsia="仿宋"/>
                <w:sz w:val="24"/>
                <w:szCs w:val="24"/>
              </w:rPr>
            </w:pPr>
            <w:r>
              <w:rPr>
                <w:rFonts w:hint="eastAsia" w:ascii="仿宋" w:hAnsi="仿宋" w:eastAsia="仿宋"/>
                <w:sz w:val="24"/>
                <w:szCs w:val="24"/>
              </w:rPr>
              <w:t>采购数量为暂估量，具体以实际采购为准。</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88"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938" w:type="pct"/>
            <w:gridSpan w:val="3"/>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480" w:type="pct"/>
            <w:gridSpan w:val="2"/>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1893"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688"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311" w:type="pct"/>
            <w:gridSpan w:val="8"/>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688"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938" w:type="pct"/>
            <w:gridSpan w:val="3"/>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w:t>
            </w:r>
            <w:r>
              <w:rPr>
                <w:rFonts w:hint="eastAsia" w:ascii="仿宋" w:hAnsi="仿宋" w:eastAsia="仿宋" w:cs="仿宋"/>
                <w:bCs/>
                <w:color w:val="000000"/>
                <w:sz w:val="24"/>
                <w:szCs w:val="24"/>
                <w:lang w:val="en-US" w:eastAsia="zh-CN"/>
              </w:rPr>
              <w:t>48</w:t>
            </w:r>
            <w:r>
              <w:rPr>
                <w:rFonts w:hint="eastAsia" w:ascii="仿宋" w:hAnsi="仿宋" w:eastAsia="仿宋" w:cs="仿宋"/>
                <w:bCs/>
                <w:color w:val="000000"/>
                <w:sz w:val="24"/>
                <w:szCs w:val="24"/>
              </w:rPr>
              <w:t>小时内送达，紧急情况下</w:t>
            </w:r>
            <w:r>
              <w:rPr>
                <w:rFonts w:hint="eastAsia" w:ascii="仿宋" w:hAnsi="仿宋" w:eastAsia="仿宋" w:cs="仿宋"/>
                <w:bCs/>
                <w:color w:val="000000"/>
                <w:sz w:val="24"/>
                <w:szCs w:val="24"/>
                <w:lang w:val="en-US" w:eastAsia="zh-CN"/>
              </w:rPr>
              <w:t>24</w:t>
            </w:r>
            <w:r>
              <w:rPr>
                <w:rFonts w:hint="eastAsia" w:ascii="仿宋" w:hAnsi="仿宋" w:eastAsia="仿宋" w:cs="仿宋"/>
                <w:bCs/>
                <w:color w:val="000000"/>
                <w:sz w:val="24"/>
                <w:szCs w:val="24"/>
              </w:rPr>
              <w:t>小时内送达</w:t>
            </w:r>
          </w:p>
        </w:tc>
        <w:tc>
          <w:tcPr>
            <w:tcW w:w="301"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071" w:type="pct"/>
            <w:gridSpan w:val="4"/>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rPr>
              <w:t>所供产品质保期为交付验收合格后 6 个月（或产品标注的保质期，以较长者为准），质保期内产品出现质量问题（非甲方储存或使用不当导致），供方应免费更换并承担相关费用。</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9"/>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33335897"/>
      <w:bookmarkStart w:id="21" w:name="_Toc116850266"/>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79EE3008-2C21-4CA7-99A9-E8FEE2706BFA}"/>
  </w:font>
  <w:font w:name="宋体">
    <w:panose1 w:val="02010600030101010101"/>
    <w:charset w:val="7A"/>
    <w:family w:val="auto"/>
    <w:pitch w:val="default"/>
    <w:sig w:usb0="00000203" w:usb1="288F0000" w:usb2="00000006" w:usb3="00000000" w:csb0="00040001" w:csb1="00000000"/>
    <w:embedRegular r:id="rId2" w:fontKey="{7EF0CF76-DA2F-4D7F-BDD3-1A16A60C1AE9}"/>
  </w:font>
  <w:font w:name="Wingdings">
    <w:panose1 w:val="05000000000000000000"/>
    <w:charset w:val="02"/>
    <w:family w:val="auto"/>
    <w:pitch w:val="default"/>
    <w:sig w:usb0="00000000" w:usb1="00000000" w:usb2="00000000" w:usb3="00000000" w:csb0="80000000" w:csb1="00000000"/>
    <w:embedRegular r:id="rId3" w:fontKey="{21799391-DC84-4E78-B902-330BB1D52ED2}"/>
  </w:font>
  <w:font w:name="Arial">
    <w:panose1 w:val="020B0604020202020204"/>
    <w:charset w:val="01"/>
    <w:family w:val="swiss"/>
    <w:pitch w:val="default"/>
    <w:sig w:usb0="E0002EFF" w:usb1="C000785B" w:usb2="00000009" w:usb3="00000000" w:csb0="400001FF" w:csb1="FFFF0000"/>
    <w:embedRegular r:id="rId4" w:fontKey="{3B76E266-1F5F-46F5-B2DE-19B9717C5F67}"/>
  </w:font>
  <w:font w:name="黑体">
    <w:panose1 w:val="02010609060101010101"/>
    <w:charset w:val="86"/>
    <w:family w:val="auto"/>
    <w:pitch w:val="default"/>
    <w:sig w:usb0="800002BF" w:usb1="38CF7CFA" w:usb2="00000016" w:usb3="00000000" w:csb0="00040001" w:csb1="00000000"/>
    <w:embedRegular r:id="rId5" w:fontKey="{F83BFCAE-E21A-4B0F-8695-F069B1650836}"/>
  </w:font>
  <w:font w:name="Courier New">
    <w:panose1 w:val="02070309020205020404"/>
    <w:charset w:val="01"/>
    <w:family w:val="modern"/>
    <w:pitch w:val="default"/>
    <w:sig w:usb0="E0002EFF" w:usb1="C0007843" w:usb2="00000009" w:usb3="00000000" w:csb0="400001FF" w:csb1="FFFF0000"/>
    <w:embedRegular r:id="rId6" w:fontKey="{8DCB99CE-F40E-4F83-A292-CED4C401B4D4}"/>
  </w:font>
  <w:font w:name="Symbol">
    <w:panose1 w:val="05050102010706020507"/>
    <w:charset w:val="02"/>
    <w:family w:val="roman"/>
    <w:pitch w:val="default"/>
    <w:sig w:usb0="00000000" w:usb1="00000000" w:usb2="00000000" w:usb3="00000000" w:csb0="80000000" w:csb1="00000000"/>
    <w:embedRegular r:id="rId7" w:fontKey="{E1ADFCA1-C618-440C-8224-86F7EEE842DB}"/>
  </w:font>
  <w:font w:name="Calibri">
    <w:panose1 w:val="020F0502020204030204"/>
    <w:charset w:val="00"/>
    <w:family w:val="swiss"/>
    <w:pitch w:val="default"/>
    <w:sig w:usb0="E4002EFF" w:usb1="C200247B" w:usb2="00000009" w:usb3="00000000" w:csb0="200001FF" w:csb1="00000000"/>
    <w:embedRegular r:id="rId8" w:fontKey="{004B20AA-26F7-4489-8689-88B98C06ECCC}"/>
  </w:font>
  <w:font w:name="Calibri Light">
    <w:panose1 w:val="020F0302020204030204"/>
    <w:charset w:val="00"/>
    <w:family w:val="swiss"/>
    <w:pitch w:val="default"/>
    <w:sig w:usb0="E4002EFF" w:usb1="C200247B" w:usb2="00000009" w:usb3="00000000" w:csb0="200001FF" w:csb1="00000000"/>
    <w:embedRegular r:id="rId9" w:fontKey="{747E87C4-1A8A-47CC-94D1-E3A909AA0C62}"/>
  </w:font>
  <w:font w:name="Cambria">
    <w:panose1 w:val="02040503050406030204"/>
    <w:charset w:val="00"/>
    <w:family w:val="roman"/>
    <w:pitch w:val="default"/>
    <w:sig w:usb0="E00006FF" w:usb1="420024FF" w:usb2="02000000" w:usb3="00000000" w:csb0="2000019F" w:csb1="00000000"/>
    <w:embedRegular r:id="rId10" w:fontKey="{9E69DDEA-9A6D-40F3-A283-BCCA149645C6}"/>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CB4CF6C0-B713-4D33-966A-BD27DA364E8D}"/>
  </w:font>
  <w:font w:name="方正小标宋简体">
    <w:panose1 w:val="02010600010101010101"/>
    <w:charset w:val="86"/>
    <w:family w:val="auto"/>
    <w:pitch w:val="default"/>
    <w:sig w:usb0="00000001" w:usb1="080E0000" w:usb2="00000000" w:usb3="00000000" w:csb0="00040000" w:csb1="00000000"/>
    <w:embedRegular r:id="rId12" w:fontKey="{4ED92175-B995-4066-8F73-8220985F07EE}"/>
  </w:font>
  <w:font w:name="长城小">
    <w:altName w:val="宋体"/>
    <w:panose1 w:val="00000000000000000000"/>
    <w:charset w:val="86"/>
    <w:family w:val="modern"/>
    <w:pitch w:val="default"/>
    <w:sig w:usb0="00000000" w:usb1="00000000" w:usb2="00000000" w:usb3="00000000" w:csb0="00040001" w:csb1="00000000"/>
    <w:embedRegular r:id="rId13" w:fontKey="{F7E0A2FE-190F-46D2-BE85-6616987931EA}"/>
  </w:font>
  <w:font w:name="长城小标宋体">
    <w:altName w:val="宋体"/>
    <w:panose1 w:val="00000000000000000000"/>
    <w:charset w:val="86"/>
    <w:family w:val="auto"/>
    <w:pitch w:val="default"/>
    <w:sig w:usb0="00000000" w:usb1="00000000" w:usb2="00000000" w:usb3="00000000" w:csb0="00000000" w:csb1="00000000"/>
    <w:embedRegular r:id="rId14" w:fontKey="{1BF081C8-4075-465F-95DB-4C59120B1545}"/>
  </w:font>
  <w:font w:name="仿宋">
    <w:panose1 w:val="02010609060101010101"/>
    <w:charset w:val="86"/>
    <w:family w:val="modern"/>
    <w:pitch w:val="default"/>
    <w:sig w:usb0="800002BF" w:usb1="38CF7CFA" w:usb2="00000016" w:usb3="00000000" w:csb0="00040001" w:csb1="00000000"/>
    <w:embedRegular r:id="rId15" w:fontKey="{8B0ADDBF-8491-4291-A186-3BC39D85CECF}"/>
  </w:font>
  <w:font w:name="微软雅黑">
    <w:panose1 w:val="020B0503020204020204"/>
    <w:charset w:val="86"/>
    <w:family w:val="swiss"/>
    <w:pitch w:val="default"/>
    <w:sig w:usb0="80000287" w:usb1="2ACF3C50" w:usb2="00000016" w:usb3="00000000" w:csb0="0004001F" w:csb1="00000000"/>
    <w:embedRegular r:id="rId16" w:fontKey="{BD8052F6-E290-43EE-8FF7-02935BE6C843}"/>
  </w:font>
  <w:font w:name="Times New Roman Regular">
    <w:altName w:val="Times New Roman"/>
    <w:panose1 w:val="00000000000000000000"/>
    <w:charset w:val="00"/>
    <w:family w:val="auto"/>
    <w:pitch w:val="default"/>
    <w:sig w:usb0="00000000" w:usb1="00000000" w:usb2="00000009" w:usb3="00000000" w:csb0="400001FF" w:csb1="FFFF0000"/>
    <w:embedRegular r:id="rId17" w:fontKey="{24E202B4-4514-4C5B-B286-BC775404CA0F}"/>
  </w:font>
  <w:font w:name="Wingdings 2">
    <w:panose1 w:val="05020102010507070707"/>
    <w:charset w:val="02"/>
    <w:family w:val="roman"/>
    <w:pitch w:val="default"/>
    <w:sig w:usb0="00000000" w:usb1="00000000" w:usb2="00000000" w:usb3="00000000" w:csb0="80000000" w:csb1="00000000"/>
    <w:embedRegular r:id="rId18" w:fontKey="{C510601C-4CCF-41C8-81FA-5EF2ED544311}"/>
  </w:font>
  <w:font w:name="WPSEMBED1">
    <w:panose1 w:val="02010609030101010101"/>
    <w:charset w:val="86"/>
    <w:family w:val="auto"/>
    <w:pitch w:val="default"/>
    <w:sig w:usb0="00000001" w:usb1="080E0000" w:usb2="00000000" w:usb3="00000000" w:csb0="00040000" w:csb1="00000000"/>
  </w:font>
  <w:font w:name="WPSEMBED2">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D413E4"/>
    <w:rsid w:val="01E3718B"/>
    <w:rsid w:val="01EC2C5A"/>
    <w:rsid w:val="02185A90"/>
    <w:rsid w:val="0223163F"/>
    <w:rsid w:val="034A3564"/>
    <w:rsid w:val="035C5045"/>
    <w:rsid w:val="03795884"/>
    <w:rsid w:val="03966FA9"/>
    <w:rsid w:val="03D9246C"/>
    <w:rsid w:val="042F1227"/>
    <w:rsid w:val="04A20595"/>
    <w:rsid w:val="05754E07"/>
    <w:rsid w:val="059211F2"/>
    <w:rsid w:val="06710406"/>
    <w:rsid w:val="06A51204"/>
    <w:rsid w:val="06D473AA"/>
    <w:rsid w:val="06F9F432"/>
    <w:rsid w:val="07480E14"/>
    <w:rsid w:val="079756C5"/>
    <w:rsid w:val="08244108"/>
    <w:rsid w:val="08420CAE"/>
    <w:rsid w:val="084A1910"/>
    <w:rsid w:val="090F0777"/>
    <w:rsid w:val="0A363213"/>
    <w:rsid w:val="0A64315D"/>
    <w:rsid w:val="0A886720"/>
    <w:rsid w:val="0AA1428C"/>
    <w:rsid w:val="0AD251DE"/>
    <w:rsid w:val="0B0E30C9"/>
    <w:rsid w:val="0CD00C0D"/>
    <w:rsid w:val="0D7F8C1E"/>
    <w:rsid w:val="0D887163"/>
    <w:rsid w:val="0D970DF6"/>
    <w:rsid w:val="0D9E3895"/>
    <w:rsid w:val="0DAFDDD2"/>
    <w:rsid w:val="0E4211FE"/>
    <w:rsid w:val="0EE17277"/>
    <w:rsid w:val="0EF32F07"/>
    <w:rsid w:val="0FD61205"/>
    <w:rsid w:val="1097590F"/>
    <w:rsid w:val="10C42B13"/>
    <w:rsid w:val="10DD77C5"/>
    <w:rsid w:val="10E7084B"/>
    <w:rsid w:val="10F22522"/>
    <w:rsid w:val="11C42C96"/>
    <w:rsid w:val="12855EB3"/>
    <w:rsid w:val="132A0CBC"/>
    <w:rsid w:val="134E717A"/>
    <w:rsid w:val="135D7FEE"/>
    <w:rsid w:val="13AFEC81"/>
    <w:rsid w:val="15161207"/>
    <w:rsid w:val="1595726D"/>
    <w:rsid w:val="166564D0"/>
    <w:rsid w:val="16D57CE5"/>
    <w:rsid w:val="172377DF"/>
    <w:rsid w:val="185C5D2A"/>
    <w:rsid w:val="18AC73A6"/>
    <w:rsid w:val="18CD7911"/>
    <w:rsid w:val="193948C5"/>
    <w:rsid w:val="195F2D42"/>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63F7A"/>
    <w:rsid w:val="1F0F1A56"/>
    <w:rsid w:val="1F7F9C30"/>
    <w:rsid w:val="1FA372AD"/>
    <w:rsid w:val="1FB39FF7"/>
    <w:rsid w:val="1FB54372"/>
    <w:rsid w:val="1FEC089C"/>
    <w:rsid w:val="1FFF4E3F"/>
    <w:rsid w:val="20077A2D"/>
    <w:rsid w:val="201B3E66"/>
    <w:rsid w:val="2089134F"/>
    <w:rsid w:val="208923CA"/>
    <w:rsid w:val="20AB0E9C"/>
    <w:rsid w:val="212271A1"/>
    <w:rsid w:val="22AC2486"/>
    <w:rsid w:val="23845F84"/>
    <w:rsid w:val="23884315"/>
    <w:rsid w:val="247022A7"/>
    <w:rsid w:val="24B95082"/>
    <w:rsid w:val="24C1046C"/>
    <w:rsid w:val="257FF5EF"/>
    <w:rsid w:val="26DC0652"/>
    <w:rsid w:val="274C2B57"/>
    <w:rsid w:val="27BED872"/>
    <w:rsid w:val="27C81105"/>
    <w:rsid w:val="282C7982"/>
    <w:rsid w:val="28AF13DB"/>
    <w:rsid w:val="28F434A6"/>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7015DD"/>
    <w:rsid w:val="30BF60A9"/>
    <w:rsid w:val="30EE09A0"/>
    <w:rsid w:val="314945C0"/>
    <w:rsid w:val="31780B7B"/>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FEEEDA"/>
    <w:rsid w:val="380C2D0A"/>
    <w:rsid w:val="387A052E"/>
    <w:rsid w:val="387C5D6A"/>
    <w:rsid w:val="391FB7C6"/>
    <w:rsid w:val="3956852C"/>
    <w:rsid w:val="397D4866"/>
    <w:rsid w:val="39A6786D"/>
    <w:rsid w:val="39DE4D7B"/>
    <w:rsid w:val="3A350518"/>
    <w:rsid w:val="3A385B75"/>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CE31410"/>
    <w:rsid w:val="3D3954D4"/>
    <w:rsid w:val="3D6C951B"/>
    <w:rsid w:val="3DB56025"/>
    <w:rsid w:val="3DF450EA"/>
    <w:rsid w:val="3DFF524D"/>
    <w:rsid w:val="3DFF7079"/>
    <w:rsid w:val="3DFFBEE7"/>
    <w:rsid w:val="3E307A40"/>
    <w:rsid w:val="3EA7FE48"/>
    <w:rsid w:val="3EF86484"/>
    <w:rsid w:val="3EFBCAFF"/>
    <w:rsid w:val="3EFFC981"/>
    <w:rsid w:val="3F5A26DD"/>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D81C53"/>
    <w:rsid w:val="477F8B44"/>
    <w:rsid w:val="48290A2B"/>
    <w:rsid w:val="4851744E"/>
    <w:rsid w:val="48D84455"/>
    <w:rsid w:val="48E45A97"/>
    <w:rsid w:val="49973E4D"/>
    <w:rsid w:val="499B1895"/>
    <w:rsid w:val="49C317F9"/>
    <w:rsid w:val="4ACDDF1D"/>
    <w:rsid w:val="4AFC0007"/>
    <w:rsid w:val="4B5E27AD"/>
    <w:rsid w:val="4B7C0820"/>
    <w:rsid w:val="4BBA3990"/>
    <w:rsid w:val="4BBE0EDA"/>
    <w:rsid w:val="4BF003C7"/>
    <w:rsid w:val="4BFC5307"/>
    <w:rsid w:val="4C7C718B"/>
    <w:rsid w:val="4C8F4F48"/>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B07B8F"/>
    <w:rsid w:val="52FF1484"/>
    <w:rsid w:val="53164D13"/>
    <w:rsid w:val="53F36D01"/>
    <w:rsid w:val="53FD523A"/>
    <w:rsid w:val="541C1980"/>
    <w:rsid w:val="545C420A"/>
    <w:rsid w:val="547B516E"/>
    <w:rsid w:val="54DE7F5F"/>
    <w:rsid w:val="54EA33D7"/>
    <w:rsid w:val="55091CB9"/>
    <w:rsid w:val="551D5A57"/>
    <w:rsid w:val="55214149"/>
    <w:rsid w:val="557F0F30"/>
    <w:rsid w:val="559E5CE3"/>
    <w:rsid w:val="56725AB1"/>
    <w:rsid w:val="56B12911"/>
    <w:rsid w:val="56DD8954"/>
    <w:rsid w:val="575E74A5"/>
    <w:rsid w:val="57831D16"/>
    <w:rsid w:val="57AFC3C2"/>
    <w:rsid w:val="57CC5C5D"/>
    <w:rsid w:val="584D6CAB"/>
    <w:rsid w:val="58B21AB7"/>
    <w:rsid w:val="59632793"/>
    <w:rsid w:val="599107AF"/>
    <w:rsid w:val="59B3044E"/>
    <w:rsid w:val="59FF3A15"/>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2B35195"/>
    <w:rsid w:val="63375F1A"/>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945DEA"/>
    <w:rsid w:val="67E07000"/>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E7364E"/>
    <w:rsid w:val="6DED7F0C"/>
    <w:rsid w:val="6DF8FC16"/>
    <w:rsid w:val="6DFAD7F2"/>
    <w:rsid w:val="6DFE24B9"/>
    <w:rsid w:val="6E8F2635"/>
    <w:rsid w:val="6E9C573F"/>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D3FAB0"/>
    <w:rsid w:val="72035AD5"/>
    <w:rsid w:val="72303D87"/>
    <w:rsid w:val="736234E5"/>
    <w:rsid w:val="73966983"/>
    <w:rsid w:val="73BC23E0"/>
    <w:rsid w:val="73EFA308"/>
    <w:rsid w:val="74FE750A"/>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40316B"/>
    <w:rsid w:val="79BB9841"/>
    <w:rsid w:val="79DF1FD7"/>
    <w:rsid w:val="7A20571A"/>
    <w:rsid w:val="7A5F0597"/>
    <w:rsid w:val="7A801888"/>
    <w:rsid w:val="7A950461"/>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10945</Words>
  <Characters>11428</Characters>
  <Lines>12</Lines>
  <Paragraphs>23</Paragraphs>
  <TotalTime>9</TotalTime>
  <ScaleCrop>false</ScaleCrop>
  <LinksUpToDate>false</LinksUpToDate>
  <CharactersWithSpaces>12004</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魚</cp:lastModifiedBy>
  <cp:lastPrinted>2025-09-08T11:03:00Z</cp:lastPrinted>
  <dcterms:modified xsi:type="dcterms:W3CDTF">2026-02-04T11:42:05Z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B05DC8C69E884B949458EE84B707C360_13</vt:lpwstr>
  </property>
  <property fmtid="{D5CDD505-2E9C-101B-9397-08002B2CF9AE}" pid="4" name="KSOTemplateDocerSaveRecord">
    <vt:lpwstr>eyJoZGlkIjoiZjFlMWRlZmI5YTI2MDdiYmVhNmZjZDM3NGIwOTU2ZmIiLCJ1c2VySWQiOiI0MDU5ODg2MzMifQ==</vt:lpwstr>
  </property>
</Properties>
</file>