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液体次氯酸钠采购项目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液体次氯酸钠采购项目</w:t>
      </w:r>
      <w:r>
        <w:rPr>
          <w:rFonts w:hint="eastAsia" w:ascii="仿宋_GB2312" w:hAnsi="仿宋_GB2312" w:eastAsia="仿宋_GB2312" w:cs="仿宋_GB2312"/>
          <w:bCs/>
          <w:color w:val="000000"/>
          <w:sz w:val="28"/>
          <w:szCs w:val="28"/>
        </w:rPr>
        <w:t>。</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5"/>
        <w:gridCol w:w="1127"/>
        <w:gridCol w:w="1893"/>
        <w:gridCol w:w="694"/>
        <w:gridCol w:w="1069"/>
        <w:gridCol w:w="1275"/>
        <w:gridCol w:w="956"/>
        <w:gridCol w:w="1316"/>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28"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632"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1061"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389"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99"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15"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36"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738"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28"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632" w:type="pct"/>
            <w:noWrap w:val="0"/>
            <w:vAlign w:val="center"/>
          </w:tcPr>
          <w:p w14:paraId="20BBD36F">
            <w:pPr>
              <w:pStyle w:val="58"/>
              <w:autoSpaceDE w:val="0"/>
              <w:autoSpaceDN w:val="0"/>
              <w:adjustRightInd w:val="0"/>
              <w:snapToGrid w:val="0"/>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液体次氯酸钠</w:t>
            </w:r>
          </w:p>
        </w:tc>
        <w:tc>
          <w:tcPr>
            <w:tcW w:w="1061" w:type="pct"/>
            <w:noWrap w:val="0"/>
            <w:vAlign w:val="center"/>
          </w:tcPr>
          <w:p w14:paraId="6864DD9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sz w:val="24"/>
                <w:szCs w:val="24"/>
              </w:rPr>
            </w:pPr>
            <w:r>
              <w:rPr>
                <w:rFonts w:hint="eastAsia" w:ascii="仿宋" w:hAnsi="仿宋" w:eastAsia="仿宋" w:cs="仿宋"/>
                <w:color w:val="333333"/>
                <w:sz w:val="24"/>
                <w:szCs w:val="24"/>
                <w:shd w:val="clear" w:color="auto" w:fill="FFFFFF"/>
                <w:lang w:eastAsia="zh-CN"/>
              </w:rPr>
              <w:t>有效氯≥10%。重金属（以Pb计）含量≤10mg/L；铁（以Fe计）含量≤50mg/L</w:t>
            </w:r>
          </w:p>
        </w:tc>
        <w:tc>
          <w:tcPr>
            <w:tcW w:w="389"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99"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88</w:t>
            </w:r>
          </w:p>
        </w:tc>
        <w:tc>
          <w:tcPr>
            <w:tcW w:w="715" w:type="pct"/>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850</w:t>
            </w:r>
          </w:p>
        </w:tc>
        <w:tc>
          <w:tcPr>
            <w:tcW w:w="536" w:type="pct"/>
            <w:noWrap w:val="0"/>
            <w:vAlign w:val="center"/>
          </w:tcPr>
          <w:p w14:paraId="68458E42">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揭阳市榕城区甲方指定地点</w:t>
            </w:r>
          </w:p>
        </w:tc>
        <w:tc>
          <w:tcPr>
            <w:tcW w:w="738"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sz w:val="24"/>
                <w:szCs w:val="24"/>
                <w:lang w:val="en-US" w:eastAsia="zh-CN"/>
              </w:rPr>
            </w:pPr>
            <w:r>
              <w:rPr>
                <w:rFonts w:hint="default" w:ascii="仿宋" w:hAnsi="仿宋" w:eastAsia="仿宋" w:cs="仿宋"/>
                <w:sz w:val="24"/>
                <w:szCs w:val="24"/>
                <w:lang w:val="en-US" w:eastAsia="zh-CN"/>
              </w:rPr>
              <w:t>采购数量为</w:t>
            </w:r>
            <w:r>
              <w:rPr>
                <w:rFonts w:hint="eastAsia" w:ascii="仿宋" w:hAnsi="仿宋" w:eastAsia="仿宋" w:cs="仿宋"/>
                <w:sz w:val="24"/>
                <w:szCs w:val="24"/>
                <w:lang w:val="en-US" w:eastAsia="zh-CN"/>
              </w:rPr>
              <w:t>暂估量</w:t>
            </w:r>
            <w:r>
              <w:rPr>
                <w:rFonts w:hint="default" w:ascii="仿宋" w:hAnsi="仿宋" w:eastAsia="仿宋" w:cs="仿宋"/>
                <w:sz w:val="24"/>
                <w:szCs w:val="24"/>
                <w:lang w:val="en-US" w:eastAsia="zh-CN"/>
              </w:rPr>
              <w:t>，具体以实际采购为准</w:t>
            </w:r>
            <w:r>
              <w:rPr>
                <w:rFonts w:hint="eastAsia" w:ascii="仿宋" w:hAnsi="仿宋" w:eastAsia="仿宋" w:cs="仿宋"/>
                <w:sz w:val="24"/>
                <w:szCs w:val="24"/>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一年</w:t>
      </w:r>
      <w:r>
        <w:rPr>
          <w:rFonts w:hint="eastAsia" w:ascii="Times New Roman" w:hAnsi="Times New Roman" w:eastAsia="仿宋_GB2312"/>
          <w:bCs/>
          <w:color w:val="000000"/>
          <w:sz w:val="28"/>
          <w:szCs w:val="28"/>
        </w:rPr>
        <w:t>，具体起止时间以合同签订为准。合同期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lang w:val="en-US" w:eastAsia="zh-CN"/>
        </w:rPr>
        <w:t>48</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lang w:val="en-US" w:eastAsia="zh-CN"/>
        </w:rPr>
        <w:t>24</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572B9100">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四）质保期：所供产品质保期为交付验收合格后 6 个月（或产品标注的保质期，以较长者为准），质保期内产品出现质量问题（非甲方储存或使用不当导致），供方应免费更换并承担相关费用。</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val="0"/>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val="0"/>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参选单位必须具备危险化学品经营许可。（证明材料:提供危险化学品经营许可证复印件及附页，证件须在有效期内，并加盖参选单位公章、业务章或合同章（三选一））。</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、危险化学品经营许可证复印件及附页</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液体次氯酸钠采购项目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850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2</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4</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液体次氯酸钠</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液体次氯酸钠采购项目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val="en-US" w:eastAsia="zh-CN"/>
        </w:rPr>
        <w:t>液体次氯酸钠</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19103"/>
      <w:bookmarkStart w:id="11" w:name="_Toc201401643"/>
      <w:bookmarkStart w:id="12" w:name="_Toc201743099"/>
      <w:bookmarkStart w:id="13" w:name="_Toc199215763"/>
      <w:bookmarkStart w:id="14" w:name="_Toc199213728"/>
      <w:bookmarkStart w:id="15" w:name="_Toc201742844"/>
      <w:bookmarkStart w:id="16" w:name="_Toc201997927"/>
      <w:bookmarkStart w:id="17" w:name="_Toc199215931"/>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w:t>
      </w:r>
      <w:r>
        <w:rPr>
          <w:rFonts w:hint="eastAsia" w:ascii="宋体" w:hAnsi="宋体" w:cs="宋体"/>
          <w:u w:val="single"/>
          <w:lang w:val="en-US" w:eastAsia="zh-CN"/>
        </w:rPr>
        <w:t>0</w:t>
      </w:r>
      <w:r>
        <w:rPr>
          <w:rFonts w:hint="eastAsia" w:ascii="宋体" w:hAnsi="宋体" w:cs="宋体"/>
          <w:u w:val="single"/>
        </w:rPr>
        <w:t>日</w:t>
      </w:r>
      <w:r>
        <w:rPr>
          <w:rFonts w:hint="eastAsia" w:ascii="宋体" w:hAnsi="宋体" w:cs="宋体"/>
        </w:rPr>
        <w:t>核对</w:t>
      </w:r>
      <w:r>
        <w:rPr>
          <w:rFonts w:hint="eastAsia" w:ascii="宋体" w:hAnsi="宋体" w:cs="宋体"/>
          <w:lang w:val="en-US" w:eastAsia="zh-CN"/>
        </w:rPr>
        <w:t>月度</w:t>
      </w:r>
      <w:r>
        <w:rPr>
          <w:rFonts w:hint="eastAsia" w:ascii="宋体" w:hAnsi="宋体" w:cs="宋体"/>
        </w:rPr>
        <w:t>验收合格的产品采购数量及价款</w:t>
      </w:r>
      <w:r>
        <w:rPr>
          <w:rFonts w:hint="eastAsia" w:ascii="宋体" w:hAnsi="宋体" w:cs="宋体"/>
          <w:bCs/>
          <w:color w:val="000000"/>
        </w:rPr>
        <w:t>，中选人提供费用付款申请、经双方验收核对无误的证明文件及国家税务正式的13%增值税专用发票至采购人，经采购人审核通过后提交付款流程。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 xml:space="preserve">日内送达，紧急情况下【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揭阳市榕城区甲方指定地点。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xml:space="preserve">【 </w:t>
      </w:r>
      <w:r>
        <w:rPr>
          <w:rFonts w:hint="eastAsia" w:ascii="Times New Roman Regular" w:hAnsi="Times New Roman Regular" w:cs="Times New Roman Regular"/>
          <w:lang w:val="en-US" w:eastAsia="zh-CN"/>
        </w:rPr>
        <w:t>24</w:t>
      </w:r>
      <w:r>
        <w:rPr>
          <w:rFonts w:hint="eastAsia" w:ascii="Times New Roman Regular" w:hAnsi="Times New Roman Regular" w:cs="Times New Roman Regular"/>
        </w:rPr>
        <w:t xml:space="preserve">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xml:space="preserve">【 </w:t>
      </w:r>
      <w:r>
        <w:rPr>
          <w:rFonts w:hint="eastAsia" w:ascii="宋体" w:hAnsi="宋体" w:cs="宋体"/>
          <w:lang w:val="en-US" w:eastAsia="zh-CN"/>
        </w:rPr>
        <w:t>2</w:t>
      </w:r>
      <w:r>
        <w:rPr>
          <w:rFonts w:hint="eastAsia" w:ascii="宋体" w:hAnsi="宋体" w:cs="宋体"/>
        </w:rPr>
        <w:t xml:space="preserve"> 】</w:t>
      </w:r>
      <w:r>
        <w:rPr>
          <w:rFonts w:hint="eastAsia" w:ascii="宋体" w:hAnsi="宋体" w:cs="宋体"/>
          <w:lang w:eastAsia="zh-Hans"/>
        </w:rPr>
        <w:t xml:space="preserve">天(即 </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 xml:space="preserve">（紧急情况下，提前【 </w:t>
      </w:r>
      <w:r>
        <w:rPr>
          <w:rFonts w:hint="eastAsia" w:ascii="宋体" w:hAnsi="宋体" w:cs="宋体"/>
          <w:lang w:val="en-US" w:eastAsia="zh-CN"/>
        </w:rPr>
        <w:t>24</w:t>
      </w:r>
      <w:r>
        <w:rPr>
          <w:rFonts w:hint="eastAsia" w:ascii="宋体" w:hAnsi="宋体" w:cs="宋体"/>
        </w:rPr>
        <w:t xml:space="preserve">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2500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1A6D357D">
      <w:pPr>
        <w:pStyle w:val="68"/>
        <w:spacing w:line="360" w:lineRule="auto"/>
        <w:ind w:firstLine="480"/>
        <w:rPr>
          <w:rFonts w:hint="eastAsia" w:ascii="Times New Roman Regular" w:hAnsi="Times New Roman Regular" w:cs="Times New Roman Regular"/>
          <w:lang w:eastAsia="zh-Hans"/>
        </w:rPr>
      </w:pPr>
      <w:r>
        <w:rPr>
          <w:rFonts w:hint="eastAsia" w:ascii="Times New Roman Regular" w:hAnsi="Times New Roman Regular" w:cs="Times New Roman Regular"/>
          <w:lang w:val="en-US" w:eastAsia="zh-CN"/>
        </w:rPr>
        <w:t>乙方</w:t>
      </w:r>
      <w:r>
        <w:rPr>
          <w:rFonts w:hint="eastAsia" w:ascii="Times New Roman Regular" w:hAnsi="Times New Roman Regular" w:cs="Times New Roman Regular"/>
          <w:lang w:eastAsia="zh-Hans"/>
        </w:rPr>
        <w:t>所供产品质保期为交付验收合格后 6 个月（或产品标注的保质期，以较长者为准），质保期内产品出现质量问题（非甲方储存或使用不当导致），乙方应免费更换并承担相关费用。</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液体次氯酸钠</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190"/>
        <w:gridCol w:w="2271"/>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685"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308"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685"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val="en-US" w:eastAsia="zh-CN"/>
              </w:rPr>
              <w:t>液体次氯酸钠</w:t>
            </w:r>
          </w:p>
        </w:tc>
        <w:tc>
          <w:tcPr>
            <w:tcW w:w="1308" w:type="pct"/>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both"/>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有效氯≥10%。重金属（以Pb计）含量≤10mg/L；铁（以Fe计）含量≤50mg/L</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2302"/>
        <w:gridCol w:w="2665"/>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326"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535"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液体次氯酸钠</w:t>
            </w:r>
          </w:p>
        </w:tc>
        <w:tc>
          <w:tcPr>
            <w:tcW w:w="1207" w:type="pct"/>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sz w:val="24"/>
                <w:szCs w:val="24"/>
                <w:lang w:val="en-US" w:eastAsia="zh-CN"/>
              </w:rPr>
              <w:t>GB/T 19106-2013</w:t>
            </w:r>
          </w:p>
        </w:tc>
        <w:tc>
          <w:tcPr>
            <w:tcW w:w="1326" w:type="pct"/>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b w:val="0"/>
                <w:bCs w:val="0"/>
                <w:sz w:val="24"/>
                <w:szCs w:val="24"/>
              </w:rPr>
              <w:t>有效氯≥10%</w:t>
            </w:r>
          </w:p>
        </w:tc>
        <w:tc>
          <w:tcPr>
            <w:tcW w:w="1535" w:type="pct"/>
            <w:vAlign w:val="center"/>
          </w:tcPr>
          <w:p w14:paraId="303EF30D">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重金属（以Pb计）含量≤10mg/L；</w:t>
            </w:r>
          </w:p>
          <w:p w14:paraId="3FDBC6F9">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铁（以Fe计）含量≤50mg/L</w:t>
            </w: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液体次氯酸钠采购项目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液体次氯酸钠采购项目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液体次氯酸钠采购项目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2</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液体次氯酸钠采购项目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0A0DCA9C">
      <w:pPr>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05CD1B52">
      <w:pPr>
        <w:pStyle w:val="4"/>
        <w:spacing w:afterLines="0" w:line="240" w:lineRule="auto"/>
        <w:jc w:val="left"/>
        <w:rPr>
          <w:rFonts w:hint="eastAsia" w:ascii="仿宋" w:hAnsi="仿宋" w:eastAsia="仿宋" w:cs="仿宋"/>
          <w:b/>
          <w:bCs/>
          <w:color w:val="000000"/>
          <w:sz w:val="24"/>
          <w:lang w:bidi="ar"/>
        </w:rPr>
      </w:pPr>
      <w:r>
        <w:rPr>
          <w:rFonts w:hint="eastAsia" w:ascii="仿宋" w:hAnsi="仿宋" w:eastAsia="仿宋" w:cs="宋体"/>
          <w:color w:val="000000"/>
          <w:sz w:val="24"/>
          <w:szCs w:val="21"/>
        </w:rPr>
        <mc:AlternateContent>
          <mc:Choice Requires="wps">
            <w:drawing>
              <wp:anchor distT="0" distB="0" distL="114300" distR="114300" simplePos="0" relativeHeight="251665408"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7B43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5408;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717B43DB">
                      <w:pPr>
                        <w:spacing w:after="78"/>
                      </w:pPr>
                    </w:p>
                  </w:txbxContent>
                </v:textbox>
              </v:shape>
            </w:pict>
          </mc:Fallback>
        </mc:AlternateContent>
      </w:r>
      <w:r>
        <w:rPr>
          <w:rFonts w:hint="eastAsia" w:ascii="仿宋" w:hAnsi="仿宋" w:eastAsia="仿宋" w:cs="宋体"/>
          <w:color w:val="000000"/>
          <w:sz w:val="24"/>
          <w:szCs w:val="21"/>
        </w:rPr>
        <w:t>危险化学品经营许可证</w:t>
      </w:r>
      <w:r>
        <w:rPr>
          <w:rFonts w:hint="eastAsia" w:ascii="仿宋" w:hAnsi="仿宋" w:eastAsia="仿宋" w:cs="宋体"/>
          <w:color w:val="000000"/>
          <w:sz w:val="24"/>
          <w:szCs w:val="21"/>
          <w:highlight w:val="yellow"/>
          <w:lang w:val="en-US" w:eastAsia="zh-CN"/>
        </w:rPr>
        <w:t>及附页</w:t>
      </w:r>
      <w:r>
        <w:rPr>
          <w:rFonts w:hint="eastAsia" w:ascii="仿宋" w:hAnsi="仿宋" w:eastAsia="仿宋" w:cs="宋体"/>
          <w:color w:val="000000"/>
          <w:sz w:val="24"/>
          <w:szCs w:val="21"/>
          <w:highlight w:val="yellow"/>
        </w:rPr>
        <w:t>（盖章</w:t>
      </w:r>
      <w:r>
        <w:rPr>
          <w:rFonts w:hint="eastAsia" w:ascii="仿宋" w:hAnsi="仿宋" w:eastAsia="仿宋" w:cs="宋体"/>
          <w:color w:val="000000"/>
          <w:sz w:val="24"/>
          <w:szCs w:val="21"/>
          <w:highlight w:val="yellow"/>
          <w:lang w:eastAsia="zh-CN"/>
        </w:rPr>
        <w:t>）</w:t>
      </w: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液体次氯酸钠采购项目</w:t>
      </w:r>
      <w:r>
        <w:rPr>
          <w:rFonts w:hint="eastAsia" w:ascii="仿宋" w:hAnsi="仿宋" w:eastAsia="仿宋"/>
          <w:b/>
          <w:bCs/>
          <w:kern w:val="0"/>
          <w:sz w:val="24"/>
        </w:rPr>
        <w:t>报价一览表</w:t>
      </w:r>
    </w:p>
    <w:tbl>
      <w:tblPr>
        <w:tblStyle w:val="22"/>
        <w:tblpPr w:leftFromText="181" w:rightFromText="181" w:vertAnchor="text" w:horzAnchor="page" w:tblpXSpec="center" w:tblpY="58"/>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6"/>
        <w:gridCol w:w="1335"/>
        <w:gridCol w:w="1949"/>
        <w:gridCol w:w="626"/>
        <w:gridCol w:w="575"/>
        <w:gridCol w:w="854"/>
        <w:gridCol w:w="1465"/>
        <w:gridCol w:w="1221"/>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7"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322" w:type="pct"/>
            <w:gridSpan w:val="7"/>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液体次氯酸钠采购项目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7"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769"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47" w:type="pct"/>
            <w:gridSpan w:val="2"/>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1906"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77" w:type="pct"/>
            <w:vMerge w:val="continue"/>
            <w:vAlign w:val="center"/>
          </w:tcPr>
          <w:p w14:paraId="074635C1">
            <w:pPr>
              <w:spacing w:afterLines="0" w:line="300" w:lineRule="exact"/>
              <w:jc w:val="center"/>
              <w:rPr>
                <w:rFonts w:hint="eastAsia" w:ascii="仿宋" w:hAnsi="仿宋" w:eastAsia="仿宋"/>
                <w:sz w:val="24"/>
                <w:szCs w:val="24"/>
              </w:rPr>
            </w:pPr>
          </w:p>
        </w:tc>
        <w:tc>
          <w:tcPr>
            <w:tcW w:w="1769"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47" w:type="pct"/>
            <w:gridSpan w:val="2"/>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1906" w:type="pct"/>
            <w:gridSpan w:val="3"/>
            <w:vAlign w:val="center"/>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77"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769"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揭阳市榕城区甲方指定地点</w:t>
            </w:r>
          </w:p>
        </w:tc>
        <w:tc>
          <w:tcPr>
            <w:tcW w:w="647" w:type="pct"/>
            <w:gridSpan w:val="2"/>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1906" w:type="pct"/>
            <w:gridSpan w:val="3"/>
            <w:vAlign w:val="center"/>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8"/>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677"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9"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1049"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47" w:type="pct"/>
            <w:gridSpan w:val="2"/>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46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89"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656"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77"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9" w:type="pct"/>
            <w:vAlign w:val="center"/>
          </w:tcPr>
          <w:p w14:paraId="13C037BC">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液体</w:t>
            </w:r>
          </w:p>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次氯酸钠</w:t>
            </w:r>
          </w:p>
        </w:tc>
        <w:tc>
          <w:tcPr>
            <w:tcW w:w="1049"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有效氯≥10%。重金属（以Pb计）含量≤10mg/L；铁（以Fe计）含量≤50mg/L</w:t>
            </w:r>
          </w:p>
        </w:tc>
        <w:tc>
          <w:tcPr>
            <w:tcW w:w="647" w:type="pct"/>
            <w:gridSpan w:val="2"/>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46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89"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656"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77"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769"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47" w:type="pct"/>
            <w:gridSpan w:val="2"/>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906"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77"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322" w:type="pct"/>
            <w:gridSpan w:val="7"/>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77"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769"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w:t>
            </w:r>
            <w:r>
              <w:rPr>
                <w:rFonts w:hint="eastAsia" w:ascii="仿宋" w:hAnsi="仿宋" w:eastAsia="仿宋" w:cs="仿宋"/>
                <w:b/>
                <w:bCs w:val="0"/>
                <w:color w:val="000000"/>
                <w:sz w:val="24"/>
                <w:szCs w:val="24"/>
                <w:lang w:val="en-US" w:eastAsia="zh-CN"/>
              </w:rPr>
              <w:t>48</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送达，紧急情况下</w:t>
            </w:r>
            <w:r>
              <w:rPr>
                <w:rFonts w:hint="eastAsia" w:ascii="仿宋" w:hAnsi="仿宋" w:eastAsia="仿宋" w:cs="仿宋"/>
                <w:b/>
                <w:bCs w:val="0"/>
                <w:color w:val="000000"/>
                <w:sz w:val="24"/>
                <w:szCs w:val="24"/>
                <w:lang w:val="en-US" w:eastAsia="zh-CN"/>
              </w:rPr>
              <w:t>24</w:t>
            </w:r>
            <w:r>
              <w:rPr>
                <w:rFonts w:hint="eastAsia" w:ascii="仿宋" w:hAnsi="仿宋" w:eastAsia="仿宋" w:cs="仿宋"/>
                <w:b/>
                <w:bCs w:val="0"/>
                <w:color w:val="000000"/>
                <w:sz w:val="24"/>
                <w:szCs w:val="24"/>
              </w:rPr>
              <w:t>小时内</w:t>
            </w:r>
            <w:r>
              <w:rPr>
                <w:rFonts w:hint="eastAsia" w:ascii="仿宋" w:hAnsi="仿宋" w:eastAsia="仿宋" w:cs="仿宋"/>
                <w:bCs/>
                <w:color w:val="000000"/>
                <w:sz w:val="24"/>
                <w:szCs w:val="24"/>
              </w:rPr>
              <w:t>送达</w:t>
            </w:r>
          </w:p>
        </w:tc>
        <w:tc>
          <w:tcPr>
            <w:tcW w:w="33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215" w:type="pct"/>
            <w:gridSpan w:val="4"/>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所供产品质保期为交付验收合格后 6 个月（或产品标注的保质期，以较长者为准），质保期内产品出现质量问题（非甲方储存或使用不当导致），供方应免费更换并承担相关费用。</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8"/>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w:t>
            </w:r>
            <w:bookmarkStart w:id="22" w:name="_GoBack"/>
            <w:bookmarkEnd w:id="22"/>
            <w:r>
              <w:rPr>
                <w:rFonts w:hint="eastAsia" w:ascii="仿宋" w:hAnsi="仿宋" w:eastAsia="仿宋"/>
                <w:sz w:val="24"/>
                <w:szCs w:val="24"/>
              </w:rPr>
              <w:t>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063B07DA-EBC1-49A8-98C4-69433F1576B0}"/>
  </w:font>
  <w:font w:name="宋体">
    <w:panose1 w:val="02010600030101010101"/>
    <w:charset w:val="7A"/>
    <w:family w:val="auto"/>
    <w:pitch w:val="default"/>
    <w:sig w:usb0="00000203" w:usb1="288F0000" w:usb2="00000006" w:usb3="00000000" w:csb0="00040001" w:csb1="00000000"/>
    <w:embedRegular r:id="rId2" w:fontKey="{93F40C3A-D18C-4810-A695-2B6E4A7BF85E}"/>
  </w:font>
  <w:font w:name="Wingdings">
    <w:panose1 w:val="05000000000000000000"/>
    <w:charset w:val="02"/>
    <w:family w:val="auto"/>
    <w:pitch w:val="default"/>
    <w:sig w:usb0="00000000" w:usb1="00000000" w:usb2="00000000" w:usb3="00000000" w:csb0="80000000" w:csb1="00000000"/>
    <w:embedRegular r:id="rId3" w:fontKey="{1C35CF17-15EA-4E6F-B78C-8748DC0413CD}"/>
  </w:font>
  <w:font w:name="Arial">
    <w:panose1 w:val="020B0604020202020204"/>
    <w:charset w:val="01"/>
    <w:family w:val="swiss"/>
    <w:pitch w:val="default"/>
    <w:sig w:usb0="E0002EFF" w:usb1="C000785B" w:usb2="00000009" w:usb3="00000000" w:csb0="400001FF" w:csb1="FFFF0000"/>
    <w:embedRegular r:id="rId4" w:fontKey="{B6644FEC-1487-45F0-A0BD-E49F59619984}"/>
  </w:font>
  <w:font w:name="黑体">
    <w:panose1 w:val="02010609060101010101"/>
    <w:charset w:val="86"/>
    <w:family w:val="auto"/>
    <w:pitch w:val="default"/>
    <w:sig w:usb0="800002BF" w:usb1="38CF7CFA" w:usb2="00000016" w:usb3="00000000" w:csb0="00040001" w:csb1="00000000"/>
    <w:embedRegular r:id="rId5" w:fontKey="{35213D93-2046-4216-BD48-592ECDAA44FC}"/>
  </w:font>
  <w:font w:name="Courier New">
    <w:panose1 w:val="02070309020205020404"/>
    <w:charset w:val="01"/>
    <w:family w:val="modern"/>
    <w:pitch w:val="default"/>
    <w:sig w:usb0="E0002EFF" w:usb1="C0007843" w:usb2="00000009" w:usb3="00000000" w:csb0="400001FF" w:csb1="FFFF0000"/>
    <w:embedRegular r:id="rId6" w:fontKey="{28B78F4C-D804-4D47-A4AF-3227F9D7E0E9}"/>
  </w:font>
  <w:font w:name="Symbol">
    <w:panose1 w:val="05050102010706020507"/>
    <w:charset w:val="02"/>
    <w:family w:val="roman"/>
    <w:pitch w:val="default"/>
    <w:sig w:usb0="00000000" w:usb1="00000000" w:usb2="00000000" w:usb3="00000000" w:csb0="80000000" w:csb1="00000000"/>
    <w:embedRegular r:id="rId7" w:fontKey="{BDA8E9C3-DF95-4A25-A49B-38D37C6BD03D}"/>
  </w:font>
  <w:font w:name="Calibri">
    <w:panose1 w:val="020F0502020204030204"/>
    <w:charset w:val="00"/>
    <w:family w:val="swiss"/>
    <w:pitch w:val="default"/>
    <w:sig w:usb0="E4002EFF" w:usb1="C200247B" w:usb2="00000009" w:usb3="00000000" w:csb0="200001FF" w:csb1="00000000"/>
    <w:embedRegular r:id="rId8" w:fontKey="{DDC6209C-9C9F-4E55-8F08-783B50249CF3}"/>
  </w:font>
  <w:font w:name="Calibri Light">
    <w:panose1 w:val="020F0302020204030204"/>
    <w:charset w:val="00"/>
    <w:family w:val="swiss"/>
    <w:pitch w:val="default"/>
    <w:sig w:usb0="E4002EFF" w:usb1="C200247B" w:usb2="00000009" w:usb3="00000000" w:csb0="200001FF" w:csb1="00000000"/>
    <w:embedRegular r:id="rId9" w:fontKey="{6433A5AB-3D75-46BF-96B6-73563663F061}"/>
  </w:font>
  <w:font w:name="Cambria">
    <w:panose1 w:val="02040503050406030204"/>
    <w:charset w:val="00"/>
    <w:family w:val="roman"/>
    <w:pitch w:val="default"/>
    <w:sig w:usb0="E00006FF" w:usb1="420024FF" w:usb2="02000000" w:usb3="00000000" w:csb0="2000019F" w:csb1="00000000"/>
    <w:embedRegular r:id="rId10" w:fontKey="{A30E80E0-5B09-4E35-9BAC-B560DF5446BC}"/>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E142C48A-4E35-4135-9811-D97108F32F33}"/>
  </w:font>
  <w:font w:name="方正小标宋简体">
    <w:panose1 w:val="02010600010101010101"/>
    <w:charset w:val="86"/>
    <w:family w:val="auto"/>
    <w:pitch w:val="default"/>
    <w:sig w:usb0="00000001" w:usb1="080E0000" w:usb2="00000000" w:usb3="00000000" w:csb0="00040000" w:csb1="00000000"/>
    <w:embedRegular r:id="rId12" w:fontKey="{8FE9063E-CD3F-41D4-B10C-3F708EA27A91}"/>
  </w:font>
  <w:font w:name="长城小">
    <w:altName w:val="宋体"/>
    <w:panose1 w:val="00000000000000000000"/>
    <w:charset w:val="86"/>
    <w:family w:val="modern"/>
    <w:pitch w:val="default"/>
    <w:sig w:usb0="00000000" w:usb1="00000000" w:usb2="00000000" w:usb3="00000000" w:csb0="00040001" w:csb1="00000000"/>
    <w:embedRegular r:id="rId13" w:fontKey="{4D0D3368-8456-4849-B12F-F4CCAD359E6E}"/>
  </w:font>
  <w:font w:name="长城小标宋体">
    <w:altName w:val="宋体"/>
    <w:panose1 w:val="00000000000000000000"/>
    <w:charset w:val="86"/>
    <w:family w:val="auto"/>
    <w:pitch w:val="default"/>
    <w:sig w:usb0="00000000" w:usb1="00000000" w:usb2="00000000" w:usb3="00000000" w:csb0="00000000" w:csb1="00000000"/>
    <w:embedRegular r:id="rId14" w:fontKey="{1D495C0B-3599-4F47-9C4E-F74F9D4FB85B}"/>
  </w:font>
  <w:font w:name="仿宋">
    <w:panose1 w:val="02010609060101010101"/>
    <w:charset w:val="86"/>
    <w:family w:val="modern"/>
    <w:pitch w:val="default"/>
    <w:sig w:usb0="800002BF" w:usb1="38CF7CFA" w:usb2="00000016" w:usb3="00000000" w:csb0="00040001" w:csb1="00000000"/>
    <w:embedRegular r:id="rId15" w:fontKey="{D0EA8219-96EC-41E4-ADE8-267CEF81F45B}"/>
  </w:font>
  <w:font w:name="微软雅黑">
    <w:panose1 w:val="020B0503020204020204"/>
    <w:charset w:val="86"/>
    <w:family w:val="swiss"/>
    <w:pitch w:val="default"/>
    <w:sig w:usb0="80000287" w:usb1="2ACF3C50" w:usb2="00000016" w:usb3="00000000" w:csb0="0004001F" w:csb1="00000000"/>
    <w:embedRegular r:id="rId16" w:fontKey="{C4E29D94-404A-4B75-9872-7797AD7BE2E2}"/>
  </w:font>
  <w:font w:name="Times New Roman Regular">
    <w:altName w:val="Times New Roman"/>
    <w:panose1 w:val="00000000000000000000"/>
    <w:charset w:val="00"/>
    <w:family w:val="auto"/>
    <w:pitch w:val="default"/>
    <w:sig w:usb0="00000000" w:usb1="00000000" w:usb2="00000009" w:usb3="00000000" w:csb0="400001FF" w:csb1="FFFF0000"/>
    <w:embedRegular r:id="rId17" w:fontKey="{5A3B44DB-A5A8-4B16-ABD0-0ABEF87B1792}"/>
  </w:font>
  <w:font w:name="Wingdings 2">
    <w:panose1 w:val="05020102010507070707"/>
    <w:charset w:val="02"/>
    <w:family w:val="roman"/>
    <w:pitch w:val="default"/>
    <w:sig w:usb0="00000000" w:usb1="00000000" w:usb2="00000000" w:usb3="00000000" w:csb0="80000000" w:csb1="00000000"/>
    <w:embedRegular r:id="rId18" w:fontKey="{0B579D65-5523-48B1-B20F-530E93AD5BA1}"/>
  </w:font>
  <w:font w:name="WPSEMBED1">
    <w:panose1 w:val="02010609030101010101"/>
    <w:charset w:val="86"/>
    <w:family w:val="auto"/>
    <w:pitch w:val="default"/>
    <w:sig w:usb0="00000001" w:usb1="080E0000" w:usb2="00000000" w:usb3="00000000" w:csb0="00040000" w:csb1="00000000"/>
  </w:font>
  <w:font w:name="WPSEMBED2">
    <w:panose1 w:val="02010600010101010101"/>
    <w:charset w:val="86"/>
    <w:family w:val="auto"/>
    <w:pitch w:val="default"/>
    <w:sig w:usb0="00000001" w:usb1="080E0000" w:usb2="00000000" w:usb3="00000000" w:csb0="00040000" w:csb1="00000000"/>
  </w:font>
  <w:font w:name="Tahoma">
    <w:panose1 w:val="020B0604030504040204"/>
    <w:charset w:val="00"/>
    <w:family w:val="auto"/>
    <w:pitch w:val="default"/>
    <w:sig w:usb0="E1002EFF" w:usb1="C000605B" w:usb2="00000029" w:usb3="00000000" w:csb0="200101FF" w:csb1="20280000"/>
    <w:embedRegular r:id="rId19" w:fontKey="{FFC3CC45-142B-4410-B8E3-347A72985E4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597580"/>
    <w:rsid w:val="0175142C"/>
    <w:rsid w:val="01D413E4"/>
    <w:rsid w:val="01E3718B"/>
    <w:rsid w:val="01EC2C5A"/>
    <w:rsid w:val="02185A90"/>
    <w:rsid w:val="0223163F"/>
    <w:rsid w:val="034A3564"/>
    <w:rsid w:val="035C5045"/>
    <w:rsid w:val="03795884"/>
    <w:rsid w:val="03966FA9"/>
    <w:rsid w:val="03D9246C"/>
    <w:rsid w:val="042F1227"/>
    <w:rsid w:val="04A20595"/>
    <w:rsid w:val="05754E07"/>
    <w:rsid w:val="059211F2"/>
    <w:rsid w:val="066E1317"/>
    <w:rsid w:val="06710406"/>
    <w:rsid w:val="06A51204"/>
    <w:rsid w:val="06D473AA"/>
    <w:rsid w:val="06F9F432"/>
    <w:rsid w:val="07480E14"/>
    <w:rsid w:val="079756C5"/>
    <w:rsid w:val="08244108"/>
    <w:rsid w:val="08420CAE"/>
    <w:rsid w:val="084A1910"/>
    <w:rsid w:val="090F0777"/>
    <w:rsid w:val="0A363213"/>
    <w:rsid w:val="0A64315D"/>
    <w:rsid w:val="0A886720"/>
    <w:rsid w:val="0AA1428C"/>
    <w:rsid w:val="0AD251DE"/>
    <w:rsid w:val="0B0E30C9"/>
    <w:rsid w:val="0CD00C0D"/>
    <w:rsid w:val="0D7F8C1E"/>
    <w:rsid w:val="0D887163"/>
    <w:rsid w:val="0D970DF6"/>
    <w:rsid w:val="0D9E3895"/>
    <w:rsid w:val="0DAFDDD2"/>
    <w:rsid w:val="0E4211FE"/>
    <w:rsid w:val="0EE17277"/>
    <w:rsid w:val="0EF32F07"/>
    <w:rsid w:val="0FD61205"/>
    <w:rsid w:val="1097590F"/>
    <w:rsid w:val="10C42B13"/>
    <w:rsid w:val="10DD77C5"/>
    <w:rsid w:val="10E7084B"/>
    <w:rsid w:val="10F22522"/>
    <w:rsid w:val="11C42C96"/>
    <w:rsid w:val="12855EB3"/>
    <w:rsid w:val="132A0CBC"/>
    <w:rsid w:val="134E717A"/>
    <w:rsid w:val="135D7FEE"/>
    <w:rsid w:val="13AFEC81"/>
    <w:rsid w:val="15161207"/>
    <w:rsid w:val="1595726D"/>
    <w:rsid w:val="166564D0"/>
    <w:rsid w:val="16D57CE5"/>
    <w:rsid w:val="172377DF"/>
    <w:rsid w:val="185C5D2A"/>
    <w:rsid w:val="18AC73A6"/>
    <w:rsid w:val="18CD7911"/>
    <w:rsid w:val="193948C5"/>
    <w:rsid w:val="195F2D42"/>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63F7A"/>
    <w:rsid w:val="1F0F1A56"/>
    <w:rsid w:val="1F7F9C30"/>
    <w:rsid w:val="1FA372AD"/>
    <w:rsid w:val="1FB39FF7"/>
    <w:rsid w:val="1FB54372"/>
    <w:rsid w:val="1FEC089C"/>
    <w:rsid w:val="1FFF4E3F"/>
    <w:rsid w:val="20077A2D"/>
    <w:rsid w:val="201B3E66"/>
    <w:rsid w:val="2089134F"/>
    <w:rsid w:val="208923CA"/>
    <w:rsid w:val="20AB0E9C"/>
    <w:rsid w:val="212271A1"/>
    <w:rsid w:val="22AC2486"/>
    <w:rsid w:val="23845F84"/>
    <w:rsid w:val="23884315"/>
    <w:rsid w:val="247022A7"/>
    <w:rsid w:val="24B95082"/>
    <w:rsid w:val="24C1046C"/>
    <w:rsid w:val="257FF5EF"/>
    <w:rsid w:val="26DC0652"/>
    <w:rsid w:val="274C2B57"/>
    <w:rsid w:val="27BED872"/>
    <w:rsid w:val="27C81105"/>
    <w:rsid w:val="282C7982"/>
    <w:rsid w:val="28AF13DB"/>
    <w:rsid w:val="28F434A6"/>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7015DD"/>
    <w:rsid w:val="30BF60A9"/>
    <w:rsid w:val="30EE09A0"/>
    <w:rsid w:val="314945C0"/>
    <w:rsid w:val="31780B7B"/>
    <w:rsid w:val="31875FCE"/>
    <w:rsid w:val="32806E68"/>
    <w:rsid w:val="32AA74CF"/>
    <w:rsid w:val="33923FE8"/>
    <w:rsid w:val="340239A8"/>
    <w:rsid w:val="340E3EBE"/>
    <w:rsid w:val="340E438E"/>
    <w:rsid w:val="346B2113"/>
    <w:rsid w:val="34882FAD"/>
    <w:rsid w:val="35BE7316"/>
    <w:rsid w:val="35FF7EAC"/>
    <w:rsid w:val="363F59A9"/>
    <w:rsid w:val="36B67FED"/>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85B75"/>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CE31410"/>
    <w:rsid w:val="3D3954D4"/>
    <w:rsid w:val="3D6C951B"/>
    <w:rsid w:val="3DB56025"/>
    <w:rsid w:val="3DF450EA"/>
    <w:rsid w:val="3DFF524D"/>
    <w:rsid w:val="3DFF7079"/>
    <w:rsid w:val="3DFFBEE7"/>
    <w:rsid w:val="3E307A40"/>
    <w:rsid w:val="3EA7FE48"/>
    <w:rsid w:val="3EF86484"/>
    <w:rsid w:val="3EFBCAFF"/>
    <w:rsid w:val="3EFFC981"/>
    <w:rsid w:val="3F5A26DD"/>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4349A7"/>
    <w:rsid w:val="575E74A5"/>
    <w:rsid w:val="57831D16"/>
    <w:rsid w:val="57AFC3C2"/>
    <w:rsid w:val="57CC5C5D"/>
    <w:rsid w:val="584D6CAB"/>
    <w:rsid w:val="58B21AB7"/>
    <w:rsid w:val="59632793"/>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B35195"/>
    <w:rsid w:val="63375F1A"/>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945DEA"/>
    <w:rsid w:val="67E07000"/>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9C573F"/>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6234E5"/>
    <w:rsid w:val="73966983"/>
    <w:rsid w:val="73BC23E0"/>
    <w:rsid w:val="73EFA308"/>
    <w:rsid w:val="74FE750A"/>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40316B"/>
    <w:rsid w:val="79BB9841"/>
    <w:rsid w:val="79DF1FD7"/>
    <w:rsid w:val="7A20571A"/>
    <w:rsid w:val="7A5F0597"/>
    <w:rsid w:val="7A801888"/>
    <w:rsid w:val="7A950461"/>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11038</Words>
  <Characters>11539</Characters>
  <Lines>12</Lines>
  <Paragraphs>23</Paragraphs>
  <TotalTime>12</TotalTime>
  <ScaleCrop>false</ScaleCrop>
  <LinksUpToDate>false</LinksUpToDate>
  <CharactersWithSpaces>12115</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2026-02-04T12:08:01Z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B05DC8C69E884B949458EE84B707C360_13</vt:lpwstr>
  </property>
  <property fmtid="{D5CDD505-2E9C-101B-9397-08002B2CF9AE}" pid="4" name="KSOTemplateDocerSaveRecord">
    <vt:lpwstr>eyJoZGlkIjoiZjFlMWRlZmI5YTI2MDdiYmVhNmZjZDM3NGIwOTU2ZmIiLCJ1c2VySWQiOiI0MDU5ODg2MzMifQ==</vt:lpwstr>
  </property>
</Properties>
</file>