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江西区域硫酸亚铁采购项目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江西区域硫酸亚铁采购项目</w:t>
      </w:r>
      <w:r>
        <w:rPr>
          <w:rFonts w:hint="eastAsia" w:ascii="仿宋_GB2312" w:hAnsi="仿宋_GB2312" w:eastAsia="仿宋_GB2312" w:cs="仿宋_GB2312"/>
          <w:bCs/>
          <w:color w:val="000000"/>
          <w:sz w:val="28"/>
          <w:szCs w:val="28"/>
        </w:rPr>
        <w:t>。</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1"/>
        <w:gridCol w:w="985"/>
        <w:gridCol w:w="1896"/>
        <w:gridCol w:w="689"/>
        <w:gridCol w:w="981"/>
        <w:gridCol w:w="1278"/>
        <w:gridCol w:w="1001"/>
        <w:gridCol w:w="1167"/>
      </w:tblGrid>
      <w:tr w14:paraId="2020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416" w:type="pct"/>
            <w:noWrap w:val="0"/>
            <w:vAlign w:val="center"/>
          </w:tcPr>
          <w:p w14:paraId="1DA1E215">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bookmarkStart w:id="0" w:name="_Hlk191890472"/>
            <w:r>
              <w:rPr>
                <w:rFonts w:hint="eastAsia" w:ascii="宋体" w:hAnsi="宋体" w:eastAsia="宋体" w:cs="宋体"/>
                <w:b/>
                <w:bCs/>
                <w:sz w:val="24"/>
                <w:szCs w:val="24"/>
              </w:rPr>
              <w:t>序号</w:t>
            </w:r>
          </w:p>
        </w:tc>
        <w:tc>
          <w:tcPr>
            <w:tcW w:w="579" w:type="pct"/>
            <w:noWrap w:val="0"/>
            <w:vAlign w:val="center"/>
          </w:tcPr>
          <w:p w14:paraId="31BDF3A2">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名称</w:t>
            </w:r>
          </w:p>
        </w:tc>
        <w:tc>
          <w:tcPr>
            <w:tcW w:w="999" w:type="pct"/>
            <w:noWrap w:val="0"/>
            <w:vAlign w:val="center"/>
          </w:tcPr>
          <w:p w14:paraId="242360E4">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规格</w:t>
            </w:r>
          </w:p>
        </w:tc>
        <w:tc>
          <w:tcPr>
            <w:tcW w:w="409" w:type="pct"/>
            <w:noWrap w:val="0"/>
            <w:vAlign w:val="center"/>
          </w:tcPr>
          <w:p w14:paraId="3672C37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rPr>
              <w:t>单位</w:t>
            </w:r>
          </w:p>
        </w:tc>
        <w:tc>
          <w:tcPr>
            <w:tcW w:w="577" w:type="pct"/>
            <w:noWrap w:val="0"/>
            <w:vAlign w:val="center"/>
          </w:tcPr>
          <w:p w14:paraId="160A42C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lang w:val="en-US" w:eastAsia="zh-CN"/>
              </w:rPr>
              <w:t>暂估</w:t>
            </w:r>
            <w:r>
              <w:rPr>
                <w:rFonts w:hint="eastAsia" w:ascii="宋体" w:hAnsi="宋体" w:eastAsia="宋体" w:cs="宋体"/>
                <w:b/>
                <w:bCs/>
                <w:sz w:val="24"/>
                <w:szCs w:val="24"/>
              </w:rPr>
              <w:t>量</w:t>
            </w: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吨）</w:t>
            </w:r>
          </w:p>
        </w:tc>
        <w:tc>
          <w:tcPr>
            <w:tcW w:w="747" w:type="pct"/>
            <w:noWrap w:val="0"/>
            <w:vAlign w:val="center"/>
          </w:tcPr>
          <w:p w14:paraId="171EF07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含税上限单价（元/吨）</w:t>
            </w:r>
          </w:p>
        </w:tc>
        <w:tc>
          <w:tcPr>
            <w:tcW w:w="588" w:type="pct"/>
            <w:noWrap w:val="0"/>
            <w:vAlign w:val="center"/>
          </w:tcPr>
          <w:p w14:paraId="2B66B29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送货地点</w:t>
            </w:r>
          </w:p>
        </w:tc>
        <w:tc>
          <w:tcPr>
            <w:tcW w:w="683" w:type="pct"/>
            <w:noWrap w:val="0"/>
            <w:vAlign w:val="center"/>
          </w:tcPr>
          <w:p w14:paraId="05D595D6">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备注</w:t>
            </w:r>
          </w:p>
        </w:tc>
      </w:tr>
      <w:tr w14:paraId="2AC71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416" w:type="pct"/>
            <w:noWrap w:val="0"/>
            <w:vAlign w:val="center"/>
          </w:tcPr>
          <w:p w14:paraId="718DC6C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1033" w:type="dxa"/>
            <w:noWrap w:val="0"/>
            <w:vAlign w:val="center"/>
          </w:tcPr>
          <w:p w14:paraId="20BBD36F">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szCs w:val="24"/>
                <w:lang w:eastAsia="zh-CN"/>
              </w:rPr>
            </w:pPr>
            <w:r>
              <w:rPr>
                <w:rFonts w:hint="eastAsia" w:ascii="仿宋" w:hAnsi="仿宋" w:eastAsia="仿宋" w:cs="仿宋"/>
                <w:sz w:val="24"/>
                <w:lang w:eastAsia="zh-CN"/>
              </w:rPr>
              <w:t>硫酸亚铁</w:t>
            </w:r>
          </w:p>
        </w:tc>
        <w:tc>
          <w:tcPr>
            <w:tcW w:w="1782" w:type="dxa"/>
            <w:noWrap w:val="0"/>
            <w:vAlign w:val="center"/>
          </w:tcPr>
          <w:p w14:paraId="4EDBEF36">
            <w:pPr>
              <w:pStyle w:val="58"/>
              <w:keepNext w:val="0"/>
              <w:keepLines w:val="0"/>
              <w:pageBreakBefore w:val="0"/>
              <w:widowControl w:val="0"/>
              <w:kinsoku/>
              <w:wordWrap/>
              <w:overflowPunct/>
              <w:topLinePunct w:val="0"/>
              <w:autoSpaceDE w:val="0"/>
              <w:autoSpaceDN w:val="0"/>
              <w:bidi w:val="0"/>
              <w:adjustRightInd w:val="0"/>
              <w:snapToGrid w:val="0"/>
              <w:spacing w:afterLines="0"/>
              <w:ind w:firstLine="0" w:firstLineChars="0"/>
              <w:jc w:val="center"/>
              <w:textAlignment w:val="auto"/>
              <w:rPr>
                <w:rFonts w:hint="eastAsia" w:ascii="仿宋" w:hAnsi="仿宋" w:eastAsia="仿宋" w:cs="仿宋"/>
                <w:sz w:val="24"/>
                <w:szCs w:val="24"/>
              </w:rPr>
            </w:pPr>
            <w:r>
              <w:rPr>
                <w:rFonts w:hint="eastAsia" w:ascii="仿宋" w:hAnsi="仿宋" w:eastAsia="仿宋" w:cs="仿宋"/>
                <w:sz w:val="24"/>
                <w:szCs w:val="24"/>
              </w:rPr>
              <w:t>质量分数≥90%</w:t>
            </w:r>
          </w:p>
          <w:p w14:paraId="6864DD9A">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执行标准</w:t>
            </w:r>
            <w:r>
              <w:rPr>
                <w:rFonts w:hint="eastAsia" w:ascii="仿宋" w:hAnsi="仿宋" w:eastAsia="仿宋" w:cs="仿宋"/>
                <w:sz w:val="24"/>
                <w:szCs w:val="24"/>
              </w:rPr>
              <w:t>GB/T10531-2016</w:t>
            </w:r>
          </w:p>
        </w:tc>
        <w:tc>
          <w:tcPr>
            <w:tcW w:w="409" w:type="pct"/>
            <w:noWrap w:val="0"/>
            <w:vAlign w:val="center"/>
          </w:tcPr>
          <w:p w14:paraId="5193BF06">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吨</w:t>
            </w:r>
          </w:p>
        </w:tc>
        <w:tc>
          <w:tcPr>
            <w:tcW w:w="577" w:type="pct"/>
            <w:noWrap w:val="0"/>
            <w:vAlign w:val="center"/>
          </w:tcPr>
          <w:p w14:paraId="6717F8E3">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4"/>
                <w:szCs w:val="24"/>
                <w:highlight w:val="none"/>
                <w:lang w:val="en-US" w:eastAsia="zh-CN"/>
              </w:rPr>
            </w:pPr>
            <w:r>
              <w:rPr>
                <w:rFonts w:hint="eastAsia" w:ascii="仿宋" w:hAnsi="仿宋" w:eastAsia="仿宋" w:cs="仿宋"/>
                <w:color w:val="000000"/>
                <w:kern w:val="0"/>
                <w:sz w:val="24"/>
                <w:szCs w:val="24"/>
                <w:highlight w:val="none"/>
                <w:lang w:val="en-US" w:eastAsia="zh-CN"/>
              </w:rPr>
              <w:t>140</w:t>
            </w:r>
          </w:p>
        </w:tc>
        <w:tc>
          <w:tcPr>
            <w:tcW w:w="747" w:type="pct"/>
            <w:noWrap w:val="0"/>
            <w:vAlign w:val="center"/>
          </w:tcPr>
          <w:p w14:paraId="619754FF">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highlight w:val="none"/>
                <w:lang w:val="en-US" w:eastAsia="zh-CN"/>
              </w:rPr>
            </w:pPr>
            <w:r>
              <w:rPr>
                <w:rFonts w:hint="eastAsia" w:ascii="仿宋" w:hAnsi="仿宋" w:eastAsia="仿宋" w:cs="仿宋"/>
                <w:color w:val="000000"/>
                <w:kern w:val="0"/>
                <w:sz w:val="24"/>
                <w:szCs w:val="24"/>
                <w:highlight w:val="none"/>
                <w:lang w:val="en-US" w:eastAsia="zh-CN"/>
              </w:rPr>
              <w:t>810</w:t>
            </w:r>
          </w:p>
        </w:tc>
        <w:tc>
          <w:tcPr>
            <w:tcW w:w="588" w:type="pct"/>
            <w:noWrap w:val="0"/>
            <w:vAlign w:val="center"/>
          </w:tcPr>
          <w:p w14:paraId="31497541">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江西</w:t>
            </w:r>
            <w:r>
              <w:rPr>
                <w:rFonts w:hint="eastAsia" w:ascii="仿宋" w:hAnsi="仿宋" w:eastAsia="仿宋" w:cs="仿宋"/>
                <w:sz w:val="24"/>
                <w:szCs w:val="24"/>
              </w:rPr>
              <w:t>省</w:t>
            </w:r>
          </w:p>
          <w:p w14:paraId="68458E42">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龙南</w:t>
            </w:r>
            <w:r>
              <w:rPr>
                <w:rFonts w:hint="eastAsia" w:ascii="仿宋" w:hAnsi="仿宋" w:eastAsia="仿宋" w:cs="仿宋"/>
                <w:sz w:val="24"/>
                <w:szCs w:val="24"/>
              </w:rPr>
              <w:t>市</w:t>
            </w:r>
          </w:p>
        </w:tc>
        <w:tc>
          <w:tcPr>
            <w:tcW w:w="683" w:type="pct"/>
            <w:noWrap w:val="0"/>
            <w:vAlign w:val="center"/>
          </w:tcPr>
          <w:p w14:paraId="456C11E8">
            <w:pPr>
              <w:keepNext w:val="0"/>
              <w:keepLines w:val="0"/>
              <w:pageBreakBefore w:val="0"/>
              <w:widowControl w:val="0"/>
              <w:kinsoku/>
              <w:wordWrap/>
              <w:overflowPunct/>
              <w:topLinePunct w:val="0"/>
              <w:autoSpaceDE w:val="0"/>
              <w:autoSpaceDN w:val="0"/>
              <w:bidi w:val="0"/>
              <w:adjustRightInd w:val="0"/>
              <w:snapToGrid w:val="0"/>
              <w:spacing w:afterLines="0" w:line="240" w:lineRule="auto"/>
              <w:jc w:val="left"/>
              <w:textAlignment w:val="auto"/>
              <w:rPr>
                <w:rFonts w:hint="eastAsia" w:ascii="仿宋" w:hAnsi="仿宋" w:eastAsia="仿宋" w:cs="仿宋"/>
                <w:sz w:val="24"/>
                <w:szCs w:val="24"/>
                <w:lang w:val="en-US" w:eastAsia="zh-CN"/>
              </w:rPr>
            </w:pPr>
            <w:r>
              <w:rPr>
                <w:rFonts w:hint="default" w:ascii="仿宋" w:hAnsi="仿宋" w:eastAsia="仿宋" w:cs="仿宋"/>
                <w:sz w:val="24"/>
                <w:szCs w:val="24"/>
                <w:lang w:val="en-US" w:eastAsia="zh-CN"/>
              </w:rPr>
              <w:t>采购数量为</w:t>
            </w:r>
            <w:r>
              <w:rPr>
                <w:rFonts w:hint="eastAsia" w:ascii="仿宋" w:hAnsi="仿宋" w:eastAsia="仿宋" w:cs="仿宋"/>
                <w:sz w:val="24"/>
                <w:szCs w:val="24"/>
                <w:lang w:val="en-US" w:eastAsia="zh-CN"/>
              </w:rPr>
              <w:t>暂估量</w:t>
            </w:r>
            <w:r>
              <w:rPr>
                <w:rFonts w:hint="default" w:ascii="仿宋" w:hAnsi="仿宋" w:eastAsia="仿宋" w:cs="仿宋"/>
                <w:sz w:val="24"/>
                <w:szCs w:val="24"/>
                <w:lang w:val="en-US" w:eastAsia="zh-CN"/>
              </w:rPr>
              <w:t>，具体以实际采购为准</w:t>
            </w:r>
            <w:r>
              <w:rPr>
                <w:rFonts w:hint="eastAsia" w:ascii="仿宋" w:hAnsi="仿宋" w:eastAsia="仿宋" w:cs="仿宋"/>
                <w:sz w:val="24"/>
                <w:szCs w:val="24"/>
                <w:lang w:val="en-US" w:eastAsia="zh-CN"/>
              </w:rPr>
              <w:t>。</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w:t>
      </w:r>
      <w:r>
        <w:rPr>
          <w:rFonts w:hint="eastAsia" w:ascii="Times New Roman" w:hAnsi="Times New Roman" w:eastAsia="仿宋_GB2312"/>
          <w:bCs/>
          <w:color w:val="000000"/>
          <w:sz w:val="28"/>
          <w:szCs w:val="28"/>
          <w:lang w:val="en-US" w:eastAsia="zh-CN"/>
        </w:rPr>
        <w:t>3</w:t>
      </w:r>
      <w:r>
        <w:rPr>
          <w:rFonts w:hint="eastAsia" w:ascii="Times New Roman" w:hAnsi="Times New Roman" w:eastAsia="仿宋_GB2312"/>
          <w:bCs/>
          <w:color w:val="000000"/>
          <w:sz w:val="28"/>
          <w:szCs w:val="28"/>
        </w:rPr>
        <w:t>个月，具体起止时间以合同签订为准。合同期满后由甲方根据实际需求及合同履行情况决定合同期限是否续签，最多续签2次，合同期内，甲方有权随时终止合同，乙方不得因合同终止或未能续签向甲方主张责任或要求赔偿预期利益等损失。</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rPr>
        <w:t>24小时内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rPr>
        <w:t>12小时内</w:t>
      </w:r>
      <w:r>
        <w:rPr>
          <w:rFonts w:hint="eastAsia" w:ascii="仿宋_GB2312" w:hAnsi="仿宋_GB2312" w:eastAsia="仿宋_GB2312" w:cs="仿宋_GB2312"/>
          <w:bCs/>
          <w:color w:val="000000"/>
          <w:sz w:val="28"/>
          <w:szCs w:val="28"/>
        </w:rPr>
        <w:t>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2</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无</w:t>
      </w:r>
      <w:r>
        <w:rPr>
          <w:rFonts w:hint="eastAsia" w:ascii="仿宋_GB2312" w:hAnsi="仿宋_GB2312" w:eastAsia="仿宋_GB2312" w:cs="仿宋_GB2312"/>
          <w:bCs/>
          <w:color w:val="000000"/>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江西区域硫酸亚铁采购项目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2</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7</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highlight w:val="none"/>
        </w:rPr>
        <w:t>本次</w:t>
      </w:r>
      <w:r>
        <w:rPr>
          <w:rFonts w:hint="eastAsia" w:ascii="仿宋_GB2312" w:hAnsi="仿宋_GB2312" w:eastAsia="仿宋_GB2312" w:cs="仿宋_GB2312"/>
          <w:sz w:val="28"/>
          <w:szCs w:val="28"/>
          <w:highlight w:val="none"/>
        </w:rPr>
        <w:t>含税单价上限</w:t>
      </w:r>
      <w:r>
        <w:rPr>
          <w:rFonts w:hint="eastAsia" w:ascii="Times New Roman" w:hAnsi="Times New Roman" w:eastAsia="仿宋_GB2312"/>
          <w:sz w:val="28"/>
          <w:szCs w:val="22"/>
          <w:highlight w:val="none"/>
          <w:lang w:val="en-US" w:eastAsia="zh-CN"/>
        </w:rPr>
        <w:t>810</w:t>
      </w:r>
      <w:r>
        <w:rPr>
          <w:rFonts w:ascii="Times New Roman" w:hAnsi="Times New Roman" w:eastAsia="仿宋_GB2312"/>
          <w:sz w:val="28"/>
          <w:szCs w:val="22"/>
          <w:highlight w:val="none"/>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2</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7</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b</w:t>
      </w:r>
      <w:r>
        <w:rPr>
          <w:rFonts w:hint="eastAsia" w:ascii="仿宋_GB2312" w:hAnsi="仿宋_GB2312" w:eastAsia="仿宋_GB2312" w:cs="仿宋_GB2312"/>
          <w:color w:val="000000"/>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2</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4</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江西区域硫酸亚铁</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江西区域硫酸亚铁采购项目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Hans"/>
        </w:rPr>
        <w:t>江西区域</w:t>
      </w:r>
      <w:r>
        <w:rPr>
          <w:rFonts w:hint="eastAsia" w:ascii="Times New Roman Regular" w:hAnsi="Times New Roman Regular" w:eastAsia="黑体" w:cs="Times New Roman Regular"/>
          <w:spacing w:val="-4"/>
          <w:sz w:val="36"/>
          <w:szCs w:val="48"/>
          <w:u w:val="single"/>
          <w:lang w:eastAsia="zh-CN"/>
        </w:rPr>
        <w:t>硫酸亚铁</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997927"/>
      <w:bookmarkStart w:id="11" w:name="_Toc199215763"/>
      <w:bookmarkStart w:id="12" w:name="_Toc199213728"/>
      <w:bookmarkStart w:id="13" w:name="_Toc201743099"/>
      <w:bookmarkStart w:id="14" w:name="_Toc201719103"/>
      <w:bookmarkStart w:id="15" w:name="_Toc201401643"/>
      <w:bookmarkStart w:id="16" w:name="_Toc201742844"/>
      <w:bookmarkStart w:id="17" w:name="_Toc199215931"/>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1B540D53">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3</w:t>
      </w:r>
      <w:r>
        <w:rPr>
          <w:rFonts w:hint="eastAsia" w:ascii="宋体" w:hAnsi="宋体" w:cs="宋体"/>
        </w:rPr>
        <w:t xml:space="preserve">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bidi="ar"/>
        </w:rPr>
        <w:t>合同期满后甲方有权根据乙方履约情况决定是否续签</w:t>
      </w:r>
      <w:r>
        <w:rPr>
          <w:rFonts w:hint="eastAsia" w:ascii="宋体" w:hAnsi="宋体" w:cs="宋体"/>
          <w:lang w:eastAsia="zh-CN" w:bidi="ar"/>
        </w:rPr>
        <w:t>，</w:t>
      </w:r>
      <w:r>
        <w:rPr>
          <w:rFonts w:hint="eastAsia" w:ascii="宋体" w:hAnsi="宋体" w:cs="宋体"/>
          <w:lang w:val="en-US" w:eastAsia="zh-CN" w:bidi="ar"/>
        </w:rPr>
        <w:t>最多续签2次</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7ABC299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rPr>
        <w:t>月度</w:t>
      </w:r>
      <w:r>
        <w:rPr>
          <w:rFonts w:hint="eastAsia" w:ascii="宋体" w:hAnsi="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bCs/>
          <w:color w:val="000000"/>
        </w:rPr>
        <w:t>按月核对，</w:t>
      </w:r>
      <w:r>
        <w:rPr>
          <w:rFonts w:hint="eastAsia" w:ascii="宋体" w:hAnsi="宋体" w:cs="宋体"/>
        </w:rPr>
        <w:t>每月</w:t>
      </w:r>
      <w:r>
        <w:rPr>
          <w:rFonts w:hint="eastAsia" w:ascii="宋体" w:hAnsi="宋体" w:cs="宋体"/>
          <w:u w:val="single"/>
        </w:rPr>
        <w:t>2</w:t>
      </w:r>
      <w:r>
        <w:rPr>
          <w:rFonts w:hint="eastAsia" w:ascii="宋体" w:hAnsi="宋体" w:cs="宋体"/>
          <w:u w:val="single"/>
          <w:lang w:val="en-US" w:eastAsia="zh-CN"/>
        </w:rPr>
        <w:t>0</w:t>
      </w:r>
      <w:r>
        <w:rPr>
          <w:rFonts w:hint="eastAsia" w:ascii="宋体" w:hAnsi="宋体" w:cs="宋体"/>
          <w:u w:val="single"/>
        </w:rPr>
        <w:t>日</w:t>
      </w:r>
      <w:r>
        <w:rPr>
          <w:rFonts w:hint="eastAsia" w:ascii="宋体" w:hAnsi="宋体" w:cs="宋体"/>
        </w:rPr>
        <w:t>核对</w:t>
      </w:r>
      <w:r>
        <w:rPr>
          <w:rFonts w:hint="eastAsia" w:ascii="宋体" w:hAnsi="宋体" w:cs="宋体"/>
          <w:lang w:val="en-US" w:eastAsia="zh-CN"/>
        </w:rPr>
        <w:t>月度</w:t>
      </w:r>
      <w:r>
        <w:rPr>
          <w:rFonts w:hint="eastAsia" w:ascii="宋体" w:hAnsi="宋体" w:cs="宋体"/>
        </w:rPr>
        <w:t>验收合格的产品采购数量及价款</w:t>
      </w:r>
      <w:r>
        <w:rPr>
          <w:rFonts w:hint="eastAsia" w:ascii="宋体" w:hAnsi="宋体" w:cs="宋体"/>
          <w:bCs/>
          <w:color w:val="000000"/>
        </w:rPr>
        <w:t>，中选人提供费用付款申请、经双方验收核对无误的证明文件及国家税务正式的13%增值税专用发票至采购人，经采购人审核通过后提交付款流程。</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12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12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12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1000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49281B89">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22B52585">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A6D357D">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【6】</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1</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江西区域硫酸亚铁</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3"/>
        <w:gridCol w:w="1438"/>
        <w:gridCol w:w="1939"/>
        <w:gridCol w:w="748"/>
        <w:gridCol w:w="1421"/>
        <w:gridCol w:w="1369"/>
        <w:gridCol w:w="830"/>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849"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1474" w:type="dxa"/>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eastAsia="zh-CN"/>
              </w:rPr>
              <w:t>硫酸亚铁</w:t>
            </w:r>
          </w:p>
        </w:tc>
        <w:tc>
          <w:tcPr>
            <w:tcW w:w="1987" w:type="dxa"/>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bCs/>
                <w:color w:val="000000"/>
                <w:kern w:val="0"/>
                <w:sz w:val="24"/>
                <w:szCs w:val="24"/>
              </w:rPr>
            </w:pPr>
            <w:r>
              <w:rPr>
                <w:rFonts w:hint="eastAsia" w:ascii="宋体" w:hAnsi="宋体" w:cs="宋体"/>
                <w:color w:val="333333"/>
                <w:sz w:val="24"/>
                <w:szCs w:val="24"/>
                <w:shd w:val="clear" w:color="auto" w:fill="FFFFFF"/>
                <w:lang w:eastAsia="zh-CN"/>
              </w:rPr>
              <w:t>质量分数≥90%</w:t>
            </w:r>
          </w:p>
        </w:tc>
        <w:tc>
          <w:tcPr>
            <w:tcW w:w="441"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77"/>
        <w:gridCol w:w="2044"/>
        <w:gridCol w:w="2931"/>
        <w:gridCol w:w="1912"/>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732"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129"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1618" w:type="dxa"/>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color w:val="000000"/>
                <w:sz w:val="24"/>
                <w:szCs w:val="24"/>
                <w:lang w:eastAsia="zh-CN" w:bidi="ar"/>
              </w:rPr>
              <w:t>硫酸亚铁</w:t>
            </w:r>
          </w:p>
        </w:tc>
        <w:tc>
          <w:tcPr>
            <w:tcW w:w="2097" w:type="dxa"/>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GB/T10531-2016</w:t>
            </w:r>
          </w:p>
        </w:tc>
        <w:tc>
          <w:tcPr>
            <w:tcW w:w="3008" w:type="dxa"/>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val="0"/>
                <w:bCs w:val="0"/>
                <w:spacing w:val="-8"/>
                <w:sz w:val="24"/>
                <w:szCs w:val="24"/>
              </w:rPr>
            </w:pPr>
            <w:r>
              <w:rPr>
                <w:rFonts w:hint="eastAsia" w:ascii="宋体" w:hAnsi="宋体" w:eastAsia="宋体" w:cs="宋体"/>
                <w:b w:val="0"/>
                <w:bCs w:val="0"/>
                <w:sz w:val="24"/>
                <w:szCs w:val="24"/>
              </w:rPr>
              <w:t>质量分数≥90%</w:t>
            </w:r>
          </w:p>
        </w:tc>
        <w:tc>
          <w:tcPr>
            <w:tcW w:w="1129" w:type="pct"/>
            <w:vAlign w:val="center"/>
          </w:tcPr>
          <w:p w14:paraId="3FDBC6F9">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lang w:val="en-US" w:eastAsia="zh-CN"/>
              </w:rPr>
            </w:pPr>
          </w:p>
        </w:tc>
      </w:tr>
    </w:tbl>
    <w:p w14:paraId="4E973ADB">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江西区域硫酸亚铁采购项目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江西区域硫酸亚铁采购项目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江西区域硫酸亚铁采购项目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2</w:t>
      </w:r>
      <w:bookmarkStart w:id="22" w:name="_GoBack"/>
      <w:bookmarkEnd w:id="22"/>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江西区域硫酸亚铁采购项目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eastAsia" w:ascii="仿宋" w:hAnsi="仿宋" w:eastAsia="仿宋" w:cs="宋体"/>
          <w:color w:val="000000"/>
          <w:sz w:val="24"/>
          <w:szCs w:val="21"/>
        </w:rPr>
      </w:pPr>
      <w:r>
        <w:rPr>
          <w:rFonts w:hint="eastAsia" w:ascii="仿宋" w:hAnsi="仿宋" w:eastAsia="仿宋" w:cs="宋体"/>
          <w:color w:val="000000"/>
          <w:sz w:val="24"/>
          <w:szCs w:val="21"/>
        </w:rPr>
        <w:t>营业执照</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757BA69E">
      <w:pPr>
        <w:rPr>
          <w:rFonts w:hint="eastAsia" w:ascii="仿宋" w:hAnsi="仿宋" w:eastAsia="仿宋" w:cs="仿宋"/>
          <w:b/>
          <w:bCs/>
          <w:color w:val="000000"/>
          <w:sz w:val="24"/>
          <w:lang w:bidi="ar"/>
        </w:rPr>
      </w:pPr>
    </w:p>
    <w:p w14:paraId="6A67A904">
      <w:pPr>
        <w:rPr>
          <w:rFonts w:hint="eastAsia" w:ascii="仿宋" w:hAnsi="仿宋" w:eastAsia="仿宋" w:cs="仿宋"/>
          <w:b/>
          <w:bCs/>
          <w:color w:val="000000"/>
          <w:sz w:val="24"/>
          <w:lang w:bidi="ar"/>
        </w:rPr>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江西区域硫酸亚铁采购项目</w:t>
      </w:r>
      <w:r>
        <w:rPr>
          <w:rFonts w:hint="eastAsia" w:ascii="仿宋" w:hAnsi="仿宋" w:eastAsia="仿宋"/>
          <w:b/>
          <w:bCs/>
          <w:kern w:val="0"/>
          <w:sz w:val="24"/>
        </w:rPr>
        <w:t>报价一览表</w:t>
      </w:r>
    </w:p>
    <w:tbl>
      <w:tblPr>
        <w:tblStyle w:val="22"/>
        <w:tblpPr w:leftFromText="181" w:rightFromText="181" w:vertAnchor="text" w:horzAnchor="page" w:tblpXSpec="center" w:tblpY="284"/>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9"/>
        <w:gridCol w:w="1289"/>
        <w:gridCol w:w="1634"/>
        <w:gridCol w:w="1117"/>
        <w:gridCol w:w="996"/>
        <w:gridCol w:w="1387"/>
        <w:gridCol w:w="1353"/>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6"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293" w:type="pct"/>
            <w:gridSpan w:val="6"/>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江西区域硫酸亚铁采购项目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6"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614"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617" w:type="pct"/>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060"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6" w:type="pct"/>
            <w:vMerge w:val="continue"/>
            <w:vAlign w:val="center"/>
          </w:tcPr>
          <w:p w14:paraId="074635C1">
            <w:pPr>
              <w:spacing w:afterLines="0" w:line="300" w:lineRule="exact"/>
              <w:jc w:val="center"/>
              <w:rPr>
                <w:rFonts w:hint="eastAsia" w:ascii="仿宋" w:hAnsi="仿宋" w:eastAsia="仿宋"/>
                <w:sz w:val="24"/>
                <w:szCs w:val="24"/>
              </w:rPr>
            </w:pPr>
          </w:p>
        </w:tc>
        <w:tc>
          <w:tcPr>
            <w:tcW w:w="1614"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617" w:type="pct"/>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060" w:type="pct"/>
            <w:gridSpan w:val="3"/>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6"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614" w:type="pct"/>
            <w:gridSpan w:val="2"/>
            <w:vAlign w:val="center"/>
          </w:tcPr>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lang w:val="en-US" w:eastAsia="zh-CN"/>
              </w:rPr>
              <w:t>江西</w:t>
            </w:r>
            <w:r>
              <w:rPr>
                <w:rFonts w:hint="eastAsia" w:ascii="仿宋" w:hAnsi="仿宋" w:eastAsia="仿宋" w:cs="仿宋"/>
                <w:sz w:val="24"/>
                <w:szCs w:val="24"/>
              </w:rPr>
              <w:t>省</w:t>
            </w:r>
            <w:r>
              <w:rPr>
                <w:rFonts w:hint="eastAsia" w:ascii="仿宋" w:hAnsi="仿宋" w:eastAsia="仿宋" w:cs="仿宋"/>
                <w:sz w:val="24"/>
                <w:szCs w:val="24"/>
                <w:lang w:val="en-US" w:eastAsia="zh-CN"/>
              </w:rPr>
              <w:t>龙南</w:t>
            </w:r>
            <w:r>
              <w:rPr>
                <w:rFonts w:hint="eastAsia" w:ascii="仿宋" w:hAnsi="仿宋" w:eastAsia="仿宋" w:cs="仿宋"/>
                <w:sz w:val="24"/>
                <w:szCs w:val="24"/>
              </w:rPr>
              <w:t>市</w:t>
            </w:r>
          </w:p>
        </w:tc>
        <w:tc>
          <w:tcPr>
            <w:tcW w:w="617" w:type="pct"/>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060" w:type="pct"/>
            <w:gridSpan w:val="3"/>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6"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712"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901"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617"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550"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766"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743"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6"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712"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硫酸亚铁</w:t>
            </w:r>
          </w:p>
        </w:tc>
        <w:tc>
          <w:tcPr>
            <w:tcW w:w="901"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lang w:eastAsia="zh-CN"/>
              </w:rPr>
              <w:t>质量分数≥90%</w:t>
            </w:r>
          </w:p>
        </w:tc>
        <w:tc>
          <w:tcPr>
            <w:tcW w:w="617" w:type="pct"/>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550"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766"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743" w:type="pct"/>
            <w:vAlign w:val="center"/>
          </w:tcPr>
          <w:p w14:paraId="2600D178">
            <w:pPr>
              <w:spacing w:afterLines="0" w:line="240" w:lineRule="auto"/>
              <w:jc w:val="left"/>
              <w:rPr>
                <w:rFonts w:hint="eastAsia" w:ascii="仿宋" w:hAnsi="仿宋" w:eastAsia="仿宋"/>
                <w:sz w:val="24"/>
                <w:szCs w:val="24"/>
              </w:rPr>
            </w:pPr>
            <w:r>
              <w:rPr>
                <w:rFonts w:hint="eastAsia" w:ascii="仿宋" w:hAnsi="仿宋" w:eastAsia="仿宋"/>
                <w:sz w:val="24"/>
                <w:szCs w:val="24"/>
              </w:rPr>
              <w:t>采购数量为暂估量，具体以实际采购为准。</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6"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614"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617" w:type="pct"/>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2060"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6"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293" w:type="pct"/>
            <w:gridSpan w:val="6"/>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6"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614"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成交供应商接到采购人通知后须24小时内送达，紧急情况下12小时内送达</w:t>
            </w:r>
          </w:p>
        </w:tc>
        <w:tc>
          <w:tcPr>
            <w:tcW w:w="617"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060" w:type="pct"/>
            <w:gridSpan w:val="3"/>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rPr>
              <w:t>6个月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1B259114-253D-498E-9C11-974FC41DF48F}"/>
  </w:font>
  <w:font w:name="宋体">
    <w:panose1 w:val="02010600030101010101"/>
    <w:charset w:val="7A"/>
    <w:family w:val="auto"/>
    <w:pitch w:val="default"/>
    <w:sig w:usb0="00000203" w:usb1="288F0000" w:usb2="00000006" w:usb3="00000000" w:csb0="00040001" w:csb1="00000000"/>
    <w:embedRegular r:id="rId2" w:fontKey="{57CE6DBB-3199-4063-B93F-09488F71B07C}"/>
  </w:font>
  <w:font w:name="Wingdings">
    <w:panose1 w:val="05000000000000000000"/>
    <w:charset w:val="02"/>
    <w:family w:val="auto"/>
    <w:pitch w:val="default"/>
    <w:sig w:usb0="00000000" w:usb1="00000000" w:usb2="00000000" w:usb3="00000000" w:csb0="80000000" w:csb1="00000000"/>
    <w:embedRegular r:id="rId3" w:fontKey="{CD4B7165-8939-4D01-A05A-BB3617E3E59D}"/>
  </w:font>
  <w:font w:name="Arial">
    <w:panose1 w:val="020B0604020202020204"/>
    <w:charset w:val="01"/>
    <w:family w:val="swiss"/>
    <w:pitch w:val="default"/>
    <w:sig w:usb0="E0002EFF" w:usb1="C000785B" w:usb2="00000009" w:usb3="00000000" w:csb0="400001FF" w:csb1="FFFF0000"/>
    <w:embedRegular r:id="rId4" w:fontKey="{3F3F3A42-07C0-4A3D-9C11-CAFBF9ABE635}"/>
  </w:font>
  <w:font w:name="黑体">
    <w:panose1 w:val="02010609060101010101"/>
    <w:charset w:val="86"/>
    <w:family w:val="auto"/>
    <w:pitch w:val="default"/>
    <w:sig w:usb0="800002BF" w:usb1="38CF7CFA" w:usb2="00000016" w:usb3="00000000" w:csb0="00040001" w:csb1="00000000"/>
    <w:embedRegular r:id="rId5" w:fontKey="{10547EE4-EBA3-4BB3-B385-82EB6ECD621C}"/>
  </w:font>
  <w:font w:name="Courier New">
    <w:panose1 w:val="02070309020205020404"/>
    <w:charset w:val="01"/>
    <w:family w:val="modern"/>
    <w:pitch w:val="default"/>
    <w:sig w:usb0="E0002EFF" w:usb1="C0007843" w:usb2="00000009" w:usb3="00000000" w:csb0="400001FF" w:csb1="FFFF0000"/>
    <w:embedRegular r:id="rId6" w:fontKey="{F9133F55-7BB8-4773-A399-C9013FC58EDB}"/>
  </w:font>
  <w:font w:name="Symbol">
    <w:panose1 w:val="05050102010706020507"/>
    <w:charset w:val="02"/>
    <w:family w:val="roman"/>
    <w:pitch w:val="default"/>
    <w:sig w:usb0="00000000" w:usb1="00000000" w:usb2="00000000" w:usb3="00000000" w:csb0="80000000" w:csb1="00000000"/>
    <w:embedRegular r:id="rId7" w:fontKey="{47E92439-1257-4D0D-B99E-5FF4E7EDDAE8}"/>
  </w:font>
  <w:font w:name="Calibri">
    <w:panose1 w:val="020F0502020204030204"/>
    <w:charset w:val="00"/>
    <w:family w:val="swiss"/>
    <w:pitch w:val="default"/>
    <w:sig w:usb0="E4002EFF" w:usb1="C200247B" w:usb2="00000009" w:usb3="00000000" w:csb0="200001FF" w:csb1="00000000"/>
    <w:embedRegular r:id="rId8" w:fontKey="{017FECDD-0C14-46BA-8FA1-96AC6E002C84}"/>
  </w:font>
  <w:font w:name="Calibri Light">
    <w:panose1 w:val="020F0302020204030204"/>
    <w:charset w:val="00"/>
    <w:family w:val="swiss"/>
    <w:pitch w:val="default"/>
    <w:sig w:usb0="E4002EFF" w:usb1="C200247B" w:usb2="00000009" w:usb3="00000000" w:csb0="200001FF" w:csb1="00000000"/>
    <w:embedRegular r:id="rId9" w:fontKey="{539A2752-3CBD-44B0-B74D-5CEBED947993}"/>
  </w:font>
  <w:font w:name="Cambria">
    <w:panose1 w:val="02040503050406030204"/>
    <w:charset w:val="00"/>
    <w:family w:val="roman"/>
    <w:pitch w:val="default"/>
    <w:sig w:usb0="E00006FF" w:usb1="420024FF" w:usb2="02000000" w:usb3="00000000" w:csb0="2000019F" w:csb1="00000000"/>
    <w:embedRegular r:id="rId10" w:fontKey="{4166B988-EFB7-4A98-88A8-E04ADED252CA}"/>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5136CA9B-D1C0-4AC3-AB32-2B271E6DF40C}"/>
  </w:font>
  <w:font w:name="方正小标宋简体">
    <w:panose1 w:val="02010600010101010101"/>
    <w:charset w:val="86"/>
    <w:family w:val="auto"/>
    <w:pitch w:val="default"/>
    <w:sig w:usb0="00000001" w:usb1="080E0000" w:usb2="00000000" w:usb3="00000000" w:csb0="00040000" w:csb1="00000000"/>
    <w:embedRegular r:id="rId12" w:fontKey="{1AFB39DB-92CD-4CEF-A9ED-E7AA6649C6C5}"/>
  </w:font>
  <w:font w:name="长城小">
    <w:altName w:val="宋体"/>
    <w:panose1 w:val="00000000000000000000"/>
    <w:charset w:val="86"/>
    <w:family w:val="modern"/>
    <w:pitch w:val="default"/>
    <w:sig w:usb0="00000000" w:usb1="00000000" w:usb2="00000000" w:usb3="00000000" w:csb0="00040001" w:csb1="00000000"/>
    <w:embedRegular r:id="rId13" w:fontKey="{36882DBA-6D29-41FF-8808-4A6E2E220520}"/>
  </w:font>
  <w:font w:name="长城小标宋体">
    <w:altName w:val="宋体"/>
    <w:panose1 w:val="00000000000000000000"/>
    <w:charset w:val="86"/>
    <w:family w:val="auto"/>
    <w:pitch w:val="default"/>
    <w:sig w:usb0="00000000" w:usb1="00000000" w:usb2="00000000" w:usb3="00000000" w:csb0="00000000" w:csb1="00000000"/>
    <w:embedRegular r:id="rId14" w:fontKey="{01779BCE-9A05-4071-B37E-4451954212DA}"/>
  </w:font>
  <w:font w:name="仿宋">
    <w:panose1 w:val="02010609060101010101"/>
    <w:charset w:val="86"/>
    <w:family w:val="modern"/>
    <w:pitch w:val="default"/>
    <w:sig w:usb0="800002BF" w:usb1="38CF7CFA" w:usb2="00000016" w:usb3="00000000" w:csb0="00040001" w:csb1="00000000"/>
    <w:embedRegular r:id="rId15" w:fontKey="{2D1A39A0-60AE-4775-A388-DBC7826A1B65}"/>
  </w:font>
  <w:font w:name="微软雅黑">
    <w:panose1 w:val="020B0503020204020204"/>
    <w:charset w:val="86"/>
    <w:family w:val="swiss"/>
    <w:pitch w:val="default"/>
    <w:sig w:usb0="80000287" w:usb1="2ACF3C50" w:usb2="00000016" w:usb3="00000000" w:csb0="0004001F" w:csb1="00000000"/>
    <w:embedRegular r:id="rId16" w:fontKey="{9A18B820-DAF3-4979-8268-6389253C9C05}"/>
  </w:font>
  <w:font w:name="Times New Roman Regular">
    <w:altName w:val="Times New Roman"/>
    <w:panose1 w:val="00000000000000000000"/>
    <w:charset w:val="00"/>
    <w:family w:val="auto"/>
    <w:pitch w:val="default"/>
    <w:sig w:usb0="00000000" w:usb1="00000000" w:usb2="00000009" w:usb3="00000000" w:csb0="400001FF" w:csb1="FFFF0000"/>
    <w:embedRegular r:id="rId17" w:fontKey="{2768F6EC-62E3-4227-9423-C85894FDA8C6}"/>
  </w:font>
  <w:font w:name="Wingdings 2">
    <w:panose1 w:val="05020102010507070707"/>
    <w:charset w:val="02"/>
    <w:family w:val="roman"/>
    <w:pitch w:val="default"/>
    <w:sig w:usb0="00000000" w:usb1="00000000" w:usb2="00000000" w:usb3="00000000" w:csb0="80000000" w:csb1="00000000"/>
    <w:embedRegular r:id="rId18" w:fontKey="{38ED4981-8F0F-4158-ACBA-EAFF34860784}"/>
  </w:font>
  <w:font w:name="WPSEMBED1">
    <w:panose1 w:val="02010609030101010101"/>
    <w:charset w:val="86"/>
    <w:family w:val="auto"/>
    <w:pitch w:val="default"/>
    <w:sig w:usb0="00000001" w:usb1="080E0000" w:usb2="00000000" w:usb3="00000000" w:csb0="00040000" w:csb1="00000000"/>
  </w:font>
  <w:font w:name="WPSEMBED2">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TrueTypeFonts/>
  <w:embedSystemFonts/>
  <w:bordersDoNotSurroundHeader w:val="1"/>
  <w:bordersDoNotSurroundFooter w:val="1"/>
  <w:trackRevisions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95884"/>
    <w:rsid w:val="03966FA9"/>
    <w:rsid w:val="03D9246C"/>
    <w:rsid w:val="04A20595"/>
    <w:rsid w:val="05754E07"/>
    <w:rsid w:val="059211F2"/>
    <w:rsid w:val="06710406"/>
    <w:rsid w:val="06A51204"/>
    <w:rsid w:val="06D473AA"/>
    <w:rsid w:val="06F9F432"/>
    <w:rsid w:val="07480E14"/>
    <w:rsid w:val="079756C5"/>
    <w:rsid w:val="08244108"/>
    <w:rsid w:val="08420CAE"/>
    <w:rsid w:val="084A1910"/>
    <w:rsid w:val="0A363213"/>
    <w:rsid w:val="0A64315D"/>
    <w:rsid w:val="0A886720"/>
    <w:rsid w:val="0AA1428C"/>
    <w:rsid w:val="0AD251DE"/>
    <w:rsid w:val="0B0E30C9"/>
    <w:rsid w:val="0CD00C0D"/>
    <w:rsid w:val="0D7F8C1E"/>
    <w:rsid w:val="0D970DF6"/>
    <w:rsid w:val="0D9E3895"/>
    <w:rsid w:val="0DAFDDD2"/>
    <w:rsid w:val="0E4211FE"/>
    <w:rsid w:val="0EE17277"/>
    <w:rsid w:val="0EF32F07"/>
    <w:rsid w:val="0FD61205"/>
    <w:rsid w:val="1097590F"/>
    <w:rsid w:val="10C42B13"/>
    <w:rsid w:val="10DD77C5"/>
    <w:rsid w:val="10E7084B"/>
    <w:rsid w:val="10F22522"/>
    <w:rsid w:val="11C42C96"/>
    <w:rsid w:val="12855EB3"/>
    <w:rsid w:val="134E717A"/>
    <w:rsid w:val="135D7FEE"/>
    <w:rsid w:val="13AFEC81"/>
    <w:rsid w:val="15161207"/>
    <w:rsid w:val="1595726D"/>
    <w:rsid w:val="166564D0"/>
    <w:rsid w:val="16D57CE5"/>
    <w:rsid w:val="172377DF"/>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7F9C30"/>
    <w:rsid w:val="1FA372AD"/>
    <w:rsid w:val="1FB39FF7"/>
    <w:rsid w:val="1FB54372"/>
    <w:rsid w:val="1FEC089C"/>
    <w:rsid w:val="1FFF4E3F"/>
    <w:rsid w:val="20077A2D"/>
    <w:rsid w:val="2089134F"/>
    <w:rsid w:val="208923CA"/>
    <w:rsid w:val="20AB0E9C"/>
    <w:rsid w:val="212271A1"/>
    <w:rsid w:val="22AC2486"/>
    <w:rsid w:val="23884315"/>
    <w:rsid w:val="247022A7"/>
    <w:rsid w:val="24B95082"/>
    <w:rsid w:val="24C1046C"/>
    <w:rsid w:val="257FF5EF"/>
    <w:rsid w:val="26DC0652"/>
    <w:rsid w:val="27BED872"/>
    <w:rsid w:val="27C81105"/>
    <w:rsid w:val="28AF13DB"/>
    <w:rsid w:val="28F434A6"/>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780B7B"/>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FEEEDA"/>
    <w:rsid w:val="380C2D0A"/>
    <w:rsid w:val="387A052E"/>
    <w:rsid w:val="387C5D6A"/>
    <w:rsid w:val="391FB7C6"/>
    <w:rsid w:val="3956852C"/>
    <w:rsid w:val="397D4866"/>
    <w:rsid w:val="39A6786D"/>
    <w:rsid w:val="39DE4D7B"/>
    <w:rsid w:val="3A350518"/>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5C420A"/>
    <w:rsid w:val="547B516E"/>
    <w:rsid w:val="54DE7F5F"/>
    <w:rsid w:val="54EA33D7"/>
    <w:rsid w:val="55091CB9"/>
    <w:rsid w:val="551D5A57"/>
    <w:rsid w:val="55214149"/>
    <w:rsid w:val="557F0F30"/>
    <w:rsid w:val="559E5CE3"/>
    <w:rsid w:val="56725AB1"/>
    <w:rsid w:val="56B12911"/>
    <w:rsid w:val="56DD8954"/>
    <w:rsid w:val="57831D16"/>
    <w:rsid w:val="57AFC3C2"/>
    <w:rsid w:val="57CC5C5D"/>
    <w:rsid w:val="584D6CAB"/>
    <w:rsid w:val="58B21AB7"/>
    <w:rsid w:val="59632793"/>
    <w:rsid w:val="599107AF"/>
    <w:rsid w:val="59B3044E"/>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2B35195"/>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D3FAB0"/>
    <w:rsid w:val="72035AD5"/>
    <w:rsid w:val="72303D87"/>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BB9841"/>
    <w:rsid w:val="79DF1FD7"/>
    <w:rsid w:val="7A20571A"/>
    <w:rsid w:val="7A5F0597"/>
    <w:rsid w:val="7A801888"/>
    <w:rsid w:val="7A950461"/>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8303</Words>
  <Characters>8689</Characters>
  <Lines>12</Lines>
  <Paragraphs>23</Paragraphs>
  <TotalTime>134</TotalTime>
  <ScaleCrop>false</ScaleCrop>
  <LinksUpToDate>false</LinksUpToDate>
  <CharactersWithSpaces>9150</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2026-02-04T06:21:09Z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