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bookmarkStart w:id="22" w:name="_GoBack"/>
      <w:bookmarkEnd w:id="22"/>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聚丙烯酰胺药剂(四川攀枝花)采购项目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Times New Roman" w:hAnsi="Times New Roman" w:eastAsia="方正仿宋_GB2312"/>
          <w:bCs/>
          <w:color w:val="000000"/>
          <w:sz w:val="28"/>
          <w:szCs w:val="28"/>
        </w:rPr>
        <w:t>（</w:t>
      </w:r>
      <w:r>
        <w:rPr>
          <w:rFonts w:hint="eastAsia" w:ascii="方正仿宋_GB2312" w:hAnsi="方正仿宋_GB2312" w:eastAsia="方正仿宋_GB2312" w:cs="方正仿宋_GB2312"/>
          <w:bCs/>
          <w:color w:val="000000"/>
          <w:sz w:val="28"/>
          <w:szCs w:val="28"/>
        </w:rPr>
        <w:t>一）采购项目名称：</w:t>
      </w:r>
      <w:r>
        <w:rPr>
          <w:rFonts w:hint="eastAsia" w:ascii="方正仿宋_GB2312" w:hAnsi="方正仿宋_GB2312" w:eastAsia="方正仿宋_GB2312" w:cs="方正仿宋_GB2312"/>
          <w:sz w:val="28"/>
          <w:szCs w:val="28"/>
          <w:lang w:eastAsia="zh-CN"/>
        </w:rPr>
        <w:t>聚丙烯酰胺药剂(四川攀枝花)</w:t>
      </w:r>
      <w:r>
        <w:rPr>
          <w:rFonts w:hint="eastAsia" w:ascii="方正仿宋_GB2312" w:hAnsi="方正仿宋_GB2312" w:eastAsia="方正仿宋_GB2312" w:cs="方正仿宋_GB2312"/>
          <w:bCs/>
          <w:color w:val="000000"/>
          <w:sz w:val="28"/>
          <w:szCs w:val="28"/>
          <w:lang w:eastAsia="zh-CN"/>
        </w:rPr>
        <w:t>采</w:t>
      </w:r>
      <w:r>
        <w:rPr>
          <w:rFonts w:hint="eastAsia" w:ascii="方正仿宋_GB2312" w:hAnsi="方正仿宋_GB2312" w:eastAsia="方正仿宋_GB2312" w:cs="方正仿宋_GB2312"/>
          <w:sz w:val="28"/>
          <w:szCs w:val="28"/>
          <w:lang w:eastAsia="zh-CN"/>
        </w:rPr>
        <w:t>购项目</w:t>
      </w:r>
      <w:r>
        <w:rPr>
          <w:rFonts w:hint="eastAsia" w:ascii="方正仿宋_GB2312" w:hAnsi="方正仿宋_GB2312" w:eastAsia="方正仿宋_GB2312" w:cs="方正仿宋_GB2312"/>
          <w:bCs/>
          <w:color w:val="000000"/>
          <w:sz w:val="28"/>
          <w:szCs w:val="28"/>
        </w:rPr>
        <w:t>。</w:t>
      </w:r>
    </w:p>
    <w:p w14:paraId="3CD8DA63">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（二）采购需求：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0"/>
        <w:gridCol w:w="1163"/>
        <w:gridCol w:w="1313"/>
        <w:gridCol w:w="675"/>
        <w:gridCol w:w="1107"/>
        <w:gridCol w:w="1556"/>
        <w:gridCol w:w="937"/>
        <w:gridCol w:w="1374"/>
      </w:tblGrid>
      <w:tr w14:paraId="119AF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43" w:type="pct"/>
            <w:noWrap w:val="0"/>
            <w:vAlign w:val="center"/>
          </w:tcPr>
          <w:p w14:paraId="495804F6">
            <w:pPr>
              <w:pStyle w:val="58"/>
              <w:keepNext w:val="0"/>
              <w:keepLines w:val="0"/>
              <w:pageBreakBefore w:val="0"/>
              <w:widowControl w:val="0"/>
              <w:kinsoku/>
              <w:wordWrap w:val="0"/>
              <w:overflowPunct/>
              <w:topLinePunct w:val="0"/>
              <w:bidi w:val="0"/>
              <w:adjustRightInd w:val="0"/>
              <w:snapToGrid w:val="0"/>
              <w:spacing w:afterLines="0" w:line="240" w:lineRule="auto"/>
              <w:ind w:firstLine="0" w:firstLineChars="0"/>
              <w:jc w:val="center"/>
              <w:textAlignment w:val="auto"/>
              <w:rPr>
                <w:rFonts w:hint="eastAsia" w:ascii="仿宋" w:hAnsi="仿宋" w:eastAsia="仿宋" w:cs="仿宋"/>
                <w:b/>
                <w:bCs w:val="0"/>
                <w:color w:val="000000"/>
                <w:kern w:val="2"/>
                <w:sz w:val="28"/>
                <w:szCs w:val="28"/>
                <w:lang w:val="en-US" w:eastAsia="zh-CN" w:bidi="ar-SA"/>
              </w:rPr>
            </w:pPr>
            <w:bookmarkStart w:id="0" w:name="_Hlk191890472"/>
            <w:r>
              <w:rPr>
                <w:rFonts w:hint="eastAsia" w:ascii="仿宋" w:hAnsi="仿宋" w:eastAsia="仿宋" w:cs="仿宋"/>
                <w:b/>
                <w:bCs w:val="0"/>
                <w:color w:val="000000"/>
                <w:kern w:val="2"/>
                <w:sz w:val="28"/>
                <w:szCs w:val="28"/>
                <w:lang w:val="en-US" w:eastAsia="zh-CN" w:bidi="ar-SA"/>
              </w:rPr>
              <w:t>序号</w:t>
            </w:r>
          </w:p>
        </w:tc>
        <w:tc>
          <w:tcPr>
            <w:tcW w:w="652" w:type="pct"/>
            <w:noWrap w:val="0"/>
            <w:vAlign w:val="center"/>
          </w:tcPr>
          <w:p w14:paraId="6A80B100">
            <w:pPr>
              <w:pStyle w:val="58"/>
              <w:keepNext w:val="0"/>
              <w:keepLines w:val="0"/>
              <w:pageBreakBefore w:val="0"/>
              <w:widowControl w:val="0"/>
              <w:kinsoku/>
              <w:wordWrap w:val="0"/>
              <w:overflowPunct/>
              <w:topLinePunct w:val="0"/>
              <w:bidi w:val="0"/>
              <w:adjustRightInd w:val="0"/>
              <w:snapToGrid w:val="0"/>
              <w:spacing w:afterLines="0" w:line="240" w:lineRule="auto"/>
              <w:ind w:firstLine="0" w:firstLineChars="0"/>
              <w:jc w:val="center"/>
              <w:textAlignment w:val="auto"/>
              <w:rPr>
                <w:rFonts w:hint="eastAsia" w:ascii="仿宋" w:hAnsi="仿宋" w:eastAsia="仿宋" w:cs="仿宋"/>
                <w:b/>
                <w:bCs w:val="0"/>
                <w:color w:val="000000"/>
                <w:kern w:val="2"/>
                <w:sz w:val="28"/>
                <w:szCs w:val="28"/>
                <w:lang w:val="en-US" w:eastAsia="zh-CN" w:bidi="ar-SA"/>
              </w:rPr>
            </w:pPr>
            <w:r>
              <w:rPr>
                <w:rFonts w:hint="eastAsia" w:ascii="仿宋" w:hAnsi="仿宋" w:eastAsia="仿宋" w:cs="仿宋"/>
                <w:b/>
                <w:bCs w:val="0"/>
                <w:color w:val="000000"/>
                <w:kern w:val="2"/>
                <w:sz w:val="28"/>
                <w:szCs w:val="28"/>
                <w:lang w:val="en-US" w:eastAsia="zh-CN" w:bidi="ar-SA"/>
              </w:rPr>
              <w:t>名称</w:t>
            </w:r>
          </w:p>
        </w:tc>
        <w:tc>
          <w:tcPr>
            <w:tcW w:w="736" w:type="pct"/>
            <w:noWrap w:val="0"/>
            <w:vAlign w:val="center"/>
          </w:tcPr>
          <w:p w14:paraId="2A35688C">
            <w:pPr>
              <w:pStyle w:val="58"/>
              <w:keepNext w:val="0"/>
              <w:keepLines w:val="0"/>
              <w:pageBreakBefore w:val="0"/>
              <w:widowControl w:val="0"/>
              <w:kinsoku/>
              <w:wordWrap w:val="0"/>
              <w:overflowPunct/>
              <w:topLinePunct w:val="0"/>
              <w:bidi w:val="0"/>
              <w:adjustRightInd w:val="0"/>
              <w:snapToGrid w:val="0"/>
              <w:spacing w:afterLines="0" w:line="240" w:lineRule="auto"/>
              <w:ind w:firstLine="0" w:firstLineChars="0"/>
              <w:jc w:val="center"/>
              <w:textAlignment w:val="auto"/>
              <w:rPr>
                <w:rFonts w:hint="eastAsia" w:ascii="仿宋" w:hAnsi="仿宋" w:eastAsia="仿宋" w:cs="仿宋"/>
                <w:b/>
                <w:bCs w:val="0"/>
                <w:color w:val="000000"/>
                <w:kern w:val="2"/>
                <w:sz w:val="28"/>
                <w:szCs w:val="28"/>
                <w:lang w:val="en-US" w:eastAsia="zh-CN" w:bidi="ar-SA"/>
              </w:rPr>
            </w:pPr>
            <w:r>
              <w:rPr>
                <w:rFonts w:hint="eastAsia" w:ascii="仿宋" w:hAnsi="仿宋" w:eastAsia="仿宋" w:cs="仿宋"/>
                <w:b/>
                <w:bCs w:val="0"/>
                <w:color w:val="000000"/>
                <w:kern w:val="2"/>
                <w:sz w:val="28"/>
                <w:szCs w:val="28"/>
                <w:lang w:val="en-US" w:eastAsia="zh-CN" w:bidi="ar-SA"/>
              </w:rPr>
              <w:t>规格</w:t>
            </w:r>
          </w:p>
        </w:tc>
        <w:tc>
          <w:tcPr>
            <w:tcW w:w="378" w:type="pct"/>
            <w:noWrap w:val="0"/>
            <w:vAlign w:val="center"/>
          </w:tcPr>
          <w:p w14:paraId="514A91B2">
            <w:pPr>
              <w:pStyle w:val="58"/>
              <w:keepNext w:val="0"/>
              <w:keepLines w:val="0"/>
              <w:pageBreakBefore w:val="0"/>
              <w:widowControl w:val="0"/>
              <w:kinsoku/>
              <w:wordWrap w:val="0"/>
              <w:overflowPunct/>
              <w:topLinePunct w:val="0"/>
              <w:bidi w:val="0"/>
              <w:adjustRightInd w:val="0"/>
              <w:snapToGrid w:val="0"/>
              <w:spacing w:afterLines="0" w:line="240" w:lineRule="auto"/>
              <w:ind w:firstLine="0" w:firstLineChars="0"/>
              <w:jc w:val="center"/>
              <w:textAlignment w:val="auto"/>
              <w:rPr>
                <w:rFonts w:hint="eastAsia" w:ascii="仿宋" w:hAnsi="仿宋" w:eastAsia="仿宋" w:cs="仿宋"/>
                <w:b/>
                <w:bCs w:val="0"/>
                <w:color w:val="000000"/>
                <w:kern w:val="2"/>
                <w:sz w:val="28"/>
                <w:szCs w:val="28"/>
                <w:lang w:val="en-US" w:eastAsia="zh-CN" w:bidi="ar-SA"/>
              </w:rPr>
            </w:pPr>
            <w:r>
              <w:rPr>
                <w:rFonts w:hint="eastAsia" w:ascii="仿宋" w:hAnsi="仿宋" w:eastAsia="仿宋" w:cs="仿宋"/>
                <w:b/>
                <w:bCs w:val="0"/>
                <w:color w:val="000000"/>
                <w:kern w:val="2"/>
                <w:sz w:val="28"/>
                <w:szCs w:val="28"/>
                <w:lang w:val="en-US" w:eastAsia="zh-CN" w:bidi="ar-SA"/>
              </w:rPr>
              <w:t>单位</w:t>
            </w:r>
          </w:p>
        </w:tc>
        <w:tc>
          <w:tcPr>
            <w:tcW w:w="620" w:type="pct"/>
            <w:noWrap w:val="0"/>
            <w:vAlign w:val="center"/>
          </w:tcPr>
          <w:p w14:paraId="532D3D53">
            <w:pPr>
              <w:pStyle w:val="58"/>
              <w:keepNext w:val="0"/>
              <w:keepLines w:val="0"/>
              <w:pageBreakBefore w:val="0"/>
              <w:widowControl w:val="0"/>
              <w:kinsoku/>
              <w:wordWrap w:val="0"/>
              <w:overflowPunct/>
              <w:topLinePunct w:val="0"/>
              <w:bidi w:val="0"/>
              <w:adjustRightInd w:val="0"/>
              <w:snapToGrid w:val="0"/>
              <w:spacing w:afterLines="0" w:line="240" w:lineRule="auto"/>
              <w:ind w:firstLine="0" w:firstLineChars="0"/>
              <w:jc w:val="center"/>
              <w:textAlignment w:val="auto"/>
              <w:rPr>
                <w:rFonts w:hint="eastAsia" w:ascii="仿宋" w:hAnsi="仿宋" w:eastAsia="仿宋" w:cs="仿宋"/>
                <w:b/>
                <w:bCs w:val="0"/>
                <w:color w:val="000000"/>
                <w:kern w:val="2"/>
                <w:sz w:val="28"/>
                <w:szCs w:val="28"/>
                <w:lang w:val="en-US" w:eastAsia="zh-CN" w:bidi="ar-SA"/>
              </w:rPr>
            </w:pPr>
            <w:r>
              <w:rPr>
                <w:rFonts w:hint="eastAsia" w:ascii="仿宋" w:hAnsi="仿宋" w:eastAsia="仿宋" w:cs="仿宋"/>
                <w:b/>
                <w:bCs w:val="0"/>
                <w:color w:val="000000"/>
                <w:kern w:val="2"/>
                <w:sz w:val="28"/>
                <w:szCs w:val="28"/>
                <w:lang w:val="en-US" w:eastAsia="zh-CN" w:bidi="ar-SA"/>
              </w:rPr>
              <w:t>暂估量（吨）</w:t>
            </w:r>
          </w:p>
        </w:tc>
        <w:tc>
          <w:tcPr>
            <w:tcW w:w="872" w:type="pct"/>
            <w:noWrap w:val="0"/>
            <w:vAlign w:val="center"/>
          </w:tcPr>
          <w:p w14:paraId="0E0F00CD">
            <w:pPr>
              <w:pStyle w:val="58"/>
              <w:keepNext w:val="0"/>
              <w:keepLines w:val="0"/>
              <w:pageBreakBefore w:val="0"/>
              <w:widowControl w:val="0"/>
              <w:kinsoku/>
              <w:wordWrap w:val="0"/>
              <w:overflowPunct/>
              <w:topLinePunct w:val="0"/>
              <w:bidi w:val="0"/>
              <w:adjustRightInd w:val="0"/>
              <w:snapToGrid w:val="0"/>
              <w:spacing w:afterLines="0" w:line="240" w:lineRule="auto"/>
              <w:ind w:firstLine="0" w:firstLineChars="0"/>
              <w:jc w:val="center"/>
              <w:textAlignment w:val="auto"/>
              <w:rPr>
                <w:rFonts w:hint="eastAsia" w:ascii="仿宋" w:hAnsi="仿宋" w:eastAsia="仿宋" w:cs="仿宋"/>
                <w:b/>
                <w:bCs w:val="0"/>
                <w:color w:val="000000"/>
                <w:kern w:val="2"/>
                <w:sz w:val="28"/>
                <w:szCs w:val="28"/>
                <w:lang w:val="en-US" w:eastAsia="zh-CN" w:bidi="ar-SA"/>
              </w:rPr>
            </w:pPr>
            <w:r>
              <w:rPr>
                <w:rFonts w:hint="eastAsia" w:ascii="仿宋" w:hAnsi="仿宋" w:eastAsia="仿宋" w:cs="仿宋"/>
                <w:b/>
                <w:bCs w:val="0"/>
                <w:color w:val="000000"/>
                <w:kern w:val="2"/>
                <w:sz w:val="28"/>
                <w:szCs w:val="28"/>
                <w:lang w:val="en-US" w:eastAsia="zh-CN" w:bidi="ar-SA"/>
              </w:rPr>
              <w:t>含税上限单价（元/吨）</w:t>
            </w:r>
          </w:p>
        </w:tc>
        <w:tc>
          <w:tcPr>
            <w:tcW w:w="525" w:type="pct"/>
            <w:noWrap w:val="0"/>
            <w:vAlign w:val="center"/>
          </w:tcPr>
          <w:p w14:paraId="481330E1">
            <w:pPr>
              <w:pStyle w:val="58"/>
              <w:keepNext w:val="0"/>
              <w:keepLines w:val="0"/>
              <w:pageBreakBefore w:val="0"/>
              <w:widowControl w:val="0"/>
              <w:kinsoku/>
              <w:wordWrap w:val="0"/>
              <w:overflowPunct/>
              <w:topLinePunct w:val="0"/>
              <w:bidi w:val="0"/>
              <w:adjustRightInd w:val="0"/>
              <w:snapToGrid w:val="0"/>
              <w:spacing w:afterLines="0" w:line="240" w:lineRule="auto"/>
              <w:ind w:firstLine="0" w:firstLineChars="0"/>
              <w:jc w:val="center"/>
              <w:textAlignment w:val="auto"/>
              <w:rPr>
                <w:rFonts w:hint="eastAsia" w:ascii="仿宋" w:hAnsi="仿宋" w:eastAsia="仿宋" w:cs="仿宋"/>
                <w:b/>
                <w:bCs w:val="0"/>
                <w:color w:val="000000"/>
                <w:kern w:val="2"/>
                <w:sz w:val="28"/>
                <w:szCs w:val="28"/>
                <w:lang w:val="en-US" w:eastAsia="zh-CN" w:bidi="ar-SA"/>
              </w:rPr>
            </w:pPr>
            <w:r>
              <w:rPr>
                <w:rFonts w:hint="eastAsia" w:ascii="仿宋" w:hAnsi="仿宋" w:eastAsia="仿宋" w:cs="仿宋"/>
                <w:b/>
                <w:bCs w:val="0"/>
                <w:color w:val="000000"/>
                <w:kern w:val="2"/>
                <w:sz w:val="28"/>
                <w:szCs w:val="28"/>
                <w:lang w:val="en-US" w:eastAsia="zh-CN" w:bidi="ar-SA"/>
              </w:rPr>
              <w:t>送货地点</w:t>
            </w:r>
          </w:p>
        </w:tc>
        <w:tc>
          <w:tcPr>
            <w:tcW w:w="770" w:type="pct"/>
            <w:noWrap w:val="0"/>
            <w:vAlign w:val="center"/>
          </w:tcPr>
          <w:p w14:paraId="0CFD0CFF">
            <w:pPr>
              <w:pStyle w:val="58"/>
              <w:keepNext w:val="0"/>
              <w:keepLines w:val="0"/>
              <w:pageBreakBefore w:val="0"/>
              <w:widowControl w:val="0"/>
              <w:kinsoku/>
              <w:wordWrap w:val="0"/>
              <w:overflowPunct/>
              <w:topLinePunct w:val="0"/>
              <w:bidi w:val="0"/>
              <w:adjustRightInd w:val="0"/>
              <w:snapToGrid w:val="0"/>
              <w:spacing w:afterLines="0" w:line="240" w:lineRule="auto"/>
              <w:ind w:firstLine="0" w:firstLineChars="0"/>
              <w:jc w:val="center"/>
              <w:textAlignment w:val="auto"/>
              <w:rPr>
                <w:rFonts w:hint="eastAsia" w:ascii="仿宋" w:hAnsi="仿宋" w:eastAsia="仿宋" w:cs="仿宋"/>
                <w:b/>
                <w:bCs w:val="0"/>
                <w:color w:val="000000"/>
                <w:kern w:val="2"/>
                <w:sz w:val="28"/>
                <w:szCs w:val="28"/>
                <w:lang w:val="en-US" w:eastAsia="zh-CN" w:bidi="ar-SA"/>
              </w:rPr>
            </w:pPr>
            <w:r>
              <w:rPr>
                <w:rFonts w:hint="eastAsia" w:ascii="仿宋" w:hAnsi="仿宋" w:eastAsia="仿宋" w:cs="仿宋"/>
                <w:b/>
                <w:bCs w:val="0"/>
                <w:color w:val="000000"/>
                <w:kern w:val="2"/>
                <w:sz w:val="28"/>
                <w:szCs w:val="28"/>
                <w:lang w:val="en-US" w:eastAsia="zh-CN" w:bidi="ar-SA"/>
              </w:rPr>
              <w:t>备注</w:t>
            </w:r>
          </w:p>
        </w:tc>
      </w:tr>
      <w:tr w14:paraId="7FD79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atLeast"/>
          <w:jc w:val="center"/>
        </w:trPr>
        <w:tc>
          <w:tcPr>
            <w:tcW w:w="443" w:type="pct"/>
            <w:noWrap w:val="0"/>
            <w:vAlign w:val="center"/>
          </w:tcPr>
          <w:p w14:paraId="507DC488">
            <w:pPr>
              <w:pStyle w:val="58"/>
              <w:keepNext w:val="0"/>
              <w:keepLines w:val="0"/>
              <w:pageBreakBefore w:val="0"/>
              <w:widowControl w:val="0"/>
              <w:kinsoku/>
              <w:wordWrap w:val="0"/>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bCs/>
                <w:color w:val="000000"/>
                <w:kern w:val="2"/>
                <w:sz w:val="28"/>
                <w:szCs w:val="28"/>
                <w:lang w:val="en-US" w:eastAsia="zh-CN" w:bidi="ar-SA"/>
              </w:rPr>
            </w:pPr>
            <w:r>
              <w:rPr>
                <w:rFonts w:hint="eastAsia" w:ascii="仿宋" w:hAnsi="仿宋" w:eastAsia="仿宋" w:cs="仿宋"/>
                <w:bCs/>
                <w:color w:val="000000"/>
                <w:kern w:val="2"/>
                <w:sz w:val="28"/>
                <w:szCs w:val="28"/>
                <w:lang w:val="en-US" w:eastAsia="zh-CN" w:bidi="ar-SA"/>
              </w:rPr>
              <w:t>1</w:t>
            </w:r>
          </w:p>
        </w:tc>
        <w:tc>
          <w:tcPr>
            <w:tcW w:w="652" w:type="pct"/>
            <w:noWrap w:val="0"/>
            <w:vAlign w:val="center"/>
          </w:tcPr>
          <w:p w14:paraId="1E48B4CD">
            <w:pPr>
              <w:pStyle w:val="58"/>
              <w:keepNext w:val="0"/>
              <w:keepLines w:val="0"/>
              <w:pageBreakBefore w:val="0"/>
              <w:widowControl w:val="0"/>
              <w:kinsoku/>
              <w:wordWrap w:val="0"/>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bCs/>
                <w:color w:val="000000"/>
                <w:kern w:val="2"/>
                <w:sz w:val="28"/>
                <w:szCs w:val="28"/>
                <w:lang w:val="en-US" w:eastAsia="zh-CN" w:bidi="ar-SA"/>
              </w:rPr>
            </w:pPr>
            <w:r>
              <w:rPr>
                <w:rFonts w:hint="eastAsia" w:ascii="仿宋" w:hAnsi="仿宋" w:eastAsia="仿宋" w:cs="仿宋"/>
                <w:bCs/>
                <w:color w:val="000000"/>
                <w:kern w:val="2"/>
                <w:sz w:val="28"/>
                <w:szCs w:val="28"/>
                <w:lang w:val="en-US" w:eastAsia="zh-CN" w:bidi="ar-SA"/>
              </w:rPr>
              <w:t>聚丙烯酰胺阴离子</w:t>
            </w:r>
          </w:p>
        </w:tc>
        <w:tc>
          <w:tcPr>
            <w:tcW w:w="736" w:type="pct"/>
            <w:noWrap w:val="0"/>
            <w:vAlign w:val="center"/>
          </w:tcPr>
          <w:p w14:paraId="466DE15C">
            <w:pPr>
              <w:pStyle w:val="58"/>
              <w:keepNext w:val="0"/>
              <w:keepLines w:val="0"/>
              <w:pageBreakBefore w:val="0"/>
              <w:widowControl w:val="0"/>
              <w:kinsoku/>
              <w:wordWrap w:val="0"/>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bCs/>
                <w:color w:val="000000"/>
                <w:kern w:val="2"/>
                <w:sz w:val="28"/>
                <w:szCs w:val="28"/>
                <w:lang w:val="en-US" w:eastAsia="zh-CN" w:bidi="ar-SA"/>
              </w:rPr>
            </w:pPr>
            <w:r>
              <w:rPr>
                <w:rFonts w:hint="eastAsia" w:ascii="仿宋" w:hAnsi="仿宋" w:eastAsia="仿宋" w:cs="仿宋"/>
                <w:bCs/>
                <w:color w:val="000000"/>
                <w:kern w:val="2"/>
                <w:sz w:val="28"/>
                <w:szCs w:val="28"/>
                <w:lang w:val="en-US" w:eastAsia="zh-CN" w:bidi="ar-SA"/>
              </w:rPr>
              <w:t>分子量≥1200</w:t>
            </w:r>
          </w:p>
        </w:tc>
        <w:tc>
          <w:tcPr>
            <w:tcW w:w="378" w:type="pct"/>
            <w:noWrap w:val="0"/>
            <w:vAlign w:val="center"/>
          </w:tcPr>
          <w:p w14:paraId="1F1050B4">
            <w:pPr>
              <w:keepNext w:val="0"/>
              <w:keepLines w:val="0"/>
              <w:pageBreakBefore w:val="0"/>
              <w:widowControl w:val="0"/>
              <w:kinsoku/>
              <w:wordWrap w:val="0"/>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bCs/>
                <w:color w:val="000000"/>
                <w:kern w:val="2"/>
                <w:sz w:val="28"/>
                <w:szCs w:val="28"/>
                <w:lang w:val="en-US" w:eastAsia="zh-CN" w:bidi="ar-SA"/>
              </w:rPr>
            </w:pPr>
            <w:r>
              <w:rPr>
                <w:rFonts w:hint="eastAsia" w:ascii="仿宋" w:hAnsi="仿宋" w:eastAsia="仿宋" w:cs="仿宋"/>
                <w:bCs/>
                <w:color w:val="000000"/>
                <w:kern w:val="2"/>
                <w:sz w:val="28"/>
                <w:szCs w:val="28"/>
                <w:lang w:val="en-US" w:eastAsia="zh-CN" w:bidi="ar-SA"/>
              </w:rPr>
              <w:t>吨</w:t>
            </w:r>
          </w:p>
        </w:tc>
        <w:tc>
          <w:tcPr>
            <w:tcW w:w="620" w:type="pct"/>
            <w:noWrap w:val="0"/>
            <w:vAlign w:val="center"/>
          </w:tcPr>
          <w:p w14:paraId="375390FB">
            <w:pPr>
              <w:keepNext w:val="0"/>
              <w:keepLines w:val="0"/>
              <w:pageBreakBefore w:val="0"/>
              <w:widowControl w:val="0"/>
              <w:kinsoku/>
              <w:wordWrap w:val="0"/>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bCs/>
                <w:color w:val="000000"/>
                <w:kern w:val="2"/>
                <w:sz w:val="28"/>
                <w:szCs w:val="28"/>
                <w:lang w:val="en-US" w:eastAsia="zh-CN" w:bidi="ar-SA"/>
              </w:rPr>
            </w:pPr>
            <w:r>
              <w:rPr>
                <w:rFonts w:hint="eastAsia" w:ascii="仿宋" w:hAnsi="仿宋" w:eastAsia="仿宋" w:cs="仿宋"/>
                <w:bCs/>
                <w:color w:val="000000"/>
                <w:kern w:val="2"/>
                <w:sz w:val="28"/>
                <w:szCs w:val="28"/>
                <w:lang w:val="en-US" w:eastAsia="zh-CN" w:bidi="ar-SA"/>
              </w:rPr>
              <w:t>3</w:t>
            </w:r>
          </w:p>
        </w:tc>
        <w:tc>
          <w:tcPr>
            <w:tcW w:w="872" w:type="pct"/>
            <w:noWrap w:val="0"/>
            <w:vAlign w:val="center"/>
          </w:tcPr>
          <w:p w14:paraId="5BD73686">
            <w:pPr>
              <w:keepNext w:val="0"/>
              <w:keepLines w:val="0"/>
              <w:pageBreakBefore w:val="0"/>
              <w:widowControl w:val="0"/>
              <w:kinsoku/>
              <w:wordWrap w:val="0"/>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bCs/>
                <w:color w:val="000000"/>
                <w:kern w:val="2"/>
                <w:sz w:val="28"/>
                <w:szCs w:val="28"/>
                <w:lang w:val="en-US" w:eastAsia="zh-CN" w:bidi="ar-SA"/>
              </w:rPr>
            </w:pPr>
            <w:r>
              <w:rPr>
                <w:rFonts w:hint="eastAsia" w:ascii="仿宋" w:hAnsi="仿宋" w:eastAsia="仿宋" w:cs="仿宋"/>
                <w:bCs/>
                <w:color w:val="000000"/>
                <w:kern w:val="2"/>
                <w:sz w:val="28"/>
                <w:szCs w:val="28"/>
                <w:lang w:val="en-US" w:eastAsia="zh-CN" w:bidi="ar-SA"/>
              </w:rPr>
              <w:t>8000</w:t>
            </w:r>
          </w:p>
        </w:tc>
        <w:tc>
          <w:tcPr>
            <w:tcW w:w="525" w:type="pct"/>
            <w:vMerge w:val="restart"/>
            <w:noWrap w:val="0"/>
            <w:vAlign w:val="center"/>
          </w:tcPr>
          <w:p w14:paraId="21BB1D64">
            <w:pPr>
              <w:keepNext w:val="0"/>
              <w:keepLines w:val="0"/>
              <w:pageBreakBefore w:val="0"/>
              <w:widowControl w:val="0"/>
              <w:kinsoku/>
              <w:wordWrap w:val="0"/>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bCs/>
                <w:color w:val="000000"/>
                <w:kern w:val="2"/>
                <w:sz w:val="28"/>
                <w:szCs w:val="28"/>
                <w:lang w:val="en-US" w:eastAsia="zh-CN" w:bidi="ar-SA"/>
              </w:rPr>
            </w:pPr>
            <w:r>
              <w:rPr>
                <w:rFonts w:hint="eastAsia" w:ascii="仿宋" w:hAnsi="仿宋" w:eastAsia="仿宋" w:cs="仿宋"/>
                <w:bCs/>
                <w:color w:val="000000"/>
                <w:kern w:val="2"/>
                <w:sz w:val="28"/>
                <w:szCs w:val="28"/>
                <w:lang w:val="en-US" w:eastAsia="zh-CN" w:bidi="ar-SA"/>
              </w:rPr>
              <w:t>四川省攀枝花市</w:t>
            </w:r>
          </w:p>
        </w:tc>
        <w:tc>
          <w:tcPr>
            <w:tcW w:w="770" w:type="pct"/>
            <w:vMerge w:val="restart"/>
            <w:noWrap w:val="0"/>
            <w:vAlign w:val="center"/>
          </w:tcPr>
          <w:p w14:paraId="7339E089">
            <w:pPr>
              <w:keepNext w:val="0"/>
              <w:keepLines w:val="0"/>
              <w:pageBreakBefore w:val="0"/>
              <w:widowControl w:val="0"/>
              <w:kinsoku/>
              <w:wordWrap w:val="0"/>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bCs/>
                <w:color w:val="000000"/>
                <w:kern w:val="2"/>
                <w:sz w:val="28"/>
                <w:szCs w:val="28"/>
                <w:lang w:val="en-US" w:eastAsia="zh-CN" w:bidi="ar-SA"/>
              </w:rPr>
            </w:pPr>
            <w:r>
              <w:rPr>
                <w:rFonts w:hint="eastAsia" w:ascii="仿宋" w:hAnsi="仿宋" w:eastAsia="仿宋" w:cs="仿宋"/>
                <w:bCs/>
                <w:color w:val="000000"/>
                <w:kern w:val="2"/>
                <w:sz w:val="28"/>
                <w:szCs w:val="28"/>
                <w:lang w:val="en-US" w:eastAsia="zh-CN" w:bidi="ar-SA"/>
              </w:rPr>
              <w:t>采购数量为暂估量，具体以实际采购为准。</w:t>
            </w:r>
          </w:p>
        </w:tc>
      </w:tr>
      <w:tr w14:paraId="2F755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atLeast"/>
          <w:jc w:val="center"/>
        </w:trPr>
        <w:tc>
          <w:tcPr>
            <w:tcW w:w="443" w:type="pct"/>
            <w:noWrap w:val="0"/>
            <w:vAlign w:val="center"/>
          </w:tcPr>
          <w:p w14:paraId="469AB408">
            <w:pPr>
              <w:pStyle w:val="58"/>
              <w:keepNext w:val="0"/>
              <w:keepLines w:val="0"/>
              <w:pageBreakBefore w:val="0"/>
              <w:widowControl w:val="0"/>
              <w:kinsoku/>
              <w:wordWrap w:val="0"/>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bCs/>
                <w:color w:val="000000"/>
                <w:kern w:val="2"/>
                <w:sz w:val="28"/>
                <w:szCs w:val="28"/>
                <w:lang w:val="en-US" w:eastAsia="zh-CN" w:bidi="ar-SA"/>
              </w:rPr>
            </w:pPr>
            <w:r>
              <w:rPr>
                <w:rFonts w:hint="eastAsia" w:ascii="仿宋" w:hAnsi="仿宋" w:eastAsia="仿宋" w:cs="仿宋"/>
                <w:bCs/>
                <w:color w:val="000000"/>
                <w:kern w:val="2"/>
                <w:sz w:val="28"/>
                <w:szCs w:val="28"/>
                <w:lang w:val="en-US" w:eastAsia="zh-CN" w:bidi="ar-SA"/>
              </w:rPr>
              <w:t>2</w:t>
            </w:r>
          </w:p>
        </w:tc>
        <w:tc>
          <w:tcPr>
            <w:tcW w:w="652" w:type="pct"/>
            <w:noWrap w:val="0"/>
            <w:vAlign w:val="center"/>
          </w:tcPr>
          <w:p w14:paraId="3CE1C85D">
            <w:pPr>
              <w:pStyle w:val="58"/>
              <w:keepNext w:val="0"/>
              <w:keepLines w:val="0"/>
              <w:pageBreakBefore w:val="0"/>
              <w:widowControl w:val="0"/>
              <w:kinsoku/>
              <w:wordWrap w:val="0"/>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bCs/>
                <w:color w:val="000000"/>
                <w:kern w:val="2"/>
                <w:sz w:val="28"/>
                <w:szCs w:val="28"/>
                <w:lang w:val="en-US" w:eastAsia="zh-CN" w:bidi="ar-SA"/>
              </w:rPr>
            </w:pPr>
            <w:r>
              <w:rPr>
                <w:rFonts w:hint="eastAsia" w:ascii="仿宋" w:hAnsi="仿宋" w:eastAsia="仿宋" w:cs="仿宋"/>
                <w:bCs/>
                <w:color w:val="000000"/>
                <w:kern w:val="2"/>
                <w:sz w:val="28"/>
                <w:szCs w:val="28"/>
                <w:lang w:val="en-US" w:eastAsia="zh-CN" w:bidi="ar-SA"/>
              </w:rPr>
              <w:t>聚丙烯酰胺阳离子</w:t>
            </w:r>
          </w:p>
        </w:tc>
        <w:tc>
          <w:tcPr>
            <w:tcW w:w="736" w:type="pct"/>
            <w:noWrap w:val="0"/>
            <w:vAlign w:val="center"/>
          </w:tcPr>
          <w:p w14:paraId="6011997E">
            <w:pPr>
              <w:pStyle w:val="58"/>
              <w:keepNext w:val="0"/>
              <w:keepLines w:val="0"/>
              <w:pageBreakBefore w:val="0"/>
              <w:widowControl w:val="0"/>
              <w:kinsoku/>
              <w:wordWrap w:val="0"/>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bCs/>
                <w:color w:val="000000"/>
                <w:kern w:val="2"/>
                <w:sz w:val="28"/>
                <w:szCs w:val="28"/>
                <w:lang w:val="en-US" w:eastAsia="zh-CN" w:bidi="ar-SA"/>
              </w:rPr>
            </w:pPr>
            <w:r>
              <w:rPr>
                <w:rFonts w:hint="eastAsia" w:ascii="仿宋" w:hAnsi="仿宋" w:eastAsia="仿宋" w:cs="仿宋"/>
                <w:bCs/>
                <w:color w:val="000000"/>
                <w:kern w:val="2"/>
                <w:sz w:val="28"/>
                <w:szCs w:val="28"/>
                <w:lang w:val="en-US" w:eastAsia="zh-CN" w:bidi="ar-SA"/>
              </w:rPr>
              <w:t>阳离子度≥40%</w:t>
            </w:r>
          </w:p>
        </w:tc>
        <w:tc>
          <w:tcPr>
            <w:tcW w:w="378" w:type="pct"/>
            <w:noWrap w:val="0"/>
            <w:vAlign w:val="center"/>
          </w:tcPr>
          <w:p w14:paraId="3060448E">
            <w:pPr>
              <w:keepNext w:val="0"/>
              <w:keepLines w:val="0"/>
              <w:pageBreakBefore w:val="0"/>
              <w:widowControl w:val="0"/>
              <w:kinsoku/>
              <w:wordWrap w:val="0"/>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bCs/>
                <w:color w:val="000000"/>
                <w:kern w:val="2"/>
                <w:sz w:val="28"/>
                <w:szCs w:val="28"/>
                <w:lang w:val="en-US" w:eastAsia="zh-CN" w:bidi="ar-SA"/>
              </w:rPr>
            </w:pPr>
            <w:r>
              <w:rPr>
                <w:rFonts w:hint="eastAsia" w:ascii="仿宋" w:hAnsi="仿宋" w:eastAsia="仿宋" w:cs="仿宋"/>
                <w:bCs/>
                <w:color w:val="000000"/>
                <w:kern w:val="2"/>
                <w:sz w:val="28"/>
                <w:szCs w:val="28"/>
                <w:lang w:val="en-US" w:eastAsia="zh-CN" w:bidi="ar-SA"/>
              </w:rPr>
              <w:t>吨</w:t>
            </w:r>
          </w:p>
        </w:tc>
        <w:tc>
          <w:tcPr>
            <w:tcW w:w="620" w:type="pct"/>
            <w:noWrap w:val="0"/>
            <w:vAlign w:val="center"/>
          </w:tcPr>
          <w:p w14:paraId="48DC2159">
            <w:pPr>
              <w:keepNext w:val="0"/>
              <w:keepLines w:val="0"/>
              <w:pageBreakBefore w:val="0"/>
              <w:widowControl w:val="0"/>
              <w:kinsoku/>
              <w:wordWrap w:val="0"/>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bCs/>
                <w:color w:val="000000"/>
                <w:kern w:val="2"/>
                <w:sz w:val="28"/>
                <w:szCs w:val="28"/>
                <w:lang w:val="en-US" w:eastAsia="zh-CN" w:bidi="ar-SA"/>
              </w:rPr>
            </w:pPr>
            <w:r>
              <w:rPr>
                <w:rFonts w:hint="eastAsia" w:ascii="仿宋" w:hAnsi="仿宋" w:eastAsia="仿宋" w:cs="仿宋"/>
                <w:bCs/>
                <w:color w:val="000000"/>
                <w:kern w:val="2"/>
                <w:sz w:val="28"/>
                <w:szCs w:val="28"/>
                <w:lang w:val="en-US" w:eastAsia="zh-CN" w:bidi="ar-SA"/>
              </w:rPr>
              <w:t>5</w:t>
            </w:r>
          </w:p>
        </w:tc>
        <w:tc>
          <w:tcPr>
            <w:tcW w:w="872" w:type="pct"/>
            <w:noWrap w:val="0"/>
            <w:vAlign w:val="center"/>
          </w:tcPr>
          <w:p w14:paraId="4CFD8CEE">
            <w:pPr>
              <w:keepNext w:val="0"/>
              <w:keepLines w:val="0"/>
              <w:pageBreakBefore w:val="0"/>
              <w:widowControl w:val="0"/>
              <w:kinsoku/>
              <w:wordWrap w:val="0"/>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bCs/>
                <w:color w:val="000000"/>
                <w:kern w:val="2"/>
                <w:sz w:val="28"/>
                <w:szCs w:val="28"/>
                <w:lang w:val="en-US" w:eastAsia="zh-CN" w:bidi="ar-SA"/>
              </w:rPr>
            </w:pPr>
            <w:r>
              <w:rPr>
                <w:rFonts w:hint="eastAsia" w:ascii="仿宋" w:hAnsi="仿宋" w:eastAsia="仿宋" w:cs="仿宋"/>
                <w:bCs/>
                <w:color w:val="000000"/>
                <w:kern w:val="2"/>
                <w:sz w:val="28"/>
                <w:szCs w:val="28"/>
                <w:lang w:val="en-US" w:eastAsia="zh-CN" w:bidi="ar-SA"/>
              </w:rPr>
              <w:t>15000</w:t>
            </w:r>
          </w:p>
        </w:tc>
        <w:tc>
          <w:tcPr>
            <w:tcW w:w="525" w:type="pct"/>
            <w:vMerge w:val="continue"/>
            <w:noWrap w:val="0"/>
            <w:vAlign w:val="center"/>
          </w:tcPr>
          <w:p w14:paraId="3E1AC412">
            <w:pPr>
              <w:keepNext w:val="0"/>
              <w:keepLines w:val="0"/>
              <w:pageBreakBefore w:val="0"/>
              <w:widowControl w:val="0"/>
              <w:kinsoku/>
              <w:wordWrap w:val="0"/>
              <w:overflowPunct/>
              <w:topLinePunct w:val="0"/>
              <w:autoSpaceDE w:val="0"/>
              <w:autoSpaceDN w:val="0"/>
              <w:bidi w:val="0"/>
              <w:adjustRightInd w:val="0"/>
              <w:snapToGrid w:val="0"/>
              <w:jc w:val="center"/>
              <w:textAlignment w:val="auto"/>
              <w:rPr>
                <w:rFonts w:hint="eastAsia" w:ascii="仿宋" w:hAnsi="仿宋" w:eastAsia="仿宋" w:cs="仿宋"/>
                <w:bCs/>
                <w:color w:val="000000"/>
                <w:kern w:val="2"/>
                <w:sz w:val="28"/>
                <w:szCs w:val="28"/>
                <w:lang w:val="en-US" w:eastAsia="zh-CN" w:bidi="ar-SA"/>
              </w:rPr>
            </w:pPr>
          </w:p>
        </w:tc>
        <w:tc>
          <w:tcPr>
            <w:tcW w:w="770" w:type="pct"/>
            <w:vMerge w:val="continue"/>
            <w:noWrap w:val="0"/>
            <w:vAlign w:val="center"/>
          </w:tcPr>
          <w:p w14:paraId="1EF16F4E">
            <w:pPr>
              <w:keepNext w:val="0"/>
              <w:keepLines w:val="0"/>
              <w:pageBreakBefore w:val="0"/>
              <w:widowControl w:val="0"/>
              <w:kinsoku/>
              <w:wordWrap w:val="0"/>
              <w:overflowPunct/>
              <w:topLinePunct w:val="0"/>
              <w:autoSpaceDE w:val="0"/>
              <w:autoSpaceDN w:val="0"/>
              <w:bidi w:val="0"/>
              <w:adjustRightInd w:val="0"/>
              <w:snapToGrid w:val="0"/>
              <w:jc w:val="left"/>
              <w:textAlignment w:val="auto"/>
              <w:rPr>
                <w:rFonts w:hint="eastAsia" w:ascii="仿宋" w:hAnsi="仿宋" w:eastAsia="仿宋" w:cs="仿宋"/>
                <w:bCs/>
                <w:color w:val="000000"/>
                <w:kern w:val="2"/>
                <w:sz w:val="28"/>
                <w:szCs w:val="28"/>
                <w:lang w:val="en-US" w:eastAsia="zh-CN" w:bidi="ar-SA"/>
              </w:rPr>
            </w:pPr>
          </w:p>
        </w:tc>
      </w:tr>
    </w:tbl>
    <w:p w14:paraId="594D5F99">
      <w:pPr>
        <w:keepNext w:val="0"/>
        <w:keepLines w:val="0"/>
        <w:pageBreakBefore w:val="0"/>
        <w:widowControl/>
        <w:kinsoku/>
        <w:wordWrap/>
        <w:overflowPunct/>
        <w:topLinePunct w:val="0"/>
        <w:autoSpaceDE/>
        <w:autoSpaceDN/>
        <w:bidi w:val="0"/>
        <w:adjustRightInd/>
        <w:snapToGrid/>
        <w:spacing w:afterLines="0" w:line="500" w:lineRule="exact"/>
        <w:ind w:firstLine="562" w:firstLineChars="200"/>
        <w:jc w:val="left"/>
        <w:textAlignment w:val="auto"/>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本项目</w:t>
      </w:r>
      <w:r>
        <w:rPr>
          <w:rFonts w:hint="eastAsia" w:ascii="方正仿宋_GB2312" w:hAnsi="方正仿宋_GB2312" w:eastAsia="方正仿宋_GB2312" w:cs="方正仿宋_GB2312"/>
          <w:bCs/>
          <w:color w:val="000000"/>
          <w:sz w:val="28"/>
          <w:szCs w:val="28"/>
          <w:lang w:val="en-US" w:eastAsia="zh-CN"/>
        </w:rPr>
        <w:t>以</w:t>
      </w:r>
      <w:r>
        <w:rPr>
          <w:rFonts w:hint="eastAsia" w:ascii="方正仿宋_GB2312" w:hAnsi="方正仿宋_GB2312" w:eastAsia="方正仿宋_GB2312" w:cs="方正仿宋_GB2312"/>
          <w:bCs/>
          <w:color w:val="000000"/>
          <w:sz w:val="28"/>
          <w:szCs w:val="28"/>
        </w:rPr>
        <w:t>单价</w:t>
      </w:r>
      <w:r>
        <w:rPr>
          <w:rFonts w:hint="eastAsia" w:ascii="方正仿宋_GB2312" w:hAnsi="方正仿宋_GB2312" w:eastAsia="方正仿宋_GB2312" w:cs="方正仿宋_GB2312"/>
          <w:bCs/>
          <w:color w:val="000000"/>
          <w:sz w:val="28"/>
          <w:szCs w:val="28"/>
          <w:lang w:val="en-US" w:eastAsia="zh-CN"/>
        </w:rPr>
        <w:t>报价为准</w:t>
      </w:r>
      <w:r>
        <w:rPr>
          <w:rFonts w:hint="eastAsia" w:ascii="方正仿宋_GB2312" w:hAnsi="方正仿宋_GB2312" w:eastAsia="方正仿宋_GB2312" w:cs="方正仿宋_GB2312"/>
          <w:bCs/>
          <w:color w:val="000000"/>
          <w:sz w:val="28"/>
          <w:szCs w:val="28"/>
        </w:rPr>
        <w:t>，签订单价合同，据实结算。</w:t>
      </w:r>
    </w:p>
    <w:p w14:paraId="680F7A4C">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ascii="Times New Roman" w:hAnsi="Times New Roman" w:eastAsia="方正仿宋_GB2312"/>
          <w:bCs/>
          <w:color w:val="000000"/>
          <w:sz w:val="28"/>
          <w:szCs w:val="28"/>
        </w:rPr>
      </w:pPr>
      <w:r>
        <w:rPr>
          <w:rFonts w:hint="eastAsia" w:ascii="Times New Roman" w:hAnsi="Times New Roman" w:eastAsia="方正仿宋_GB2312"/>
          <w:bCs/>
          <w:color w:val="000000"/>
          <w:sz w:val="28"/>
          <w:szCs w:val="28"/>
        </w:rPr>
        <w:t>（一）采购期限：</w:t>
      </w:r>
      <w:r>
        <w:rPr>
          <w:rFonts w:hint="eastAsia" w:ascii="方正仿宋_GB2312" w:hAnsi="方正仿宋_GB2312" w:eastAsia="方正仿宋_GB2312" w:cs="方正仿宋_GB2312"/>
          <w:bCs/>
          <w:color w:val="000000"/>
          <w:sz w:val="28"/>
          <w:szCs w:val="28"/>
          <w:highlight w:val="none"/>
        </w:rPr>
        <w:t>合同签订之日起</w:t>
      </w:r>
      <w:r>
        <w:rPr>
          <w:rFonts w:hint="eastAsia" w:ascii="方正仿宋_GB2312" w:hAnsi="方正仿宋_GB2312" w:eastAsia="方正仿宋_GB2312" w:cs="方正仿宋_GB2312"/>
          <w:bCs/>
          <w:color w:val="000000"/>
          <w:sz w:val="28"/>
          <w:szCs w:val="28"/>
          <w:highlight w:val="none"/>
          <w:lang w:val="en-US" w:eastAsia="zh-CN"/>
        </w:rPr>
        <w:t>6个月</w:t>
      </w:r>
      <w:r>
        <w:rPr>
          <w:rFonts w:hint="eastAsia" w:ascii="方正仿宋_GB2312" w:hAnsi="方正仿宋_GB2312" w:eastAsia="方正仿宋_GB2312" w:cs="方正仿宋_GB2312"/>
          <w:bCs/>
          <w:color w:val="000000"/>
          <w:sz w:val="28"/>
          <w:szCs w:val="28"/>
          <w:highlight w:val="none"/>
        </w:rPr>
        <w:t>，</w:t>
      </w:r>
      <w:r>
        <w:rPr>
          <w:rFonts w:hint="eastAsia" w:ascii="Times New Roman" w:hAnsi="Times New Roman" w:eastAsia="方正仿宋_GB2312"/>
          <w:bCs/>
          <w:color w:val="000000"/>
          <w:sz w:val="28"/>
          <w:szCs w:val="28"/>
          <w:highlight w:val="none"/>
        </w:rPr>
        <w:t>具体</w:t>
      </w:r>
      <w:r>
        <w:rPr>
          <w:rFonts w:hint="eastAsia" w:ascii="Times New Roman" w:hAnsi="Times New Roman" w:eastAsia="方正仿宋_GB2312"/>
          <w:bCs/>
          <w:color w:val="000000"/>
          <w:sz w:val="28"/>
          <w:szCs w:val="28"/>
        </w:rPr>
        <w:t>起止时间以合同签订为准。</w:t>
      </w:r>
    </w:p>
    <w:bookmarkEnd w:id="0"/>
    <w:p w14:paraId="34AE6F61">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Times New Roman" w:hAnsi="Times New Roman" w:eastAsia="方正仿宋_GB2312"/>
          <w:bCs/>
          <w:color w:val="000000"/>
          <w:sz w:val="28"/>
          <w:szCs w:val="28"/>
        </w:rPr>
        <w:t>（二）交货时间：</w:t>
      </w:r>
      <w:r>
        <w:rPr>
          <w:rFonts w:hint="eastAsia" w:ascii="方正仿宋_GB2312" w:hAnsi="方正仿宋_GB2312" w:eastAsia="方正仿宋_GB2312" w:cs="方正仿宋_GB2312"/>
          <w:bCs/>
          <w:color w:val="000000"/>
          <w:sz w:val="28"/>
          <w:szCs w:val="28"/>
        </w:rPr>
        <w:t>成交供应商接到采购人通知后须</w:t>
      </w:r>
      <w:r>
        <w:rPr>
          <w:rFonts w:hint="eastAsia" w:ascii="仿宋_GB2312" w:hAnsi="仿宋_GB2312" w:eastAsia="仿宋_GB2312" w:cs="仿宋_GB2312"/>
          <w:b/>
          <w:color w:val="000000"/>
          <w:sz w:val="28"/>
          <w:szCs w:val="28"/>
          <w:lang w:val="en-US" w:eastAsia="zh-CN"/>
        </w:rPr>
        <w:t>3天</w:t>
      </w:r>
      <w:r>
        <w:rPr>
          <w:rFonts w:hint="eastAsia" w:ascii="仿宋_GB2312" w:hAnsi="仿宋_GB2312" w:eastAsia="仿宋_GB2312" w:cs="仿宋_GB2312"/>
          <w:b/>
          <w:color w:val="000000"/>
          <w:sz w:val="28"/>
          <w:szCs w:val="28"/>
        </w:rPr>
        <w:t>内</w:t>
      </w:r>
      <w:r>
        <w:rPr>
          <w:rFonts w:hint="eastAsia" w:ascii="方正仿宋_GB2312" w:hAnsi="方正仿宋_GB2312" w:eastAsia="方正仿宋_GB2312" w:cs="方正仿宋_GB2312"/>
          <w:bCs/>
          <w:color w:val="000000"/>
          <w:sz w:val="28"/>
          <w:szCs w:val="28"/>
        </w:rPr>
        <w:t>送达，紧急情况下</w:t>
      </w:r>
      <w:r>
        <w:rPr>
          <w:rFonts w:hint="eastAsia" w:ascii="仿宋_GB2312" w:hAnsi="仿宋_GB2312" w:eastAsia="仿宋_GB2312" w:cs="仿宋_GB2312"/>
          <w:b/>
          <w:color w:val="000000"/>
          <w:sz w:val="28"/>
          <w:szCs w:val="28"/>
          <w:lang w:val="en-US" w:eastAsia="zh-CN"/>
        </w:rPr>
        <w:t>1天</w:t>
      </w:r>
      <w:r>
        <w:rPr>
          <w:rFonts w:hint="eastAsia" w:ascii="仿宋_GB2312" w:hAnsi="仿宋_GB2312" w:eastAsia="仿宋_GB2312" w:cs="仿宋_GB2312"/>
          <w:b/>
          <w:color w:val="000000"/>
          <w:sz w:val="28"/>
          <w:szCs w:val="28"/>
        </w:rPr>
        <w:t>内</w:t>
      </w:r>
      <w:r>
        <w:rPr>
          <w:rFonts w:hint="eastAsia" w:ascii="方正仿宋_GB2312" w:hAnsi="方正仿宋_GB2312" w:eastAsia="方正仿宋_GB2312" w:cs="方正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（三）付款方式：按月核对，</w:t>
      </w:r>
      <w:r>
        <w:rPr>
          <w:rFonts w:hint="eastAsia" w:ascii="方正仿宋_GB2312" w:hAnsi="方正仿宋_GB2312" w:eastAsia="方正仿宋_GB2312" w:cs="方正仿宋_GB2312"/>
          <w:sz w:val="28"/>
          <w:szCs w:val="28"/>
        </w:rPr>
        <w:t>每月</w:t>
      </w:r>
      <w:r>
        <w:rPr>
          <w:rFonts w:hint="eastAsia" w:ascii="方正仿宋_GB2312" w:hAnsi="方正仿宋_GB2312" w:eastAsia="方正仿宋_GB2312" w:cs="方正仿宋_GB2312"/>
          <w:sz w:val="28"/>
          <w:szCs w:val="28"/>
          <w:u w:val="single"/>
        </w:rPr>
        <w:t>2</w:t>
      </w:r>
      <w:r>
        <w:rPr>
          <w:rFonts w:hint="eastAsia" w:ascii="方正仿宋_GB2312" w:hAnsi="方正仿宋_GB2312" w:eastAsia="方正仿宋_GB2312" w:cs="方正仿宋_GB2312"/>
          <w:sz w:val="28"/>
          <w:szCs w:val="28"/>
          <w:u w:val="single"/>
          <w:lang w:val="en-US" w:eastAsia="zh-CN"/>
        </w:rPr>
        <w:t>0</w:t>
      </w:r>
      <w:r>
        <w:rPr>
          <w:rFonts w:hint="eastAsia" w:ascii="方正仿宋_GB2312" w:hAnsi="方正仿宋_GB2312" w:eastAsia="方正仿宋_GB2312" w:cs="方正仿宋_GB2312"/>
          <w:sz w:val="28"/>
          <w:szCs w:val="28"/>
          <w:u w:val="single"/>
        </w:rPr>
        <w:t>日</w:t>
      </w:r>
      <w:r>
        <w:rPr>
          <w:rFonts w:hint="eastAsia" w:ascii="方正仿宋_GB2312" w:hAnsi="方正仿宋_GB2312" w:eastAsia="方正仿宋_GB2312" w:cs="方正仿宋_GB2312"/>
          <w:sz w:val="28"/>
          <w:szCs w:val="28"/>
        </w:rPr>
        <w:t>核对</w:t>
      </w:r>
      <w:r>
        <w:rPr>
          <w:rFonts w:hint="eastAsia" w:ascii="方正仿宋_GB2312" w:hAnsi="方正仿宋_GB2312" w:eastAsia="方正仿宋_GB2312" w:cs="方正仿宋_GB2312"/>
          <w:sz w:val="28"/>
          <w:szCs w:val="28"/>
          <w:lang w:val="en-US" w:eastAsia="zh-CN"/>
        </w:rPr>
        <w:t>月度</w:t>
      </w:r>
      <w:r>
        <w:rPr>
          <w:rFonts w:hint="eastAsia" w:ascii="方正仿宋_GB2312" w:hAnsi="方正仿宋_GB2312" w:eastAsia="方正仿宋_GB2312" w:cs="方正仿宋_GB2312"/>
          <w:sz w:val="28"/>
          <w:szCs w:val="28"/>
        </w:rPr>
        <w:t>验收合格的产品采购数量及价款</w:t>
      </w:r>
      <w:r>
        <w:rPr>
          <w:rFonts w:hint="eastAsia" w:ascii="方正仿宋_GB2312" w:hAnsi="方正仿宋_GB2312" w:eastAsia="方正仿宋_GB2312" w:cs="方正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4ACC622B">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（四）参选样品小试实验要求：为了验证参选单位供货产品质量，更好地满足采购人生产需求，本项目评审前需进行小试实验。参选单位需于2026年1月</w:t>
      </w:r>
      <w:r>
        <w:rPr>
          <w:rFonts w:hint="eastAsia" w:ascii="方正仿宋_GB2312" w:hAnsi="方正仿宋_GB2312" w:eastAsia="方正仿宋_GB2312" w:cs="方正仿宋_GB2312"/>
          <w:bCs/>
          <w:color w:val="000000"/>
          <w:sz w:val="28"/>
          <w:szCs w:val="28"/>
          <w:lang w:val="en-US" w:eastAsia="zh-CN"/>
        </w:rPr>
        <w:t>10</w:t>
      </w:r>
      <w:r>
        <w:rPr>
          <w:rFonts w:hint="eastAsia" w:ascii="方正仿宋_GB2312" w:hAnsi="方正仿宋_GB2312" w:eastAsia="方正仿宋_GB2312" w:cs="方正仿宋_GB2312"/>
          <w:bCs/>
          <w:color w:val="000000"/>
          <w:sz w:val="28"/>
          <w:szCs w:val="28"/>
        </w:rPr>
        <w:t>日18:00前邮寄提交500g样品至采购人处（邮寄地址：深圳市宝安区松岗街道松岗水质净化厂二期研发实验室，李工，19574823608），由采购人完成小试实验后，实验结果作为评选标准，小试实验结果不达标，中标单位顺延。若参选单位未按要求寄送参选样品，则视为弃标。</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bookmarkStart w:id="1" w:name="_Hlk173241672"/>
      <w:r>
        <w:rPr>
          <w:rFonts w:hint="eastAsia" w:ascii="方正仿宋_GB2312" w:hAnsi="方正仿宋_GB2312" w:eastAsia="方正仿宋_GB2312" w:cs="方正仿宋_GB2312"/>
          <w:bCs/>
          <w:color w:val="000000"/>
          <w:sz w:val="28"/>
          <w:szCs w:val="28"/>
        </w:rPr>
        <w:t>（一）须在中华人民共和国境内注册，具备独立承担民事责任的能力（报价文件内提供有效的营业执照复印件加盖公章、业务章或合同章（三选一））；</w:t>
      </w:r>
    </w:p>
    <w:p w14:paraId="2A74B632">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（三）财务状况要求：近一年内或成立至今（成立不足一年的单位）财务状况无亏损或净资产大于0（由供应商在《承诺函》中作出声明）；</w:t>
      </w:r>
    </w:p>
    <w:p w14:paraId="074ED145">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（四）近两年内（202</w:t>
      </w:r>
      <w:r>
        <w:rPr>
          <w:rFonts w:hint="eastAsia" w:ascii="方正仿宋_GB2312" w:hAnsi="方正仿宋_GB2312" w:eastAsia="方正仿宋_GB2312" w:cs="方正仿宋_GB2312"/>
          <w:bCs/>
          <w:color w:val="000000"/>
          <w:sz w:val="28"/>
          <w:szCs w:val="28"/>
          <w:lang w:val="en-US" w:eastAsia="zh-CN"/>
        </w:rPr>
        <w:t>4</w:t>
      </w:r>
      <w:r>
        <w:rPr>
          <w:rFonts w:hint="eastAsia" w:ascii="方正仿宋_GB2312" w:hAnsi="方正仿宋_GB2312" w:eastAsia="方正仿宋_GB2312" w:cs="方正仿宋_GB2312"/>
          <w:bCs/>
          <w:color w:val="000000"/>
          <w:sz w:val="28"/>
          <w:szCs w:val="28"/>
        </w:rPr>
        <w:t>年</w:t>
      </w:r>
      <w:r>
        <w:rPr>
          <w:rFonts w:hint="eastAsia" w:ascii="方正仿宋_GB2312" w:hAnsi="方正仿宋_GB2312" w:eastAsia="方正仿宋_GB2312" w:cs="方正仿宋_GB2312"/>
          <w:bCs/>
          <w:color w:val="000000"/>
          <w:sz w:val="28"/>
          <w:szCs w:val="28"/>
          <w:lang w:val="en-US" w:eastAsia="zh-CN"/>
        </w:rPr>
        <w:t>1</w:t>
      </w:r>
      <w:r>
        <w:rPr>
          <w:rFonts w:hint="eastAsia" w:ascii="方正仿宋_GB2312" w:hAnsi="方正仿宋_GB2312" w:eastAsia="方正仿宋_GB2312" w:cs="方正仿宋_GB2312"/>
          <w:bCs/>
          <w:color w:val="000000"/>
          <w:sz w:val="28"/>
          <w:szCs w:val="28"/>
        </w:rPr>
        <w:t>月至今）或成立至今（成立不足两年的单位）至少具备一项正在实施或已完成的类似业绩（由供应商在《承诺函》中作出声明）；</w:t>
      </w:r>
    </w:p>
    <w:p w14:paraId="75BEEDF3">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（五）单位负责人为同一人或者存在直接控股、管理关系的不同供应商，不得参加同一合同项下的采购活动（由供应商在《承诺函》中作出声明）；</w:t>
      </w:r>
    </w:p>
    <w:p w14:paraId="38BB71B9">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（六）不接受联合体参选（由供应商在《承诺函》中作出声明）。</w:t>
      </w:r>
    </w:p>
    <w:p w14:paraId="3E8EAC22">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highlight w:val="none"/>
        </w:rPr>
      </w:pPr>
      <w:r>
        <w:rPr>
          <w:rFonts w:hint="eastAsia" w:ascii="方正仿宋_GB2312" w:hAnsi="方正仿宋_GB2312" w:eastAsia="方正仿宋_GB2312" w:cs="方正仿宋_GB2312"/>
          <w:bCs/>
          <w:color w:val="000000"/>
          <w:sz w:val="28"/>
          <w:szCs w:val="28"/>
        </w:rPr>
        <w:t>（七）</w:t>
      </w:r>
      <w:r>
        <w:rPr>
          <w:rFonts w:hint="eastAsia" w:ascii="方正仿宋_GB2312" w:hAnsi="方正仿宋_GB2312" w:eastAsia="方正仿宋_GB2312" w:cs="方正仿宋_GB2312"/>
          <w:sz w:val="28"/>
          <w:szCs w:val="28"/>
        </w:rPr>
        <w:t>特定资格要</w:t>
      </w:r>
      <w:r>
        <w:rPr>
          <w:rFonts w:hint="eastAsia" w:ascii="方正仿宋_GB2312" w:hAnsi="方正仿宋_GB2312" w:eastAsia="方正仿宋_GB2312" w:cs="方正仿宋_GB2312"/>
          <w:sz w:val="28"/>
          <w:szCs w:val="28"/>
          <w:highlight w:val="none"/>
        </w:rPr>
        <w:t>求：</w:t>
      </w:r>
      <w:r>
        <w:rPr>
          <w:rFonts w:hint="eastAsia" w:ascii="方正仿宋_GB2312" w:hAnsi="方正仿宋_GB2312" w:eastAsia="方正仿宋_GB2312" w:cs="方正仿宋_GB2312"/>
          <w:sz w:val="28"/>
          <w:szCs w:val="28"/>
          <w:highlight w:val="none"/>
          <w:lang w:val="en-US" w:eastAsia="zh-CN"/>
        </w:rPr>
        <w:t>无</w:t>
      </w:r>
      <w:r>
        <w:rPr>
          <w:rFonts w:hint="eastAsia" w:ascii="方正仿宋_GB2312" w:hAnsi="方正仿宋_GB2312" w:eastAsia="方正仿宋_GB2312" w:cs="方正仿宋_GB2312"/>
          <w:bCs/>
          <w:color w:val="000000"/>
          <w:sz w:val="28"/>
          <w:szCs w:val="28"/>
          <w:highlight w:val="none"/>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highlight w:val="none"/>
        </w:rPr>
      </w:pPr>
      <w:r>
        <w:rPr>
          <w:rFonts w:hint="eastAsia" w:ascii="Times New Roman" w:hAnsi="Times New Roman" w:eastAsia="黑体" w:cs="黑体"/>
          <w:bCs/>
          <w:color w:val="000000"/>
          <w:kern w:val="0"/>
          <w:sz w:val="32"/>
          <w:szCs w:val="32"/>
          <w:highlight w:val="none"/>
        </w:rPr>
        <w:t>三、参选文件要求</w:t>
      </w:r>
    </w:p>
    <w:p w14:paraId="61D678BA">
      <w:pPr>
        <w:keepNext w:val="0"/>
        <w:keepLines w:val="0"/>
        <w:pageBreakBefore w:val="0"/>
        <w:widowControl/>
        <w:tabs>
          <w:tab w:val="left" w:pos="7665"/>
        </w:tabs>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kern w:val="0"/>
          <w:sz w:val="28"/>
          <w:szCs w:val="28"/>
          <w:highlight w:val="none"/>
        </w:rPr>
      </w:pPr>
      <w:r>
        <w:rPr>
          <w:rFonts w:hint="eastAsia" w:ascii="方正仿宋_GB2312" w:hAnsi="方正仿宋_GB2312" w:eastAsia="方正仿宋_GB2312" w:cs="方正仿宋_GB2312"/>
          <w:kern w:val="0"/>
          <w:sz w:val="28"/>
          <w:szCs w:val="28"/>
          <w:highlight w:val="none"/>
        </w:rPr>
        <w:t>参选单位应就本次选聘报送相关参选文件，包括：</w:t>
      </w:r>
    </w:p>
    <w:p w14:paraId="7BE26111">
      <w:pPr>
        <w:keepNext w:val="0"/>
        <w:keepLines w:val="0"/>
        <w:pageBreakBefore w:val="0"/>
        <w:widowControl/>
        <w:tabs>
          <w:tab w:val="left" w:pos="7665"/>
        </w:tabs>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kern w:val="0"/>
          <w:sz w:val="28"/>
          <w:szCs w:val="28"/>
          <w:highlight w:val="none"/>
        </w:rPr>
      </w:pPr>
      <w:bookmarkStart w:id="2" w:name="_Hlk173767070"/>
      <w:r>
        <w:rPr>
          <w:rFonts w:hint="eastAsia" w:ascii="方正仿宋_GB2312" w:hAnsi="方正仿宋_GB2312" w:eastAsia="方正仿宋_GB2312" w:cs="方正仿宋_GB2312"/>
          <w:kern w:val="0"/>
          <w:sz w:val="28"/>
          <w:szCs w:val="28"/>
          <w:highlight w:val="none"/>
        </w:rPr>
        <w:t>1.供应商基本情况表；</w:t>
      </w:r>
    </w:p>
    <w:p w14:paraId="36B2BFCA">
      <w:pPr>
        <w:keepNext w:val="0"/>
        <w:keepLines w:val="0"/>
        <w:pageBreakBefore w:val="0"/>
        <w:widowControl/>
        <w:tabs>
          <w:tab w:val="left" w:pos="7665"/>
        </w:tabs>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kern w:val="0"/>
          <w:sz w:val="28"/>
          <w:szCs w:val="28"/>
          <w:highlight w:val="none"/>
        </w:rPr>
      </w:pPr>
      <w:r>
        <w:rPr>
          <w:rFonts w:hint="eastAsia" w:ascii="方正仿宋_GB2312" w:hAnsi="方正仿宋_GB2312" w:eastAsia="方正仿宋_GB2312" w:cs="方正仿宋_GB2312"/>
          <w:kern w:val="0"/>
          <w:sz w:val="28"/>
          <w:szCs w:val="28"/>
          <w:highlight w:val="none"/>
        </w:rPr>
        <w:t>2.资质文件（承诺函、营业执照等）；</w:t>
      </w:r>
    </w:p>
    <w:p w14:paraId="0274708B">
      <w:pPr>
        <w:keepNext w:val="0"/>
        <w:keepLines w:val="0"/>
        <w:pageBreakBefore w:val="0"/>
        <w:widowControl/>
        <w:tabs>
          <w:tab w:val="left" w:pos="7665"/>
        </w:tabs>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kern w:val="0"/>
          <w:sz w:val="28"/>
          <w:szCs w:val="28"/>
        </w:rPr>
      </w:pPr>
      <w:r>
        <w:rPr>
          <w:rFonts w:hint="eastAsia" w:ascii="方正仿宋_GB2312" w:hAnsi="方正仿宋_GB2312" w:eastAsia="方正仿宋_GB2312" w:cs="方正仿宋_GB2312"/>
          <w:kern w:val="0"/>
          <w:sz w:val="28"/>
          <w:szCs w:val="28"/>
          <w:highlight w:val="none"/>
        </w:rPr>
        <w:t>3.报价一览表（参选单位报价应包含完成</w:t>
      </w:r>
      <w:r>
        <w:rPr>
          <w:rFonts w:hint="eastAsia" w:ascii="方正仿宋_GB2312" w:hAnsi="方正仿宋_GB2312" w:eastAsia="方正仿宋_GB2312" w:cs="方正仿宋_GB2312"/>
          <w:kern w:val="0"/>
          <w:sz w:val="28"/>
          <w:szCs w:val="28"/>
        </w:rPr>
        <w:t>本项目全部工作所应收取的全部费用（即含税包干价）。若参选单位在成交并签署合同后，在完成本项目的工作中出现的任何遗漏，均由成交参选单位免费提供，选聘单位不再支付任何费用）；</w:t>
      </w:r>
    </w:p>
    <w:p w14:paraId="480E34E6">
      <w:pPr>
        <w:keepNext w:val="0"/>
        <w:keepLines w:val="0"/>
        <w:pageBreakBefore w:val="0"/>
        <w:widowControl/>
        <w:tabs>
          <w:tab w:val="left" w:pos="7665"/>
        </w:tabs>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kern w:val="0"/>
          <w:sz w:val="28"/>
          <w:szCs w:val="28"/>
        </w:rPr>
      </w:pPr>
      <w:r>
        <w:rPr>
          <w:rFonts w:hint="eastAsia" w:ascii="方正仿宋_GB2312" w:hAnsi="方正仿宋_GB2312" w:eastAsia="方正仿宋_GB2312" w:cs="方正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方正仿宋_GB2312" w:hAnsi="方正仿宋_GB2312" w:eastAsia="方正仿宋_GB2312" w:cs="方正仿宋_GB2312"/>
          <w:kern w:val="0"/>
          <w:sz w:val="28"/>
          <w:szCs w:val="28"/>
          <w:lang w:eastAsia="zh-CN"/>
        </w:rPr>
        <w:t>聚丙烯酰胺药剂(四川攀枝花)采购项目</w:t>
      </w:r>
      <w:r>
        <w:rPr>
          <w:rFonts w:hint="eastAsia" w:ascii="方正仿宋_GB2312" w:hAnsi="方正仿宋_GB2312" w:eastAsia="方正仿宋_GB2312" w:cs="方正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ascii="Times New Roman" w:hAnsi="Times New Roman" w:eastAsia="方正仿宋_GB2312"/>
          <w:color w:val="000000"/>
          <w:sz w:val="28"/>
          <w:szCs w:val="28"/>
        </w:rPr>
      </w:pPr>
      <w:r>
        <w:rPr>
          <w:rFonts w:hint="eastAsia" w:ascii="Times New Roman" w:hAnsi="Times New Roman" w:eastAsia="方正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ascii="Times New Roman" w:hAnsi="Times New Roman" w:eastAsia="方正仿宋_GB2312"/>
          <w:color w:val="000000"/>
          <w:sz w:val="28"/>
          <w:szCs w:val="28"/>
        </w:rPr>
      </w:pPr>
      <w:r>
        <w:rPr>
          <w:rFonts w:hint="eastAsia" w:ascii="Times New Roman" w:hAnsi="Times New Roman" w:eastAsia="方正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ascii="Times New Roman" w:hAnsi="Times New Roman" w:eastAsia="方正仿宋_GB2312"/>
          <w:color w:val="000000"/>
          <w:sz w:val="28"/>
          <w:szCs w:val="28"/>
        </w:rPr>
      </w:pPr>
      <w:r>
        <w:rPr>
          <w:rFonts w:hint="eastAsia" w:ascii="Times New Roman" w:hAnsi="Times New Roman" w:eastAsia="方正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eastAsia="方正仿宋_GB2312"/>
          <w:color w:val="000000"/>
          <w:sz w:val="28"/>
          <w:szCs w:val="28"/>
        </w:rPr>
      </w:pPr>
      <w:r>
        <w:rPr>
          <w:rFonts w:hint="eastAsia" w:ascii="Times New Roman" w:hAnsi="Times New Roman" w:eastAsia="方正仿宋_GB2312"/>
          <w:color w:val="000000"/>
          <w:sz w:val="28"/>
          <w:szCs w:val="28"/>
        </w:rPr>
        <w:t>（四）询价结束后，采购人将询价结果报公司内部决策，通过后将结果通知中选单位，双方择日签订正式协议</w:t>
      </w:r>
      <w:r>
        <w:rPr>
          <w:rFonts w:hint="eastAsia" w:eastAsia="方正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color w:val="000000"/>
          <w:sz w:val="28"/>
          <w:szCs w:val="28"/>
        </w:rPr>
        <w:t>（一）响应文件递交截止时间为</w:t>
      </w:r>
      <w:r>
        <w:rPr>
          <w:rFonts w:hint="eastAsia" w:ascii="方正仿宋_GB2312" w:hAnsi="方正仿宋_GB2312" w:eastAsia="方正仿宋_GB2312" w:cs="方正仿宋_GB2312"/>
          <w:bCs/>
          <w:color w:val="000000"/>
          <w:sz w:val="28"/>
          <w:szCs w:val="28"/>
        </w:rPr>
        <w:t>202</w:t>
      </w:r>
      <w:r>
        <w:rPr>
          <w:rFonts w:hint="eastAsia" w:ascii="方正仿宋_GB2312" w:hAnsi="方正仿宋_GB2312" w:eastAsia="方正仿宋_GB2312" w:cs="方正仿宋_GB2312"/>
          <w:bCs/>
          <w:color w:val="000000"/>
          <w:sz w:val="28"/>
          <w:szCs w:val="28"/>
          <w:lang w:val="en-US" w:eastAsia="zh-CN"/>
        </w:rPr>
        <w:t>6</w:t>
      </w:r>
      <w:r>
        <w:rPr>
          <w:rFonts w:hint="eastAsia" w:ascii="方正仿宋_GB2312" w:hAnsi="方正仿宋_GB2312" w:eastAsia="方正仿宋_GB2312" w:cs="方正仿宋_GB2312"/>
          <w:bCs/>
          <w:color w:val="000000"/>
          <w:sz w:val="28"/>
          <w:szCs w:val="28"/>
        </w:rPr>
        <w:t>年</w:t>
      </w:r>
      <w:r>
        <w:rPr>
          <w:rFonts w:hint="eastAsia" w:ascii="方正仿宋_GB2312" w:hAnsi="方正仿宋_GB2312" w:eastAsia="方正仿宋_GB2312" w:cs="方正仿宋_GB2312"/>
          <w:bCs/>
          <w:color w:val="000000"/>
          <w:sz w:val="28"/>
          <w:szCs w:val="28"/>
          <w:lang w:val="en-US" w:eastAsia="zh-CN"/>
        </w:rPr>
        <w:t>1</w:t>
      </w:r>
      <w:r>
        <w:rPr>
          <w:rFonts w:hint="eastAsia" w:ascii="方正仿宋_GB2312" w:hAnsi="方正仿宋_GB2312" w:eastAsia="方正仿宋_GB2312" w:cs="方正仿宋_GB2312"/>
          <w:bCs/>
          <w:color w:val="000000"/>
          <w:sz w:val="28"/>
          <w:szCs w:val="28"/>
        </w:rPr>
        <w:t>月</w:t>
      </w:r>
      <w:r>
        <w:rPr>
          <w:rFonts w:hint="eastAsia" w:ascii="方正仿宋_GB2312" w:hAnsi="方正仿宋_GB2312" w:eastAsia="方正仿宋_GB2312" w:cs="方正仿宋_GB2312"/>
          <w:bCs/>
          <w:color w:val="000000"/>
          <w:sz w:val="28"/>
          <w:szCs w:val="28"/>
          <w:lang w:val="en-US" w:eastAsia="zh-CN"/>
        </w:rPr>
        <w:t>10</w:t>
      </w:r>
      <w:r>
        <w:rPr>
          <w:rFonts w:hint="eastAsia" w:ascii="方正仿宋_GB2312" w:hAnsi="方正仿宋_GB2312" w:eastAsia="方正仿宋_GB2312" w:cs="方正仿宋_GB2312"/>
          <w:bCs/>
          <w:color w:val="000000"/>
          <w:sz w:val="28"/>
          <w:szCs w:val="28"/>
        </w:rPr>
        <w:t>日18</w:t>
      </w:r>
      <w:r>
        <w:rPr>
          <w:rFonts w:hint="eastAsia" w:ascii="方正仿宋_GB2312" w:hAnsi="方正仿宋_GB2312" w:eastAsia="方正仿宋_GB2312" w:cs="方正仿宋_GB2312"/>
          <w:color w:val="000000"/>
          <w:sz w:val="28"/>
          <w:szCs w:val="28"/>
        </w:rPr>
        <w:t>时</w:t>
      </w:r>
      <w:r>
        <w:rPr>
          <w:rFonts w:hint="eastAsia" w:ascii="方正仿宋_GB2312" w:hAnsi="方正仿宋_GB2312" w:eastAsia="方正仿宋_GB2312" w:cs="方正仿宋_GB2312"/>
          <w:bCs/>
          <w:color w:val="000000"/>
          <w:sz w:val="28"/>
          <w:szCs w:val="28"/>
        </w:rPr>
        <w:t>00</w:t>
      </w:r>
      <w:r>
        <w:rPr>
          <w:rFonts w:hint="eastAsia" w:ascii="方正仿宋_GB2312" w:hAnsi="方正仿宋_GB2312" w:eastAsia="方正仿宋_GB2312" w:cs="方正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sz w:val="28"/>
          <w:szCs w:val="28"/>
        </w:rPr>
      </w:pPr>
      <w:r>
        <w:rPr>
          <w:rFonts w:hint="eastAsia" w:ascii="方正仿宋_GB2312" w:hAnsi="方正仿宋_GB2312" w:eastAsia="方正仿宋_GB2312" w:cs="方正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本次文件递交方式采用线上递交，</w:t>
      </w:r>
      <w:r>
        <w:rPr>
          <w:rFonts w:hint="eastAsia" w:ascii="方正仿宋_GB2312" w:hAnsi="方正仿宋_GB2312" w:eastAsia="方正仿宋_GB2312" w:cs="方正仿宋_GB2312"/>
          <w:sz w:val="28"/>
          <w:szCs w:val="28"/>
        </w:rPr>
        <w:t>PDF盖章版</w:t>
      </w:r>
      <w:r>
        <w:rPr>
          <w:rFonts w:hint="eastAsia" w:ascii="方正仿宋_GB2312" w:hAnsi="方正仿宋_GB2312" w:eastAsia="方正仿宋_GB2312" w:cs="方正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ascii="Times New Roman" w:hAnsi="Times New Roman" w:eastAsia="方正仿宋_GB2312"/>
          <w:sz w:val="28"/>
          <w:szCs w:val="28"/>
        </w:rPr>
      </w:pPr>
      <w:r>
        <w:rPr>
          <w:rFonts w:hint="eastAsia" w:ascii="Times New Roman" w:hAnsi="Times New Roman" w:eastAsia="方正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4093E1AC">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Times New Roman" w:hAnsi="Times New Roman" w:eastAsia="方正仿宋_GB2312"/>
          <w:sz w:val="28"/>
          <w:szCs w:val="28"/>
        </w:rPr>
      </w:pPr>
      <w:r>
        <w:rPr>
          <w:rFonts w:hint="eastAsia" w:ascii="Times New Roman" w:hAnsi="Times New Roman" w:eastAsia="方正仿宋_GB2312"/>
          <w:sz w:val="28"/>
          <w:szCs w:val="28"/>
        </w:rPr>
        <w:t>本采购项目以不含税总价进行对比，供应商需填报含税单价、含税总价及税率；不含税价计算方式：不含税价=含税价/（1+税率）；不含税总价计算方式：不含税总价=（项次1数量*项次1不含税单价）+（项次2数量*项次2不含税单价）。</w:t>
      </w:r>
    </w:p>
    <w:p w14:paraId="2AADA5F7">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ascii="Times New Roman" w:hAnsi="Times New Roman" w:eastAsia="方正仿宋_GB2312"/>
          <w:color w:val="000000"/>
          <w:sz w:val="28"/>
          <w:szCs w:val="28"/>
        </w:rPr>
      </w:pPr>
      <w:r>
        <w:rPr>
          <w:rFonts w:hint="eastAsia" w:ascii="Times New Roman" w:hAnsi="Times New Roman" w:eastAsia="方正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方正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keepNext w:val="0"/>
        <w:keepLines w:val="0"/>
        <w:pageBreakBefore w:val="0"/>
        <w:widowControl w:val="0"/>
        <w:kinsoku/>
        <w:wordWrap/>
        <w:overflowPunct/>
        <w:topLinePunct w:val="0"/>
        <w:autoSpaceDE/>
        <w:autoSpaceDN/>
        <w:bidi w:val="0"/>
        <w:adjustRightInd/>
        <w:snapToGrid w:val="0"/>
        <w:spacing w:after="78" w:afterLines="0" w:line="500" w:lineRule="exact"/>
        <w:ind w:firstLine="560" w:firstLineChars="200"/>
        <w:jc w:val="left"/>
        <w:textAlignment w:val="auto"/>
      </w:pPr>
      <w:r>
        <w:rPr>
          <w:rFonts w:hint="eastAsia" w:ascii="Times New Roman" w:hAnsi="Times New Roman" w:eastAsia="方正仿宋_GB2312"/>
          <w:sz w:val="28"/>
          <w:szCs w:val="22"/>
        </w:rPr>
        <w:t>聚丙烯酰胺阴离子含税单价上限8000元/吨，聚丙烯酰胺阳离子含税单价上限15000元/吨，</w:t>
      </w:r>
      <w:r>
        <w:rPr>
          <w:rFonts w:hint="eastAsia" w:ascii="Times New Roman" w:hAnsi="Times New Roman" w:eastAsia="方正仿宋_GB2312"/>
          <w:color w:val="000000"/>
          <w:sz w:val="28"/>
          <w:szCs w:val="22"/>
        </w:rPr>
        <w:t>采用单价包干模式，</w:t>
      </w:r>
      <w:r>
        <w:rPr>
          <w:rFonts w:ascii="Times New Roman" w:hAnsi="Times New Roman" w:eastAsia="方正仿宋_GB2312"/>
          <w:sz w:val="28"/>
          <w:szCs w:val="22"/>
        </w:rPr>
        <w:t>超过限价的报价</w:t>
      </w:r>
      <w:r>
        <w:rPr>
          <w:rFonts w:hint="eastAsia" w:ascii="Times New Roman" w:hAnsi="Times New Roman" w:eastAsia="方正仿宋_GB2312"/>
          <w:sz w:val="28"/>
          <w:szCs w:val="22"/>
        </w:rPr>
        <w:t>视为</w:t>
      </w:r>
      <w:r>
        <w:rPr>
          <w:rFonts w:ascii="Times New Roman" w:hAnsi="Times New Roman" w:eastAsia="方正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color w:val="000000"/>
          <w:sz w:val="28"/>
          <w:szCs w:val="28"/>
        </w:rPr>
      </w:pPr>
      <w:r>
        <w:rPr>
          <w:rFonts w:hint="eastAsia" w:ascii="方正仿宋_GB2312" w:hAnsi="方正仿宋_GB2312" w:eastAsia="方正仿宋_GB2312" w:cs="方正仿宋_GB2312"/>
          <w:color w:val="000000"/>
          <w:sz w:val="28"/>
          <w:szCs w:val="28"/>
        </w:rPr>
        <w:t>1、采购人如需对已发出的询价文件进行澄清或修改的，将在</w:t>
      </w:r>
      <w:bookmarkStart w:id="3" w:name="_Hlk173242607"/>
      <w:r>
        <w:rPr>
          <w:rFonts w:hint="eastAsia" w:ascii="方正仿宋_GB2312" w:hAnsi="方正仿宋_GB2312" w:eastAsia="方正仿宋_GB2312" w:cs="方正仿宋_GB2312"/>
          <w:bCs/>
          <w:color w:val="000000"/>
          <w:sz w:val="28"/>
          <w:szCs w:val="28"/>
        </w:rPr>
        <w:t>深圳市深水水务咨询有限公司官网（http://www.szsszx.com/）</w:t>
      </w:r>
      <w:bookmarkEnd w:id="3"/>
      <w:r>
        <w:rPr>
          <w:rFonts w:hint="eastAsia" w:ascii="方正仿宋_GB2312" w:hAnsi="方正仿宋_GB2312" w:eastAsia="方正仿宋_GB2312" w:cs="方正仿宋_GB2312"/>
          <w:color w:val="000000"/>
          <w:sz w:val="28"/>
          <w:szCs w:val="28"/>
        </w:rPr>
        <w:t>发布更正公告，该澄清或修改内容为询价文件的组成部分。</w:t>
      </w:r>
    </w:p>
    <w:p w14:paraId="1598A5AF">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color w:val="000000"/>
          <w:sz w:val="28"/>
          <w:szCs w:val="28"/>
        </w:rPr>
      </w:pPr>
      <w:r>
        <w:rPr>
          <w:rFonts w:hint="eastAsia" w:ascii="方正仿宋_GB2312" w:hAnsi="方正仿宋_GB2312" w:eastAsia="方正仿宋_GB2312" w:cs="方正仿宋_GB2312"/>
          <w:color w:val="000000"/>
          <w:sz w:val="28"/>
          <w:szCs w:val="28"/>
        </w:rPr>
        <w:t>2、询价申请人认为需要对询价文件进行澄清的，可以邮件形式向采购人提出申请（截止时间</w:t>
      </w:r>
      <w:r>
        <w:rPr>
          <w:rFonts w:hint="eastAsia" w:ascii="方正仿宋_GB2312" w:hAnsi="方正仿宋_GB2312" w:eastAsia="方正仿宋_GB2312" w:cs="方正仿宋_GB2312"/>
          <w:bCs/>
          <w:color w:val="000000"/>
          <w:sz w:val="28"/>
          <w:szCs w:val="28"/>
        </w:rPr>
        <w:t>202</w:t>
      </w:r>
      <w:r>
        <w:rPr>
          <w:rFonts w:hint="eastAsia" w:ascii="方正仿宋_GB2312" w:hAnsi="方正仿宋_GB2312" w:eastAsia="方正仿宋_GB2312" w:cs="方正仿宋_GB2312"/>
          <w:bCs/>
          <w:color w:val="000000"/>
          <w:sz w:val="28"/>
          <w:szCs w:val="28"/>
          <w:lang w:val="en-US" w:eastAsia="zh-CN"/>
        </w:rPr>
        <w:t>6</w:t>
      </w:r>
      <w:r>
        <w:rPr>
          <w:rFonts w:hint="eastAsia" w:ascii="方正仿宋_GB2312" w:hAnsi="方正仿宋_GB2312" w:eastAsia="方正仿宋_GB2312" w:cs="方正仿宋_GB2312"/>
          <w:bCs/>
          <w:color w:val="000000"/>
          <w:sz w:val="28"/>
          <w:szCs w:val="28"/>
        </w:rPr>
        <w:t>年</w:t>
      </w:r>
      <w:r>
        <w:rPr>
          <w:rFonts w:hint="eastAsia" w:ascii="方正仿宋_GB2312" w:hAnsi="方正仿宋_GB2312" w:eastAsia="方正仿宋_GB2312" w:cs="方正仿宋_GB2312"/>
          <w:bCs/>
          <w:color w:val="000000"/>
          <w:sz w:val="28"/>
          <w:szCs w:val="28"/>
          <w:lang w:val="en-US" w:eastAsia="zh-CN"/>
        </w:rPr>
        <w:t>1</w:t>
      </w:r>
      <w:r>
        <w:rPr>
          <w:rFonts w:hint="eastAsia" w:ascii="方正仿宋_GB2312" w:hAnsi="方正仿宋_GB2312" w:eastAsia="方正仿宋_GB2312" w:cs="方正仿宋_GB2312"/>
          <w:bCs/>
          <w:color w:val="000000"/>
          <w:sz w:val="28"/>
          <w:szCs w:val="28"/>
        </w:rPr>
        <w:t>月</w:t>
      </w:r>
      <w:r>
        <w:rPr>
          <w:rFonts w:hint="eastAsia" w:ascii="方正仿宋_GB2312" w:hAnsi="方正仿宋_GB2312" w:eastAsia="方正仿宋_GB2312" w:cs="方正仿宋_GB2312"/>
          <w:bCs/>
          <w:color w:val="000000"/>
          <w:sz w:val="28"/>
          <w:szCs w:val="28"/>
          <w:lang w:val="en-US" w:eastAsia="zh-CN"/>
        </w:rPr>
        <w:t>10</w:t>
      </w:r>
      <w:r>
        <w:rPr>
          <w:rFonts w:hint="eastAsia" w:ascii="方正仿宋_GB2312" w:hAnsi="方正仿宋_GB2312" w:eastAsia="方正仿宋_GB2312" w:cs="方正仿宋_GB2312"/>
          <w:bCs/>
          <w:color w:val="000000"/>
          <w:sz w:val="28"/>
          <w:szCs w:val="28"/>
        </w:rPr>
        <w:t>日18</w:t>
      </w:r>
      <w:r>
        <w:rPr>
          <w:rFonts w:hint="eastAsia" w:ascii="方正仿宋_GB2312" w:hAnsi="方正仿宋_GB2312" w:eastAsia="方正仿宋_GB2312" w:cs="方正仿宋_GB2312"/>
          <w:color w:val="000000"/>
          <w:sz w:val="28"/>
          <w:szCs w:val="28"/>
        </w:rPr>
        <w:t>时），但采购人可决定是否采纳申请事项。</w:t>
      </w:r>
    </w:p>
    <w:p w14:paraId="1C18D8BC">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color w:val="000000"/>
          <w:sz w:val="28"/>
          <w:szCs w:val="28"/>
        </w:rPr>
      </w:pPr>
      <w:r>
        <w:rPr>
          <w:rFonts w:hint="eastAsia" w:ascii="方正仿宋_GB2312" w:hAnsi="方正仿宋_GB2312" w:eastAsia="方正仿宋_GB2312" w:cs="方正仿宋_GB2312"/>
          <w:color w:val="000000"/>
          <w:sz w:val="28"/>
          <w:szCs w:val="28"/>
        </w:rPr>
        <w:t>3、询价申请人应于响应文件递交截止时间之前，自行在</w:t>
      </w:r>
      <w:r>
        <w:rPr>
          <w:rFonts w:hint="eastAsia" w:ascii="方正仿宋_GB2312" w:hAnsi="方正仿宋_GB2312" w:eastAsia="方正仿宋_GB2312" w:cs="方正仿宋_GB2312"/>
          <w:bCs/>
          <w:color w:val="000000"/>
          <w:sz w:val="28"/>
          <w:szCs w:val="28"/>
        </w:rPr>
        <w:t>深圳市深水水务咨询有限公司官网（http://www.szsszx.com/）</w:t>
      </w:r>
      <w:r>
        <w:rPr>
          <w:rFonts w:hint="eastAsia" w:ascii="方正仿宋_GB2312" w:hAnsi="方正仿宋_GB2312" w:eastAsia="方正仿宋_GB2312" w:cs="方正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keepNext w:val="0"/>
        <w:keepLines w:val="0"/>
        <w:pageBreakBefore w:val="0"/>
        <w:kinsoku/>
        <w:wordWrap/>
        <w:overflowPunct/>
        <w:topLinePunct w:val="0"/>
        <w:autoSpaceDE/>
        <w:autoSpaceDN/>
        <w:bidi w:val="0"/>
        <w:adjustRightInd/>
        <w:snapToGrid/>
        <w:spacing w:afterLines="0" w:line="500" w:lineRule="exact"/>
        <w:ind w:firstLine="480" w:firstLineChars="200"/>
        <w:jc w:val="left"/>
        <w:textAlignment w:val="auto"/>
        <w:rPr>
          <w:rFonts w:hint="eastAsia" w:ascii="方正仿宋_GB2312" w:hAnsi="方正仿宋_GB2312" w:eastAsia="方正仿宋_GB2312" w:cs="方正仿宋_GB2312"/>
          <w:color w:val="000000"/>
          <w:sz w:val="28"/>
          <w:szCs w:val="28"/>
        </w:rPr>
      </w:pPr>
      <w:r>
        <w:rPr>
          <w:rFonts w:hint="eastAsia" w:ascii="方正仿宋_GB2312" w:hAnsi="方正仿宋_GB2312" w:eastAsia="方正仿宋_GB2312" w:cs="方正仿宋_GB2312"/>
          <w:color w:val="000000"/>
          <w:sz w:val="24"/>
        </w:rPr>
        <w:t>1、</w:t>
      </w:r>
      <w:r>
        <w:rPr>
          <w:rFonts w:hint="eastAsia" w:ascii="方正仿宋_GB2312" w:hAnsi="方正仿宋_GB2312" w:eastAsia="方正仿宋_GB2312" w:cs="方正仿宋_GB2312"/>
          <w:color w:val="000000"/>
          <w:sz w:val="28"/>
          <w:szCs w:val="28"/>
        </w:rPr>
        <w:t>中选人应在结果公告期满后尽快与采购人签订采购合同。因中选人原因造成逾期未与采购人签订采购合同的，视为自动放弃；</w:t>
      </w:r>
    </w:p>
    <w:p w14:paraId="06B07B77">
      <w:pPr>
        <w:keepNext w:val="0"/>
        <w:keepLines w:val="0"/>
        <w:pageBreakBefore w:val="0"/>
        <w:kinsoku/>
        <w:wordWrap/>
        <w:overflowPunct/>
        <w:topLinePunct w:val="0"/>
        <w:autoSpaceDE/>
        <w:autoSpaceDN/>
        <w:bidi w:val="0"/>
        <w:adjustRightInd/>
        <w:snapToGrid/>
        <w:spacing w:afterLines="0" w:line="500" w:lineRule="exact"/>
        <w:ind w:firstLine="560" w:firstLineChars="200"/>
        <w:jc w:val="left"/>
        <w:textAlignment w:val="auto"/>
        <w:rPr>
          <w:rFonts w:ascii="Times New Roman" w:hAnsi="Times New Roman" w:eastAsia="方正仿宋_GB2312"/>
          <w:color w:val="000000"/>
          <w:sz w:val="28"/>
          <w:szCs w:val="28"/>
        </w:rPr>
      </w:pPr>
      <w:r>
        <w:rPr>
          <w:rFonts w:hint="eastAsia" w:ascii="方正仿宋_GB2312" w:hAnsi="方正仿宋_GB2312" w:eastAsia="方正仿宋_GB2312" w:cs="方正仿宋_GB2312"/>
          <w:color w:val="000000"/>
          <w:sz w:val="28"/>
          <w:szCs w:val="28"/>
        </w:rPr>
        <w:t>2、中选人因不可抗力原因不能履行采购合同或放弃成交的，采购人可依序与其他中选候选人签订采购合同，也可以重新组织采购。</w:t>
      </w:r>
    </w:p>
    <w:p w14:paraId="3B7D257B">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textAlignment w:val="auto"/>
        <w:rPr>
          <w:rFonts w:ascii="Times New Roman" w:hAnsi="Times New Roman" w:eastAsia="方正仿宋_GB2312"/>
          <w:bCs/>
          <w:color w:val="000000"/>
          <w:sz w:val="28"/>
          <w:szCs w:val="28"/>
        </w:rPr>
      </w:pPr>
      <w:r>
        <w:rPr>
          <w:rFonts w:hint="eastAsia" w:ascii="方正仿宋_GB2312" w:hAnsi="方正仿宋_GB2312" w:eastAsia="方正仿宋_GB2312" w:cs="方正仿宋_GB2312"/>
          <w:color w:val="000000"/>
          <w:sz w:val="28"/>
          <w:szCs w:val="28"/>
        </w:rPr>
        <w:t>3、</w:t>
      </w:r>
      <w:r>
        <w:rPr>
          <w:rFonts w:hint="eastAsia" w:ascii="方正仿宋_GB2312" w:hAnsi="方正仿宋_GB2312" w:eastAsia="方正仿宋_GB2312" w:cs="方正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color w:val="000000"/>
          <w:kern w:val="0"/>
          <w:sz w:val="28"/>
          <w:szCs w:val="28"/>
        </w:rPr>
      </w:pPr>
      <w:r>
        <w:rPr>
          <w:rFonts w:hint="eastAsia" w:ascii="方正仿宋_GB2312" w:hAnsi="方正仿宋_GB2312" w:eastAsia="方正仿宋_GB2312" w:cs="方正仿宋_GB2312"/>
          <w:color w:val="000000"/>
          <w:kern w:val="0"/>
          <w:sz w:val="28"/>
          <w:szCs w:val="28"/>
        </w:rPr>
        <w:t>联系人：王工、</w:t>
      </w:r>
      <w:r>
        <w:rPr>
          <w:rFonts w:hint="eastAsia" w:ascii="方正仿宋_GB2312" w:hAnsi="方正仿宋_GB2312" w:eastAsia="方正仿宋_GB2312" w:cs="方正仿宋_GB2312"/>
          <w:color w:val="000000"/>
          <w:kern w:val="0"/>
          <w:sz w:val="28"/>
          <w:szCs w:val="28"/>
          <w:lang w:val="en-US" w:eastAsia="zh-CN"/>
        </w:rPr>
        <w:t>李</w:t>
      </w:r>
      <w:r>
        <w:rPr>
          <w:rFonts w:hint="eastAsia" w:ascii="方正仿宋_GB2312" w:hAnsi="方正仿宋_GB2312" w:eastAsia="方正仿宋_GB2312" w:cs="方正仿宋_GB2312"/>
          <w:color w:val="000000"/>
          <w:kern w:val="0"/>
          <w:sz w:val="28"/>
          <w:szCs w:val="28"/>
        </w:rPr>
        <w:t>工</w:t>
      </w:r>
    </w:p>
    <w:p w14:paraId="77113CC7">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default" w:ascii="方正仿宋_GB2312" w:hAnsi="方正仿宋_GB2312" w:eastAsia="方正仿宋_GB2312" w:cs="方正仿宋_GB2312"/>
          <w:color w:val="000000"/>
          <w:kern w:val="0"/>
          <w:sz w:val="28"/>
          <w:szCs w:val="28"/>
          <w:lang w:val="en-US" w:eastAsia="zh-CN"/>
        </w:rPr>
      </w:pPr>
      <w:r>
        <w:rPr>
          <w:rFonts w:hint="eastAsia" w:ascii="方正仿宋_GB2312" w:hAnsi="方正仿宋_GB2312" w:eastAsia="方正仿宋_GB2312" w:cs="方正仿宋_GB2312"/>
          <w:color w:val="000000"/>
          <w:kern w:val="0"/>
          <w:sz w:val="28"/>
          <w:szCs w:val="28"/>
        </w:rPr>
        <w:t>电  话：15521296724、1</w:t>
      </w:r>
      <w:r>
        <w:rPr>
          <w:rFonts w:hint="eastAsia" w:ascii="方正仿宋_GB2312" w:hAnsi="方正仿宋_GB2312" w:eastAsia="方正仿宋_GB2312" w:cs="方正仿宋_GB2312"/>
          <w:color w:val="000000"/>
          <w:kern w:val="0"/>
          <w:sz w:val="28"/>
          <w:szCs w:val="28"/>
          <w:lang w:val="en-US" w:eastAsia="zh-CN"/>
        </w:rPr>
        <w:t>9574823608</w:t>
      </w:r>
    </w:p>
    <w:p w14:paraId="6B55926E">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color w:val="000000"/>
          <w:kern w:val="0"/>
          <w:sz w:val="28"/>
          <w:szCs w:val="28"/>
        </w:rPr>
      </w:pPr>
      <w:r>
        <w:rPr>
          <w:rFonts w:hint="eastAsia" w:ascii="方正仿宋_GB2312" w:hAnsi="方正仿宋_GB2312" w:eastAsia="方正仿宋_GB2312" w:cs="方正仿宋_GB2312"/>
          <w:color w:val="000000"/>
          <w:kern w:val="0"/>
          <w:sz w:val="28"/>
          <w:szCs w:val="28"/>
        </w:rPr>
        <w:t>邮  箱：sszxhjcaigou</w:t>
      </w:r>
      <w:r>
        <w:rPr>
          <w:rFonts w:hint="eastAsia" w:ascii="方正仿宋_GB2312" w:hAnsi="方正仿宋_GB2312" w:eastAsia="方正仿宋_GB2312" w:cs="方正仿宋_GB2312"/>
          <w:color w:val="000000"/>
          <w:kern w:val="0"/>
          <w:sz w:val="28"/>
          <w:szCs w:val="28"/>
          <w:lang w:val="en-US" w:eastAsia="zh-CN"/>
        </w:rPr>
        <w:t>b</w:t>
      </w:r>
      <w:r>
        <w:rPr>
          <w:rFonts w:hint="eastAsia" w:ascii="方正仿宋_GB2312" w:hAnsi="方正仿宋_GB2312" w:eastAsia="方正仿宋_GB2312" w:cs="方正仿宋_GB2312"/>
          <w:color w:val="000000"/>
          <w:kern w:val="0"/>
          <w:sz w:val="28"/>
          <w:szCs w:val="28"/>
        </w:rPr>
        <w:t>@163.com</w:t>
      </w:r>
    </w:p>
    <w:p w14:paraId="69ED3A83">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color w:val="000000"/>
          <w:kern w:val="0"/>
          <w:sz w:val="28"/>
          <w:szCs w:val="28"/>
        </w:rPr>
      </w:pPr>
    </w:p>
    <w:p w14:paraId="4CDF74C8">
      <w:pPr>
        <w:pStyle w:val="8"/>
        <w:keepNext w:val="0"/>
        <w:keepLines w:val="0"/>
        <w:pageBreakBefore w:val="0"/>
        <w:widowControl w:val="0"/>
        <w:kinsoku/>
        <w:wordWrap/>
        <w:overflowPunct/>
        <w:topLinePunct w:val="0"/>
        <w:autoSpaceDE/>
        <w:autoSpaceDN/>
        <w:bidi w:val="0"/>
        <w:adjustRightInd/>
        <w:snapToGrid/>
        <w:spacing w:after="0" w:afterLines="0" w:line="500" w:lineRule="exact"/>
        <w:jc w:val="right"/>
        <w:textAlignment w:val="auto"/>
        <w:rPr>
          <w:rFonts w:eastAsia="方正仿宋_GB2312"/>
        </w:rPr>
      </w:pPr>
      <w:bookmarkStart w:id="4" w:name="_Hlk173242670"/>
      <w:r>
        <w:rPr>
          <w:rFonts w:hint="eastAsia" w:ascii="Times New Roman" w:hAnsi="Times New Roman" w:eastAsia="方正仿宋_GB2312"/>
          <w:color w:val="000000"/>
          <w:kern w:val="0"/>
          <w:sz w:val="32"/>
          <w:szCs w:val="32"/>
        </w:rPr>
        <w:t>深圳市佳耀生态环保科技有限公司</w:t>
      </w:r>
      <w:bookmarkEnd w:id="4"/>
    </w:p>
    <w:p w14:paraId="338FE902">
      <w:pPr>
        <w:keepNext w:val="0"/>
        <w:keepLines w:val="0"/>
        <w:pageBreakBefore w:val="0"/>
        <w:widowControl w:val="0"/>
        <w:kinsoku/>
        <w:wordWrap/>
        <w:overflowPunct/>
        <w:topLinePunct w:val="0"/>
        <w:autoSpaceDE/>
        <w:autoSpaceDN/>
        <w:bidi w:val="0"/>
        <w:adjustRightInd/>
        <w:snapToGrid/>
        <w:spacing w:afterLines="0" w:line="500" w:lineRule="exact"/>
        <w:ind w:left="6079" w:leftChars="152" w:hanging="5760" w:hangingChars="1800"/>
        <w:jc w:val="right"/>
        <w:textAlignment w:val="auto"/>
      </w:pPr>
      <w:bookmarkStart w:id="5" w:name="_Hlk173242679"/>
      <w:r>
        <w:rPr>
          <w:rFonts w:hint="eastAsia" w:ascii="Times New Roman" w:hAnsi="Times New Roman" w:eastAsia="方正仿宋_GB2312"/>
          <w:bCs/>
          <w:color w:val="000000"/>
          <w:sz w:val="32"/>
          <w:szCs w:val="32"/>
        </w:rPr>
        <w:t>202</w:t>
      </w:r>
      <w:r>
        <w:rPr>
          <w:rFonts w:hint="eastAsia" w:ascii="Times New Roman" w:hAnsi="Times New Roman" w:eastAsia="方正仿宋_GB2312"/>
          <w:bCs/>
          <w:color w:val="000000"/>
          <w:sz w:val="32"/>
          <w:szCs w:val="32"/>
          <w:lang w:val="en-US" w:eastAsia="zh-CN"/>
        </w:rPr>
        <w:t>6</w:t>
      </w:r>
      <w:r>
        <w:rPr>
          <w:rFonts w:ascii="Times New Roman" w:hAnsi="Times New Roman" w:eastAsia="方正仿宋_GB2312"/>
          <w:bCs/>
          <w:color w:val="000000"/>
          <w:sz w:val="32"/>
          <w:szCs w:val="32"/>
        </w:rPr>
        <w:t>年</w:t>
      </w:r>
      <w:r>
        <w:rPr>
          <w:rFonts w:hint="eastAsia" w:ascii="Times New Roman" w:hAnsi="Times New Roman" w:eastAsia="方正仿宋_GB2312"/>
          <w:bCs/>
          <w:color w:val="000000"/>
          <w:sz w:val="32"/>
          <w:szCs w:val="32"/>
          <w:lang w:val="en-US" w:eastAsia="zh-CN"/>
        </w:rPr>
        <w:t>1</w:t>
      </w:r>
      <w:r>
        <w:rPr>
          <w:rFonts w:ascii="Times New Roman" w:hAnsi="Times New Roman" w:eastAsia="方正仿宋_GB2312"/>
          <w:bCs/>
          <w:color w:val="000000"/>
          <w:sz w:val="32"/>
          <w:szCs w:val="32"/>
        </w:rPr>
        <w:t>月</w:t>
      </w:r>
      <w:r>
        <w:rPr>
          <w:rFonts w:hint="eastAsia" w:ascii="Times New Roman" w:hAnsi="Times New Roman" w:eastAsia="方正仿宋_GB2312"/>
          <w:bCs/>
          <w:color w:val="000000"/>
          <w:sz w:val="32"/>
          <w:szCs w:val="32"/>
          <w:lang w:val="en-US" w:eastAsia="zh-CN"/>
        </w:rPr>
        <w:t>6</w:t>
      </w:r>
      <w:r>
        <w:rPr>
          <w:rFonts w:ascii="Times New Roman" w:hAnsi="Times New Roman" w:eastAsia="方正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聚丙烯酰胺药剂</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聚丙烯酰胺药剂(四川攀枝花)采购项目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CN"/>
        </w:rPr>
        <w:t>聚丙烯酰胺药剂</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743099"/>
      <w:bookmarkStart w:id="11" w:name="_Toc201719103"/>
      <w:bookmarkStart w:id="12" w:name="_Toc201997927"/>
      <w:bookmarkStart w:id="13" w:name="_Toc199215931"/>
      <w:bookmarkStart w:id="14" w:name="_Toc199215763"/>
      <w:bookmarkStart w:id="15" w:name="_Toc201401643"/>
      <w:bookmarkStart w:id="16" w:name="_Toc201742844"/>
      <w:bookmarkStart w:id="17" w:name="_Toc199213728"/>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2010235C">
      <w:pPr>
        <w:pStyle w:val="68"/>
        <w:spacing w:line="360" w:lineRule="auto"/>
        <w:ind w:firstLine="480"/>
        <w:rPr>
          <w:rFonts w:hint="eastAsia" w:ascii="宋体" w:hAnsi="宋体" w:cs="宋体"/>
          <w:lang w:eastAsia="zh-CN"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6</w:t>
      </w:r>
      <w:r>
        <w:rPr>
          <w:rFonts w:hint="eastAsia" w:ascii="宋体" w:hAnsi="宋体" w:cs="宋体"/>
        </w:rPr>
        <w:t xml:space="preserve"> </w:t>
      </w:r>
      <w:r>
        <w:rPr>
          <w:rFonts w:hint="eastAsia" w:ascii="宋体" w:hAnsi="宋体" w:cs="宋体"/>
          <w:lang w:eastAsia="zh-Hans"/>
        </w:rPr>
        <w:t>】</w:t>
      </w:r>
      <w:r>
        <w:rPr>
          <w:rFonts w:hint="eastAsia" w:ascii="宋体" w:hAnsi="宋体" w:cs="宋体"/>
          <w:lang w:val="en-US" w:eastAsia="zh-CN"/>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w:t>
      </w:r>
      <w:r>
        <w:rPr>
          <w:rFonts w:hint="eastAsia" w:ascii="宋体" w:hAnsi="宋体" w:cs="宋体"/>
          <w:u w:val="single"/>
          <w:lang w:val="en-US" w:eastAsia="zh-CN"/>
        </w:rPr>
        <w:t>0</w:t>
      </w:r>
      <w:r>
        <w:rPr>
          <w:rFonts w:hint="eastAsia" w:ascii="宋体" w:hAnsi="宋体" w:cs="宋体"/>
          <w:u w:val="single"/>
        </w:rPr>
        <w:t>日</w:t>
      </w:r>
      <w:r>
        <w:rPr>
          <w:rFonts w:hint="eastAsia" w:ascii="宋体" w:hAnsi="宋体" w:cs="宋体"/>
        </w:rPr>
        <w:t>核对</w:t>
      </w:r>
      <w:r>
        <w:rPr>
          <w:rFonts w:hint="eastAsia" w:ascii="宋体" w:hAnsi="宋体" w:cs="宋体"/>
          <w:lang w:val="en-US" w:eastAsia="zh-CN"/>
        </w:rPr>
        <w:t>月度</w:t>
      </w:r>
      <w:r>
        <w:rPr>
          <w:rFonts w:hint="eastAsia" w:ascii="宋体" w:hAnsi="宋体" w:cs="宋体"/>
        </w:rPr>
        <w:t>验收合格的产品采购数量及价款</w:t>
      </w:r>
      <w:r>
        <w:rPr>
          <w:rFonts w:hint="eastAsia" w:ascii="宋体" w:hAnsi="宋体" w:cs="宋体"/>
          <w:bCs/>
          <w:color w:val="000000"/>
        </w:rPr>
        <w:t>，</w:t>
      </w:r>
      <w:r>
        <w:rPr>
          <w:rFonts w:hint="eastAsia" w:ascii="宋体" w:hAnsi="宋体" w:cs="宋体"/>
          <w:bCs/>
          <w:color w:val="000000"/>
          <w:lang w:val="en-US" w:eastAsia="zh-CN"/>
        </w:rPr>
        <w:t>乙方</w:t>
      </w:r>
      <w:r>
        <w:rPr>
          <w:rFonts w:hint="eastAsia" w:ascii="宋体" w:hAnsi="宋体" w:cs="宋体"/>
          <w:bCs/>
          <w:color w:val="000000"/>
        </w:rPr>
        <w:t>提供费用付款申请、经双方验收核对无误的证明文件及国家税务正式的13%增值税专用发票至</w:t>
      </w:r>
      <w:r>
        <w:rPr>
          <w:rFonts w:hint="eastAsia" w:ascii="宋体" w:hAnsi="宋体" w:cs="宋体"/>
          <w:bCs/>
          <w:color w:val="000000"/>
          <w:lang w:val="en-US" w:eastAsia="zh-CN"/>
        </w:rPr>
        <w:t>甲方</w:t>
      </w:r>
      <w:r>
        <w:rPr>
          <w:rFonts w:hint="eastAsia" w:ascii="宋体" w:hAnsi="宋体" w:cs="宋体"/>
          <w:bCs/>
          <w:color w:val="000000"/>
        </w:rPr>
        <w:t>，经</w:t>
      </w:r>
      <w:r>
        <w:rPr>
          <w:rFonts w:hint="eastAsia" w:ascii="宋体" w:hAnsi="宋体" w:cs="宋体"/>
          <w:bCs/>
          <w:color w:val="000000"/>
          <w:lang w:val="en-US" w:eastAsia="zh-CN"/>
        </w:rPr>
        <w:t>甲方</w:t>
      </w:r>
      <w:r>
        <w:rPr>
          <w:rFonts w:hint="eastAsia" w:ascii="宋体" w:hAnsi="宋体" w:cs="宋体"/>
          <w:bCs/>
          <w:color w:val="000000"/>
        </w:rPr>
        <w:t>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xml:space="preserve">【 </w:t>
      </w:r>
      <w:r>
        <w:rPr>
          <w:rFonts w:hint="eastAsia" w:ascii="宋体" w:hAnsi="宋体" w:cs="宋体"/>
          <w:lang w:val="en-US" w:eastAsia="zh-CN"/>
        </w:rPr>
        <w:t>3</w:t>
      </w:r>
      <w:r>
        <w:rPr>
          <w:rFonts w:hint="eastAsia" w:ascii="宋体" w:hAnsi="宋体" w:cs="宋体"/>
        </w:rPr>
        <w:t xml:space="preserve"> 】</w:t>
      </w:r>
      <w:r>
        <w:rPr>
          <w:rFonts w:hint="eastAsia" w:ascii="宋体" w:hAnsi="宋体" w:cs="宋体"/>
          <w:lang w:eastAsia="zh-Hans"/>
        </w:rPr>
        <w:sym w:font="Wingdings 2" w:char="00A3"/>
      </w:r>
      <w:r>
        <w:rPr>
          <w:rFonts w:hint="eastAsia" w:ascii="宋体" w:hAnsi="宋体" w:cs="宋体"/>
        </w:rPr>
        <w:t>小时</w:t>
      </w:r>
      <w:r>
        <w:rPr>
          <w:rFonts w:hint="eastAsia" w:ascii="宋体" w:hAnsi="宋体" w:cs="宋体"/>
          <w:lang w:eastAsia="zh-Hans"/>
        </w:rPr>
        <w:sym w:font="Wingdings 2" w:char="0052"/>
      </w:r>
      <w:r>
        <w:rPr>
          <w:rFonts w:hint="eastAsia" w:ascii="宋体" w:hAnsi="宋体" w:cs="宋体"/>
        </w:rPr>
        <w:t xml:space="preserve">日内送达，紧急情况下【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sym w:font="Wingdings 2" w:char="00A3"/>
      </w:r>
      <w:r>
        <w:rPr>
          <w:rFonts w:hint="eastAsia" w:ascii="宋体" w:hAnsi="宋体" w:cs="宋体"/>
        </w:rPr>
        <w:t>小时</w:t>
      </w:r>
      <w:r>
        <w:rPr>
          <w:rFonts w:hint="eastAsia" w:ascii="宋体" w:hAnsi="宋体" w:cs="宋体"/>
          <w:lang w:eastAsia="zh-Hans"/>
        </w:rPr>
        <w:sym w:font="Wingdings 2" w:char="0052"/>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四川省攀枝花市，具体地点由甲方指定。</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xml:space="preserve">【 </w:t>
      </w:r>
      <w:r>
        <w:rPr>
          <w:rFonts w:hint="eastAsia" w:ascii="Times New Roman Regular" w:hAnsi="Times New Roman Regular" w:cs="Times New Roman Regular"/>
          <w:lang w:val="en-US" w:eastAsia="zh-CN"/>
        </w:rPr>
        <w:t>24</w:t>
      </w:r>
      <w:r>
        <w:rPr>
          <w:rFonts w:hint="eastAsia" w:ascii="Times New Roman Regular" w:hAnsi="Times New Roman Regular" w:cs="Times New Roman Regular"/>
        </w:rPr>
        <w:t xml:space="preserve">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xml:space="preserve">【 </w:t>
      </w:r>
      <w:r>
        <w:rPr>
          <w:rFonts w:hint="eastAsia" w:ascii="宋体" w:hAnsi="宋体" w:cs="宋体"/>
          <w:lang w:val="en-US" w:eastAsia="zh-CN"/>
        </w:rPr>
        <w:t>3</w:t>
      </w:r>
      <w:r>
        <w:rPr>
          <w:rFonts w:hint="eastAsia" w:ascii="宋体" w:hAnsi="宋体" w:cs="宋体"/>
        </w:rPr>
        <w:t xml:space="preserve"> 】</w:t>
      </w:r>
      <w:r>
        <w:rPr>
          <w:rFonts w:hint="eastAsia" w:ascii="宋体" w:hAnsi="宋体" w:cs="宋体"/>
          <w:lang w:eastAsia="zh-Hans"/>
        </w:rPr>
        <w:t xml:space="preserve">天(即 </w:t>
      </w:r>
      <w:r>
        <w:rPr>
          <w:rFonts w:hint="eastAsia" w:ascii="宋体" w:hAnsi="宋体" w:cs="宋体"/>
        </w:rPr>
        <w:t xml:space="preserve">【 </w:t>
      </w:r>
      <w:r>
        <w:rPr>
          <w:rFonts w:hint="eastAsia" w:ascii="宋体" w:hAnsi="宋体" w:cs="宋体"/>
          <w:lang w:val="en-US" w:eastAsia="zh-CN"/>
        </w:rPr>
        <w:t>72</w:t>
      </w:r>
      <w:r>
        <w:rPr>
          <w:rFonts w:hint="eastAsia" w:ascii="宋体" w:hAnsi="宋体" w:cs="宋体"/>
        </w:rPr>
        <w:t xml:space="preserve">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 xml:space="preserve">（紧急情况下，提前【 </w:t>
      </w:r>
      <w:r>
        <w:rPr>
          <w:rFonts w:hint="eastAsia" w:ascii="宋体" w:hAnsi="宋体" w:cs="宋体"/>
          <w:lang w:val="en-US" w:eastAsia="zh-CN"/>
        </w:rPr>
        <w:t>24</w:t>
      </w:r>
      <w:r>
        <w:rPr>
          <w:rFonts w:hint="eastAsia" w:ascii="宋体" w:hAnsi="宋体" w:cs="宋体"/>
        </w:rPr>
        <w:t xml:space="preserve">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2500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2500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337CAC1B">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w:t>
      </w:r>
      <w:r>
        <w:rPr>
          <w:rFonts w:hint="eastAsia" w:ascii="宋体" w:hAnsi="宋体" w:cs="宋体"/>
          <w:lang w:val="en-US" w:eastAsia="zh-CN"/>
        </w:rPr>
        <w:t>12</w:t>
      </w:r>
      <w:r>
        <w:rPr>
          <w:rFonts w:hint="eastAsia" w:ascii="宋体" w:hAnsi="宋体" w:cs="宋体"/>
        </w:rPr>
        <w:t>】</w:t>
      </w:r>
      <w:r>
        <w:rPr>
          <w:rFonts w:hint="eastAsia" w:ascii="宋体" w:hAnsi="宋体" w:cs="宋体"/>
          <w:lang w:eastAsia="zh-Hans"/>
        </w:rPr>
        <w:t>个月，第</w:t>
      </w:r>
      <w:r>
        <w:rPr>
          <w:rFonts w:hint="eastAsia" w:ascii="宋体" w:hAnsi="宋体" w:cs="宋体"/>
        </w:rPr>
        <w:t xml:space="preserve">【 </w:t>
      </w:r>
      <w:r>
        <w:rPr>
          <w:rFonts w:hint="eastAsia" w:ascii="宋体" w:hAnsi="宋体" w:cs="宋体"/>
          <w:lang w:val="en-US" w:eastAsia="zh-CN"/>
        </w:rPr>
        <w:t>2</w:t>
      </w:r>
      <w:r>
        <w:rPr>
          <w:rFonts w:hint="eastAsia" w:ascii="宋体" w:hAnsi="宋体" w:cs="宋体"/>
        </w:rPr>
        <w:t xml:space="preserve"> 】</w:t>
      </w:r>
      <w:r>
        <w:rPr>
          <w:rFonts w:hint="eastAsia" w:ascii="宋体" w:hAnsi="宋体" w:cs="宋体"/>
          <w:lang w:eastAsia="zh-Hans"/>
        </w:rPr>
        <w:t>项产品的质里保证期为</w:t>
      </w:r>
      <w:r>
        <w:rPr>
          <w:rFonts w:hint="eastAsia" w:ascii="宋体" w:hAnsi="宋体" w:cs="宋体"/>
        </w:rPr>
        <w:t xml:space="preserve">【 </w:t>
      </w:r>
      <w:r>
        <w:rPr>
          <w:rFonts w:hint="eastAsia" w:ascii="宋体" w:hAnsi="宋体" w:cs="宋体"/>
          <w:lang w:val="en-US" w:eastAsia="zh-CN"/>
        </w:rPr>
        <w:t>12</w:t>
      </w:r>
      <w:r>
        <w:rPr>
          <w:rFonts w:hint="eastAsia" w:ascii="宋体" w:hAnsi="宋体" w:cs="宋体"/>
        </w:rPr>
        <w:t xml:space="preserve"> 】</w:t>
      </w:r>
      <w:r>
        <w:rPr>
          <w:rFonts w:hint="eastAsia" w:ascii="宋体" w:hAnsi="宋体" w:cs="宋体"/>
          <w:lang w:eastAsia="zh-Hans"/>
        </w:rPr>
        <w:t>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1</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聚丙烯酰胺药剂(四川攀枝花)</w:t>
      </w:r>
      <w:r>
        <w:rPr>
          <w:rFonts w:hint="eastAsia"/>
        </w:rPr>
        <w:t>采购合同》签署页，无正文）</w:t>
      </w:r>
    </w:p>
    <w:tbl>
      <w:tblPr>
        <w:tblStyle w:val="21"/>
        <w:tblpPr w:leftFromText="180" w:rightFromText="180" w:vertAnchor="text" w:horzAnchor="page" w:tblpX="1994" w:tblpY="201"/>
        <w:tblOverlap w:val="never"/>
        <w:tblW w:w="0" w:type="auto"/>
        <w:jc w:val="center"/>
        <w:tblLayout w:type="autofit"/>
        <w:tblCellMar>
          <w:top w:w="0" w:type="dxa"/>
          <w:left w:w="108" w:type="dxa"/>
          <w:bottom w:w="0" w:type="dxa"/>
          <w:right w:w="108" w:type="dxa"/>
        </w:tblCellMar>
      </w:tblPr>
      <w:tblGrid>
        <w:gridCol w:w="4389"/>
        <w:gridCol w:w="4389"/>
      </w:tblGrid>
      <w:tr w14:paraId="0D17BCBC">
        <w:tblPrEx>
          <w:tblCellMar>
            <w:top w:w="0" w:type="dxa"/>
            <w:left w:w="108" w:type="dxa"/>
            <w:bottom w:w="0" w:type="dxa"/>
            <w:right w:w="108" w:type="dxa"/>
          </w:tblCellMar>
        </w:tblPrEx>
        <w:trPr>
          <w:trHeight w:val="2835" w:hRule="atLeast"/>
          <w:jc w:val="center"/>
        </w:trPr>
        <w:tc>
          <w:tcPr>
            <w:tcW w:w="4389" w:type="dxa"/>
          </w:tcPr>
          <w:p w14:paraId="74F443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2B2F6AB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E62165D">
            <w:pPr>
              <w:spacing w:before="156" w:beforeLines="50" w:after="78" w:line="360" w:lineRule="auto"/>
              <w:jc w:val="left"/>
              <w:rPr>
                <w:rFonts w:hint="eastAsia" w:ascii="宋体" w:hAnsi="宋体" w:cs="宋体"/>
                <w:color w:val="000000"/>
                <w:sz w:val="24"/>
                <w:lang w:eastAsia="zh-Hans"/>
              </w:rPr>
            </w:pPr>
          </w:p>
        </w:tc>
      </w:tr>
      <w:tr w14:paraId="13806115">
        <w:tblPrEx>
          <w:tblCellMar>
            <w:top w:w="0" w:type="dxa"/>
            <w:left w:w="108" w:type="dxa"/>
            <w:bottom w:w="0" w:type="dxa"/>
            <w:right w:w="108" w:type="dxa"/>
          </w:tblCellMar>
        </w:tblPrEx>
        <w:trPr>
          <w:trHeight w:val="2835" w:hRule="atLeast"/>
          <w:jc w:val="center"/>
        </w:trPr>
        <w:tc>
          <w:tcPr>
            <w:tcW w:w="4389" w:type="dxa"/>
          </w:tcPr>
          <w:p w14:paraId="2A28540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41D77DB3">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4F603CE">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A23352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77CF55F9">
        <w:tblPrEx>
          <w:tblCellMar>
            <w:top w:w="0" w:type="dxa"/>
            <w:left w:w="108" w:type="dxa"/>
            <w:bottom w:w="0" w:type="dxa"/>
            <w:right w:w="108" w:type="dxa"/>
          </w:tblCellMar>
        </w:tblPrEx>
        <w:trPr>
          <w:jc w:val="center"/>
        </w:trPr>
        <w:tc>
          <w:tcPr>
            <w:tcW w:w="4389" w:type="dxa"/>
          </w:tcPr>
          <w:p w14:paraId="7B9123A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65A40F28">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50438902">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7B7CD7D8">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751"/>
        <w:gridCol w:w="863"/>
        <w:gridCol w:w="1481"/>
        <w:gridCol w:w="1518"/>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008"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97"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53"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74"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849"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eastAsia="zh-CN"/>
              </w:rPr>
              <w:t>聚丙烯酰胺阴离子</w:t>
            </w:r>
          </w:p>
        </w:tc>
        <w:tc>
          <w:tcPr>
            <w:tcW w:w="1008" w:type="pct"/>
            <w:noWrap/>
            <w:vAlign w:val="center"/>
          </w:tcPr>
          <w:p w14:paraId="72721A20">
            <w:pPr>
              <w:pStyle w:val="58"/>
              <w:keepNext w:val="0"/>
              <w:keepLines w:val="0"/>
              <w:pageBreakBefore w:val="0"/>
              <w:widowControl w:val="0"/>
              <w:kinsoku/>
              <w:wordWrap w:val="0"/>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4"/>
                <w:szCs w:val="24"/>
              </w:rPr>
            </w:pPr>
            <w:r>
              <w:rPr>
                <w:rFonts w:hint="eastAsia" w:ascii="宋体" w:hAnsi="宋体" w:cs="宋体"/>
                <w:color w:val="333333"/>
                <w:sz w:val="24"/>
                <w:szCs w:val="24"/>
                <w:shd w:val="clear" w:color="auto" w:fill="FFFFFF"/>
                <w:lang w:eastAsia="zh-CN"/>
              </w:rPr>
              <w:t>分子量≥1200</w:t>
            </w:r>
          </w:p>
        </w:tc>
        <w:tc>
          <w:tcPr>
            <w:tcW w:w="497"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53"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74"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r w14:paraId="78919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44360674">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2</w:t>
            </w:r>
          </w:p>
        </w:tc>
        <w:tc>
          <w:tcPr>
            <w:tcW w:w="849" w:type="pct"/>
            <w:noWrap/>
            <w:vAlign w:val="center"/>
          </w:tcPr>
          <w:p w14:paraId="3010C08E">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sz w:val="24"/>
                <w:szCs w:val="24"/>
                <w:lang w:eastAsia="zh-CN"/>
              </w:rPr>
            </w:pPr>
            <w:r>
              <w:rPr>
                <w:rFonts w:hint="eastAsia" w:ascii="宋体" w:hAnsi="宋体" w:cs="宋体"/>
                <w:sz w:val="24"/>
                <w:szCs w:val="24"/>
                <w:lang w:eastAsia="zh-CN"/>
              </w:rPr>
              <w:t>聚丙烯酰胺阳离子</w:t>
            </w:r>
          </w:p>
        </w:tc>
        <w:tc>
          <w:tcPr>
            <w:tcW w:w="1008" w:type="pct"/>
            <w:noWrap/>
            <w:vAlign w:val="center"/>
          </w:tcPr>
          <w:p w14:paraId="3DB6019E">
            <w:pPr>
              <w:pStyle w:val="58"/>
              <w:keepNext w:val="0"/>
              <w:keepLines w:val="0"/>
              <w:pageBreakBefore w:val="0"/>
              <w:widowControl w:val="0"/>
              <w:kinsoku/>
              <w:wordWrap w:val="0"/>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color w:val="333333"/>
                <w:sz w:val="24"/>
                <w:szCs w:val="24"/>
                <w:shd w:val="clear" w:color="auto" w:fill="FFFFFF"/>
                <w:lang w:eastAsia="zh-CN"/>
              </w:rPr>
            </w:pPr>
            <w:r>
              <w:rPr>
                <w:rFonts w:hint="eastAsia" w:ascii="宋体" w:hAnsi="宋体" w:cs="宋体"/>
                <w:color w:val="333333"/>
                <w:sz w:val="24"/>
                <w:szCs w:val="24"/>
                <w:shd w:val="clear" w:color="auto" w:fill="FFFFFF"/>
                <w:lang w:eastAsia="zh-CN"/>
              </w:rPr>
              <w:t>阳离子度≥40%</w:t>
            </w:r>
          </w:p>
        </w:tc>
        <w:tc>
          <w:tcPr>
            <w:tcW w:w="863" w:type="dxa"/>
            <w:shd w:val="clear" w:color="auto" w:fill="auto"/>
            <w:noWrap/>
            <w:vAlign w:val="center"/>
          </w:tcPr>
          <w:p w14:paraId="50186D20">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color w:val="000000"/>
                <w:kern w:val="0"/>
                <w:sz w:val="24"/>
                <w:szCs w:val="24"/>
              </w:rPr>
            </w:pPr>
            <w:r>
              <w:rPr>
                <w:rFonts w:hint="eastAsia" w:ascii="宋体" w:hAnsi="宋体" w:cs="宋体"/>
                <w:color w:val="000000"/>
                <w:kern w:val="0"/>
                <w:sz w:val="24"/>
                <w:szCs w:val="24"/>
              </w:rPr>
              <w:t>吨</w:t>
            </w:r>
          </w:p>
        </w:tc>
        <w:tc>
          <w:tcPr>
            <w:tcW w:w="1481" w:type="dxa"/>
            <w:shd w:val="clear" w:color="auto" w:fill="auto"/>
            <w:noWrap/>
            <w:vAlign w:val="center"/>
          </w:tcPr>
          <w:p w14:paraId="2AD47FB1">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1518" w:type="dxa"/>
            <w:shd w:val="clear" w:color="auto" w:fill="auto"/>
            <w:noWrap/>
            <w:vAlign w:val="center"/>
          </w:tcPr>
          <w:p w14:paraId="5988C0A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2E5A23DB">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06E8023F">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332"/>
        <w:gridCol w:w="2773"/>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342"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596"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聚丙烯酰胺阴离子</w:t>
            </w:r>
          </w:p>
        </w:tc>
        <w:tc>
          <w:tcPr>
            <w:tcW w:w="1342" w:type="pct"/>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GB/T 17514-2017</w:t>
            </w:r>
          </w:p>
        </w:tc>
        <w:tc>
          <w:tcPr>
            <w:tcW w:w="1596" w:type="pct"/>
            <w:vAlign w:val="center"/>
          </w:tcPr>
          <w:p w14:paraId="0BEAF6D4">
            <w:pPr>
              <w:pStyle w:val="58"/>
              <w:keepNext w:val="0"/>
              <w:keepLines w:val="0"/>
              <w:pageBreakBefore w:val="0"/>
              <w:widowControl w:val="0"/>
              <w:kinsoku/>
              <w:wordWrap w:val="0"/>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宋体" w:hAnsi="宋体" w:cs="宋体"/>
                <w:color w:val="333333"/>
                <w:sz w:val="24"/>
                <w:szCs w:val="24"/>
                <w:shd w:val="clear" w:color="auto" w:fill="FFFFFF"/>
                <w:lang w:eastAsia="zh-CN"/>
              </w:rPr>
              <w:t>分子量≥1200</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default" w:ascii="宋体" w:hAnsi="宋体" w:eastAsia="宋体" w:cs="宋体"/>
                <w:b/>
                <w:bCs/>
                <w:sz w:val="24"/>
                <w:szCs w:val="24"/>
                <w:lang w:val="en-US" w:eastAsia="zh-CN"/>
              </w:rPr>
            </w:pPr>
            <w:r>
              <w:rPr>
                <w:rFonts w:hint="eastAsia" w:ascii="宋体" w:hAnsi="宋体" w:cs="宋体"/>
                <w:b/>
                <w:bCs/>
                <w:sz w:val="24"/>
                <w:szCs w:val="24"/>
                <w:lang w:val="en-US" w:eastAsia="zh-CN"/>
              </w:rPr>
              <w:t>/</w:t>
            </w:r>
          </w:p>
        </w:tc>
      </w:tr>
      <w:tr w14:paraId="4A394E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931" w:type="pct"/>
            <w:vAlign w:val="center"/>
          </w:tcPr>
          <w:p w14:paraId="45186335">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cs="宋体"/>
                <w:b w:val="0"/>
                <w:bCs w:val="0"/>
                <w:color w:val="000000"/>
                <w:sz w:val="24"/>
                <w:szCs w:val="24"/>
                <w:lang w:eastAsia="zh-CN" w:bidi="ar"/>
              </w:rPr>
            </w:pPr>
            <w:r>
              <w:rPr>
                <w:rFonts w:hint="eastAsia" w:ascii="宋体" w:hAnsi="宋体" w:cs="宋体"/>
                <w:b w:val="0"/>
                <w:bCs w:val="0"/>
                <w:color w:val="000000"/>
                <w:sz w:val="24"/>
                <w:szCs w:val="24"/>
                <w:lang w:eastAsia="zh-CN" w:bidi="ar"/>
              </w:rPr>
              <w:t>聚丙烯酰胺阳离子</w:t>
            </w:r>
          </w:p>
        </w:tc>
        <w:tc>
          <w:tcPr>
            <w:tcW w:w="1342" w:type="pct"/>
            <w:vAlign w:val="center"/>
          </w:tcPr>
          <w:p w14:paraId="51CAF311">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GB/T31246-2014</w:t>
            </w:r>
          </w:p>
        </w:tc>
        <w:tc>
          <w:tcPr>
            <w:tcW w:w="1596" w:type="pct"/>
            <w:vAlign w:val="center"/>
          </w:tcPr>
          <w:p w14:paraId="6D3DDE52">
            <w:pPr>
              <w:pStyle w:val="58"/>
              <w:keepNext w:val="0"/>
              <w:keepLines w:val="0"/>
              <w:pageBreakBefore w:val="0"/>
              <w:widowControl w:val="0"/>
              <w:kinsoku/>
              <w:wordWrap w:val="0"/>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cs="宋体"/>
                <w:color w:val="333333"/>
                <w:sz w:val="24"/>
                <w:szCs w:val="24"/>
                <w:shd w:val="clear" w:color="auto" w:fill="FFFFFF"/>
                <w:lang w:eastAsia="zh-CN"/>
              </w:rPr>
            </w:pPr>
            <w:r>
              <w:rPr>
                <w:rFonts w:hint="eastAsia" w:ascii="宋体" w:hAnsi="宋体" w:cs="宋体"/>
                <w:color w:val="333333"/>
                <w:sz w:val="24"/>
                <w:szCs w:val="24"/>
                <w:shd w:val="clear" w:color="auto" w:fill="FFFFFF"/>
                <w:lang w:eastAsia="zh-CN"/>
              </w:rPr>
              <w:t>阳离子度≥40%</w:t>
            </w:r>
          </w:p>
        </w:tc>
        <w:tc>
          <w:tcPr>
            <w:tcW w:w="1129" w:type="pct"/>
            <w:vAlign w:val="center"/>
          </w:tcPr>
          <w:p w14:paraId="2270937C">
            <w:pPr>
              <w:keepNext w:val="0"/>
              <w:keepLines w:val="0"/>
              <w:pageBreakBefore w:val="0"/>
              <w:widowControl w:val="0"/>
              <w:kinsoku/>
              <w:wordWrap/>
              <w:overflowPunct/>
              <w:topLinePunct w:val="0"/>
              <w:bidi w:val="0"/>
              <w:adjustRightInd/>
              <w:snapToGrid/>
              <w:spacing w:afterLines="0" w:line="240" w:lineRule="auto"/>
              <w:jc w:val="center"/>
              <w:textAlignment w:val="auto"/>
              <w:rPr>
                <w:rFonts w:hint="default" w:ascii="宋体" w:hAnsi="宋体" w:cs="宋体"/>
                <w:b/>
                <w:bCs/>
                <w:sz w:val="24"/>
                <w:szCs w:val="24"/>
                <w:lang w:val="en-US" w:eastAsia="zh-CN"/>
              </w:rPr>
            </w:pPr>
            <w:r>
              <w:rPr>
                <w:rFonts w:hint="eastAsia" w:ascii="宋体" w:hAnsi="宋体" w:cs="宋体"/>
                <w:b/>
                <w:bCs/>
                <w:sz w:val="24"/>
                <w:szCs w:val="24"/>
                <w:lang w:val="en-US" w:eastAsia="zh-CN"/>
              </w:rPr>
              <w:t>/</w:t>
            </w:r>
          </w:p>
        </w:tc>
      </w:tr>
    </w:tbl>
    <w:p w14:paraId="17FD179C">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聚丙烯酰胺药剂(四川攀枝花)采购项目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聚丙烯酰胺药剂(四川攀枝花)采购项目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聚丙烯酰胺药剂(四川攀枝花)采购项目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1</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聚丙烯酰胺药剂(四川攀枝花)采购项目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聚丙烯酰胺药剂(四川攀枝花)采购项目</w:t>
      </w:r>
      <w:r>
        <w:rPr>
          <w:rFonts w:hint="eastAsia" w:ascii="仿宋" w:hAnsi="仿宋" w:eastAsia="仿宋"/>
          <w:b/>
          <w:bCs/>
          <w:kern w:val="0"/>
          <w:sz w:val="24"/>
        </w:rPr>
        <w:t>报价一览表</w:t>
      </w:r>
    </w:p>
    <w:tbl>
      <w:tblPr>
        <w:tblStyle w:val="22"/>
        <w:tblpPr w:leftFromText="181" w:rightFromText="181" w:vertAnchor="text" w:horzAnchor="page" w:tblpXSpec="center" w:tblpY="114"/>
        <w:tblOverlap w:val="never"/>
        <w:tblW w:w="51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5"/>
        <w:gridCol w:w="1480"/>
        <w:gridCol w:w="1482"/>
        <w:gridCol w:w="1141"/>
        <w:gridCol w:w="1017"/>
        <w:gridCol w:w="1532"/>
        <w:gridCol w:w="1541"/>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37"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62"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聚丙烯酰胺药剂(四川攀枝花)采购项目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737"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541"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593"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127" w:type="pct"/>
            <w:gridSpan w:val="3"/>
            <w:vAlign w:val="center"/>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2411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737" w:type="pct"/>
            <w:vMerge w:val="continue"/>
            <w:vAlign w:val="center"/>
          </w:tcPr>
          <w:p w14:paraId="08D97377">
            <w:pPr>
              <w:spacing w:afterLines="0"/>
              <w:jc w:val="center"/>
            </w:pPr>
          </w:p>
        </w:tc>
        <w:tc>
          <w:tcPr>
            <w:tcW w:w="1541" w:type="pct"/>
            <w:gridSpan w:val="2"/>
            <w:vMerge w:val="continue"/>
            <w:vAlign w:val="center"/>
          </w:tcPr>
          <w:p w14:paraId="7D2E7AC0">
            <w:pPr>
              <w:spacing w:afterLines="0"/>
              <w:jc w:val="center"/>
            </w:pPr>
          </w:p>
        </w:tc>
        <w:tc>
          <w:tcPr>
            <w:tcW w:w="593" w:type="pct"/>
            <w:vAlign w:val="center"/>
          </w:tcPr>
          <w:p w14:paraId="623B436F">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127" w:type="pct"/>
            <w:gridSpan w:val="3"/>
            <w:vAlign w:val="center"/>
          </w:tcPr>
          <w:p w14:paraId="3893F748">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737"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541"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四川省攀枝花市</w:t>
            </w:r>
          </w:p>
        </w:tc>
        <w:tc>
          <w:tcPr>
            <w:tcW w:w="593"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127" w:type="pct"/>
            <w:gridSpan w:val="3"/>
            <w:vAlign w:val="center"/>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37"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770"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771"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593"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29"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97"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800"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37"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70"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聚丙烯酰胺阴离子</w:t>
            </w:r>
          </w:p>
        </w:tc>
        <w:tc>
          <w:tcPr>
            <w:tcW w:w="771" w:type="pct"/>
            <w:vAlign w:val="center"/>
          </w:tcPr>
          <w:p w14:paraId="2B345FAE">
            <w:pPr>
              <w:pStyle w:val="58"/>
              <w:keepNext w:val="0"/>
              <w:keepLines w:val="0"/>
              <w:pageBreakBefore w:val="0"/>
              <w:widowControl w:val="0"/>
              <w:kinsoku/>
              <w:wordWrap w:val="0"/>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000000"/>
                <w:sz w:val="24"/>
                <w:szCs w:val="24"/>
                <w:lang w:bidi="ar"/>
              </w:rPr>
              <w:t>分子量≥1200</w:t>
            </w:r>
          </w:p>
        </w:tc>
        <w:tc>
          <w:tcPr>
            <w:tcW w:w="593"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29"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3</w:t>
            </w:r>
          </w:p>
        </w:tc>
        <w:tc>
          <w:tcPr>
            <w:tcW w:w="797"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800" w:type="pct"/>
            <w:vMerge w:val="restar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采购数量为暂估量，具体以实际采购为准。</w:t>
            </w:r>
          </w:p>
        </w:tc>
      </w:tr>
      <w:tr w14:paraId="4D099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37" w:type="pct"/>
            <w:vAlign w:val="center"/>
          </w:tcPr>
          <w:p w14:paraId="7188651E">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2</w:t>
            </w:r>
          </w:p>
        </w:tc>
        <w:tc>
          <w:tcPr>
            <w:tcW w:w="770" w:type="pct"/>
            <w:vAlign w:val="center"/>
          </w:tcPr>
          <w:p w14:paraId="516187D9">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聚丙烯酰胺阳离子</w:t>
            </w:r>
          </w:p>
        </w:tc>
        <w:tc>
          <w:tcPr>
            <w:tcW w:w="771" w:type="pct"/>
            <w:vAlign w:val="center"/>
          </w:tcPr>
          <w:p w14:paraId="453A3E66">
            <w:pPr>
              <w:pStyle w:val="58"/>
              <w:keepNext w:val="0"/>
              <w:keepLines w:val="0"/>
              <w:pageBreakBefore w:val="0"/>
              <w:widowControl w:val="0"/>
              <w:kinsoku/>
              <w:wordWrap w:val="0"/>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333333"/>
                <w:sz w:val="24"/>
                <w:szCs w:val="24"/>
                <w:shd w:val="clear" w:color="auto" w:fill="FFFFFF"/>
                <w:lang w:eastAsia="zh-CN"/>
              </w:rPr>
            </w:pPr>
            <w:r>
              <w:rPr>
                <w:rFonts w:hint="eastAsia" w:ascii="仿宋" w:hAnsi="仿宋" w:eastAsia="仿宋" w:cs="仿宋"/>
                <w:color w:val="333333"/>
                <w:sz w:val="24"/>
                <w:szCs w:val="24"/>
                <w:shd w:val="clear" w:color="auto" w:fill="FFFFFF"/>
                <w:lang w:eastAsia="zh-CN"/>
              </w:rPr>
              <w:t>阳离子度≥40%</w:t>
            </w:r>
          </w:p>
        </w:tc>
        <w:tc>
          <w:tcPr>
            <w:tcW w:w="593" w:type="pct"/>
            <w:shd w:val="clear" w:color="auto" w:fill="auto"/>
            <w:vAlign w:val="center"/>
          </w:tcPr>
          <w:p w14:paraId="6ADD0C3E">
            <w:pPr>
              <w:spacing w:afterLines="0" w:line="240" w:lineRule="auto"/>
              <w:jc w:val="center"/>
              <w:rPr>
                <w:rFonts w:hint="eastAsia" w:ascii="仿宋" w:hAnsi="仿宋" w:eastAsia="仿宋" w:cs="Times New Roman"/>
                <w:kern w:val="2"/>
                <w:sz w:val="24"/>
                <w:szCs w:val="24"/>
                <w:lang w:val="en-US" w:eastAsia="zh-CN" w:bidi="ar-SA"/>
              </w:rPr>
            </w:pPr>
            <w:r>
              <w:rPr>
                <w:rFonts w:hint="eastAsia" w:ascii="仿宋" w:hAnsi="仿宋" w:eastAsia="仿宋" w:cs="宋体"/>
                <w:kern w:val="0"/>
                <w:sz w:val="24"/>
                <w:szCs w:val="24"/>
              </w:rPr>
              <w:t>吨</w:t>
            </w:r>
          </w:p>
        </w:tc>
        <w:tc>
          <w:tcPr>
            <w:tcW w:w="529" w:type="pct"/>
            <w:shd w:val="clear" w:color="auto" w:fill="auto"/>
            <w:vAlign w:val="center"/>
          </w:tcPr>
          <w:p w14:paraId="68C649BB">
            <w:pPr>
              <w:spacing w:afterLines="0" w:line="240" w:lineRule="auto"/>
              <w:jc w:val="center"/>
              <w:rPr>
                <w:rFonts w:hint="eastAsia" w:ascii="仿宋" w:hAnsi="仿宋" w:eastAsia="仿宋" w:cs="Times New Roman"/>
                <w:kern w:val="2"/>
                <w:sz w:val="24"/>
                <w:szCs w:val="24"/>
                <w:lang w:val="en-US" w:eastAsia="zh-CN" w:bidi="ar-SA"/>
              </w:rPr>
            </w:pPr>
            <w:r>
              <w:rPr>
                <w:rFonts w:hint="eastAsia" w:ascii="仿宋" w:hAnsi="仿宋" w:eastAsia="仿宋"/>
                <w:sz w:val="24"/>
                <w:szCs w:val="24"/>
                <w:lang w:val="en-US" w:eastAsia="zh-CN"/>
              </w:rPr>
              <w:t>5</w:t>
            </w:r>
          </w:p>
        </w:tc>
        <w:tc>
          <w:tcPr>
            <w:tcW w:w="797" w:type="pct"/>
            <w:shd w:val="clear" w:color="auto" w:fill="auto"/>
            <w:vAlign w:val="center"/>
          </w:tcPr>
          <w:p w14:paraId="2F94C655">
            <w:pPr>
              <w:spacing w:afterLines="0" w:line="240" w:lineRule="auto"/>
              <w:jc w:val="center"/>
              <w:rPr>
                <w:rFonts w:hint="eastAsia" w:ascii="仿宋" w:hAnsi="仿宋" w:eastAsia="仿宋"/>
                <w:b/>
                <w:bCs/>
                <w:color w:val="FF0000"/>
                <w:sz w:val="24"/>
                <w:szCs w:val="24"/>
              </w:rPr>
            </w:pPr>
            <w:r>
              <w:rPr>
                <w:rFonts w:hint="eastAsia" w:ascii="仿宋" w:hAnsi="仿宋" w:eastAsia="仿宋"/>
                <w:b/>
                <w:bCs/>
                <w:color w:val="FF0000"/>
                <w:sz w:val="24"/>
                <w:szCs w:val="24"/>
              </w:rPr>
              <w:t>（*必填项）</w:t>
            </w:r>
          </w:p>
        </w:tc>
        <w:tc>
          <w:tcPr>
            <w:tcW w:w="800" w:type="pct"/>
            <w:vMerge w:val="continue"/>
            <w:vAlign w:val="center"/>
          </w:tcPr>
          <w:p w14:paraId="152F02FE">
            <w:pPr>
              <w:spacing w:afterLines="0" w:line="240" w:lineRule="auto"/>
              <w:jc w:val="left"/>
              <w:rPr>
                <w:rFonts w:hint="eastAsia" w:ascii="仿宋" w:hAnsi="仿宋" w:eastAsia="仿宋"/>
                <w:sz w:val="24"/>
                <w:szCs w:val="24"/>
              </w:rPr>
            </w:pPr>
          </w:p>
        </w:tc>
      </w:tr>
      <w:tr w14:paraId="5F4BB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737" w:type="pct"/>
            <w:vAlign w:val="center"/>
          </w:tcPr>
          <w:p w14:paraId="2FE2D298">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b/>
                <w:bCs/>
                <w:sz w:val="24"/>
                <w:szCs w:val="24"/>
              </w:rPr>
              <w:t>*</w:t>
            </w:r>
            <w:r>
              <w:rPr>
                <w:rFonts w:hint="eastAsia" w:ascii="仿宋" w:hAnsi="仿宋" w:eastAsia="仿宋" w:cs="仿宋"/>
                <w:b/>
                <w:bCs/>
                <w:spacing w:val="-8"/>
                <w:sz w:val="24"/>
                <w:szCs w:val="24"/>
                <w:lang w:val="en-US" w:eastAsia="zh-CN"/>
              </w:rPr>
              <w:t>含税</w:t>
            </w:r>
            <w:r>
              <w:rPr>
                <w:rFonts w:hint="eastAsia" w:ascii="仿宋" w:hAnsi="仿宋" w:eastAsia="仿宋"/>
                <w:b/>
                <w:bCs/>
                <w:sz w:val="24"/>
                <w:szCs w:val="24"/>
                <w:lang w:val="en-US" w:eastAsia="zh-CN"/>
              </w:rPr>
              <w:t>总价</w:t>
            </w:r>
            <w:r>
              <w:rPr>
                <w:rFonts w:hint="eastAsia" w:ascii="仿宋" w:hAnsi="仿宋" w:eastAsia="仿宋" w:cs="仿宋"/>
                <w:b/>
                <w:bCs/>
                <w:spacing w:val="-8"/>
                <w:sz w:val="24"/>
                <w:szCs w:val="24"/>
                <w:lang w:val="en-US" w:eastAsia="zh-CN"/>
              </w:rPr>
              <w:t>（元）</w:t>
            </w:r>
          </w:p>
        </w:tc>
        <w:tc>
          <w:tcPr>
            <w:tcW w:w="4262" w:type="pct"/>
            <w:gridSpan w:val="6"/>
            <w:vAlign w:val="center"/>
          </w:tcPr>
          <w:p w14:paraId="43C8F78F">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37"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2135" w:type="pct"/>
            <w:gridSpan w:val="3"/>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529"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1598" w:type="pct"/>
            <w:gridSpan w:val="2"/>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37"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62"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37"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2135" w:type="pct"/>
            <w:gridSpan w:val="3"/>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w:t>
            </w:r>
            <w:r>
              <w:rPr>
                <w:rFonts w:hint="eastAsia" w:ascii="仿宋" w:hAnsi="仿宋" w:eastAsia="仿宋" w:cs="仿宋"/>
                <w:bCs/>
                <w:color w:val="000000"/>
                <w:sz w:val="24"/>
                <w:szCs w:val="24"/>
                <w:lang w:val="en-US" w:eastAsia="zh-CN"/>
              </w:rPr>
              <w:t>3</w:t>
            </w:r>
            <w:r>
              <w:rPr>
                <w:rFonts w:hint="eastAsia" w:ascii="仿宋" w:hAnsi="仿宋" w:eastAsia="仿宋" w:cs="仿宋"/>
                <w:bCs/>
                <w:color w:val="000000"/>
                <w:sz w:val="24"/>
                <w:szCs w:val="24"/>
              </w:rPr>
              <w:t>天内送达，紧急情况下</w:t>
            </w:r>
            <w:r>
              <w:rPr>
                <w:rFonts w:hint="eastAsia" w:ascii="仿宋" w:hAnsi="仿宋" w:eastAsia="仿宋" w:cs="仿宋"/>
                <w:bCs/>
                <w:color w:val="000000"/>
                <w:sz w:val="24"/>
                <w:szCs w:val="24"/>
                <w:lang w:val="en-US" w:eastAsia="zh-CN"/>
              </w:rPr>
              <w:t>1</w:t>
            </w:r>
            <w:r>
              <w:rPr>
                <w:rFonts w:hint="eastAsia" w:ascii="仿宋" w:hAnsi="仿宋" w:eastAsia="仿宋" w:cs="仿宋"/>
                <w:bCs/>
                <w:color w:val="000000"/>
                <w:sz w:val="24"/>
                <w:szCs w:val="24"/>
              </w:rPr>
              <w:t>天内送达</w:t>
            </w:r>
          </w:p>
        </w:tc>
        <w:tc>
          <w:tcPr>
            <w:tcW w:w="529"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1598" w:type="pct"/>
            <w:gridSpan w:val="2"/>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12个月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16954F2B">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w:t>
            </w:r>
            <w:r>
              <w:rPr>
                <w:rFonts w:hint="eastAsia" w:ascii="仿宋" w:hAnsi="仿宋" w:eastAsia="仿宋"/>
                <w:b/>
                <w:bCs/>
                <w:sz w:val="24"/>
                <w:szCs w:val="24"/>
                <w:lang w:val="en-US" w:eastAsia="zh-CN"/>
              </w:rPr>
              <w:t>总</w:t>
            </w:r>
            <w:r>
              <w:rPr>
                <w:rFonts w:hint="eastAsia" w:ascii="仿宋" w:hAnsi="仿宋" w:eastAsia="仿宋"/>
                <w:b/>
                <w:bCs/>
                <w:sz w:val="24"/>
                <w:szCs w:val="24"/>
              </w:rPr>
              <w:t>价进行对比，参选单位需填报含税</w:t>
            </w:r>
            <w:r>
              <w:rPr>
                <w:rFonts w:hint="eastAsia" w:ascii="仿宋" w:hAnsi="仿宋" w:eastAsia="仿宋"/>
                <w:b/>
                <w:bCs/>
                <w:sz w:val="24"/>
                <w:szCs w:val="24"/>
                <w:lang w:val="en-US" w:eastAsia="zh-CN"/>
              </w:rPr>
              <w:t>单</w:t>
            </w:r>
            <w:r>
              <w:rPr>
                <w:rFonts w:hint="eastAsia" w:ascii="仿宋" w:hAnsi="仿宋" w:eastAsia="仿宋"/>
                <w:b/>
                <w:bCs/>
                <w:sz w:val="24"/>
                <w:szCs w:val="24"/>
              </w:rPr>
              <w:t>价</w:t>
            </w:r>
            <w:r>
              <w:rPr>
                <w:rFonts w:hint="eastAsia" w:ascii="仿宋" w:hAnsi="仿宋" w:eastAsia="仿宋"/>
                <w:b/>
                <w:bCs/>
                <w:sz w:val="24"/>
                <w:szCs w:val="24"/>
                <w:lang w:eastAsia="zh-CN"/>
              </w:rPr>
              <w:t>、</w:t>
            </w:r>
            <w:r>
              <w:rPr>
                <w:rFonts w:hint="eastAsia" w:ascii="仿宋" w:hAnsi="仿宋" w:eastAsia="仿宋"/>
                <w:b/>
                <w:bCs/>
                <w:sz w:val="24"/>
                <w:szCs w:val="24"/>
                <w:lang w:val="en-US" w:eastAsia="zh-CN"/>
              </w:rPr>
              <w:t>含税总价</w:t>
            </w:r>
            <w:r>
              <w:rPr>
                <w:rFonts w:hint="eastAsia" w:ascii="仿宋" w:hAnsi="仿宋" w:eastAsia="仿宋"/>
                <w:b/>
                <w:bCs/>
                <w:sz w:val="24"/>
                <w:szCs w:val="24"/>
              </w:rPr>
              <w:t>及税率</w:t>
            </w:r>
            <w:r>
              <w:rPr>
                <w:rFonts w:hint="eastAsia" w:ascii="仿宋" w:hAnsi="仿宋" w:eastAsia="仿宋"/>
                <w:b/>
                <w:bCs/>
                <w:sz w:val="24"/>
                <w:szCs w:val="24"/>
                <w:lang w:eastAsia="zh-CN"/>
              </w:rPr>
              <w:t>；</w:t>
            </w:r>
            <w:r>
              <w:rPr>
                <w:rFonts w:hint="eastAsia" w:ascii="仿宋" w:hAnsi="仿宋" w:eastAsia="仿宋"/>
                <w:b/>
                <w:bCs/>
                <w:sz w:val="24"/>
                <w:szCs w:val="24"/>
                <w:lang w:val="en-US" w:eastAsia="zh-CN"/>
              </w:rPr>
              <w:t>报价不含税总价计算有误的，以不含税单价报价为准修正总价</w:t>
            </w:r>
            <w:r>
              <w:rPr>
                <w:rFonts w:hint="eastAsia" w:ascii="仿宋" w:hAnsi="仿宋" w:eastAsia="仿宋"/>
                <w:b/>
                <w:bCs/>
                <w:sz w:val="24"/>
                <w:szCs w:val="24"/>
              </w:rPr>
              <w:t>。</w:t>
            </w:r>
          </w:p>
          <w:p w14:paraId="5007247C">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71CD8BAB">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5.不含税价计算方式:不含税价=含税价/(1+税率)；</w:t>
            </w:r>
          </w:p>
          <w:p w14:paraId="17A6E80D">
            <w:pPr>
              <w:spacing w:afterLines="0" w:line="300" w:lineRule="exact"/>
              <w:ind w:left="0" w:leftChars="0" w:firstLine="0" w:firstLineChars="0"/>
              <w:jc w:val="left"/>
              <w:rPr>
                <w:rFonts w:hint="eastAsia" w:ascii="仿宋" w:hAnsi="仿宋" w:eastAsia="仿宋"/>
                <w:b/>
                <w:bCs/>
                <w:sz w:val="24"/>
                <w:szCs w:val="24"/>
              </w:rPr>
            </w:pPr>
            <w:r>
              <w:rPr>
                <w:rFonts w:hint="eastAsia" w:ascii="仿宋" w:hAnsi="仿宋" w:eastAsia="仿宋"/>
                <w:b/>
                <w:bCs/>
                <w:sz w:val="24"/>
                <w:szCs w:val="24"/>
              </w:rPr>
              <w:t>不含税总价计算方式：不含税总价=（项次1数量*项次1不含税单价）+（项次2数量*项次2不含税单价）；</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3DBEA2C6-A51C-48EA-862C-8A26A8E28BA7}"/>
  </w:font>
  <w:font w:name="宋体">
    <w:panose1 w:val="02010600030101010101"/>
    <w:charset w:val="7A"/>
    <w:family w:val="auto"/>
    <w:pitch w:val="default"/>
    <w:sig w:usb0="00000203" w:usb1="288F0000" w:usb2="00000006" w:usb3="00000000" w:csb0="00040001" w:csb1="00000000"/>
    <w:embedRegular r:id="rId2" w:fontKey="{9C8BFAF9-7985-4A64-A71A-E9585B07B07E}"/>
  </w:font>
  <w:font w:name="Wingdings">
    <w:panose1 w:val="05000000000000000000"/>
    <w:charset w:val="02"/>
    <w:family w:val="auto"/>
    <w:pitch w:val="default"/>
    <w:sig w:usb0="00000000" w:usb1="00000000" w:usb2="00000000" w:usb3="00000000" w:csb0="80000000" w:csb1="00000000"/>
    <w:embedRegular r:id="rId3" w:fontKey="{FA1BA17D-91AC-4DFF-A2FA-089105240C55}"/>
  </w:font>
  <w:font w:name="Arial">
    <w:panose1 w:val="020B0604020202020204"/>
    <w:charset w:val="01"/>
    <w:family w:val="swiss"/>
    <w:pitch w:val="default"/>
    <w:sig w:usb0="E0002EFF" w:usb1="C000785B" w:usb2="00000009" w:usb3="00000000" w:csb0="400001FF" w:csb1="FFFF0000"/>
    <w:embedRegular r:id="rId4" w:fontKey="{913B2988-7C9E-42C8-A85D-0EFE726FC6C0}"/>
  </w:font>
  <w:font w:name="黑体">
    <w:panose1 w:val="02010609060101010101"/>
    <w:charset w:val="86"/>
    <w:family w:val="auto"/>
    <w:pitch w:val="default"/>
    <w:sig w:usb0="800002BF" w:usb1="38CF7CFA" w:usb2="00000016" w:usb3="00000000" w:csb0="00040001" w:csb1="00000000"/>
    <w:embedRegular r:id="rId5" w:fontKey="{296B1D98-24B7-4B07-AE70-497C7C056324}"/>
  </w:font>
  <w:font w:name="Courier New">
    <w:panose1 w:val="02070309020205020404"/>
    <w:charset w:val="01"/>
    <w:family w:val="modern"/>
    <w:pitch w:val="default"/>
    <w:sig w:usb0="E0002EFF" w:usb1="C0007843" w:usb2="00000009" w:usb3="00000000" w:csb0="400001FF" w:csb1="FFFF0000"/>
    <w:embedRegular r:id="rId6" w:fontKey="{BEF09814-29EA-42D2-BF8C-813A0BC484C6}"/>
  </w:font>
  <w:font w:name="Symbol">
    <w:panose1 w:val="05050102010706020507"/>
    <w:charset w:val="02"/>
    <w:family w:val="roman"/>
    <w:pitch w:val="default"/>
    <w:sig w:usb0="00000000" w:usb1="00000000" w:usb2="00000000" w:usb3="00000000" w:csb0="80000000" w:csb1="00000000"/>
    <w:embedRegular r:id="rId7" w:fontKey="{857D1CBB-0421-4471-BBD1-7671082CE73F}"/>
  </w:font>
  <w:font w:name="Calibri">
    <w:panose1 w:val="020F0502020204030204"/>
    <w:charset w:val="00"/>
    <w:family w:val="swiss"/>
    <w:pitch w:val="default"/>
    <w:sig w:usb0="E4002EFF" w:usb1="C200247B" w:usb2="00000009" w:usb3="00000000" w:csb0="200001FF" w:csb1="00000000"/>
    <w:embedRegular r:id="rId8" w:fontKey="{F98B3282-B2A3-437C-BF7E-7DF732C88FA8}"/>
  </w:font>
  <w:font w:name="Calibri Light">
    <w:panose1 w:val="020F0302020204030204"/>
    <w:charset w:val="00"/>
    <w:family w:val="swiss"/>
    <w:pitch w:val="default"/>
    <w:sig w:usb0="E4002EFF" w:usb1="C200247B" w:usb2="00000009" w:usb3="00000000" w:csb0="200001FF" w:csb1="00000000"/>
    <w:embedRegular r:id="rId9" w:fontKey="{280EF16D-D4CA-4EC2-BD3B-816497B80109}"/>
  </w:font>
  <w:font w:name="Cambria">
    <w:panose1 w:val="02040503050406030204"/>
    <w:charset w:val="00"/>
    <w:family w:val="roman"/>
    <w:pitch w:val="default"/>
    <w:sig w:usb0="E00006FF" w:usb1="420024FF" w:usb2="02000000" w:usb3="00000000" w:csb0="2000019F" w:csb1="00000000"/>
    <w:embedRegular r:id="rId10" w:fontKey="{6216A8D5-F6A6-49A5-B48E-43D8FA097EEE}"/>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方正仿宋_GB2312">
    <w:panose1 w:val="02000000000000000000"/>
    <w:charset w:val="86"/>
    <w:family w:val="auto"/>
    <w:pitch w:val="default"/>
    <w:sig w:usb0="A00002BF" w:usb1="184F6CFA" w:usb2="00000012" w:usb3="00000000" w:csb0="00040001" w:csb1="00000000"/>
    <w:embedRegular r:id="rId11" w:fontKey="{8039C34D-E033-4DFB-8B16-AE26D09F6D8D}"/>
  </w:font>
  <w:font w:name="方正小标宋简体">
    <w:panose1 w:val="02010600010101010101"/>
    <w:charset w:val="86"/>
    <w:family w:val="auto"/>
    <w:pitch w:val="default"/>
    <w:sig w:usb0="00000001" w:usb1="080E0000" w:usb2="00000000" w:usb3="00000000" w:csb0="00040000" w:csb1="00000000"/>
    <w:embedRegular r:id="rId12" w:fontKey="{695F16B1-CE0D-4FF5-AF87-CA072336299D}"/>
  </w:font>
  <w:font w:name="长城小">
    <w:altName w:val="宋体"/>
    <w:panose1 w:val="00000000000000000000"/>
    <w:charset w:val="86"/>
    <w:family w:val="modern"/>
    <w:pitch w:val="default"/>
    <w:sig w:usb0="00000000" w:usb1="00000000" w:usb2="00000000" w:usb3="00000000" w:csb0="00040001" w:csb1="00000000"/>
    <w:embedRegular r:id="rId13" w:fontKey="{3FF98DD3-1B86-4023-957D-2FE10A615A52}"/>
  </w:font>
  <w:font w:name="长城小标宋体">
    <w:panose1 w:val="02010609010101010101"/>
    <w:charset w:val="86"/>
    <w:family w:val="auto"/>
    <w:pitch w:val="default"/>
    <w:sig w:usb0="00000000" w:usb1="00000000" w:usb2="00000000" w:usb3="00000000" w:csb0="00000000" w:csb1="00000000"/>
    <w:embedRegular r:id="rId14" w:fontKey="{56FE1E02-69BA-47C4-8280-6135B0CF7407}"/>
  </w:font>
  <w:font w:name="仿宋">
    <w:panose1 w:val="02010609060101010101"/>
    <w:charset w:val="86"/>
    <w:family w:val="modern"/>
    <w:pitch w:val="default"/>
    <w:sig w:usb0="800002BF" w:usb1="38CF7CFA" w:usb2="00000016" w:usb3="00000000" w:csb0="00040001" w:csb1="00000000"/>
    <w:embedRegular r:id="rId15" w:fontKey="{C4032FB2-FD0A-4674-B684-A2ABFB47348F}"/>
  </w:font>
  <w:font w:name="微软雅黑">
    <w:panose1 w:val="020B0503020204020204"/>
    <w:charset w:val="86"/>
    <w:family w:val="swiss"/>
    <w:pitch w:val="default"/>
    <w:sig w:usb0="80000287" w:usb1="2ACF3C50" w:usb2="00000016" w:usb3="00000000" w:csb0="0004001F" w:csb1="00000000"/>
    <w:embedRegular r:id="rId16" w:fontKey="{CD76EDC3-DF4A-49CC-8A24-A33634F300CD}"/>
  </w:font>
  <w:font w:name="仿宋_GB2312">
    <w:panose1 w:val="02010609030101010101"/>
    <w:charset w:val="86"/>
    <w:family w:val="modern"/>
    <w:pitch w:val="default"/>
    <w:sig w:usb0="00000001" w:usb1="080E0000" w:usb2="00000000" w:usb3="00000000" w:csb0="00040000" w:csb1="00000000"/>
    <w:embedRegular r:id="rId17" w:fontKey="{7D07249E-6D24-4E47-9CA6-DC1F5459C931}"/>
  </w:font>
  <w:font w:name="Times New Roman Regular">
    <w:altName w:val="Times New Roman"/>
    <w:panose1 w:val="00000000000000000000"/>
    <w:charset w:val="00"/>
    <w:family w:val="auto"/>
    <w:pitch w:val="default"/>
    <w:sig w:usb0="00000000" w:usb1="00000000" w:usb2="00000009" w:usb3="00000000" w:csb0="400001FF" w:csb1="FFFF0000"/>
    <w:embedRegular r:id="rId18" w:fontKey="{4EB6530F-D3EF-494A-A809-7F713467AAF9}"/>
  </w:font>
  <w:font w:name="Wingdings 2">
    <w:panose1 w:val="05020102010507070707"/>
    <w:charset w:val="02"/>
    <w:family w:val="roman"/>
    <w:pitch w:val="default"/>
    <w:sig w:usb0="00000000" w:usb1="00000000" w:usb2="00000000" w:usb3="00000000" w:csb0="80000000" w:csb1="00000000"/>
    <w:embedRegular r:id="rId19" w:fontKey="{6E3FD82B-A627-4A0F-BC35-F447AD248F36}"/>
  </w:font>
  <w:font w:name="WPSEMBED13">
    <w:panose1 w:val="02000000000000000000"/>
    <w:charset w:val="86"/>
    <w:family w:val="auto"/>
    <w:pitch w:val="default"/>
    <w:sig w:usb0="A00002BF" w:usb1="184F6CFA" w:usb2="00000012" w:usb3="00000000" w:csb0="00040001" w:csb1="00000000"/>
  </w:font>
  <w:font w:name="WPSEMBED16">
    <w:panose1 w:val="02010609030101010101"/>
    <w:charset w:val="86"/>
    <w:family w:val="auto"/>
    <w:pitch w:val="default"/>
    <w:sig w:usb0="00000001" w:usb1="080E0000" w:usb2="00000000" w:usb3="00000000" w:csb0="00040000" w:csb1="00000000"/>
  </w:font>
  <w:font w:name="WPSEMBED14">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16D43"/>
    <w:rsid w:val="03795884"/>
    <w:rsid w:val="03966FA9"/>
    <w:rsid w:val="03D9246C"/>
    <w:rsid w:val="04A20595"/>
    <w:rsid w:val="05754E07"/>
    <w:rsid w:val="059211F2"/>
    <w:rsid w:val="06710406"/>
    <w:rsid w:val="06A51204"/>
    <w:rsid w:val="06D473AA"/>
    <w:rsid w:val="06F9F432"/>
    <w:rsid w:val="07480E14"/>
    <w:rsid w:val="079756C5"/>
    <w:rsid w:val="07C07809"/>
    <w:rsid w:val="08244108"/>
    <w:rsid w:val="08420CAE"/>
    <w:rsid w:val="084A1910"/>
    <w:rsid w:val="0A363213"/>
    <w:rsid w:val="0A64315D"/>
    <w:rsid w:val="0A886720"/>
    <w:rsid w:val="0AA1428C"/>
    <w:rsid w:val="0AD251DE"/>
    <w:rsid w:val="0B0E30C9"/>
    <w:rsid w:val="0CD00C0D"/>
    <w:rsid w:val="0D7F8C1E"/>
    <w:rsid w:val="0D970DF6"/>
    <w:rsid w:val="0D9E3895"/>
    <w:rsid w:val="0DAFDDD2"/>
    <w:rsid w:val="0E4211FE"/>
    <w:rsid w:val="0EE17277"/>
    <w:rsid w:val="0EF32F07"/>
    <w:rsid w:val="0FD61205"/>
    <w:rsid w:val="1097590F"/>
    <w:rsid w:val="10C42B13"/>
    <w:rsid w:val="10DD77C5"/>
    <w:rsid w:val="10E7084B"/>
    <w:rsid w:val="10F22522"/>
    <w:rsid w:val="11427629"/>
    <w:rsid w:val="11C42C96"/>
    <w:rsid w:val="12855EB3"/>
    <w:rsid w:val="134E717A"/>
    <w:rsid w:val="135D7FEE"/>
    <w:rsid w:val="13AFEC81"/>
    <w:rsid w:val="15161207"/>
    <w:rsid w:val="15930F80"/>
    <w:rsid w:val="1595726D"/>
    <w:rsid w:val="166564D0"/>
    <w:rsid w:val="16D57CE5"/>
    <w:rsid w:val="172377DF"/>
    <w:rsid w:val="185C5D2A"/>
    <w:rsid w:val="18AC73A6"/>
    <w:rsid w:val="18CD7911"/>
    <w:rsid w:val="193948C5"/>
    <w:rsid w:val="196910DF"/>
    <w:rsid w:val="199164D0"/>
    <w:rsid w:val="1A044DDE"/>
    <w:rsid w:val="1A200723"/>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520AA7"/>
    <w:rsid w:val="1F7F9C30"/>
    <w:rsid w:val="1FA372AD"/>
    <w:rsid w:val="1FB39FF7"/>
    <w:rsid w:val="1FB54372"/>
    <w:rsid w:val="1FEC089C"/>
    <w:rsid w:val="1FFF4E3F"/>
    <w:rsid w:val="20077A2D"/>
    <w:rsid w:val="2089134F"/>
    <w:rsid w:val="208923CA"/>
    <w:rsid w:val="20AB0E9C"/>
    <w:rsid w:val="212271A1"/>
    <w:rsid w:val="21E62252"/>
    <w:rsid w:val="222D79CD"/>
    <w:rsid w:val="22AC2486"/>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0E7E29"/>
    <w:rsid w:val="373A6320"/>
    <w:rsid w:val="377B856B"/>
    <w:rsid w:val="377C4D93"/>
    <w:rsid w:val="37920A5A"/>
    <w:rsid w:val="37FEEEDA"/>
    <w:rsid w:val="380C2D0A"/>
    <w:rsid w:val="387A052E"/>
    <w:rsid w:val="387C5D6A"/>
    <w:rsid w:val="391FB7C6"/>
    <w:rsid w:val="3956852C"/>
    <w:rsid w:val="396E4BAF"/>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582D12"/>
    <w:rsid w:val="42652233"/>
    <w:rsid w:val="433912CB"/>
    <w:rsid w:val="43D61CCF"/>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CE1714D"/>
    <w:rsid w:val="4DCC5629"/>
    <w:rsid w:val="4DD91081"/>
    <w:rsid w:val="4DFF1032"/>
    <w:rsid w:val="4E42314D"/>
    <w:rsid w:val="4EF179BD"/>
    <w:rsid w:val="4EFDA9D6"/>
    <w:rsid w:val="4EFF30A2"/>
    <w:rsid w:val="4F10078B"/>
    <w:rsid w:val="4F155DA1"/>
    <w:rsid w:val="4F4F0D8E"/>
    <w:rsid w:val="4F520E7C"/>
    <w:rsid w:val="4F952A3E"/>
    <w:rsid w:val="4FF9BA94"/>
    <w:rsid w:val="4FFC2348"/>
    <w:rsid w:val="50167464"/>
    <w:rsid w:val="504B2AA6"/>
    <w:rsid w:val="523F4EE3"/>
    <w:rsid w:val="52B07B8F"/>
    <w:rsid w:val="52FF1484"/>
    <w:rsid w:val="53164D13"/>
    <w:rsid w:val="53D25342"/>
    <w:rsid w:val="53F36D01"/>
    <w:rsid w:val="53FD523A"/>
    <w:rsid w:val="541C1980"/>
    <w:rsid w:val="5435659E"/>
    <w:rsid w:val="545C420A"/>
    <w:rsid w:val="547B516E"/>
    <w:rsid w:val="54DE7F5F"/>
    <w:rsid w:val="54EA33D7"/>
    <w:rsid w:val="55091CB9"/>
    <w:rsid w:val="55214149"/>
    <w:rsid w:val="557F0F30"/>
    <w:rsid w:val="559E5CE3"/>
    <w:rsid w:val="56725AB1"/>
    <w:rsid w:val="56B12911"/>
    <w:rsid w:val="56C836F9"/>
    <w:rsid w:val="56DD8954"/>
    <w:rsid w:val="57471F1B"/>
    <w:rsid w:val="57831D16"/>
    <w:rsid w:val="57AFC3C2"/>
    <w:rsid w:val="57CC5C5D"/>
    <w:rsid w:val="584D6CAB"/>
    <w:rsid w:val="58B21AB7"/>
    <w:rsid w:val="59632793"/>
    <w:rsid w:val="599107AF"/>
    <w:rsid w:val="59B3044E"/>
    <w:rsid w:val="59EE225F"/>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1B7D57"/>
    <w:rsid w:val="60BB26AF"/>
    <w:rsid w:val="614147D4"/>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8D6867"/>
    <w:rsid w:val="6BA92576"/>
    <w:rsid w:val="6BBA5D8F"/>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1EC3D9D"/>
    <w:rsid w:val="72035AD5"/>
    <w:rsid w:val="72303D87"/>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BB9841"/>
    <w:rsid w:val="79DF1FD7"/>
    <w:rsid w:val="7A20571A"/>
    <w:rsid w:val="7A5F0597"/>
    <w:rsid w:val="7A801888"/>
    <w:rsid w:val="7ABF0B18"/>
    <w:rsid w:val="7ADFE466"/>
    <w:rsid w:val="7B1643A5"/>
    <w:rsid w:val="7B6EDD4B"/>
    <w:rsid w:val="7B737D6F"/>
    <w:rsid w:val="7BBD36C3"/>
    <w:rsid w:val="7BC6D504"/>
    <w:rsid w:val="7BD75F15"/>
    <w:rsid w:val="7BF51143"/>
    <w:rsid w:val="7BF9CC8D"/>
    <w:rsid w:val="7BFE49B6"/>
    <w:rsid w:val="7BFF08C6"/>
    <w:rsid w:val="7BFF827E"/>
    <w:rsid w:val="7CFBDE83"/>
    <w:rsid w:val="7CFC8BB6"/>
    <w:rsid w:val="7CFE278F"/>
    <w:rsid w:val="7CFF28FB"/>
    <w:rsid w:val="7D0F17D2"/>
    <w:rsid w:val="7D4B5E7D"/>
    <w:rsid w:val="7D570A35"/>
    <w:rsid w:val="7D6E25DE"/>
    <w:rsid w:val="7D7FD9BC"/>
    <w:rsid w:val="7DD8137B"/>
    <w:rsid w:val="7DDF15BC"/>
    <w:rsid w:val="7DECE624"/>
    <w:rsid w:val="7DFE9D0E"/>
    <w:rsid w:val="7DFF037B"/>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方正仿宋_GB2312" w:hAnsi="宋体" w:eastAsia="方正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10950</Words>
  <Characters>11425</Characters>
  <Lines>12</Lines>
  <Paragraphs>23</Paragraphs>
  <TotalTime>23</TotalTime>
  <ScaleCrop>false</ScaleCrop>
  <LinksUpToDate>false</LinksUpToDate>
  <CharactersWithSpaces>12008</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2026-01-06T08:25:49Z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