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除磷剂原料采购项目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Times New Roman" w:hAnsi="Times New Roman" w:eastAsia="方正仿宋_GB2312"/>
          <w:bCs/>
          <w:color w:val="000000"/>
          <w:sz w:val="28"/>
          <w:szCs w:val="28"/>
        </w:rPr>
        <w:t>（</w:t>
      </w:r>
      <w:r>
        <w:rPr>
          <w:rFonts w:hint="eastAsia" w:ascii="方正仿宋_GB2312" w:hAnsi="方正仿宋_GB2312" w:eastAsia="方正仿宋_GB2312" w:cs="方正仿宋_GB2312"/>
          <w:bCs/>
          <w:color w:val="000000"/>
          <w:sz w:val="28"/>
          <w:szCs w:val="28"/>
        </w:rPr>
        <w:t>一）采购项目名称：</w:t>
      </w:r>
      <w:r>
        <w:rPr>
          <w:rFonts w:hint="eastAsia" w:ascii="方正仿宋_GB2312" w:hAnsi="方正仿宋_GB2312" w:eastAsia="方正仿宋_GB2312" w:cs="方正仿宋_GB2312"/>
          <w:sz w:val="28"/>
          <w:szCs w:val="28"/>
          <w:lang w:eastAsia="zh-CN"/>
        </w:rPr>
        <w:t>除磷剂原料</w:t>
      </w:r>
      <w:r>
        <w:rPr>
          <w:rFonts w:hint="eastAsia" w:ascii="方正仿宋_GB2312" w:hAnsi="方正仿宋_GB2312" w:eastAsia="方正仿宋_GB2312" w:cs="方正仿宋_GB2312"/>
          <w:bCs/>
          <w:color w:val="000000"/>
          <w:sz w:val="28"/>
          <w:szCs w:val="28"/>
          <w:lang w:eastAsia="zh-CN"/>
        </w:rPr>
        <w:t>采</w:t>
      </w:r>
      <w:r>
        <w:rPr>
          <w:rFonts w:hint="eastAsia" w:ascii="方正仿宋_GB2312" w:hAnsi="方正仿宋_GB2312" w:eastAsia="方正仿宋_GB2312" w:cs="方正仿宋_GB2312"/>
          <w:sz w:val="28"/>
          <w:szCs w:val="28"/>
          <w:lang w:eastAsia="zh-CN"/>
        </w:rPr>
        <w:t>购项目</w:t>
      </w:r>
      <w:r>
        <w:rPr>
          <w:rFonts w:hint="eastAsia" w:ascii="方正仿宋_GB2312" w:hAnsi="方正仿宋_GB2312" w:eastAsia="方正仿宋_GB2312" w:cs="方正仿宋_GB2312"/>
          <w:bCs/>
          <w:color w:val="000000"/>
          <w:sz w:val="28"/>
          <w:szCs w:val="28"/>
        </w:rPr>
        <w:t>。</w:t>
      </w:r>
    </w:p>
    <w:p w14:paraId="3CD8DA6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（二）采购需求：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056"/>
        <w:gridCol w:w="1781"/>
        <w:gridCol w:w="732"/>
        <w:gridCol w:w="975"/>
        <w:gridCol w:w="1256"/>
        <w:gridCol w:w="1050"/>
        <w:gridCol w:w="1366"/>
      </w:tblGrid>
      <w:tr w14:paraId="119AF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92" w:type="pct"/>
            <w:noWrap w:val="0"/>
            <w:vAlign w:val="center"/>
          </w:tcPr>
          <w:p w14:paraId="495804F6">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bookmarkStart w:id="0" w:name="_Hlk191890472"/>
            <w:r>
              <w:rPr>
                <w:rFonts w:hint="eastAsia" w:ascii="方正仿宋_GB2312" w:hAnsi="方正仿宋_GB2312" w:eastAsia="方正仿宋_GB2312" w:cs="方正仿宋_GB2312"/>
                <w:b/>
                <w:bCs w:val="0"/>
                <w:color w:val="000000"/>
                <w:kern w:val="2"/>
                <w:sz w:val="24"/>
                <w:szCs w:val="24"/>
                <w:lang w:val="en-US" w:eastAsia="zh-CN" w:bidi="ar-SA"/>
              </w:rPr>
              <w:t>序号</w:t>
            </w:r>
          </w:p>
        </w:tc>
        <w:tc>
          <w:tcPr>
            <w:tcW w:w="592" w:type="pct"/>
            <w:noWrap w:val="0"/>
            <w:vAlign w:val="center"/>
          </w:tcPr>
          <w:p w14:paraId="6A80B100">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名称</w:t>
            </w:r>
          </w:p>
        </w:tc>
        <w:tc>
          <w:tcPr>
            <w:tcW w:w="998" w:type="pct"/>
            <w:noWrap w:val="0"/>
            <w:vAlign w:val="center"/>
          </w:tcPr>
          <w:p w14:paraId="2A35688C">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规格</w:t>
            </w:r>
          </w:p>
        </w:tc>
        <w:tc>
          <w:tcPr>
            <w:tcW w:w="410" w:type="pct"/>
            <w:noWrap w:val="0"/>
            <w:vAlign w:val="center"/>
          </w:tcPr>
          <w:p w14:paraId="514A91B2">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单位</w:t>
            </w:r>
          </w:p>
        </w:tc>
        <w:tc>
          <w:tcPr>
            <w:tcW w:w="546" w:type="pct"/>
            <w:noWrap w:val="0"/>
            <w:vAlign w:val="center"/>
          </w:tcPr>
          <w:p w14:paraId="532D3D53">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暂估量（吨）</w:t>
            </w:r>
          </w:p>
        </w:tc>
        <w:tc>
          <w:tcPr>
            <w:tcW w:w="704" w:type="pct"/>
            <w:noWrap w:val="0"/>
            <w:vAlign w:val="center"/>
          </w:tcPr>
          <w:p w14:paraId="0E0F00CD">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含税上限单价（元/吨）</w:t>
            </w:r>
          </w:p>
        </w:tc>
        <w:tc>
          <w:tcPr>
            <w:tcW w:w="588" w:type="pct"/>
            <w:noWrap w:val="0"/>
            <w:vAlign w:val="center"/>
          </w:tcPr>
          <w:p w14:paraId="481330E1">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送货地点</w:t>
            </w:r>
          </w:p>
        </w:tc>
        <w:tc>
          <w:tcPr>
            <w:tcW w:w="766" w:type="pct"/>
            <w:noWrap w:val="0"/>
            <w:vAlign w:val="center"/>
          </w:tcPr>
          <w:p w14:paraId="0CFD0CFF">
            <w:pPr>
              <w:pStyle w:val="58"/>
              <w:keepNext w:val="0"/>
              <w:keepLines w:val="0"/>
              <w:pageBreakBefore w:val="0"/>
              <w:widowControl w:val="0"/>
              <w:kinsoku/>
              <w:wordWrap w:val="0"/>
              <w:overflowPunct/>
              <w:topLinePunct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
                <w:bCs w:val="0"/>
                <w:color w:val="000000"/>
                <w:kern w:val="2"/>
                <w:sz w:val="24"/>
                <w:szCs w:val="24"/>
                <w:lang w:val="en-US" w:eastAsia="zh-CN" w:bidi="ar-SA"/>
              </w:rPr>
            </w:pPr>
            <w:r>
              <w:rPr>
                <w:rFonts w:hint="eastAsia" w:ascii="方正仿宋_GB2312" w:hAnsi="方正仿宋_GB2312" w:eastAsia="方正仿宋_GB2312" w:cs="方正仿宋_GB2312"/>
                <w:b/>
                <w:bCs w:val="0"/>
                <w:color w:val="000000"/>
                <w:kern w:val="2"/>
                <w:sz w:val="24"/>
                <w:szCs w:val="24"/>
                <w:lang w:val="en-US" w:eastAsia="zh-CN" w:bidi="ar-SA"/>
              </w:rPr>
              <w:t>备注</w:t>
            </w:r>
          </w:p>
        </w:tc>
      </w:tr>
      <w:tr w14:paraId="7FD79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92" w:type="pct"/>
            <w:noWrap w:val="0"/>
            <w:vAlign w:val="center"/>
          </w:tcPr>
          <w:p w14:paraId="507DC488">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1</w:t>
            </w:r>
          </w:p>
        </w:tc>
        <w:tc>
          <w:tcPr>
            <w:tcW w:w="592" w:type="pct"/>
            <w:noWrap w:val="0"/>
            <w:vAlign w:val="center"/>
          </w:tcPr>
          <w:p w14:paraId="1E48B4CD">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center"/>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除磷剂原料</w:t>
            </w:r>
          </w:p>
        </w:tc>
        <w:tc>
          <w:tcPr>
            <w:tcW w:w="998" w:type="pct"/>
            <w:noWrap w:val="0"/>
            <w:vAlign w:val="center"/>
          </w:tcPr>
          <w:p w14:paraId="466DE15C">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left"/>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全铁的质量分数≥10%；氧化铝的质量分数≥0.75%</w:t>
            </w:r>
          </w:p>
        </w:tc>
        <w:tc>
          <w:tcPr>
            <w:tcW w:w="410" w:type="pct"/>
            <w:noWrap w:val="0"/>
            <w:vAlign w:val="center"/>
          </w:tcPr>
          <w:p w14:paraId="1F1050B4">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吨</w:t>
            </w:r>
          </w:p>
        </w:tc>
        <w:tc>
          <w:tcPr>
            <w:tcW w:w="546" w:type="pct"/>
            <w:noWrap w:val="0"/>
            <w:vAlign w:val="center"/>
          </w:tcPr>
          <w:p w14:paraId="375390FB">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default"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80</w:t>
            </w:r>
          </w:p>
        </w:tc>
        <w:tc>
          <w:tcPr>
            <w:tcW w:w="704" w:type="pct"/>
            <w:noWrap w:val="0"/>
            <w:vAlign w:val="center"/>
          </w:tcPr>
          <w:p w14:paraId="5BD73686">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550</w:t>
            </w:r>
          </w:p>
        </w:tc>
        <w:tc>
          <w:tcPr>
            <w:tcW w:w="588" w:type="pct"/>
            <w:noWrap w:val="0"/>
            <w:vAlign w:val="center"/>
          </w:tcPr>
          <w:p w14:paraId="4D4D5FC6">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center"/>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广东省东莞</w:t>
            </w:r>
            <w:r>
              <w:rPr>
                <w:rFonts w:hint="eastAsia" w:ascii="方正仿宋_GB2312" w:hAnsi="方正仿宋_GB2312" w:eastAsia="方正仿宋_GB2312" w:cs="方正仿宋_GB2312"/>
                <w:bCs/>
                <w:color w:val="000000"/>
                <w:kern w:val="2"/>
                <w:sz w:val="24"/>
                <w:szCs w:val="24"/>
                <w:highlight w:val="none"/>
                <w:lang w:val="en-US" w:eastAsia="zh-CN" w:bidi="ar-SA"/>
              </w:rPr>
              <w:t>市</w:t>
            </w:r>
          </w:p>
        </w:tc>
        <w:tc>
          <w:tcPr>
            <w:tcW w:w="766" w:type="pct"/>
            <w:noWrap w:val="0"/>
            <w:vAlign w:val="center"/>
          </w:tcPr>
          <w:p w14:paraId="446149E8">
            <w:pPr>
              <w:keepNext w:val="0"/>
              <w:keepLines w:val="0"/>
              <w:pageBreakBefore w:val="0"/>
              <w:widowControl w:val="0"/>
              <w:kinsoku/>
              <w:wordWrap w:val="0"/>
              <w:overflowPunct/>
              <w:topLinePunct w:val="0"/>
              <w:autoSpaceDE w:val="0"/>
              <w:autoSpaceDN w:val="0"/>
              <w:bidi w:val="0"/>
              <w:adjustRightInd w:val="0"/>
              <w:snapToGrid w:val="0"/>
              <w:spacing w:afterLines="0" w:line="240" w:lineRule="auto"/>
              <w:jc w:val="left"/>
              <w:textAlignment w:val="auto"/>
              <w:rPr>
                <w:rFonts w:hint="eastAsia" w:ascii="方正仿宋_GB2312" w:hAnsi="方正仿宋_GB2312" w:eastAsia="方正仿宋_GB2312" w:cs="方正仿宋_GB2312"/>
                <w:bCs/>
                <w:color w:val="000000"/>
                <w:kern w:val="2"/>
                <w:sz w:val="24"/>
                <w:szCs w:val="24"/>
                <w:lang w:val="en-US" w:eastAsia="zh-CN" w:bidi="ar-SA"/>
              </w:rPr>
            </w:pPr>
            <w:r>
              <w:rPr>
                <w:rFonts w:hint="eastAsia" w:ascii="方正仿宋_GB2312" w:hAnsi="方正仿宋_GB2312" w:eastAsia="方正仿宋_GB2312" w:cs="方正仿宋_GB2312"/>
                <w:bCs/>
                <w:color w:val="000000"/>
                <w:kern w:val="2"/>
                <w:sz w:val="24"/>
                <w:szCs w:val="24"/>
                <w:lang w:val="en-US" w:eastAsia="zh-CN" w:bidi="ar-SA"/>
              </w:rPr>
              <w:t>采购数量为暂估量，具体以实际采购为准。</w:t>
            </w:r>
          </w:p>
        </w:tc>
      </w:tr>
    </w:tbl>
    <w:p w14:paraId="594D5F99">
      <w:pPr>
        <w:keepNext w:val="0"/>
        <w:keepLines w:val="0"/>
        <w:pageBreakBefore w:val="0"/>
        <w:widowControl/>
        <w:kinsoku/>
        <w:wordWrap/>
        <w:overflowPunct/>
        <w:topLinePunct w:val="0"/>
        <w:autoSpaceDE/>
        <w:autoSpaceDN/>
        <w:bidi w:val="0"/>
        <w:adjustRightInd/>
        <w:snapToGrid/>
        <w:spacing w:afterLines="0" w:line="500" w:lineRule="exact"/>
        <w:ind w:firstLine="562" w:firstLineChars="200"/>
        <w:jc w:val="left"/>
        <w:textAlignment w:val="auto"/>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本项目</w:t>
      </w:r>
      <w:r>
        <w:rPr>
          <w:rFonts w:hint="eastAsia" w:ascii="方正仿宋_GB2312" w:hAnsi="方正仿宋_GB2312" w:eastAsia="方正仿宋_GB2312" w:cs="方正仿宋_GB2312"/>
          <w:bCs/>
          <w:color w:val="000000"/>
          <w:sz w:val="28"/>
          <w:szCs w:val="28"/>
          <w:lang w:val="en-US" w:eastAsia="zh-CN"/>
        </w:rPr>
        <w:t>以</w:t>
      </w:r>
      <w:r>
        <w:rPr>
          <w:rFonts w:hint="eastAsia" w:ascii="方正仿宋_GB2312" w:hAnsi="方正仿宋_GB2312" w:eastAsia="方正仿宋_GB2312" w:cs="方正仿宋_GB2312"/>
          <w:bCs/>
          <w:color w:val="000000"/>
          <w:sz w:val="28"/>
          <w:szCs w:val="28"/>
        </w:rPr>
        <w:t>单价</w:t>
      </w:r>
      <w:r>
        <w:rPr>
          <w:rFonts w:hint="eastAsia" w:ascii="方正仿宋_GB2312" w:hAnsi="方正仿宋_GB2312" w:eastAsia="方正仿宋_GB2312" w:cs="方正仿宋_GB2312"/>
          <w:bCs/>
          <w:color w:val="000000"/>
          <w:sz w:val="28"/>
          <w:szCs w:val="28"/>
          <w:lang w:val="en-US" w:eastAsia="zh-CN"/>
        </w:rPr>
        <w:t>报价为准</w:t>
      </w:r>
      <w:r>
        <w:rPr>
          <w:rFonts w:hint="eastAsia" w:ascii="方正仿宋_GB2312" w:hAnsi="方正仿宋_GB2312" w:eastAsia="方正仿宋_GB2312" w:cs="方正仿宋_GB2312"/>
          <w:bCs/>
          <w:color w:val="000000"/>
          <w:sz w:val="28"/>
          <w:szCs w:val="28"/>
        </w:rPr>
        <w:t>，签订单价合同，据实结算。</w:t>
      </w:r>
    </w:p>
    <w:p w14:paraId="680F7A4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bCs/>
          <w:color w:val="000000"/>
          <w:sz w:val="28"/>
          <w:szCs w:val="28"/>
        </w:rPr>
      </w:pPr>
      <w:r>
        <w:rPr>
          <w:rFonts w:hint="eastAsia" w:ascii="Times New Roman" w:hAnsi="Times New Roman" w:eastAsia="方正仿宋_GB2312"/>
          <w:bCs/>
          <w:color w:val="000000"/>
          <w:sz w:val="28"/>
          <w:szCs w:val="28"/>
        </w:rPr>
        <w:t>（一）采购期限：</w:t>
      </w:r>
      <w:r>
        <w:rPr>
          <w:rFonts w:hint="eastAsia" w:ascii="方正仿宋_GB2312" w:hAnsi="方正仿宋_GB2312" w:eastAsia="方正仿宋_GB2312" w:cs="方正仿宋_GB2312"/>
          <w:bCs/>
          <w:color w:val="000000"/>
          <w:sz w:val="28"/>
          <w:szCs w:val="28"/>
          <w:highlight w:val="none"/>
        </w:rPr>
        <w:t>合同签订之日起</w:t>
      </w:r>
      <w:r>
        <w:rPr>
          <w:rFonts w:hint="eastAsia" w:ascii="方正仿宋_GB2312" w:hAnsi="方正仿宋_GB2312" w:eastAsia="方正仿宋_GB2312" w:cs="方正仿宋_GB2312"/>
          <w:bCs/>
          <w:color w:val="000000"/>
          <w:sz w:val="28"/>
          <w:szCs w:val="28"/>
          <w:highlight w:val="none"/>
          <w:lang w:val="en-US" w:eastAsia="zh-CN"/>
        </w:rPr>
        <w:t>1年</w:t>
      </w:r>
      <w:r>
        <w:rPr>
          <w:rFonts w:hint="eastAsia" w:ascii="方正仿宋_GB2312" w:hAnsi="方正仿宋_GB2312" w:eastAsia="方正仿宋_GB2312" w:cs="方正仿宋_GB2312"/>
          <w:bCs/>
          <w:color w:val="000000"/>
          <w:sz w:val="28"/>
          <w:szCs w:val="28"/>
          <w:highlight w:val="none"/>
        </w:rPr>
        <w:t>，</w:t>
      </w:r>
      <w:r>
        <w:rPr>
          <w:rFonts w:hint="eastAsia" w:ascii="Times New Roman" w:hAnsi="Times New Roman" w:eastAsia="方正仿宋_GB2312"/>
          <w:bCs/>
          <w:color w:val="000000"/>
          <w:sz w:val="28"/>
          <w:szCs w:val="28"/>
          <w:highlight w:val="none"/>
        </w:rPr>
        <w:t>具体</w:t>
      </w:r>
      <w:r>
        <w:rPr>
          <w:rFonts w:hint="eastAsia" w:ascii="Times New Roman" w:hAnsi="Times New Roman" w:eastAsia="方正仿宋_GB2312"/>
          <w:bCs/>
          <w:color w:val="000000"/>
          <w:sz w:val="28"/>
          <w:szCs w:val="28"/>
        </w:rPr>
        <w:t>起止时间以合同签订为准。</w:t>
      </w:r>
    </w:p>
    <w:bookmarkEnd w:id="0"/>
    <w:p w14:paraId="34AE6F61">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Times New Roman" w:hAnsi="Times New Roman" w:eastAsia="方正仿宋_GB2312"/>
          <w:bCs/>
          <w:color w:val="000000"/>
          <w:sz w:val="28"/>
          <w:szCs w:val="28"/>
        </w:rPr>
        <w:t>（二）交货时间：</w:t>
      </w:r>
      <w:r>
        <w:rPr>
          <w:rFonts w:hint="eastAsia" w:ascii="方正仿宋_GB2312" w:hAnsi="方正仿宋_GB2312" w:eastAsia="方正仿宋_GB2312" w:cs="方正仿宋_GB2312"/>
          <w:bCs/>
          <w:color w:val="000000"/>
          <w:sz w:val="28"/>
          <w:szCs w:val="28"/>
        </w:rPr>
        <w:t>成交供应商接到采购人通知后须</w:t>
      </w:r>
      <w:r>
        <w:rPr>
          <w:rFonts w:hint="eastAsia" w:ascii="仿宋_GB2312" w:hAnsi="仿宋_GB2312" w:eastAsia="仿宋_GB2312" w:cs="仿宋_GB2312"/>
          <w:b/>
          <w:color w:val="000000"/>
          <w:sz w:val="28"/>
          <w:szCs w:val="28"/>
          <w:lang w:val="en-US" w:eastAsia="zh-CN"/>
        </w:rPr>
        <w:t>24小时</w:t>
      </w:r>
      <w:r>
        <w:rPr>
          <w:rFonts w:hint="eastAsia" w:ascii="仿宋_GB2312" w:hAnsi="仿宋_GB2312" w:eastAsia="仿宋_GB2312" w:cs="仿宋_GB2312"/>
          <w:b/>
          <w:color w:val="000000"/>
          <w:sz w:val="28"/>
          <w:szCs w:val="28"/>
        </w:rPr>
        <w:t>内</w:t>
      </w:r>
      <w:r>
        <w:rPr>
          <w:rFonts w:hint="eastAsia" w:ascii="方正仿宋_GB2312" w:hAnsi="方正仿宋_GB2312" w:eastAsia="方正仿宋_GB2312" w:cs="方正仿宋_GB2312"/>
          <w:bCs/>
          <w:color w:val="000000"/>
          <w:sz w:val="28"/>
          <w:szCs w:val="28"/>
        </w:rPr>
        <w:t>送达，紧急情况下</w:t>
      </w:r>
      <w:r>
        <w:rPr>
          <w:rFonts w:hint="eastAsia" w:ascii="仿宋_GB2312" w:hAnsi="仿宋_GB2312" w:eastAsia="仿宋_GB2312" w:cs="仿宋_GB2312"/>
          <w:b/>
          <w:color w:val="000000"/>
          <w:sz w:val="28"/>
          <w:szCs w:val="28"/>
          <w:lang w:val="en-US" w:eastAsia="zh-CN"/>
        </w:rPr>
        <w:t>12小时</w:t>
      </w:r>
      <w:r>
        <w:rPr>
          <w:rFonts w:hint="eastAsia" w:ascii="仿宋_GB2312" w:hAnsi="仿宋_GB2312" w:eastAsia="仿宋_GB2312" w:cs="仿宋_GB2312"/>
          <w:b/>
          <w:color w:val="000000"/>
          <w:sz w:val="28"/>
          <w:szCs w:val="28"/>
        </w:rPr>
        <w:t>内</w:t>
      </w:r>
      <w:r>
        <w:rPr>
          <w:rFonts w:hint="eastAsia" w:ascii="方正仿宋_GB2312" w:hAnsi="方正仿宋_GB2312" w:eastAsia="方正仿宋_GB2312" w:cs="方正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（三）付款方式：按月核对，</w:t>
      </w:r>
      <w:r>
        <w:rPr>
          <w:rFonts w:hint="eastAsia" w:ascii="方正仿宋_GB2312" w:hAnsi="方正仿宋_GB2312" w:eastAsia="方正仿宋_GB2312" w:cs="方正仿宋_GB2312"/>
          <w:sz w:val="28"/>
          <w:szCs w:val="28"/>
        </w:rPr>
        <w:t>每月</w:t>
      </w:r>
      <w:r>
        <w:rPr>
          <w:rFonts w:hint="eastAsia" w:ascii="方正仿宋_GB2312" w:hAnsi="方正仿宋_GB2312" w:eastAsia="方正仿宋_GB2312" w:cs="方正仿宋_GB2312"/>
          <w:sz w:val="28"/>
          <w:szCs w:val="28"/>
          <w:u w:val="single"/>
        </w:rPr>
        <w:t>2</w:t>
      </w:r>
      <w:r>
        <w:rPr>
          <w:rFonts w:hint="eastAsia" w:ascii="方正仿宋_GB2312" w:hAnsi="方正仿宋_GB2312" w:eastAsia="方正仿宋_GB2312" w:cs="方正仿宋_GB2312"/>
          <w:sz w:val="28"/>
          <w:szCs w:val="28"/>
          <w:u w:val="single"/>
          <w:lang w:val="en-US" w:eastAsia="zh-CN"/>
        </w:rPr>
        <w:t>0</w:t>
      </w:r>
      <w:r>
        <w:rPr>
          <w:rFonts w:hint="eastAsia" w:ascii="方正仿宋_GB2312" w:hAnsi="方正仿宋_GB2312" w:eastAsia="方正仿宋_GB2312" w:cs="方正仿宋_GB2312"/>
          <w:sz w:val="28"/>
          <w:szCs w:val="28"/>
          <w:u w:val="single"/>
        </w:rPr>
        <w:t>日</w:t>
      </w:r>
      <w:r>
        <w:rPr>
          <w:rFonts w:hint="eastAsia" w:ascii="方正仿宋_GB2312" w:hAnsi="方正仿宋_GB2312" w:eastAsia="方正仿宋_GB2312" w:cs="方正仿宋_GB2312"/>
          <w:sz w:val="28"/>
          <w:szCs w:val="28"/>
        </w:rPr>
        <w:t>核对</w:t>
      </w:r>
      <w:r>
        <w:rPr>
          <w:rFonts w:hint="eastAsia" w:ascii="方正仿宋_GB2312" w:hAnsi="方正仿宋_GB2312" w:eastAsia="方正仿宋_GB2312" w:cs="方正仿宋_GB2312"/>
          <w:sz w:val="28"/>
          <w:szCs w:val="28"/>
          <w:lang w:val="en-US" w:eastAsia="zh-CN"/>
        </w:rPr>
        <w:t>月度</w:t>
      </w:r>
      <w:r>
        <w:rPr>
          <w:rFonts w:hint="eastAsia" w:ascii="方正仿宋_GB2312" w:hAnsi="方正仿宋_GB2312" w:eastAsia="方正仿宋_GB2312" w:cs="方正仿宋_GB2312"/>
          <w:sz w:val="28"/>
          <w:szCs w:val="28"/>
        </w:rPr>
        <w:t>验收合格的产品采购数量及价款</w:t>
      </w:r>
      <w:r>
        <w:rPr>
          <w:rFonts w:hint="eastAsia" w:ascii="方正仿宋_GB2312" w:hAnsi="方正仿宋_GB2312" w:eastAsia="方正仿宋_GB2312" w:cs="方正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2D6CDF78">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（四）质保要求：质保期为甲方出具签收单之日起12个月。</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bookmarkStart w:id="1" w:name="_Hlk173241672"/>
      <w:r>
        <w:rPr>
          <w:rFonts w:hint="eastAsia" w:ascii="方正仿宋_GB2312" w:hAnsi="方正仿宋_GB2312" w:eastAsia="方正仿宋_GB2312" w:cs="方正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（四）近两年内（2023年</w:t>
      </w:r>
      <w:r>
        <w:rPr>
          <w:rFonts w:hint="eastAsia" w:ascii="方正仿宋_GB2312" w:hAnsi="方正仿宋_GB2312" w:eastAsia="方正仿宋_GB2312" w:cs="方正仿宋_GB2312"/>
          <w:bCs/>
          <w:color w:val="000000"/>
          <w:sz w:val="28"/>
          <w:szCs w:val="28"/>
          <w:lang w:val="en-US" w:eastAsia="zh-CN"/>
        </w:rPr>
        <w:t>12</w:t>
      </w:r>
      <w:r>
        <w:rPr>
          <w:rFonts w:hint="eastAsia" w:ascii="方正仿宋_GB2312" w:hAnsi="方正仿宋_GB2312" w:eastAsia="方正仿宋_GB2312" w:cs="方正仿宋_GB2312"/>
          <w:bCs/>
          <w:color w:val="000000"/>
          <w:sz w:val="28"/>
          <w:szCs w:val="28"/>
        </w:rPr>
        <w:t>月至今）或成立至今（成立不足两年的单位）至少具备一项正在实施或已完成的类似业绩（由供应商在《承诺函》中作出声明）；</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（七）</w:t>
      </w:r>
      <w:r>
        <w:rPr>
          <w:rFonts w:hint="eastAsia" w:ascii="方正仿宋_GB2312" w:hAnsi="方正仿宋_GB2312" w:eastAsia="方正仿宋_GB2312" w:cs="方正仿宋_GB2312"/>
          <w:sz w:val="28"/>
          <w:szCs w:val="28"/>
        </w:rPr>
        <w:t>特定资格要求：</w:t>
      </w:r>
      <w:r>
        <w:rPr>
          <w:rFonts w:hint="eastAsia" w:ascii="方正仿宋_GB2312" w:hAnsi="方正仿宋_GB2312" w:eastAsia="方正仿宋_GB2312" w:cs="方正仿宋_GB2312"/>
          <w:sz w:val="28"/>
          <w:szCs w:val="28"/>
          <w:lang w:val="en-US" w:eastAsia="zh-CN"/>
        </w:rPr>
        <w:t>无</w:t>
      </w:r>
      <w:r>
        <w:rPr>
          <w:rFonts w:hint="eastAsia" w:ascii="方正仿宋_GB2312" w:hAnsi="方正仿宋_GB2312" w:eastAsia="方正仿宋_GB2312" w:cs="方正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r>
        <w:rPr>
          <w:rFonts w:hint="eastAsia" w:ascii="方正仿宋_GB2312" w:hAnsi="方正仿宋_GB2312" w:eastAsia="方正仿宋_GB2312" w:cs="方正仿宋_GB2312"/>
          <w:kern w:val="0"/>
          <w:sz w:val="28"/>
          <w:szCs w:val="28"/>
        </w:rPr>
        <w:t>参选单位应就本次选聘报送相关参选文件，包括：</w:t>
      </w:r>
    </w:p>
    <w:p w14:paraId="7BE26111">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bookmarkStart w:id="2" w:name="_Hlk173767070"/>
      <w:r>
        <w:rPr>
          <w:rFonts w:hint="eastAsia" w:ascii="方正仿宋_GB2312" w:hAnsi="方正仿宋_GB2312" w:eastAsia="方正仿宋_GB2312" w:cs="方正仿宋_GB2312"/>
          <w:kern w:val="0"/>
          <w:sz w:val="28"/>
          <w:szCs w:val="28"/>
        </w:rPr>
        <w:t>1.供应商基本情况表；</w:t>
      </w:r>
    </w:p>
    <w:p w14:paraId="36B2BFCA">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r>
        <w:rPr>
          <w:rFonts w:hint="eastAsia" w:ascii="方正仿宋_GB2312" w:hAnsi="方正仿宋_GB2312" w:eastAsia="方正仿宋_GB2312" w:cs="方正仿宋_GB2312"/>
          <w:kern w:val="0"/>
          <w:sz w:val="28"/>
          <w:szCs w:val="28"/>
        </w:rPr>
        <w:t>2.资质文件（承诺函、营业执照等）；</w:t>
      </w:r>
    </w:p>
    <w:p w14:paraId="0274708B">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r>
        <w:rPr>
          <w:rFonts w:hint="eastAsia" w:ascii="方正仿宋_GB2312" w:hAnsi="方正仿宋_GB2312" w:eastAsia="方正仿宋_GB2312" w:cs="方正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keepNext w:val="0"/>
        <w:keepLines w:val="0"/>
        <w:pageBreakBefore w:val="0"/>
        <w:widowControl/>
        <w:tabs>
          <w:tab w:val="left" w:pos="7665"/>
        </w:tabs>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kern w:val="0"/>
          <w:sz w:val="28"/>
          <w:szCs w:val="28"/>
        </w:rPr>
      </w:pPr>
      <w:r>
        <w:rPr>
          <w:rFonts w:hint="eastAsia" w:ascii="方正仿宋_GB2312" w:hAnsi="方正仿宋_GB2312" w:eastAsia="方正仿宋_GB2312" w:cs="方正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方正仿宋_GB2312" w:hAnsi="方正仿宋_GB2312" w:eastAsia="方正仿宋_GB2312" w:cs="方正仿宋_GB2312"/>
          <w:kern w:val="0"/>
          <w:sz w:val="28"/>
          <w:szCs w:val="28"/>
          <w:lang w:eastAsia="zh-CN"/>
        </w:rPr>
        <w:t>除磷剂原料采购项目</w:t>
      </w:r>
      <w:r>
        <w:rPr>
          <w:rFonts w:hint="eastAsia" w:ascii="方正仿宋_GB2312" w:hAnsi="方正仿宋_GB2312" w:eastAsia="方正仿宋_GB2312" w:cs="方正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color w:val="000000"/>
          <w:sz w:val="28"/>
          <w:szCs w:val="28"/>
        </w:rPr>
        <w:t>（一）在截止报价时间前，各参选单位以邮件形式递交报价文件至询价公告指定邮箱；</w:t>
      </w:r>
      <w:bookmarkStart w:id="22" w:name="_GoBack"/>
      <w:bookmarkEnd w:id="22"/>
    </w:p>
    <w:p w14:paraId="24A37B73">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eastAsia="方正仿宋_GB2312"/>
          <w:color w:val="000000"/>
          <w:sz w:val="28"/>
          <w:szCs w:val="28"/>
        </w:rPr>
      </w:pPr>
      <w:r>
        <w:rPr>
          <w:rFonts w:hint="eastAsia" w:ascii="Times New Roman" w:hAnsi="Times New Roman" w:eastAsia="方正仿宋_GB2312"/>
          <w:color w:val="000000"/>
          <w:sz w:val="28"/>
          <w:szCs w:val="28"/>
        </w:rPr>
        <w:t>（四）询价结束后，采购人将询价结果报公司内部决策，通过后将结果通知中选单位，双方择日签订正式协议</w:t>
      </w:r>
      <w:r>
        <w:rPr>
          <w:rFonts w:hint="eastAsia" w:eastAsia="方正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color w:val="000000"/>
          <w:sz w:val="28"/>
          <w:szCs w:val="28"/>
        </w:rPr>
        <w:t>（一）响应文件递交截止时间为</w:t>
      </w:r>
      <w:r>
        <w:rPr>
          <w:rFonts w:hint="eastAsia" w:ascii="方正仿宋_GB2312" w:hAnsi="方正仿宋_GB2312" w:eastAsia="方正仿宋_GB2312" w:cs="方正仿宋_GB2312"/>
          <w:bCs/>
          <w:color w:val="000000"/>
          <w:sz w:val="28"/>
          <w:szCs w:val="28"/>
        </w:rPr>
        <w:t>202</w:t>
      </w:r>
      <w:r>
        <w:rPr>
          <w:rFonts w:hint="eastAsia" w:ascii="方正仿宋_GB2312" w:hAnsi="方正仿宋_GB2312" w:eastAsia="方正仿宋_GB2312" w:cs="方正仿宋_GB2312"/>
          <w:bCs/>
          <w:color w:val="000000"/>
          <w:sz w:val="28"/>
          <w:szCs w:val="28"/>
          <w:lang w:val="en-US" w:eastAsia="zh-CN"/>
        </w:rPr>
        <w:t>6</w:t>
      </w:r>
      <w:r>
        <w:rPr>
          <w:rFonts w:hint="eastAsia" w:ascii="方正仿宋_GB2312" w:hAnsi="方正仿宋_GB2312" w:eastAsia="方正仿宋_GB2312" w:cs="方正仿宋_GB2312"/>
          <w:bCs/>
          <w:color w:val="000000"/>
          <w:sz w:val="28"/>
          <w:szCs w:val="28"/>
        </w:rPr>
        <w:t>年</w:t>
      </w:r>
      <w:r>
        <w:rPr>
          <w:rFonts w:hint="eastAsia" w:ascii="方正仿宋_GB2312" w:hAnsi="方正仿宋_GB2312" w:eastAsia="方正仿宋_GB2312" w:cs="方正仿宋_GB2312"/>
          <w:bCs/>
          <w:color w:val="000000"/>
          <w:sz w:val="28"/>
          <w:szCs w:val="28"/>
          <w:lang w:val="en-US" w:eastAsia="zh-CN"/>
        </w:rPr>
        <w:t>1</w:t>
      </w:r>
      <w:r>
        <w:rPr>
          <w:rFonts w:hint="eastAsia" w:ascii="方正仿宋_GB2312" w:hAnsi="方正仿宋_GB2312" w:eastAsia="方正仿宋_GB2312" w:cs="方正仿宋_GB2312"/>
          <w:bCs/>
          <w:color w:val="000000"/>
          <w:sz w:val="28"/>
          <w:szCs w:val="28"/>
        </w:rPr>
        <w:t>月</w:t>
      </w:r>
      <w:r>
        <w:rPr>
          <w:rFonts w:hint="eastAsia" w:ascii="方正仿宋_GB2312" w:hAnsi="方正仿宋_GB2312" w:eastAsia="方正仿宋_GB2312" w:cs="方正仿宋_GB2312"/>
          <w:bCs/>
          <w:color w:val="000000"/>
          <w:sz w:val="28"/>
          <w:szCs w:val="28"/>
          <w:lang w:val="en-US" w:eastAsia="zh-CN"/>
        </w:rPr>
        <w:t>4</w:t>
      </w:r>
      <w:r>
        <w:rPr>
          <w:rFonts w:hint="eastAsia" w:ascii="方正仿宋_GB2312" w:hAnsi="方正仿宋_GB2312" w:eastAsia="方正仿宋_GB2312" w:cs="方正仿宋_GB2312"/>
          <w:bCs/>
          <w:color w:val="000000"/>
          <w:sz w:val="28"/>
          <w:szCs w:val="28"/>
        </w:rPr>
        <w:t>日18</w:t>
      </w:r>
      <w:r>
        <w:rPr>
          <w:rFonts w:hint="eastAsia" w:ascii="方正仿宋_GB2312" w:hAnsi="方正仿宋_GB2312" w:eastAsia="方正仿宋_GB2312" w:cs="方正仿宋_GB2312"/>
          <w:color w:val="000000"/>
          <w:sz w:val="28"/>
          <w:szCs w:val="28"/>
        </w:rPr>
        <w:t>时</w:t>
      </w:r>
      <w:r>
        <w:rPr>
          <w:rFonts w:hint="eastAsia" w:ascii="方正仿宋_GB2312" w:hAnsi="方正仿宋_GB2312" w:eastAsia="方正仿宋_GB2312" w:cs="方正仿宋_GB2312"/>
          <w:bCs/>
          <w:color w:val="000000"/>
          <w:sz w:val="28"/>
          <w:szCs w:val="28"/>
        </w:rPr>
        <w:t>00</w:t>
      </w:r>
      <w:r>
        <w:rPr>
          <w:rFonts w:hint="eastAsia" w:ascii="方正仿宋_GB2312" w:hAnsi="方正仿宋_GB2312" w:eastAsia="方正仿宋_GB2312" w:cs="方正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sz w:val="28"/>
          <w:szCs w:val="28"/>
        </w:rPr>
      </w:pPr>
      <w:r>
        <w:rPr>
          <w:rFonts w:hint="eastAsia" w:ascii="方正仿宋_GB2312" w:hAnsi="方正仿宋_GB2312" w:eastAsia="方正仿宋_GB2312" w:cs="方正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bCs/>
          <w:color w:val="000000"/>
          <w:sz w:val="28"/>
          <w:szCs w:val="28"/>
        </w:rPr>
      </w:pPr>
      <w:r>
        <w:rPr>
          <w:rFonts w:hint="eastAsia" w:ascii="方正仿宋_GB2312" w:hAnsi="方正仿宋_GB2312" w:eastAsia="方正仿宋_GB2312" w:cs="方正仿宋_GB2312"/>
          <w:bCs/>
          <w:color w:val="000000"/>
          <w:sz w:val="28"/>
          <w:szCs w:val="28"/>
        </w:rPr>
        <w:t>本次文件递交方式采用线上递交，</w:t>
      </w:r>
      <w:r>
        <w:rPr>
          <w:rFonts w:hint="eastAsia" w:ascii="方正仿宋_GB2312" w:hAnsi="方正仿宋_GB2312" w:eastAsia="方正仿宋_GB2312" w:cs="方正仿宋_GB2312"/>
          <w:sz w:val="28"/>
          <w:szCs w:val="28"/>
        </w:rPr>
        <w:t>PDF盖章版</w:t>
      </w:r>
      <w:r>
        <w:rPr>
          <w:rFonts w:hint="eastAsia" w:ascii="方正仿宋_GB2312" w:hAnsi="方正仿宋_GB2312" w:eastAsia="方正仿宋_GB2312" w:cs="方正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sz w:val="28"/>
          <w:szCs w:val="28"/>
        </w:rPr>
      </w:pPr>
      <w:r>
        <w:rPr>
          <w:rFonts w:hint="eastAsia" w:ascii="Times New Roman" w:hAnsi="Times New Roman" w:eastAsia="方正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sz w:val="28"/>
          <w:szCs w:val="28"/>
        </w:rPr>
      </w:pPr>
      <w:r>
        <w:rPr>
          <w:rFonts w:hint="eastAsia" w:ascii="Times New Roman" w:hAnsi="Times New Roman" w:eastAsia="方正仿宋_GB2312"/>
          <w:sz w:val="28"/>
          <w:szCs w:val="28"/>
        </w:rPr>
        <w:t>本采购项目以不含税价进行对比，供应商需填报含税价、税率；不含税价计算方式：不含税价=含税价/（1+税率）。</w:t>
      </w:r>
    </w:p>
    <w:p w14:paraId="2AADA5F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Times New Roman" w:hAnsi="Times New Roman" w:eastAsia="方正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方正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keepNext w:val="0"/>
        <w:keepLines w:val="0"/>
        <w:pageBreakBefore w:val="0"/>
        <w:widowControl w:val="0"/>
        <w:kinsoku/>
        <w:wordWrap/>
        <w:overflowPunct/>
        <w:topLinePunct w:val="0"/>
        <w:autoSpaceDE/>
        <w:autoSpaceDN/>
        <w:bidi w:val="0"/>
        <w:adjustRightInd/>
        <w:snapToGrid w:val="0"/>
        <w:spacing w:after="78" w:afterLines="0" w:line="500" w:lineRule="exact"/>
        <w:ind w:firstLine="560" w:firstLineChars="200"/>
        <w:jc w:val="left"/>
        <w:textAlignment w:val="auto"/>
      </w:pPr>
      <w:r>
        <w:rPr>
          <w:rFonts w:hint="eastAsia" w:ascii="Times New Roman" w:hAnsi="Times New Roman" w:eastAsia="方正仿宋_GB2312"/>
          <w:sz w:val="28"/>
          <w:szCs w:val="22"/>
        </w:rPr>
        <w:t>本次</w:t>
      </w:r>
      <w:r>
        <w:rPr>
          <w:rFonts w:hint="eastAsia" w:ascii="方正仿宋_GB2312" w:hAnsi="方正仿宋_GB2312" w:eastAsia="方正仿宋_GB2312" w:cs="方正仿宋_GB2312"/>
          <w:sz w:val="28"/>
          <w:szCs w:val="28"/>
        </w:rPr>
        <w:t>含税单价上限</w:t>
      </w:r>
      <w:r>
        <w:rPr>
          <w:rFonts w:hint="eastAsia" w:ascii="Times New Roman" w:hAnsi="Times New Roman" w:eastAsia="方正仿宋_GB2312"/>
          <w:sz w:val="28"/>
          <w:szCs w:val="22"/>
          <w:lang w:val="en-US" w:eastAsia="zh-CN"/>
        </w:rPr>
        <w:t>550</w:t>
      </w:r>
      <w:r>
        <w:rPr>
          <w:rFonts w:ascii="Times New Roman" w:hAnsi="Times New Roman" w:eastAsia="方正仿宋_GB2312"/>
          <w:sz w:val="28"/>
          <w:szCs w:val="22"/>
        </w:rPr>
        <w:t>元/吨</w:t>
      </w:r>
      <w:r>
        <w:rPr>
          <w:rFonts w:hint="eastAsia" w:ascii="方正仿宋_GB2312" w:hAnsi="方正仿宋_GB2312" w:eastAsia="方正仿宋_GB2312" w:cs="方正仿宋_GB2312"/>
          <w:sz w:val="28"/>
          <w:szCs w:val="28"/>
        </w:rPr>
        <w:t>，</w:t>
      </w:r>
      <w:r>
        <w:rPr>
          <w:rFonts w:hint="eastAsia" w:ascii="Times New Roman" w:hAnsi="Times New Roman" w:eastAsia="方正仿宋_GB2312"/>
          <w:color w:val="000000"/>
          <w:sz w:val="28"/>
          <w:szCs w:val="22"/>
        </w:rPr>
        <w:t>采用单价包干模式，</w:t>
      </w:r>
      <w:r>
        <w:rPr>
          <w:rFonts w:ascii="Times New Roman" w:hAnsi="Times New Roman" w:eastAsia="方正仿宋_GB2312"/>
          <w:sz w:val="28"/>
          <w:szCs w:val="22"/>
        </w:rPr>
        <w:t>超过限价的报价</w:t>
      </w:r>
      <w:r>
        <w:rPr>
          <w:rFonts w:hint="eastAsia" w:ascii="Times New Roman" w:hAnsi="Times New Roman" w:eastAsia="方正仿宋_GB2312"/>
          <w:sz w:val="28"/>
          <w:szCs w:val="22"/>
        </w:rPr>
        <w:t>视为</w:t>
      </w:r>
      <w:r>
        <w:rPr>
          <w:rFonts w:ascii="Times New Roman" w:hAnsi="Times New Roman" w:eastAsia="方正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8"/>
          <w:szCs w:val="28"/>
        </w:rPr>
        <w:t>1、采购人如需对已发出的询价文件进行澄清或修改的，将在</w:t>
      </w:r>
      <w:bookmarkStart w:id="3" w:name="_Hlk173242607"/>
      <w:r>
        <w:rPr>
          <w:rFonts w:hint="eastAsia" w:ascii="方正仿宋_GB2312" w:hAnsi="方正仿宋_GB2312" w:eastAsia="方正仿宋_GB2312" w:cs="方正仿宋_GB2312"/>
          <w:bCs/>
          <w:color w:val="000000"/>
          <w:sz w:val="28"/>
          <w:szCs w:val="28"/>
        </w:rPr>
        <w:t>深圳市深水水务咨询有限公司官网（http://www.szsszx.com/）</w:t>
      </w:r>
      <w:bookmarkEnd w:id="3"/>
      <w:r>
        <w:rPr>
          <w:rFonts w:hint="eastAsia" w:ascii="方正仿宋_GB2312" w:hAnsi="方正仿宋_GB2312" w:eastAsia="方正仿宋_GB2312" w:cs="方正仿宋_GB2312"/>
          <w:color w:val="000000"/>
          <w:sz w:val="28"/>
          <w:szCs w:val="28"/>
        </w:rPr>
        <w:t>发布更正公告，该澄清或修改内容为询价文件的组成部分。</w:t>
      </w:r>
    </w:p>
    <w:p w14:paraId="1598A5AF">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8"/>
          <w:szCs w:val="28"/>
        </w:rPr>
        <w:t>2、询价申请人认为需要对询价文件进行澄清的，可以邮件形式向采购人提出申请（截止时间</w:t>
      </w:r>
      <w:r>
        <w:rPr>
          <w:rFonts w:hint="eastAsia" w:ascii="方正仿宋_GB2312" w:hAnsi="方正仿宋_GB2312" w:eastAsia="方正仿宋_GB2312" w:cs="方正仿宋_GB2312"/>
          <w:bCs/>
          <w:color w:val="000000"/>
          <w:sz w:val="28"/>
          <w:szCs w:val="28"/>
        </w:rPr>
        <w:t>202</w:t>
      </w:r>
      <w:r>
        <w:rPr>
          <w:rFonts w:hint="eastAsia" w:ascii="方正仿宋_GB2312" w:hAnsi="方正仿宋_GB2312" w:eastAsia="方正仿宋_GB2312" w:cs="方正仿宋_GB2312"/>
          <w:bCs/>
          <w:color w:val="000000"/>
          <w:sz w:val="28"/>
          <w:szCs w:val="28"/>
          <w:lang w:val="en-US" w:eastAsia="zh-CN"/>
        </w:rPr>
        <w:t>6</w:t>
      </w:r>
      <w:r>
        <w:rPr>
          <w:rFonts w:hint="eastAsia" w:ascii="方正仿宋_GB2312" w:hAnsi="方正仿宋_GB2312" w:eastAsia="方正仿宋_GB2312" w:cs="方正仿宋_GB2312"/>
          <w:bCs/>
          <w:color w:val="000000"/>
          <w:sz w:val="28"/>
          <w:szCs w:val="28"/>
        </w:rPr>
        <w:t>年</w:t>
      </w:r>
      <w:r>
        <w:rPr>
          <w:rFonts w:hint="eastAsia" w:ascii="方正仿宋_GB2312" w:hAnsi="方正仿宋_GB2312" w:eastAsia="方正仿宋_GB2312" w:cs="方正仿宋_GB2312"/>
          <w:bCs/>
          <w:color w:val="000000"/>
          <w:sz w:val="28"/>
          <w:szCs w:val="28"/>
          <w:lang w:val="en-US" w:eastAsia="zh-CN"/>
        </w:rPr>
        <w:t>1</w:t>
      </w:r>
      <w:r>
        <w:rPr>
          <w:rFonts w:hint="eastAsia" w:ascii="方正仿宋_GB2312" w:hAnsi="方正仿宋_GB2312" w:eastAsia="方正仿宋_GB2312" w:cs="方正仿宋_GB2312"/>
          <w:bCs/>
          <w:color w:val="000000"/>
          <w:sz w:val="28"/>
          <w:szCs w:val="28"/>
        </w:rPr>
        <w:t>月</w:t>
      </w:r>
      <w:r>
        <w:rPr>
          <w:rFonts w:hint="eastAsia" w:ascii="方正仿宋_GB2312" w:hAnsi="方正仿宋_GB2312" w:eastAsia="方正仿宋_GB2312" w:cs="方正仿宋_GB2312"/>
          <w:bCs/>
          <w:color w:val="000000"/>
          <w:sz w:val="28"/>
          <w:szCs w:val="28"/>
          <w:lang w:val="en-US" w:eastAsia="zh-CN"/>
        </w:rPr>
        <w:t>4</w:t>
      </w:r>
      <w:r>
        <w:rPr>
          <w:rFonts w:hint="eastAsia" w:ascii="方正仿宋_GB2312" w:hAnsi="方正仿宋_GB2312" w:eastAsia="方正仿宋_GB2312" w:cs="方正仿宋_GB2312"/>
          <w:bCs/>
          <w:color w:val="000000"/>
          <w:sz w:val="28"/>
          <w:szCs w:val="28"/>
        </w:rPr>
        <w:t>日18</w:t>
      </w:r>
      <w:r>
        <w:rPr>
          <w:rFonts w:hint="eastAsia" w:ascii="方正仿宋_GB2312" w:hAnsi="方正仿宋_GB2312" w:eastAsia="方正仿宋_GB2312" w:cs="方正仿宋_GB2312"/>
          <w:color w:val="000000"/>
          <w:sz w:val="28"/>
          <w:szCs w:val="28"/>
        </w:rPr>
        <w:t>时），但采购人可决定是否采纳申请事项。</w:t>
      </w:r>
    </w:p>
    <w:p w14:paraId="1C18D8BC">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8"/>
          <w:szCs w:val="28"/>
        </w:rPr>
        <w:t>3、询价申请人应于响应文件递交截止时间之前，自行在</w:t>
      </w:r>
      <w:r>
        <w:rPr>
          <w:rFonts w:hint="eastAsia" w:ascii="方正仿宋_GB2312" w:hAnsi="方正仿宋_GB2312" w:eastAsia="方正仿宋_GB2312" w:cs="方正仿宋_GB2312"/>
          <w:bCs/>
          <w:color w:val="000000"/>
          <w:sz w:val="28"/>
          <w:szCs w:val="28"/>
        </w:rPr>
        <w:t>深圳市深水水务咨询有限公司官网（http://www.szsszx.com/）</w:t>
      </w:r>
      <w:r>
        <w:rPr>
          <w:rFonts w:hint="eastAsia" w:ascii="方正仿宋_GB2312" w:hAnsi="方正仿宋_GB2312" w:eastAsia="方正仿宋_GB2312" w:cs="方正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keepNext w:val="0"/>
        <w:keepLines w:val="0"/>
        <w:pageBreakBefore w:val="0"/>
        <w:kinsoku/>
        <w:wordWrap/>
        <w:overflowPunct/>
        <w:topLinePunct w:val="0"/>
        <w:autoSpaceDE/>
        <w:autoSpaceDN/>
        <w:bidi w:val="0"/>
        <w:adjustRightInd/>
        <w:snapToGrid/>
        <w:spacing w:afterLines="0" w:line="500" w:lineRule="exact"/>
        <w:ind w:firstLine="480" w:firstLineChars="200"/>
        <w:jc w:val="left"/>
        <w:textAlignment w:val="auto"/>
        <w:rPr>
          <w:rFonts w:hint="eastAsia" w:ascii="方正仿宋_GB2312" w:hAnsi="方正仿宋_GB2312" w:eastAsia="方正仿宋_GB2312" w:cs="方正仿宋_GB2312"/>
          <w:color w:val="000000"/>
          <w:sz w:val="28"/>
          <w:szCs w:val="28"/>
        </w:rPr>
      </w:pPr>
      <w:r>
        <w:rPr>
          <w:rFonts w:hint="eastAsia" w:ascii="方正仿宋_GB2312" w:hAnsi="方正仿宋_GB2312" w:eastAsia="方正仿宋_GB2312" w:cs="方正仿宋_GB2312"/>
          <w:color w:val="000000"/>
          <w:sz w:val="24"/>
        </w:rPr>
        <w:t>1、</w:t>
      </w:r>
      <w:r>
        <w:rPr>
          <w:rFonts w:hint="eastAsia" w:ascii="方正仿宋_GB2312" w:hAnsi="方正仿宋_GB2312" w:eastAsia="方正仿宋_GB2312" w:cs="方正仿宋_GB2312"/>
          <w:color w:val="000000"/>
          <w:sz w:val="28"/>
          <w:szCs w:val="28"/>
        </w:rPr>
        <w:t>中选人应在结果公告期满后尽快与采购人签订采购合同。因中选人原因造成逾期未与采购人签订采购合同的，视为自动放弃；</w:t>
      </w:r>
    </w:p>
    <w:p w14:paraId="06B07B77">
      <w:pPr>
        <w:keepNext w:val="0"/>
        <w:keepLines w:val="0"/>
        <w:pageBreakBefore w:val="0"/>
        <w:kinsoku/>
        <w:wordWrap/>
        <w:overflowPunct/>
        <w:topLinePunct w:val="0"/>
        <w:autoSpaceDE/>
        <w:autoSpaceDN/>
        <w:bidi w:val="0"/>
        <w:adjustRightInd/>
        <w:snapToGrid/>
        <w:spacing w:afterLines="0" w:line="500" w:lineRule="exact"/>
        <w:ind w:firstLine="560" w:firstLineChars="200"/>
        <w:jc w:val="left"/>
        <w:textAlignment w:val="auto"/>
        <w:rPr>
          <w:rFonts w:ascii="Times New Roman" w:hAnsi="Times New Roman" w:eastAsia="方正仿宋_GB2312"/>
          <w:color w:val="000000"/>
          <w:sz w:val="28"/>
          <w:szCs w:val="28"/>
        </w:rPr>
      </w:pPr>
      <w:r>
        <w:rPr>
          <w:rFonts w:hint="eastAsia" w:ascii="方正仿宋_GB2312" w:hAnsi="方正仿宋_GB2312" w:eastAsia="方正仿宋_GB2312" w:cs="方正仿宋_GB2312"/>
          <w:color w:val="000000"/>
          <w:sz w:val="28"/>
          <w:szCs w:val="28"/>
        </w:rPr>
        <w:t>2、中选人因不可抗力原因不能履行采购合同或放弃成交的，采购人可依序与其他中选候选人签订采购合同，也可以重新组织采购。</w:t>
      </w:r>
    </w:p>
    <w:p w14:paraId="3B7D257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textAlignment w:val="auto"/>
        <w:rPr>
          <w:rFonts w:ascii="Times New Roman" w:hAnsi="Times New Roman" w:eastAsia="方正仿宋_GB2312"/>
          <w:bCs/>
          <w:color w:val="000000"/>
          <w:sz w:val="28"/>
          <w:szCs w:val="28"/>
        </w:rPr>
      </w:pPr>
      <w:r>
        <w:rPr>
          <w:rFonts w:hint="eastAsia" w:ascii="方正仿宋_GB2312" w:hAnsi="方正仿宋_GB2312" w:eastAsia="方正仿宋_GB2312" w:cs="方正仿宋_GB2312"/>
          <w:color w:val="000000"/>
          <w:sz w:val="28"/>
          <w:szCs w:val="28"/>
        </w:rPr>
        <w:t>3、</w:t>
      </w:r>
      <w:r>
        <w:rPr>
          <w:rFonts w:hint="eastAsia" w:ascii="方正仿宋_GB2312" w:hAnsi="方正仿宋_GB2312" w:eastAsia="方正仿宋_GB2312" w:cs="方正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kern w:val="0"/>
          <w:sz w:val="28"/>
          <w:szCs w:val="28"/>
        </w:rPr>
      </w:pPr>
      <w:r>
        <w:rPr>
          <w:rFonts w:hint="eastAsia" w:ascii="方正仿宋_GB2312" w:hAnsi="方正仿宋_GB2312" w:eastAsia="方正仿宋_GB2312" w:cs="方正仿宋_GB2312"/>
          <w:color w:val="000000"/>
          <w:kern w:val="0"/>
          <w:sz w:val="28"/>
          <w:szCs w:val="28"/>
        </w:rPr>
        <w:t>联系人：王工、</w:t>
      </w:r>
      <w:r>
        <w:rPr>
          <w:rFonts w:hint="eastAsia" w:ascii="方正仿宋_GB2312" w:hAnsi="方正仿宋_GB2312" w:eastAsia="方正仿宋_GB2312" w:cs="方正仿宋_GB2312"/>
          <w:color w:val="000000"/>
          <w:kern w:val="0"/>
          <w:sz w:val="28"/>
          <w:szCs w:val="28"/>
          <w:lang w:val="en-US" w:eastAsia="zh-CN"/>
        </w:rPr>
        <w:t>李</w:t>
      </w:r>
      <w:r>
        <w:rPr>
          <w:rFonts w:hint="eastAsia" w:ascii="方正仿宋_GB2312" w:hAnsi="方正仿宋_GB2312" w:eastAsia="方正仿宋_GB2312" w:cs="方正仿宋_GB2312"/>
          <w:color w:val="000000"/>
          <w:kern w:val="0"/>
          <w:sz w:val="28"/>
          <w:szCs w:val="28"/>
        </w:rPr>
        <w:t>工</w:t>
      </w:r>
    </w:p>
    <w:p w14:paraId="77113CC7">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default" w:ascii="方正仿宋_GB2312" w:hAnsi="方正仿宋_GB2312" w:eastAsia="方正仿宋_GB2312" w:cs="方正仿宋_GB2312"/>
          <w:color w:val="000000"/>
          <w:kern w:val="0"/>
          <w:sz w:val="28"/>
          <w:szCs w:val="28"/>
          <w:lang w:val="en-US" w:eastAsia="zh-CN"/>
        </w:rPr>
      </w:pPr>
      <w:r>
        <w:rPr>
          <w:rFonts w:hint="eastAsia" w:ascii="方正仿宋_GB2312" w:hAnsi="方正仿宋_GB2312" w:eastAsia="方正仿宋_GB2312" w:cs="方正仿宋_GB2312"/>
          <w:color w:val="000000"/>
          <w:kern w:val="0"/>
          <w:sz w:val="28"/>
          <w:szCs w:val="28"/>
        </w:rPr>
        <w:t>电  话：15521296724、1</w:t>
      </w:r>
      <w:r>
        <w:rPr>
          <w:rFonts w:hint="eastAsia" w:ascii="方正仿宋_GB2312" w:hAnsi="方正仿宋_GB2312" w:eastAsia="方正仿宋_GB2312" w:cs="方正仿宋_GB2312"/>
          <w:color w:val="000000"/>
          <w:kern w:val="0"/>
          <w:sz w:val="28"/>
          <w:szCs w:val="28"/>
          <w:lang w:val="en-US" w:eastAsia="zh-CN"/>
        </w:rPr>
        <w:t>9574823608</w:t>
      </w:r>
    </w:p>
    <w:p w14:paraId="6B55926E">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kern w:val="0"/>
          <w:sz w:val="28"/>
          <w:szCs w:val="28"/>
        </w:rPr>
      </w:pPr>
      <w:r>
        <w:rPr>
          <w:rFonts w:hint="eastAsia" w:ascii="方正仿宋_GB2312" w:hAnsi="方正仿宋_GB2312" w:eastAsia="方正仿宋_GB2312" w:cs="方正仿宋_GB2312"/>
          <w:color w:val="000000"/>
          <w:kern w:val="0"/>
          <w:sz w:val="28"/>
          <w:szCs w:val="28"/>
        </w:rPr>
        <w:t>邮  箱：sszxhjcaigou</w:t>
      </w:r>
      <w:r>
        <w:rPr>
          <w:rFonts w:hint="eastAsia" w:ascii="方正仿宋_GB2312" w:hAnsi="方正仿宋_GB2312" w:eastAsia="方正仿宋_GB2312" w:cs="方正仿宋_GB2312"/>
          <w:color w:val="000000"/>
          <w:kern w:val="0"/>
          <w:sz w:val="28"/>
          <w:szCs w:val="28"/>
          <w:lang w:val="en-US" w:eastAsia="zh-CN"/>
        </w:rPr>
        <w:t>b</w:t>
      </w:r>
      <w:r>
        <w:rPr>
          <w:rFonts w:hint="eastAsia" w:ascii="方正仿宋_GB2312" w:hAnsi="方正仿宋_GB2312" w:eastAsia="方正仿宋_GB2312" w:cs="方正仿宋_GB2312"/>
          <w:color w:val="000000"/>
          <w:kern w:val="0"/>
          <w:sz w:val="28"/>
          <w:szCs w:val="28"/>
        </w:rPr>
        <w:t>@163.com</w:t>
      </w:r>
    </w:p>
    <w:p w14:paraId="69ED3A83">
      <w:pPr>
        <w:keepNext w:val="0"/>
        <w:keepLines w:val="0"/>
        <w:pageBreakBefore w:val="0"/>
        <w:widowControl w:val="0"/>
        <w:kinsoku/>
        <w:wordWrap/>
        <w:overflowPunct/>
        <w:topLinePunct w:val="0"/>
        <w:autoSpaceDE/>
        <w:autoSpaceDN/>
        <w:bidi w:val="0"/>
        <w:adjustRightInd/>
        <w:snapToGrid/>
        <w:spacing w:afterLines="0" w:line="500" w:lineRule="exact"/>
        <w:ind w:firstLine="560" w:firstLineChars="200"/>
        <w:jc w:val="left"/>
        <w:textAlignment w:val="auto"/>
        <w:rPr>
          <w:rFonts w:hint="eastAsia" w:ascii="方正仿宋_GB2312" w:hAnsi="方正仿宋_GB2312" w:eastAsia="方正仿宋_GB2312" w:cs="方正仿宋_GB2312"/>
          <w:color w:val="000000"/>
          <w:kern w:val="0"/>
          <w:sz w:val="28"/>
          <w:szCs w:val="28"/>
        </w:rPr>
      </w:pPr>
    </w:p>
    <w:p w14:paraId="4CDF74C8">
      <w:pPr>
        <w:pStyle w:val="8"/>
        <w:keepNext w:val="0"/>
        <w:keepLines w:val="0"/>
        <w:pageBreakBefore w:val="0"/>
        <w:widowControl w:val="0"/>
        <w:kinsoku/>
        <w:wordWrap/>
        <w:overflowPunct/>
        <w:topLinePunct w:val="0"/>
        <w:autoSpaceDE/>
        <w:autoSpaceDN/>
        <w:bidi w:val="0"/>
        <w:adjustRightInd/>
        <w:snapToGrid/>
        <w:spacing w:after="0" w:afterLines="0" w:line="500" w:lineRule="exact"/>
        <w:jc w:val="right"/>
        <w:textAlignment w:val="auto"/>
        <w:rPr>
          <w:rFonts w:eastAsia="方正仿宋_GB2312"/>
        </w:rPr>
      </w:pPr>
      <w:bookmarkStart w:id="4" w:name="_Hlk173242670"/>
      <w:r>
        <w:rPr>
          <w:rFonts w:hint="eastAsia" w:ascii="Times New Roman" w:hAnsi="Times New Roman" w:eastAsia="方正仿宋_GB2312"/>
          <w:color w:val="000000"/>
          <w:kern w:val="0"/>
          <w:sz w:val="32"/>
          <w:szCs w:val="32"/>
        </w:rPr>
        <w:t>深圳市佳耀生态环保科技有限公司</w:t>
      </w:r>
      <w:bookmarkEnd w:id="4"/>
    </w:p>
    <w:p w14:paraId="338FE902">
      <w:pPr>
        <w:keepNext w:val="0"/>
        <w:keepLines w:val="0"/>
        <w:pageBreakBefore w:val="0"/>
        <w:widowControl w:val="0"/>
        <w:kinsoku/>
        <w:wordWrap/>
        <w:overflowPunct/>
        <w:topLinePunct w:val="0"/>
        <w:autoSpaceDE/>
        <w:autoSpaceDN/>
        <w:bidi w:val="0"/>
        <w:adjustRightInd/>
        <w:snapToGrid/>
        <w:spacing w:afterLines="0" w:line="500" w:lineRule="exact"/>
        <w:ind w:left="6079" w:leftChars="152" w:hanging="5760" w:hangingChars="1800"/>
        <w:jc w:val="right"/>
        <w:textAlignment w:val="auto"/>
      </w:pPr>
      <w:bookmarkStart w:id="5" w:name="_Hlk173242679"/>
      <w:r>
        <w:rPr>
          <w:rFonts w:hint="eastAsia" w:ascii="Times New Roman" w:hAnsi="Times New Roman" w:eastAsia="方正仿宋_GB2312"/>
          <w:bCs/>
          <w:color w:val="000000"/>
          <w:sz w:val="32"/>
          <w:szCs w:val="32"/>
        </w:rPr>
        <w:t>2025</w:t>
      </w:r>
      <w:r>
        <w:rPr>
          <w:rFonts w:ascii="Times New Roman" w:hAnsi="Times New Roman" w:eastAsia="方正仿宋_GB2312"/>
          <w:bCs/>
          <w:color w:val="000000"/>
          <w:sz w:val="32"/>
          <w:szCs w:val="32"/>
        </w:rPr>
        <w:t>年</w:t>
      </w:r>
      <w:r>
        <w:rPr>
          <w:rFonts w:hint="eastAsia" w:ascii="Times New Roman" w:hAnsi="Times New Roman" w:eastAsia="方正仿宋_GB2312"/>
          <w:bCs/>
          <w:color w:val="000000"/>
          <w:sz w:val="32"/>
          <w:szCs w:val="32"/>
          <w:lang w:val="en-US" w:eastAsia="zh-CN"/>
        </w:rPr>
        <w:t>12</w:t>
      </w:r>
      <w:r>
        <w:rPr>
          <w:rFonts w:ascii="Times New Roman" w:hAnsi="Times New Roman" w:eastAsia="方正仿宋_GB2312"/>
          <w:bCs/>
          <w:color w:val="000000"/>
          <w:sz w:val="32"/>
          <w:szCs w:val="32"/>
        </w:rPr>
        <w:t>月</w:t>
      </w:r>
      <w:r>
        <w:rPr>
          <w:rFonts w:hint="eastAsia" w:ascii="Times New Roman" w:hAnsi="Times New Roman" w:eastAsia="方正仿宋_GB2312"/>
          <w:bCs/>
          <w:color w:val="000000"/>
          <w:sz w:val="32"/>
          <w:szCs w:val="32"/>
          <w:lang w:val="en-US" w:eastAsia="zh-CN"/>
        </w:rPr>
        <w:t>31</w:t>
      </w:r>
      <w:r>
        <w:rPr>
          <w:rFonts w:ascii="Times New Roman" w:hAnsi="Times New Roman" w:eastAsia="方正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除磷剂原料</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除磷剂原料采购项目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除磷剂原料</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401643"/>
      <w:bookmarkStart w:id="11" w:name="_Toc199215931"/>
      <w:bookmarkStart w:id="12" w:name="_Toc201742844"/>
      <w:bookmarkStart w:id="13" w:name="_Toc201719103"/>
      <w:bookmarkStart w:id="14" w:name="_Toc199215763"/>
      <w:bookmarkStart w:id="15" w:name="_Toc199213728"/>
      <w:bookmarkStart w:id="16" w:name="_Toc201743099"/>
      <w:bookmarkStart w:id="17" w:name="_Toc201997927"/>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57FB8B6B">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w:t>
      </w:r>
      <w:r>
        <w:rPr>
          <w:rFonts w:hint="eastAsia" w:ascii="宋体" w:hAnsi="宋体" w:cs="宋体"/>
          <w:lang w:val="en-US" w:eastAsia="zh-CN"/>
        </w:rPr>
        <w:t>年</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7ABC299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.2.1采购价款按</w:t>
      </w:r>
      <w:r>
        <w:rPr>
          <w:rFonts w:hint="eastAsia" w:ascii="宋体" w:hAnsi="宋体" w:cs="宋体"/>
        </w:rPr>
        <w:t>月度</w:t>
      </w:r>
      <w:r>
        <w:rPr>
          <w:rFonts w:hint="eastAsia" w:ascii="宋体" w:hAnsi="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cs="宋体"/>
          <w:bCs/>
          <w:color w:val="000000"/>
        </w:rPr>
        <w:t>按月核对，</w:t>
      </w:r>
      <w:r>
        <w:rPr>
          <w:rFonts w:hint="eastAsia" w:ascii="宋体" w:hAnsi="宋体" w:cs="宋体"/>
        </w:rPr>
        <w:t>每月</w:t>
      </w:r>
      <w:r>
        <w:rPr>
          <w:rFonts w:hint="eastAsia" w:ascii="宋体" w:hAnsi="宋体" w:cs="宋体"/>
          <w:u w:val="single"/>
        </w:rPr>
        <w:t>2</w:t>
      </w:r>
      <w:r>
        <w:rPr>
          <w:rFonts w:hint="eastAsia" w:ascii="宋体" w:hAnsi="宋体" w:cs="宋体"/>
          <w:u w:val="single"/>
          <w:lang w:val="en-US" w:eastAsia="zh-CN"/>
        </w:rPr>
        <w:t>0</w:t>
      </w:r>
      <w:r>
        <w:rPr>
          <w:rFonts w:hint="eastAsia" w:ascii="宋体" w:hAnsi="宋体" w:cs="宋体"/>
          <w:u w:val="single"/>
        </w:rPr>
        <w:t>日</w:t>
      </w:r>
      <w:r>
        <w:rPr>
          <w:rFonts w:hint="eastAsia" w:ascii="宋体" w:hAnsi="宋体" w:cs="宋体"/>
        </w:rPr>
        <w:t>核对</w:t>
      </w:r>
      <w:r>
        <w:rPr>
          <w:rFonts w:hint="eastAsia" w:ascii="宋体" w:hAnsi="宋体" w:cs="宋体"/>
          <w:lang w:val="en-US" w:eastAsia="zh-CN"/>
        </w:rPr>
        <w:t>月度</w:t>
      </w:r>
      <w:r>
        <w:rPr>
          <w:rFonts w:hint="eastAsia" w:ascii="宋体" w:hAnsi="宋体" w:cs="宋体"/>
        </w:rPr>
        <w:t>验收合格的产品采购数量及价款</w:t>
      </w:r>
      <w:r>
        <w:rPr>
          <w:rFonts w:hint="eastAsia" w:ascii="宋体" w:hAnsi="宋体" w:cs="宋体"/>
          <w:bCs/>
          <w:color w:val="000000"/>
        </w:rPr>
        <w:t>，</w:t>
      </w:r>
      <w:r>
        <w:rPr>
          <w:rFonts w:hint="eastAsia" w:ascii="宋体" w:hAnsi="宋体" w:cs="宋体"/>
          <w:bCs/>
          <w:color w:val="000000"/>
          <w:lang w:val="en-US" w:eastAsia="zh-CN"/>
        </w:rPr>
        <w:t>乙方</w:t>
      </w:r>
      <w:r>
        <w:rPr>
          <w:rFonts w:hint="eastAsia" w:ascii="宋体" w:hAnsi="宋体" w:cs="宋体"/>
          <w:bCs/>
          <w:color w:val="000000"/>
        </w:rPr>
        <w:t>提供费用付款申请、经双方验收核对无误的证明文件及国家税务正式的13%增值税专用发票至</w:t>
      </w:r>
      <w:r>
        <w:rPr>
          <w:rFonts w:hint="eastAsia" w:ascii="宋体" w:hAnsi="宋体" w:cs="宋体"/>
          <w:bCs/>
          <w:color w:val="000000"/>
          <w:lang w:val="en-US" w:eastAsia="zh-CN"/>
        </w:rPr>
        <w:t>甲方</w:t>
      </w:r>
      <w:r>
        <w:rPr>
          <w:rFonts w:hint="eastAsia" w:ascii="宋体" w:hAnsi="宋体" w:cs="宋体"/>
          <w:bCs/>
          <w:color w:val="000000"/>
        </w:rPr>
        <w:t>，经</w:t>
      </w:r>
      <w:r>
        <w:rPr>
          <w:rFonts w:hint="eastAsia" w:ascii="宋体" w:hAnsi="宋体" w:cs="宋体"/>
          <w:bCs/>
          <w:color w:val="000000"/>
          <w:lang w:val="en-US" w:eastAsia="zh-CN"/>
        </w:rPr>
        <w:t>甲方</w:t>
      </w:r>
      <w:r>
        <w:rPr>
          <w:rFonts w:hint="eastAsia" w:ascii="宋体" w:hAnsi="宋体" w:cs="宋体"/>
          <w:bCs/>
          <w:color w:val="000000"/>
        </w:rPr>
        <w:t>审核通过后提交付款流程。</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2500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209F0E63">
      <w:pPr>
        <w:adjustRightInd w:val="0"/>
        <w:spacing w:before="79" w:beforeLines="25" w:after="78" w:line="360" w:lineRule="auto"/>
        <w:ind w:firstLine="480" w:firstLineChars="200"/>
        <w:outlineLvl w:val="0"/>
        <w:rPr>
          <w:rFonts w:hint="eastAsia" w:ascii="宋体" w:hAnsi="宋体" w:eastAsia="宋体" w:cs="宋体"/>
          <w:kern w:val="2"/>
          <w:sz w:val="24"/>
          <w:szCs w:val="24"/>
          <w:lang w:eastAsia="zh-Hans"/>
        </w:rPr>
      </w:pPr>
      <w:r>
        <w:rPr>
          <w:rFonts w:hint="eastAsia" w:ascii="宋体" w:hAnsi="宋体" w:cs="宋体"/>
          <w:sz w:val="24"/>
          <w:lang w:eastAsia="zh-Hans"/>
        </w:rPr>
        <w:t>质保期为甲方出具签收单之日起12个月。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0.5</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除磷剂原料</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816"/>
        <w:gridCol w:w="806"/>
        <w:gridCol w:w="1444"/>
        <w:gridCol w:w="1547"/>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046"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64"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1"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91"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426" w:type="pct"/>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849" w:type="pct"/>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除磷剂原料</w:t>
            </w:r>
          </w:p>
        </w:tc>
        <w:tc>
          <w:tcPr>
            <w:tcW w:w="1046" w:type="pct"/>
            <w:noWrap/>
            <w:vAlign w:val="center"/>
          </w:tcPr>
          <w:p w14:paraId="72721A20">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left"/>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全铁的质量分数≥10%；氧化铝的质量分数≥0.75%</w:t>
            </w:r>
          </w:p>
        </w:tc>
        <w:tc>
          <w:tcPr>
            <w:tcW w:w="464"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1"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91"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除磷剂原料</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w:t>
            </w:r>
          </w:p>
        </w:tc>
        <w:tc>
          <w:tcPr>
            <w:tcW w:w="3008" w:type="dxa"/>
            <w:vAlign w:val="center"/>
          </w:tcPr>
          <w:p w14:paraId="52F4F58C">
            <w:pPr>
              <w:pStyle w:val="58"/>
              <w:keepNext w:val="0"/>
              <w:keepLines w:val="0"/>
              <w:pageBreakBefore w:val="0"/>
              <w:widowControl w:val="0"/>
              <w:kinsoku/>
              <w:wordWrap w:val="0"/>
              <w:overflowPunct/>
              <w:topLinePunct w:val="0"/>
              <w:autoSpaceDE w:val="0"/>
              <w:autoSpaceDN w:val="0"/>
              <w:bidi w:val="0"/>
              <w:adjustRightInd/>
              <w:snapToGrid/>
              <w:spacing w:afterLines="0" w:line="240" w:lineRule="auto"/>
              <w:ind w:firstLine="0" w:firstLineChars="0"/>
              <w:jc w:val="left"/>
              <w:textAlignment w:val="auto"/>
              <w:rPr>
                <w:rFonts w:hint="eastAsia" w:ascii="宋体" w:hAnsi="宋体" w:eastAsia="宋体" w:cs="宋体"/>
                <w:b w:val="0"/>
                <w:bCs w:val="0"/>
                <w:spacing w:val="-8"/>
                <w:sz w:val="24"/>
                <w:szCs w:val="24"/>
              </w:rPr>
            </w:pPr>
            <w:r>
              <w:rPr>
                <w:rFonts w:hint="eastAsia" w:ascii="宋体" w:hAnsi="宋体" w:eastAsia="宋体" w:cs="宋体"/>
                <w:b w:val="0"/>
                <w:bCs w:val="0"/>
                <w:spacing w:val="-8"/>
                <w:sz w:val="24"/>
                <w:szCs w:val="24"/>
              </w:rPr>
              <w:t>全铁的质量分数≥10%；</w:t>
            </w:r>
          </w:p>
          <w:p w14:paraId="0BEAF6D4">
            <w:pPr>
              <w:pStyle w:val="58"/>
              <w:keepNext w:val="0"/>
              <w:keepLines w:val="0"/>
              <w:pageBreakBefore w:val="0"/>
              <w:widowControl w:val="0"/>
              <w:kinsoku/>
              <w:wordWrap w:val="0"/>
              <w:overflowPunct/>
              <w:topLinePunct w:val="0"/>
              <w:autoSpaceDE w:val="0"/>
              <w:autoSpaceDN w:val="0"/>
              <w:bidi w:val="0"/>
              <w:adjustRightInd/>
              <w:snapToGrid/>
              <w:spacing w:afterLines="0" w:line="240" w:lineRule="auto"/>
              <w:ind w:firstLine="0" w:firstLineChars="0"/>
              <w:jc w:val="left"/>
              <w:textAlignment w:val="auto"/>
              <w:rPr>
                <w:rFonts w:hint="eastAsia" w:ascii="宋体" w:hAnsi="宋体" w:eastAsia="宋体" w:cs="宋体"/>
                <w:b w:val="0"/>
                <w:bCs w:val="0"/>
                <w:spacing w:val="-8"/>
                <w:sz w:val="24"/>
                <w:szCs w:val="24"/>
              </w:rPr>
            </w:pPr>
            <w:r>
              <w:rPr>
                <w:rFonts w:hint="eastAsia" w:ascii="宋体" w:hAnsi="宋体" w:eastAsia="宋体" w:cs="宋体"/>
                <w:b w:val="0"/>
                <w:bCs w:val="0"/>
                <w:spacing w:val="-8"/>
                <w:sz w:val="24"/>
                <w:szCs w:val="24"/>
              </w:rPr>
              <w:t>氧化铝的质量分数≥0.75%</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w:t>
            </w: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除磷剂原料采购项目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除磷剂原料采购项目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除磷剂原料采购项目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w:t>
      </w:r>
      <w:r>
        <w:rPr>
          <w:rFonts w:hint="eastAsia" w:ascii="仿宋" w:hAnsi="仿宋" w:eastAsia="仿宋"/>
          <w:szCs w:val="21"/>
          <w:lang w:val="en-US" w:eastAsia="zh-CN"/>
        </w:rPr>
        <w:t>12</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除磷剂原料采购项目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除磷剂原料采购项目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4"/>
        <w:gridCol w:w="1151"/>
        <w:gridCol w:w="1836"/>
        <w:gridCol w:w="1142"/>
        <w:gridCol w:w="1021"/>
        <w:gridCol w:w="1422"/>
        <w:gridCol w:w="1405"/>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3"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6"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除磷剂原料采购项目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3"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09"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5"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71"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3" w:type="pct"/>
            <w:vMerge w:val="continue"/>
            <w:vAlign w:val="center"/>
          </w:tcPr>
          <w:p w14:paraId="074635C1">
            <w:pPr>
              <w:spacing w:afterLines="0" w:line="300" w:lineRule="exact"/>
              <w:jc w:val="center"/>
              <w:rPr>
                <w:rFonts w:hint="eastAsia" w:ascii="仿宋" w:hAnsi="仿宋" w:eastAsia="仿宋"/>
                <w:sz w:val="24"/>
                <w:szCs w:val="24"/>
              </w:rPr>
            </w:pPr>
          </w:p>
        </w:tc>
        <w:tc>
          <w:tcPr>
            <w:tcW w:w="1609"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5"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71"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3"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09"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highlight w:val="none"/>
                <w:lang w:val="en-US" w:eastAsia="zh-CN"/>
              </w:rPr>
              <w:t>广东省东莞市</w:t>
            </w:r>
          </w:p>
        </w:tc>
        <w:tc>
          <w:tcPr>
            <w:tcW w:w="615"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71"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3"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620"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89"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5"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55"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3"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620"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除磷剂原料</w:t>
            </w:r>
          </w:p>
        </w:tc>
        <w:tc>
          <w:tcPr>
            <w:tcW w:w="989" w:type="pct"/>
            <w:vAlign w:val="center"/>
          </w:tcPr>
          <w:p w14:paraId="2B345FAE">
            <w:pPr>
              <w:pStyle w:val="58"/>
              <w:keepNext w:val="0"/>
              <w:keepLines w:val="0"/>
              <w:pageBreakBefore w:val="0"/>
              <w:widowControl w:val="0"/>
              <w:kinsoku/>
              <w:wordWrap w:val="0"/>
              <w:overflowPunct/>
              <w:topLinePunct w:val="0"/>
              <w:autoSpaceDE w:val="0"/>
              <w:autoSpaceDN w:val="0"/>
              <w:bidi w:val="0"/>
              <w:adjustRightInd w:val="0"/>
              <w:snapToGrid w:val="0"/>
              <w:spacing w:afterLines="0" w:line="240" w:lineRule="auto"/>
              <w:ind w:firstLine="0" w:firstLineChars="0"/>
              <w:jc w:val="left"/>
              <w:textAlignment w:val="auto"/>
              <w:rPr>
                <w:rFonts w:hint="eastAsia" w:ascii="仿宋" w:hAnsi="仿宋" w:eastAsia="仿宋" w:cs="仿宋"/>
                <w:color w:val="000000"/>
                <w:sz w:val="24"/>
                <w:szCs w:val="24"/>
                <w:lang w:bidi="ar"/>
              </w:rPr>
            </w:pPr>
            <w:r>
              <w:rPr>
                <w:rFonts w:hint="eastAsia" w:ascii="仿宋" w:hAnsi="仿宋" w:eastAsia="仿宋" w:cs="仿宋"/>
                <w:color w:val="000000"/>
                <w:sz w:val="24"/>
                <w:szCs w:val="24"/>
                <w:lang w:bidi="ar"/>
              </w:rPr>
              <w:t>全铁的质量分数≥10%；氧化铝的质量分数≥0.75%</w:t>
            </w:r>
          </w:p>
        </w:tc>
        <w:tc>
          <w:tcPr>
            <w:tcW w:w="615"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55"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3"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09"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5"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71"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3"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6"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3"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09"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w:t>
            </w:r>
            <w:r>
              <w:rPr>
                <w:rFonts w:hint="eastAsia" w:ascii="仿宋" w:hAnsi="仿宋" w:eastAsia="仿宋" w:cs="仿宋"/>
                <w:bCs/>
                <w:color w:val="000000"/>
                <w:sz w:val="24"/>
                <w:szCs w:val="24"/>
                <w:lang w:val="en-US" w:eastAsia="zh-CN"/>
              </w:rPr>
              <w:t>24小时</w:t>
            </w:r>
            <w:r>
              <w:rPr>
                <w:rFonts w:hint="eastAsia" w:ascii="仿宋" w:hAnsi="仿宋" w:eastAsia="仿宋" w:cs="仿宋"/>
                <w:bCs/>
                <w:color w:val="000000"/>
                <w:sz w:val="24"/>
                <w:szCs w:val="24"/>
              </w:rPr>
              <w:t>内送达，紧急情况下</w:t>
            </w:r>
            <w:r>
              <w:rPr>
                <w:rFonts w:hint="eastAsia" w:ascii="仿宋" w:hAnsi="仿宋" w:eastAsia="仿宋" w:cs="仿宋"/>
                <w:bCs/>
                <w:color w:val="000000"/>
                <w:sz w:val="24"/>
                <w:szCs w:val="24"/>
                <w:lang w:val="en-US" w:eastAsia="zh-CN"/>
              </w:rPr>
              <w:t>12小时</w:t>
            </w:r>
            <w:r>
              <w:rPr>
                <w:rFonts w:hint="eastAsia" w:ascii="仿宋" w:hAnsi="仿宋" w:eastAsia="仿宋" w:cs="仿宋"/>
                <w:bCs/>
                <w:color w:val="000000"/>
                <w:sz w:val="24"/>
                <w:szCs w:val="24"/>
              </w:rPr>
              <w:t>内送达</w:t>
            </w:r>
          </w:p>
        </w:tc>
        <w:tc>
          <w:tcPr>
            <w:tcW w:w="615"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71"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质保期为甲方出具签收单之日起12个月。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33335897"/>
      <w:bookmarkStart w:id="21" w:name="_Toc116850266"/>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E638973-B7CF-4C0B-9EE3-97D814513453}"/>
  </w:font>
  <w:font w:name="宋体">
    <w:panose1 w:val="02010600030101010101"/>
    <w:charset w:val="7A"/>
    <w:family w:val="auto"/>
    <w:pitch w:val="default"/>
    <w:sig w:usb0="00000203" w:usb1="288F0000" w:usb2="00000006" w:usb3="00000000" w:csb0="00040001" w:csb1="00000000"/>
    <w:embedRegular r:id="rId2" w:fontKey="{A0B60773-3908-4509-A4F6-1462D6D1D07B}"/>
  </w:font>
  <w:font w:name="Wingdings">
    <w:panose1 w:val="05000000000000000000"/>
    <w:charset w:val="02"/>
    <w:family w:val="auto"/>
    <w:pitch w:val="default"/>
    <w:sig w:usb0="00000000" w:usb1="00000000" w:usb2="00000000" w:usb3="00000000" w:csb0="80000000" w:csb1="00000000"/>
    <w:embedRegular r:id="rId3" w:fontKey="{5A808184-156A-4E27-8BF1-09495E8DA25F}"/>
  </w:font>
  <w:font w:name="Arial">
    <w:panose1 w:val="020B0604020202020204"/>
    <w:charset w:val="01"/>
    <w:family w:val="swiss"/>
    <w:pitch w:val="default"/>
    <w:sig w:usb0="E0002EFF" w:usb1="C000785B" w:usb2="00000009" w:usb3="00000000" w:csb0="400001FF" w:csb1="FFFF0000"/>
    <w:embedRegular r:id="rId4" w:fontKey="{6A2BC0DB-BE7F-41A7-881B-EFAE65BBA861}"/>
  </w:font>
  <w:font w:name="黑体">
    <w:panose1 w:val="02010609060101010101"/>
    <w:charset w:val="86"/>
    <w:family w:val="auto"/>
    <w:pitch w:val="default"/>
    <w:sig w:usb0="800002BF" w:usb1="38CF7CFA" w:usb2="00000016" w:usb3="00000000" w:csb0="00040001" w:csb1="00000000"/>
    <w:embedRegular r:id="rId5" w:fontKey="{1CAA59F1-015A-4ECA-BC6B-F85CC18F44A2}"/>
  </w:font>
  <w:font w:name="Courier New">
    <w:panose1 w:val="02070309020205020404"/>
    <w:charset w:val="01"/>
    <w:family w:val="modern"/>
    <w:pitch w:val="default"/>
    <w:sig w:usb0="E0002EFF" w:usb1="C0007843" w:usb2="00000009" w:usb3="00000000" w:csb0="400001FF" w:csb1="FFFF0000"/>
    <w:embedRegular r:id="rId6" w:fontKey="{EBE0AF98-EDCD-4A10-A1A6-E2998E624EE0}"/>
  </w:font>
  <w:font w:name="Symbol">
    <w:panose1 w:val="05050102010706020507"/>
    <w:charset w:val="02"/>
    <w:family w:val="roman"/>
    <w:pitch w:val="default"/>
    <w:sig w:usb0="00000000" w:usb1="00000000" w:usb2="00000000" w:usb3="00000000" w:csb0="80000000" w:csb1="00000000"/>
    <w:embedRegular r:id="rId7" w:fontKey="{848B4966-983E-49B4-9952-967B2C821CF7}"/>
  </w:font>
  <w:font w:name="Calibri">
    <w:panose1 w:val="020F0502020204030204"/>
    <w:charset w:val="00"/>
    <w:family w:val="swiss"/>
    <w:pitch w:val="default"/>
    <w:sig w:usb0="E4002EFF" w:usb1="C200247B" w:usb2="00000009" w:usb3="00000000" w:csb0="200001FF" w:csb1="00000000"/>
    <w:embedRegular r:id="rId8" w:fontKey="{695C5163-BC2B-4D07-8372-8090FCD6EDDD}"/>
  </w:font>
  <w:font w:name="Calibri Light">
    <w:panose1 w:val="020F0302020204030204"/>
    <w:charset w:val="00"/>
    <w:family w:val="swiss"/>
    <w:pitch w:val="default"/>
    <w:sig w:usb0="E4002EFF" w:usb1="C200247B" w:usb2="00000009" w:usb3="00000000" w:csb0="200001FF" w:csb1="00000000"/>
    <w:embedRegular r:id="rId9" w:fontKey="{A3445754-3ACB-486F-90EA-1406457F159A}"/>
  </w:font>
  <w:font w:name="Cambria">
    <w:panose1 w:val="02040503050406030204"/>
    <w:charset w:val="00"/>
    <w:family w:val="roman"/>
    <w:pitch w:val="default"/>
    <w:sig w:usb0="E00006FF" w:usb1="420024FF" w:usb2="02000000" w:usb3="00000000" w:csb0="2000019F" w:csb1="00000000"/>
    <w:embedRegular r:id="rId10" w:fontKey="{8A7FAD14-5C1E-4D96-AE84-3AB23AB874DD}"/>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仿宋_GB2312">
    <w:panose1 w:val="02000000000000000000"/>
    <w:charset w:val="86"/>
    <w:family w:val="auto"/>
    <w:pitch w:val="default"/>
    <w:sig w:usb0="A00002BF" w:usb1="184F6CFA" w:usb2="00000012" w:usb3="00000000" w:csb0="00040001" w:csb1="00000000"/>
    <w:embedRegular r:id="rId11" w:fontKey="{370651C2-2BEB-429E-96C7-4E541969FA41}"/>
  </w:font>
  <w:font w:name="方正小标宋简体">
    <w:panose1 w:val="02010600010101010101"/>
    <w:charset w:val="86"/>
    <w:family w:val="auto"/>
    <w:pitch w:val="default"/>
    <w:sig w:usb0="00000001" w:usb1="080E0000" w:usb2="00000000" w:usb3="00000000" w:csb0="00040000" w:csb1="00000000"/>
    <w:embedRegular r:id="rId12" w:fontKey="{9F3F6CBD-7659-415C-911F-30E9BD8B4BC7}"/>
  </w:font>
  <w:font w:name="长城小">
    <w:altName w:val="宋体"/>
    <w:panose1 w:val="00000000000000000000"/>
    <w:charset w:val="86"/>
    <w:family w:val="modern"/>
    <w:pitch w:val="default"/>
    <w:sig w:usb0="00000000" w:usb1="00000000" w:usb2="00000000" w:usb3="00000000" w:csb0="00040001" w:csb1="00000000"/>
    <w:embedRegular r:id="rId13" w:fontKey="{58FF8A0A-08B5-4746-A1C2-55745F3BC5EE}"/>
  </w:font>
  <w:font w:name="长城小标宋体">
    <w:panose1 w:val="02010609010101010101"/>
    <w:charset w:val="86"/>
    <w:family w:val="auto"/>
    <w:pitch w:val="default"/>
    <w:sig w:usb0="00000000" w:usb1="00000000" w:usb2="00000000" w:usb3="00000000" w:csb0="00000000" w:csb1="00000000"/>
    <w:embedRegular r:id="rId14" w:fontKey="{63315BFE-991E-4E0F-9DE2-DEDE002FF230}"/>
  </w:font>
  <w:font w:name="仿宋">
    <w:panose1 w:val="02010609060101010101"/>
    <w:charset w:val="86"/>
    <w:family w:val="modern"/>
    <w:pitch w:val="default"/>
    <w:sig w:usb0="800002BF" w:usb1="38CF7CFA" w:usb2="00000016" w:usb3="00000000" w:csb0="00040001" w:csb1="00000000"/>
    <w:embedRegular r:id="rId15" w:fontKey="{FB50257B-5DE6-4344-8D01-B0D32002181D}"/>
  </w:font>
  <w:font w:name="微软雅黑">
    <w:panose1 w:val="020B0503020204020204"/>
    <w:charset w:val="86"/>
    <w:family w:val="swiss"/>
    <w:pitch w:val="default"/>
    <w:sig w:usb0="80000287" w:usb1="2ACF3C50" w:usb2="00000016" w:usb3="00000000" w:csb0="0004001F" w:csb1="00000000"/>
    <w:embedRegular r:id="rId16" w:fontKey="{26AF3590-B69D-4B88-B7BA-7B562DFCBD9E}"/>
  </w:font>
  <w:font w:name="仿宋_GB2312">
    <w:panose1 w:val="02010609030101010101"/>
    <w:charset w:val="86"/>
    <w:family w:val="modern"/>
    <w:pitch w:val="default"/>
    <w:sig w:usb0="00000001" w:usb1="080E0000" w:usb2="00000000" w:usb3="00000000" w:csb0="00040000" w:csb1="00000000"/>
    <w:embedRegular r:id="rId17" w:fontKey="{2DECB6A9-3AAA-4213-9DFB-47FC3926DCED}"/>
  </w:font>
  <w:font w:name="Times New Roman Regular">
    <w:altName w:val="Times New Roman"/>
    <w:panose1 w:val="00000000000000000000"/>
    <w:charset w:val="00"/>
    <w:family w:val="auto"/>
    <w:pitch w:val="default"/>
    <w:sig w:usb0="00000000" w:usb1="00000000" w:usb2="00000009" w:usb3="00000000" w:csb0="400001FF" w:csb1="FFFF0000"/>
    <w:embedRegular r:id="rId18" w:fontKey="{DD2B1238-9B93-4EFF-AE8D-179BC34B6FA7}"/>
  </w:font>
  <w:font w:name="Wingdings 2">
    <w:panose1 w:val="05020102010507070707"/>
    <w:charset w:val="02"/>
    <w:family w:val="roman"/>
    <w:pitch w:val="default"/>
    <w:sig w:usb0="00000000" w:usb1="00000000" w:usb2="00000000" w:usb3="00000000" w:csb0="80000000" w:csb1="00000000"/>
    <w:embedRegular r:id="rId19" w:fontKey="{D58F6684-BDD9-4DFF-9774-0A8D680259F5}"/>
  </w:font>
  <w:font w:name="WPSEMBED4">
    <w:panose1 w:val="02000000000000000000"/>
    <w:charset w:val="86"/>
    <w:family w:val="auto"/>
    <w:pitch w:val="default"/>
    <w:sig w:usb0="A00002BF" w:usb1="184F6CFA" w:usb2="00000012" w:usb3="00000000" w:csb0="00040001" w:csb1="00000000"/>
  </w:font>
  <w:font w:name="WPSEMBED7">
    <w:panose1 w:val="02010609030101010101"/>
    <w:charset w:val="86"/>
    <w:family w:val="auto"/>
    <w:pitch w:val="default"/>
    <w:sig w:usb0="00000001" w:usb1="080E0000" w:usb2="00000000" w:usb3="00000000" w:csb0="00040000" w:csb1="00000000"/>
  </w:font>
  <w:font w:name="WPSEMBED5">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16D43"/>
    <w:rsid w:val="03795884"/>
    <w:rsid w:val="03966FA9"/>
    <w:rsid w:val="03D9246C"/>
    <w:rsid w:val="04111891"/>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6D3E6A"/>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583528"/>
    <w:rsid w:val="15930F80"/>
    <w:rsid w:val="1595726D"/>
    <w:rsid w:val="166564D0"/>
    <w:rsid w:val="16D57CE5"/>
    <w:rsid w:val="172377DF"/>
    <w:rsid w:val="185C5D2A"/>
    <w:rsid w:val="18AC73A6"/>
    <w:rsid w:val="18CD7911"/>
    <w:rsid w:val="193948C5"/>
    <w:rsid w:val="196910DF"/>
    <w:rsid w:val="199164D0"/>
    <w:rsid w:val="1A044DDE"/>
    <w:rsid w:val="1A200723"/>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1E62252"/>
    <w:rsid w:val="22AC2486"/>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133760"/>
    <w:rsid w:val="363F59A9"/>
    <w:rsid w:val="36B91E0A"/>
    <w:rsid w:val="36D30B9F"/>
    <w:rsid w:val="370E7E29"/>
    <w:rsid w:val="373A6320"/>
    <w:rsid w:val="377B856B"/>
    <w:rsid w:val="377C4D93"/>
    <w:rsid w:val="37FEEEDA"/>
    <w:rsid w:val="380C2D0A"/>
    <w:rsid w:val="387A052E"/>
    <w:rsid w:val="387C5D6A"/>
    <w:rsid w:val="391FB7C6"/>
    <w:rsid w:val="3956852C"/>
    <w:rsid w:val="396E4BAF"/>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2F2C88"/>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262707"/>
    <w:rsid w:val="4F4F0D8E"/>
    <w:rsid w:val="4F520E7C"/>
    <w:rsid w:val="4F952A3E"/>
    <w:rsid w:val="4FF9BA94"/>
    <w:rsid w:val="4FFC2348"/>
    <w:rsid w:val="50167464"/>
    <w:rsid w:val="504B2AA6"/>
    <w:rsid w:val="523F4EE3"/>
    <w:rsid w:val="52B07B8F"/>
    <w:rsid w:val="52FF1484"/>
    <w:rsid w:val="53164D13"/>
    <w:rsid w:val="53F36D01"/>
    <w:rsid w:val="53FD523A"/>
    <w:rsid w:val="541C1980"/>
    <w:rsid w:val="545C420A"/>
    <w:rsid w:val="547B516E"/>
    <w:rsid w:val="54DE7F5F"/>
    <w:rsid w:val="54EA33D7"/>
    <w:rsid w:val="55091CB9"/>
    <w:rsid w:val="55172916"/>
    <w:rsid w:val="55214149"/>
    <w:rsid w:val="557F0F30"/>
    <w:rsid w:val="559E5CE3"/>
    <w:rsid w:val="56725AB1"/>
    <w:rsid w:val="56B12911"/>
    <w:rsid w:val="56C836F9"/>
    <w:rsid w:val="56DD8954"/>
    <w:rsid w:val="57831D16"/>
    <w:rsid w:val="57AFC3C2"/>
    <w:rsid w:val="57CC5C5D"/>
    <w:rsid w:val="584D6CAB"/>
    <w:rsid w:val="58B21AB7"/>
    <w:rsid w:val="59632793"/>
    <w:rsid w:val="599107AF"/>
    <w:rsid w:val="59B3044E"/>
    <w:rsid w:val="59EE225F"/>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1EC3D9D"/>
    <w:rsid w:val="72035AD5"/>
    <w:rsid w:val="72303D87"/>
    <w:rsid w:val="736234E5"/>
    <w:rsid w:val="73966983"/>
    <w:rsid w:val="73BC23E0"/>
    <w:rsid w:val="73EFA308"/>
    <w:rsid w:val="75195BFE"/>
    <w:rsid w:val="75303118"/>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0F17D2"/>
    <w:rsid w:val="7D4B5E7D"/>
    <w:rsid w:val="7D570A35"/>
    <w:rsid w:val="7D6E25DE"/>
    <w:rsid w:val="7D7FD9BC"/>
    <w:rsid w:val="7DD8137B"/>
    <w:rsid w:val="7DDF15BC"/>
    <w:rsid w:val="7DECE624"/>
    <w:rsid w:val="7DFE9D0E"/>
    <w:rsid w:val="7DFF037B"/>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方正仿宋_GB2312" w:hAnsi="宋体" w:eastAsia="方正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10367</Words>
  <Characters>10798</Characters>
  <Lines>12</Lines>
  <Paragraphs>23</Paragraphs>
  <TotalTime>21</TotalTime>
  <ScaleCrop>false</ScaleCrop>
  <LinksUpToDate>false</LinksUpToDate>
  <CharactersWithSpaces>11368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2025-12-31T01:35:04Z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