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A9B5">
      <w:pPr>
        <w:spacing w:after="78"/>
        <w:jc w:val="center"/>
        <w:rPr>
          <w:rFonts w:ascii="Times New Roman" w:hAnsi="Times New Roman" w:eastAsia="方正小标宋简体"/>
          <w:bCs/>
          <w:sz w:val="32"/>
          <w:szCs w:val="32"/>
        </w:rPr>
      </w:pPr>
    </w:p>
    <w:p w14:paraId="381A44BE">
      <w:pPr>
        <w:pStyle w:val="65"/>
        <w:spacing w:after="78"/>
        <w:rPr>
          <w:rFonts w:ascii="Times New Roman" w:hAnsi="Times New Roman" w:eastAsia="方正小标宋简体"/>
          <w:bCs/>
          <w:sz w:val="32"/>
          <w:szCs w:val="32"/>
        </w:rPr>
      </w:pPr>
    </w:p>
    <w:p w14:paraId="62CC0B82">
      <w:pPr>
        <w:pStyle w:val="65"/>
        <w:spacing w:after="78"/>
        <w:rPr>
          <w:rFonts w:ascii="Times New Roman" w:hAnsi="Times New Roman" w:eastAsia="方正小标宋简体"/>
          <w:bCs/>
          <w:sz w:val="32"/>
          <w:szCs w:val="32"/>
        </w:rPr>
      </w:pPr>
    </w:p>
    <w:p w14:paraId="48E255F0">
      <w:pPr>
        <w:spacing w:after="78"/>
        <w:jc w:val="center"/>
        <w:rPr>
          <w:rFonts w:ascii="Times New Roman" w:hAnsi="Times New Roman" w:eastAsia="长城小"/>
          <w:b/>
          <w:sz w:val="44"/>
          <w:szCs w:val="44"/>
        </w:rPr>
      </w:pPr>
    </w:p>
    <w:p w14:paraId="2E07BE9E">
      <w:pPr>
        <w:spacing w:after="78"/>
        <w:jc w:val="center"/>
        <w:rPr>
          <w:rFonts w:ascii="Times New Roman" w:hAnsi="Times New Roman" w:eastAsia="长城小"/>
          <w:b/>
          <w:sz w:val="44"/>
          <w:szCs w:val="44"/>
        </w:rPr>
      </w:pPr>
    </w:p>
    <w:p w14:paraId="7A28727C">
      <w:pPr>
        <w:spacing w:after="78"/>
        <w:jc w:val="center"/>
        <w:rPr>
          <w:rFonts w:ascii="Times New Roman" w:hAnsi="Times New Roman" w:eastAsia="长城小"/>
          <w:b/>
          <w:sz w:val="44"/>
          <w:szCs w:val="44"/>
        </w:rPr>
      </w:pPr>
    </w:p>
    <w:p w14:paraId="7CBCFCFF">
      <w:pPr>
        <w:spacing w:after="78"/>
        <w:rPr>
          <w:rFonts w:ascii="Times New Roman" w:hAnsi="Times New Roman" w:eastAsia="长城小"/>
          <w:b/>
          <w:sz w:val="44"/>
          <w:szCs w:val="44"/>
        </w:rPr>
      </w:pPr>
    </w:p>
    <w:p w14:paraId="7942CFE0">
      <w:pPr>
        <w:spacing w:after="78"/>
        <w:jc w:val="center"/>
        <w:rPr>
          <w:rFonts w:ascii="Times New Roman" w:hAnsi="Times New Roman" w:eastAsia="长城小"/>
          <w:b/>
          <w:sz w:val="44"/>
          <w:szCs w:val="44"/>
        </w:rPr>
      </w:pPr>
    </w:p>
    <w:p w14:paraId="132DAD5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A601B9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生化池吊装维修服务</w:t>
      </w:r>
      <w:r>
        <w:rPr>
          <w:rFonts w:hint="eastAsia" w:ascii="Times New Roman" w:hAnsi="Times New Roman" w:eastAsia="长城小标宋体"/>
          <w:b/>
          <w:bCs/>
          <w:sz w:val="44"/>
          <w:szCs w:val="44"/>
        </w:rPr>
        <w:t>采购项目</w:t>
      </w:r>
    </w:p>
    <w:p w14:paraId="340FCED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D7EFD86">
      <w:pPr>
        <w:spacing w:after="78"/>
        <w:rPr>
          <w:rFonts w:ascii="Times New Roman" w:hAnsi="Times New Roman" w:eastAsia="方正小标宋简体"/>
          <w:sz w:val="32"/>
          <w:szCs w:val="32"/>
        </w:rPr>
      </w:pPr>
    </w:p>
    <w:p w14:paraId="6BD0DB56">
      <w:pPr>
        <w:spacing w:after="78"/>
        <w:rPr>
          <w:rFonts w:ascii="Times New Roman" w:hAnsi="Times New Roman" w:eastAsia="方正小标宋简体"/>
          <w:sz w:val="32"/>
          <w:szCs w:val="32"/>
        </w:rPr>
      </w:pPr>
    </w:p>
    <w:p w14:paraId="467B7464">
      <w:pPr>
        <w:spacing w:after="78"/>
        <w:rPr>
          <w:rFonts w:ascii="Times New Roman" w:hAnsi="Times New Roman" w:eastAsia="方正小标宋简体"/>
          <w:sz w:val="32"/>
          <w:szCs w:val="32"/>
        </w:rPr>
      </w:pPr>
    </w:p>
    <w:p w14:paraId="092D0DCD">
      <w:pPr>
        <w:spacing w:after="78"/>
      </w:pPr>
    </w:p>
    <w:p w14:paraId="20773369">
      <w:pPr>
        <w:spacing w:after="78"/>
        <w:rPr>
          <w:rFonts w:ascii="Times New Roman" w:hAnsi="Times New Roman" w:eastAsia="方正小标宋简体"/>
          <w:sz w:val="32"/>
          <w:szCs w:val="32"/>
        </w:rPr>
      </w:pPr>
    </w:p>
    <w:p w14:paraId="17FC16FE">
      <w:pPr>
        <w:spacing w:after="78"/>
        <w:rPr>
          <w:rFonts w:ascii="Times New Roman" w:hAnsi="Times New Roman" w:eastAsia="方正小标宋简体"/>
          <w:sz w:val="32"/>
          <w:szCs w:val="32"/>
        </w:rPr>
      </w:pPr>
    </w:p>
    <w:p w14:paraId="3D0ACB91">
      <w:pPr>
        <w:pStyle w:val="9"/>
        <w:rPr>
          <w:rFonts w:ascii="Times New Roman" w:hAnsi="Times New Roman" w:eastAsia="方正小标宋简体"/>
          <w:sz w:val="32"/>
          <w:szCs w:val="32"/>
        </w:rPr>
      </w:pPr>
    </w:p>
    <w:p w14:paraId="6230437A">
      <w:pPr>
        <w:spacing w:after="78"/>
      </w:pPr>
    </w:p>
    <w:p w14:paraId="70999C4C">
      <w:pPr>
        <w:pStyle w:val="9"/>
      </w:pPr>
    </w:p>
    <w:p w14:paraId="500E0EE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65EF1DC">
      <w:pPr>
        <w:spacing w:after="78"/>
      </w:pPr>
    </w:p>
    <w:p w14:paraId="4371705F">
      <w:pPr>
        <w:pStyle w:val="42"/>
        <w:spacing w:after="78" w:line="640" w:lineRule="exact"/>
        <w:ind w:firstLine="640"/>
        <w:rPr>
          <w:rFonts w:eastAsia="黑体"/>
          <w:sz w:val="32"/>
          <w:szCs w:val="32"/>
        </w:rPr>
      </w:pPr>
      <w:r>
        <w:rPr>
          <w:rFonts w:hint="eastAsia" w:eastAsia="黑体"/>
          <w:sz w:val="32"/>
          <w:szCs w:val="32"/>
        </w:rPr>
        <w:t>一、采购内容</w:t>
      </w:r>
    </w:p>
    <w:p w14:paraId="71F0B21E">
      <w:pPr>
        <w:pStyle w:val="77"/>
        <w:spacing w:after="78"/>
        <w:rPr>
          <w:rFonts w:hint="default"/>
        </w:rPr>
      </w:pPr>
      <w:r>
        <w:t>（一）采购项目名称：</w:t>
      </w:r>
      <w:r>
        <w:rPr>
          <w:rFonts w:hint="eastAsia"/>
          <w:lang w:eastAsia="zh-CN"/>
        </w:rPr>
        <w:t>生化池吊装维修服务</w:t>
      </w:r>
      <w:r>
        <w:t>采购项目。</w:t>
      </w:r>
    </w:p>
    <w:p w14:paraId="39EE1F49">
      <w:pPr>
        <w:pStyle w:val="77"/>
        <w:spacing w:after="78"/>
        <w:rPr>
          <w:rFonts w:hint="default"/>
        </w:rPr>
      </w:pPr>
      <w:r>
        <w:t>（二）采购需求：</w:t>
      </w:r>
    </w:p>
    <w:p w14:paraId="6488D49C">
      <w:pPr>
        <w:pStyle w:val="77"/>
        <w:keepNext w:val="0"/>
        <w:keepLines w:val="0"/>
        <w:pageBreakBefore w:val="0"/>
        <w:widowControl w:val="0"/>
        <w:kinsoku/>
        <w:wordWrap/>
        <w:overflowPunct/>
        <w:topLinePunct w:val="0"/>
        <w:autoSpaceDE/>
        <w:autoSpaceDN/>
        <w:bidi w:val="0"/>
        <w:adjustRightInd/>
        <w:snapToGrid/>
        <w:spacing w:after="0" w:afterLines="0"/>
        <w:textAlignment w:val="auto"/>
        <w:rPr>
          <w:rFonts w:hint="default" w:eastAsia="仿宋_GB2312"/>
          <w:color w:val="auto"/>
          <w:lang w:val="en-US" w:eastAsia="zh-CN"/>
        </w:rPr>
      </w:pPr>
      <w:r>
        <w:rPr>
          <w:color w:val="auto"/>
        </w:rPr>
        <w:t>因我公司经营业务实际需求，现需采购</w:t>
      </w:r>
      <w:r>
        <w:rPr>
          <w:rFonts w:hint="eastAsia"/>
          <w:lang w:eastAsia="zh-CN"/>
        </w:rPr>
        <w:t>生化池吊装维修服务，</w:t>
      </w:r>
      <w:r>
        <w:rPr>
          <w:rFonts w:hint="eastAsia"/>
          <w:lang w:val="en-US" w:eastAsia="zh-CN"/>
        </w:rPr>
        <w:t>需求如下：</w:t>
      </w:r>
    </w:p>
    <w:p w14:paraId="139130D7">
      <w:pPr>
        <w:spacing w:line="640" w:lineRule="exact"/>
        <w:ind w:firstLine="640" w:firstLineChars="200"/>
        <w:rPr>
          <w:rFonts w:hint="eastAsia" w:ascii="Times New Roman" w:hAnsi="Times New Roman" w:eastAsia="仿宋"/>
          <w:sz w:val="32"/>
          <w:szCs w:val="32"/>
          <w:vertAlign w:val="baseline"/>
          <w:lang w:val="en-US" w:eastAsia="zh-CN"/>
        </w:rPr>
      </w:pPr>
      <w:bookmarkStart w:id="0" w:name="_Hlk206603812"/>
      <w:r>
        <w:rPr>
          <w:rFonts w:hint="eastAsia" w:ascii="Times New Roman" w:hAnsi="Times New Roman" w:eastAsia="仿宋"/>
          <w:sz w:val="32"/>
          <w:szCs w:val="32"/>
          <w:lang w:val="en-US" w:eastAsia="zh-CN"/>
        </w:rPr>
        <w:t>提供31个生物池模块的</w:t>
      </w:r>
      <w:r>
        <w:rPr>
          <w:rFonts w:hint="eastAsia" w:ascii="Times New Roman" w:hAnsi="Times New Roman" w:eastAsia="仿宋"/>
          <w:sz w:val="32"/>
          <w:szCs w:val="32"/>
          <w:vertAlign w:val="baseline"/>
        </w:rPr>
        <w:t>转运吊装安装服务</w:t>
      </w:r>
      <w:r>
        <w:rPr>
          <w:rFonts w:hint="eastAsia" w:ascii="Times New Roman" w:hAnsi="Times New Roman" w:eastAsia="仿宋"/>
          <w:sz w:val="32"/>
          <w:szCs w:val="32"/>
          <w:vertAlign w:val="baseline"/>
          <w:lang w:eastAsia="zh-CN"/>
        </w:rPr>
        <w:t>（</w:t>
      </w:r>
      <w:r>
        <w:rPr>
          <w:rFonts w:hint="eastAsia" w:ascii="Times New Roman" w:hAnsi="Times New Roman" w:eastAsia="仿宋"/>
          <w:sz w:val="32"/>
          <w:szCs w:val="32"/>
          <w:vertAlign w:val="baseline"/>
        </w:rPr>
        <w:t>包含吊出和吊进，及相应的栏杆切除和恢复、管道连接等</w:t>
      </w:r>
      <w:r>
        <w:rPr>
          <w:rFonts w:hint="eastAsia" w:ascii="Times New Roman" w:hAnsi="Times New Roman" w:eastAsia="仿宋"/>
          <w:sz w:val="32"/>
          <w:szCs w:val="32"/>
          <w:vertAlign w:val="baseline"/>
          <w:lang w:eastAsia="zh-CN"/>
        </w:rPr>
        <w:t>），</w:t>
      </w:r>
      <w:r>
        <w:rPr>
          <w:rFonts w:hint="eastAsia" w:ascii="Times New Roman" w:hAnsi="Times New Roman" w:eastAsia="仿宋"/>
          <w:sz w:val="32"/>
          <w:szCs w:val="32"/>
          <w:vertAlign w:val="baseline"/>
          <w:lang w:val="en-US" w:eastAsia="zh-CN"/>
        </w:rPr>
        <w:t>以及相应的附属服务（生物池模块的斜管清理、</w:t>
      </w:r>
      <w:r>
        <w:rPr>
          <w:rFonts w:hint="eastAsia" w:ascii="Times New Roman" w:hAnsi="Times New Roman" w:eastAsia="仿宋"/>
          <w:sz w:val="32"/>
          <w:szCs w:val="32"/>
          <w:vertAlign w:val="baseline"/>
        </w:rPr>
        <w:t>解体</w:t>
      </w:r>
      <w:r>
        <w:rPr>
          <w:rFonts w:hint="eastAsia" w:ascii="Times New Roman" w:hAnsi="Times New Roman" w:eastAsia="仿宋"/>
          <w:sz w:val="32"/>
          <w:szCs w:val="32"/>
          <w:vertAlign w:val="baseline"/>
          <w:lang w:val="en-US" w:eastAsia="zh-CN"/>
        </w:rPr>
        <w:t>运输、</w:t>
      </w:r>
      <w:r>
        <w:rPr>
          <w:rFonts w:hint="eastAsia" w:ascii="Times New Roman" w:hAnsi="Times New Roman" w:eastAsia="仿宋"/>
          <w:sz w:val="32"/>
          <w:szCs w:val="32"/>
          <w:vertAlign w:val="baseline"/>
        </w:rPr>
        <w:t>曝气板条更换</w:t>
      </w:r>
      <w:r>
        <w:rPr>
          <w:rFonts w:hint="eastAsia" w:ascii="Times New Roman" w:hAnsi="Times New Roman" w:eastAsia="仿宋"/>
          <w:sz w:val="32"/>
          <w:szCs w:val="32"/>
          <w:vertAlign w:val="baseline"/>
          <w:lang w:eastAsia="zh-CN"/>
        </w:rPr>
        <w:t>（</w:t>
      </w:r>
      <w:r>
        <w:rPr>
          <w:rFonts w:hint="eastAsia" w:ascii="Times New Roman" w:hAnsi="Times New Roman" w:eastAsia="仿宋"/>
          <w:sz w:val="32"/>
          <w:szCs w:val="32"/>
          <w:vertAlign w:val="baseline"/>
          <w:lang w:val="en-US" w:eastAsia="zh-CN"/>
        </w:rPr>
        <w:t>曝气板条由采购方提供</w:t>
      </w:r>
      <w:r>
        <w:rPr>
          <w:rFonts w:hint="eastAsia" w:ascii="Times New Roman" w:hAnsi="Times New Roman" w:eastAsia="仿宋"/>
          <w:sz w:val="32"/>
          <w:szCs w:val="32"/>
          <w:vertAlign w:val="baseline"/>
          <w:lang w:eastAsia="zh-CN"/>
        </w:rPr>
        <w:t>）、</w:t>
      </w:r>
      <w:r>
        <w:rPr>
          <w:rFonts w:hint="eastAsia" w:ascii="Times New Roman" w:hAnsi="Times New Roman" w:eastAsia="仿宋"/>
          <w:sz w:val="32"/>
          <w:szCs w:val="32"/>
          <w:vertAlign w:val="baseline"/>
        </w:rPr>
        <w:t>底部挡气板矫正修复</w:t>
      </w:r>
      <w:r>
        <w:rPr>
          <w:rFonts w:hint="eastAsia" w:ascii="Times New Roman" w:hAnsi="Times New Roman" w:eastAsia="仿宋"/>
          <w:sz w:val="32"/>
          <w:szCs w:val="32"/>
          <w:vertAlign w:val="baseline"/>
          <w:lang w:val="en-US" w:eastAsia="zh-CN"/>
        </w:rPr>
        <w:t>、</w:t>
      </w:r>
      <w:r>
        <w:rPr>
          <w:rFonts w:hint="eastAsia" w:ascii="Times New Roman" w:hAnsi="Times New Roman" w:eastAsia="仿宋"/>
          <w:sz w:val="32"/>
          <w:szCs w:val="32"/>
          <w:vertAlign w:val="baseline"/>
        </w:rPr>
        <w:t>钢丝绳防护</w:t>
      </w:r>
      <w:r>
        <w:rPr>
          <w:rFonts w:hint="eastAsia" w:ascii="Times New Roman" w:hAnsi="Times New Roman" w:eastAsia="仿宋"/>
          <w:sz w:val="32"/>
          <w:szCs w:val="32"/>
          <w:vertAlign w:val="baseline"/>
          <w:lang w:eastAsia="zh-CN"/>
        </w:rPr>
        <w:t>等</w:t>
      </w:r>
      <w:r>
        <w:rPr>
          <w:rFonts w:hint="eastAsia" w:ascii="Times New Roman" w:hAnsi="Times New Roman" w:eastAsia="仿宋"/>
          <w:sz w:val="32"/>
          <w:szCs w:val="32"/>
          <w:vertAlign w:val="baseline"/>
        </w:rPr>
        <w:t>工作</w:t>
      </w:r>
      <w:r>
        <w:rPr>
          <w:rFonts w:hint="eastAsia" w:ascii="Times New Roman" w:hAnsi="Times New Roman" w:eastAsia="仿宋"/>
          <w:sz w:val="32"/>
          <w:szCs w:val="32"/>
          <w:vertAlign w:val="baseline"/>
          <w:lang w:val="en-US" w:eastAsia="zh-CN"/>
        </w:rPr>
        <w:t>）。</w:t>
      </w:r>
    </w:p>
    <w:p w14:paraId="21409E83">
      <w:pPr>
        <w:spacing w:line="640" w:lineRule="exact"/>
        <w:ind w:firstLine="640" w:firstLineChars="200"/>
        <w:rPr>
          <w:rFonts w:hint="eastAsia" w:ascii="Times New Roman" w:hAnsi="Times New Roman" w:eastAsia="仿宋" w:cs="Times New Roman"/>
          <w:b w:val="0"/>
          <w:bCs w:val="0"/>
          <w:sz w:val="32"/>
          <w:szCs w:val="32"/>
          <w:vertAlign w:val="baseline"/>
          <w:lang w:val="en-US" w:eastAsia="zh-CN"/>
        </w:rPr>
      </w:pPr>
      <w:r>
        <w:rPr>
          <w:rFonts w:hint="eastAsia" w:ascii="Times New Roman" w:hAnsi="Times New Roman" w:eastAsia="仿宋" w:cs="Times New Roman"/>
          <w:b w:val="0"/>
          <w:bCs w:val="0"/>
          <w:sz w:val="32"/>
          <w:szCs w:val="32"/>
          <w:vertAlign w:val="baseline"/>
          <w:lang w:val="en-US" w:eastAsia="zh-CN"/>
        </w:rPr>
        <w:t>生物池模块运出地点为：广东省深圳市龙华区桂月路5号。</w:t>
      </w:r>
    </w:p>
    <w:p w14:paraId="565AE9D5">
      <w:pPr>
        <w:spacing w:line="640" w:lineRule="exact"/>
        <w:ind w:firstLine="640" w:firstLineChars="200"/>
        <w:rPr>
          <w:rFonts w:hint="eastAsia" w:ascii="Times New Roman" w:hAnsi="Times New Roman" w:eastAsia="仿宋" w:cs="Times New Roman"/>
          <w:b w:val="0"/>
          <w:bCs w:val="0"/>
          <w:sz w:val="32"/>
          <w:szCs w:val="32"/>
          <w:vertAlign w:val="baseline"/>
          <w:lang w:val="en-US" w:eastAsia="zh-CN"/>
        </w:rPr>
      </w:pPr>
      <w:r>
        <w:rPr>
          <w:rFonts w:hint="eastAsia" w:ascii="Times New Roman" w:hAnsi="Times New Roman" w:eastAsia="仿宋" w:cs="Times New Roman"/>
          <w:b w:val="0"/>
          <w:bCs w:val="0"/>
          <w:sz w:val="32"/>
          <w:szCs w:val="32"/>
          <w:vertAlign w:val="baseline"/>
          <w:lang w:val="en-US" w:eastAsia="zh-CN"/>
        </w:rPr>
        <w:t>生物池模块吊装地点为：广东省深圳市龙华区观澜街道桂花路380号。</w:t>
      </w:r>
    </w:p>
    <w:p w14:paraId="409A79F9">
      <w:pPr>
        <w:spacing w:line="640" w:lineRule="exact"/>
        <w:ind w:firstLine="643" w:firstLineChars="200"/>
        <w:rPr>
          <w:rFonts w:hint="default" w:ascii="Times New Roman" w:hAnsi="Times New Roman" w:eastAsia="仿宋" w:cs="Times New Roman"/>
          <w:sz w:val="32"/>
          <w:szCs w:val="32"/>
          <w:vertAlign w:val="baseline"/>
          <w:lang w:val="en-US" w:eastAsia="zh-CN"/>
        </w:rPr>
      </w:pPr>
      <w:r>
        <w:rPr>
          <w:rFonts w:hint="eastAsia" w:ascii="Times New Roman" w:hAnsi="Times New Roman" w:eastAsia="仿宋" w:cs="Times New Roman"/>
          <w:b/>
          <w:bCs/>
          <w:sz w:val="32"/>
          <w:szCs w:val="32"/>
          <w:vertAlign w:val="baseline"/>
          <w:lang w:val="en-US" w:eastAsia="zh-CN"/>
        </w:rPr>
        <w:t>注：参选单位报价应含处置旧模块抵扣费用。</w:t>
      </w:r>
    </w:p>
    <w:p w14:paraId="5E1699A7">
      <w:pPr>
        <w:pStyle w:val="77"/>
        <w:spacing w:after="78"/>
        <w:ind w:left="0" w:leftChars="0" w:firstLine="640" w:firstLineChars="200"/>
        <w:rPr>
          <w:rFonts w:hint="default"/>
          <w:color w:val="auto"/>
        </w:rPr>
      </w:pPr>
      <w:r>
        <w:rPr>
          <w:color w:val="auto"/>
        </w:rPr>
        <w:t>（一）</w:t>
      </w:r>
      <w:r>
        <w:rPr>
          <w:rFonts w:hint="eastAsia"/>
          <w:color w:val="auto"/>
        </w:rPr>
        <w:t>乙方所提供服务的作业设备和人员需符合国家相关标准，特种作业人员（如吊车司机、信号司索工）需持有效证书等</w:t>
      </w:r>
      <w:r>
        <w:rPr>
          <w:color w:val="auto"/>
        </w:rPr>
        <w:t>。</w:t>
      </w:r>
    </w:p>
    <w:p w14:paraId="24118518">
      <w:pPr>
        <w:pStyle w:val="77"/>
        <w:spacing w:after="78"/>
        <w:rPr>
          <w:rFonts w:hint="default"/>
          <w:color w:val="auto"/>
        </w:rPr>
      </w:pPr>
      <w:r>
        <w:rPr>
          <w:color w:val="auto"/>
        </w:rPr>
        <w:t>（二）</w:t>
      </w:r>
      <w:r>
        <w:rPr>
          <w:rFonts w:hint="eastAsia"/>
          <w:color w:val="auto"/>
        </w:rPr>
        <w:t>报价包括但不限于材料费（需更换的相关模块和曝气板条及其配件由甲方提供）、人员工资和福利、技术服务费、评审费、保险、文本印刷费、差旅费、调研费、交通费、办公设施和设备、通讯设备、管理费、利润、税金等与本合同全部工作内容有关的一切费用</w:t>
      </w:r>
      <w:r>
        <w:rPr>
          <w:color w:val="auto"/>
        </w:rPr>
        <w:t>。</w:t>
      </w:r>
    </w:p>
    <w:p w14:paraId="4F2BB2FF">
      <w:pPr>
        <w:pStyle w:val="77"/>
        <w:spacing w:after="78"/>
        <w:rPr>
          <w:rFonts w:hint="default"/>
          <w:color w:val="auto"/>
        </w:rPr>
      </w:pPr>
      <w:r>
        <w:rPr>
          <w:color w:val="auto"/>
        </w:rPr>
        <w:t>（三）含税限价要求</w:t>
      </w:r>
      <w:r>
        <w:rPr>
          <w:rFonts w:hint="eastAsia"/>
          <w:color w:val="auto"/>
        </w:rPr>
        <w:t>：本项目采用总价包干模式，含税限价</w:t>
      </w:r>
      <w:r>
        <w:rPr>
          <w:rFonts w:hint="eastAsia"/>
          <w:color w:val="auto"/>
          <w:lang w:val="en-US" w:eastAsia="zh-CN"/>
        </w:rPr>
        <w:t>8</w:t>
      </w:r>
      <w:r>
        <w:rPr>
          <w:rFonts w:hint="eastAsia"/>
          <w:color w:val="auto"/>
        </w:rPr>
        <w:t>万元，超过限价的报价视为无效报价</w:t>
      </w:r>
      <w:r>
        <w:rPr>
          <w:color w:val="auto"/>
        </w:rPr>
        <w:t>。</w:t>
      </w:r>
    </w:p>
    <w:p w14:paraId="5A7ED333">
      <w:pPr>
        <w:pStyle w:val="77"/>
        <w:spacing w:after="78"/>
        <w:rPr>
          <w:rFonts w:hint="default"/>
          <w:color w:val="auto"/>
        </w:rPr>
      </w:pPr>
      <w:r>
        <w:rPr>
          <w:color w:val="auto"/>
        </w:rPr>
        <w:t>（四）</w:t>
      </w:r>
      <w:r>
        <w:rPr>
          <w:rFonts w:hint="eastAsia"/>
          <w:color w:val="auto"/>
        </w:rPr>
        <w:t>服务期限：本工程为间断性施工维修服务，总工期不超过40天</w:t>
      </w:r>
      <w:r>
        <w:rPr>
          <w:color w:val="auto"/>
        </w:rPr>
        <w:t>。</w:t>
      </w:r>
    </w:p>
    <w:p w14:paraId="4E794150">
      <w:pPr>
        <w:pStyle w:val="77"/>
        <w:spacing w:after="78"/>
        <w:rPr>
          <w:rFonts w:hint="default"/>
          <w:color w:val="auto"/>
        </w:rPr>
      </w:pPr>
      <w:r>
        <w:rPr>
          <w:color w:val="auto"/>
        </w:rPr>
        <w:t>（五）付款方式：</w:t>
      </w:r>
      <w:r>
        <w:rPr>
          <w:rFonts w:hint="eastAsia"/>
          <w:color w:val="auto"/>
        </w:rPr>
        <w:t>乙方完成维修更换并在甲方验收合格后支付合同价100%。</w:t>
      </w:r>
    </w:p>
    <w:bookmarkEnd w:id="0"/>
    <w:p w14:paraId="474392E5">
      <w:pPr>
        <w:pStyle w:val="77"/>
        <w:spacing w:after="78"/>
        <w:rPr>
          <w:rFonts w:hint="default"/>
          <w:color w:val="auto"/>
        </w:rPr>
      </w:pPr>
      <w:r>
        <w:rPr>
          <w:color w:val="auto"/>
        </w:rPr>
        <w:t>（</w:t>
      </w:r>
      <w:r>
        <w:rPr>
          <w:rFonts w:hint="eastAsia"/>
          <w:color w:val="auto"/>
          <w:lang w:val="en-US" w:eastAsia="zh-CN"/>
        </w:rPr>
        <w:t>六</w:t>
      </w:r>
      <w:r>
        <w:rPr>
          <w:color w:val="auto"/>
        </w:rPr>
        <w:t>）</w:t>
      </w:r>
      <w:r>
        <w:rPr>
          <w:rFonts w:hint="eastAsia"/>
          <w:color w:val="auto"/>
          <w:lang w:val="en-US" w:eastAsia="zh-CN"/>
        </w:rPr>
        <w:t>服务</w:t>
      </w:r>
      <w:r>
        <w:rPr>
          <w:rFonts w:hint="eastAsia"/>
          <w:color w:val="auto"/>
        </w:rPr>
        <w:t>地址：深圳市龙华区观澜河口调蓄池</w:t>
      </w:r>
      <w:r>
        <w:rPr>
          <w:color w:val="auto"/>
        </w:rPr>
        <w:t>。</w:t>
      </w:r>
    </w:p>
    <w:p w14:paraId="06674212">
      <w:pPr>
        <w:pStyle w:val="42"/>
        <w:spacing w:after="78" w:line="640" w:lineRule="exact"/>
        <w:ind w:firstLine="640"/>
        <w:rPr>
          <w:rFonts w:eastAsia="黑体"/>
          <w:sz w:val="32"/>
          <w:szCs w:val="32"/>
        </w:rPr>
      </w:pPr>
      <w:r>
        <w:rPr>
          <w:rFonts w:hint="eastAsia" w:eastAsia="黑体"/>
          <w:sz w:val="32"/>
          <w:szCs w:val="32"/>
        </w:rPr>
        <w:t>二、资格要求及证明材料</w:t>
      </w:r>
    </w:p>
    <w:p w14:paraId="425E6F13">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r>
        <w:rPr>
          <w:rFonts w:hint="eastAsia" w:ascii="Times New Roman" w:hAnsi="Times New Roman" w:eastAsia="仿宋_GB2312"/>
          <w:bCs/>
          <w:sz w:val="32"/>
          <w:szCs w:val="32"/>
        </w:rPr>
        <w:t>（报价文件内提供有效的营业执照复印件加盖参选单位公章、业务章或合同章（三选一））</w:t>
      </w:r>
      <w:r>
        <w:rPr>
          <w:rFonts w:ascii="Times New Roman" w:hAnsi="Times New Roman" w:eastAsia="仿宋_GB2312"/>
          <w:bCs/>
          <w:sz w:val="32"/>
          <w:szCs w:val="32"/>
        </w:rPr>
        <w:t>；</w:t>
      </w:r>
    </w:p>
    <w:p w14:paraId="3BD8112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6B16080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473F346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5ECB67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3C4330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5FB6875C">
      <w:pPr>
        <w:widowControl/>
        <w:spacing w:line="640" w:lineRule="exact"/>
        <w:ind w:firstLine="640" w:firstLineChars="200"/>
        <w:jc w:val="left"/>
        <w:rPr>
          <w:rFonts w:hint="eastAsia" w:ascii="Times New Roman" w:hAnsi="Times New Roman" w:eastAsia="仿宋" w:cs="Times New Roman"/>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357A25BE">
      <w:pPr>
        <w:widowControl/>
        <w:spacing w:line="640" w:lineRule="exact"/>
        <w:ind w:firstLine="640" w:firstLineChars="200"/>
        <w:jc w:val="left"/>
        <w:rPr>
          <w:rFonts w:hint="eastAsia" w:ascii="Times New Roman" w:hAnsi="Times New Roman" w:eastAsia="仿宋" w:cs="Times New Roman"/>
          <w:bCs/>
          <w:color w:val="000000"/>
          <w:sz w:val="32"/>
          <w:szCs w:val="32"/>
          <w:lang w:eastAsia="zh-CN"/>
        </w:rPr>
      </w:pPr>
      <w:r>
        <w:rPr>
          <w:rFonts w:hint="eastAsia" w:ascii="Times New Roman" w:hAnsi="Times New Roman" w:eastAsia="仿宋" w:cs="Times New Roman"/>
          <w:bCs/>
          <w:color w:val="000000"/>
          <w:sz w:val="32"/>
          <w:szCs w:val="32"/>
        </w:rPr>
        <w:t>（</w:t>
      </w:r>
      <w:r>
        <w:rPr>
          <w:rFonts w:hint="eastAsia" w:ascii="Times New Roman" w:hAnsi="Times New Roman" w:eastAsia="仿宋" w:cs="Times New Roman"/>
          <w:bCs/>
          <w:color w:val="000000"/>
          <w:sz w:val="32"/>
          <w:szCs w:val="32"/>
          <w:lang w:val="en-US" w:eastAsia="zh-CN"/>
        </w:rPr>
        <w:t>七</w:t>
      </w:r>
      <w:r>
        <w:rPr>
          <w:rFonts w:hint="eastAsia" w:ascii="Times New Roman" w:hAnsi="Times New Roman" w:eastAsia="仿宋" w:cs="Times New Roman"/>
          <w:bCs/>
          <w:color w:val="000000"/>
          <w:sz w:val="32"/>
          <w:szCs w:val="32"/>
        </w:rPr>
        <w:t>）</w:t>
      </w:r>
      <w:r>
        <w:rPr>
          <w:rFonts w:hint="eastAsia" w:ascii="Times New Roman" w:hAnsi="Times New Roman" w:eastAsia="仿宋"/>
          <w:sz w:val="32"/>
          <w:szCs w:val="32"/>
          <w:lang w:val="en-US" w:eastAsia="zh-CN"/>
        </w:rPr>
        <w:t>作业设备和人员</w:t>
      </w:r>
      <w:r>
        <w:rPr>
          <w:rFonts w:hint="eastAsia" w:ascii="Times New Roman" w:hAnsi="Times New Roman" w:eastAsia="仿宋"/>
          <w:sz w:val="32"/>
          <w:szCs w:val="32"/>
        </w:rPr>
        <w:t>需符合国家相关标准，特种作业人员（如吊车司机、信号司索工）需持有效证书</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提供特种作业人员证书</w:t>
      </w:r>
      <w:r>
        <w:rPr>
          <w:rFonts w:hint="eastAsia" w:ascii="Times New Roman" w:hAnsi="Times New Roman" w:eastAsia="仿宋"/>
          <w:sz w:val="32"/>
          <w:szCs w:val="32"/>
          <w:lang w:eastAsia="zh-CN"/>
        </w:rPr>
        <w:t>）</w:t>
      </w:r>
    </w:p>
    <w:p w14:paraId="2C9CDD3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cs="Times New Roman"/>
          <w:bCs/>
          <w:color w:val="000000"/>
          <w:sz w:val="32"/>
          <w:szCs w:val="32"/>
        </w:rPr>
        <w:t>（</w:t>
      </w:r>
      <w:r>
        <w:rPr>
          <w:rFonts w:hint="eastAsia" w:ascii="Times New Roman" w:hAnsi="Times New Roman" w:eastAsia="仿宋" w:cs="Times New Roman"/>
          <w:bCs/>
          <w:color w:val="000000"/>
          <w:sz w:val="32"/>
          <w:szCs w:val="32"/>
          <w:lang w:val="en-US" w:eastAsia="zh-CN"/>
        </w:rPr>
        <w:t>八</w:t>
      </w:r>
      <w:r>
        <w:rPr>
          <w:rFonts w:hint="eastAsia" w:ascii="Times New Roman" w:hAnsi="Times New Roman" w:eastAsia="仿宋" w:cs="Times New Roman"/>
          <w:bCs/>
          <w:color w:val="000000"/>
          <w:sz w:val="32"/>
          <w:szCs w:val="32"/>
        </w:rPr>
        <w:t>）</w:t>
      </w:r>
      <w:r>
        <w:rPr>
          <w:rFonts w:hint="eastAsia" w:ascii="Times New Roman" w:hAnsi="Times New Roman" w:eastAsia="仿宋_GB2312"/>
          <w:bCs/>
          <w:sz w:val="32"/>
          <w:szCs w:val="32"/>
        </w:rPr>
        <w:t>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bookmarkEnd w:id="1"/>
    <w:p w14:paraId="03EA5F7C">
      <w:pPr>
        <w:pStyle w:val="42"/>
        <w:spacing w:after="78" w:line="640" w:lineRule="exact"/>
        <w:ind w:firstLine="640"/>
        <w:rPr>
          <w:rFonts w:eastAsia="黑体"/>
          <w:sz w:val="32"/>
          <w:szCs w:val="32"/>
        </w:rPr>
      </w:pPr>
      <w:r>
        <w:rPr>
          <w:rFonts w:hint="eastAsia" w:eastAsia="黑体"/>
          <w:sz w:val="32"/>
          <w:szCs w:val="32"/>
        </w:rPr>
        <w:t>三、参选文件要求</w:t>
      </w:r>
    </w:p>
    <w:p w14:paraId="515DCBD2">
      <w:pPr>
        <w:pStyle w:val="77"/>
        <w:spacing w:after="78"/>
        <w:rPr>
          <w:rFonts w:hint="default"/>
        </w:rPr>
      </w:pPr>
      <w:bookmarkStart w:id="2" w:name="_Hlk173767070"/>
      <w:r>
        <w:t>参选单位应就本次选聘报送相关参选文件，包括：</w:t>
      </w:r>
    </w:p>
    <w:p w14:paraId="166124D6">
      <w:pPr>
        <w:pStyle w:val="77"/>
        <w:spacing w:after="78"/>
        <w:rPr>
          <w:rFonts w:hint="default"/>
        </w:rPr>
      </w:pPr>
      <w:bookmarkStart w:id="3" w:name="_Hlk174440156"/>
      <w:r>
        <w:t>1.供应商基本情况表；</w:t>
      </w:r>
    </w:p>
    <w:p w14:paraId="27CEEEA6">
      <w:pPr>
        <w:pStyle w:val="77"/>
        <w:spacing w:after="78"/>
        <w:rPr>
          <w:rFonts w:hint="default"/>
        </w:rPr>
      </w:pPr>
      <w:r>
        <w:t>2.资质文件（承诺函、营业执照</w:t>
      </w:r>
      <w:r>
        <w:rPr>
          <w:rFonts w:hint="eastAsia" w:ascii="Times New Roman" w:hAnsi="Times New Roman" w:eastAsia="仿宋" w:cs="Times New Roman"/>
          <w:bCs/>
          <w:color w:val="000000"/>
          <w:sz w:val="32"/>
          <w:szCs w:val="32"/>
          <w:lang w:eastAsia="zh-CN"/>
        </w:rPr>
        <w:t>、</w:t>
      </w:r>
      <w:r>
        <w:rPr>
          <w:rFonts w:hint="eastAsia" w:ascii="Times New Roman" w:hAnsi="Times New Roman" w:eastAsia="仿宋"/>
          <w:sz w:val="32"/>
          <w:szCs w:val="32"/>
          <w:lang w:val="en-US" w:eastAsia="zh-CN"/>
        </w:rPr>
        <w:t>特种作业人员证书、踏勘确认表等</w:t>
      </w:r>
      <w:r>
        <w:t>）；</w:t>
      </w:r>
    </w:p>
    <w:p w14:paraId="48A62607">
      <w:pPr>
        <w:pStyle w:val="77"/>
        <w:spacing w:after="78"/>
        <w:rPr>
          <w:rFonts w:hint="default"/>
        </w:rPr>
      </w:pPr>
      <w:r>
        <w:t>3.报价一览表</w:t>
      </w:r>
      <w:bookmarkEnd w:id="3"/>
      <w:r>
        <w:t>（</w:t>
      </w:r>
      <w:r>
        <w:rPr>
          <w:rFonts w:hint="eastAsia" w:ascii="Times New Roman" w:hAnsi="Times New Roman" w:eastAsia="仿宋_GB2312"/>
          <w:bCs/>
          <w:sz w:val="32"/>
          <w:szCs w:val="32"/>
        </w:rPr>
        <w:t>参选单位报价应包含完成本项目全部工作所应收取的全部费用（即含税包干价）</w:t>
      </w:r>
      <w:r>
        <w:t>。若参选单位在成交并签署合同后，在完成本项目的工作中出现的任何遗漏，均由成交参选单位免费提供，选聘单位不再支付任何费用。）；</w:t>
      </w:r>
    </w:p>
    <w:p w14:paraId="290DBE93">
      <w:pPr>
        <w:pStyle w:val="77"/>
        <w:spacing w:after="78"/>
        <w:rPr>
          <w:rFonts w:hint="default"/>
        </w:rPr>
      </w:pPr>
      <w:r>
        <w:t>以上格式可参考第三章 报价文件格式，以上资料均需加盖公章、业务章或合同章（三选一），并在截止时间前递交，否则做报价无效处理。</w:t>
      </w:r>
    </w:p>
    <w:bookmarkEnd w:id="2"/>
    <w:p w14:paraId="0F54D3B0">
      <w:pPr>
        <w:pStyle w:val="42"/>
        <w:spacing w:after="78" w:line="640" w:lineRule="exact"/>
        <w:ind w:firstLine="640"/>
        <w:rPr>
          <w:rFonts w:eastAsia="黑体"/>
          <w:sz w:val="32"/>
          <w:szCs w:val="32"/>
        </w:rPr>
      </w:pPr>
      <w:r>
        <w:rPr>
          <w:rFonts w:hint="eastAsia" w:eastAsia="黑体"/>
          <w:sz w:val="32"/>
          <w:szCs w:val="32"/>
        </w:rPr>
        <w:t>四、选聘程序</w:t>
      </w:r>
    </w:p>
    <w:p w14:paraId="4449C8F3">
      <w:pPr>
        <w:pStyle w:val="77"/>
        <w:spacing w:after="78"/>
        <w:rPr>
          <w:rFonts w:hint="default"/>
        </w:rPr>
      </w:pPr>
      <w:bookmarkStart w:id="4" w:name="_Hlk206603929"/>
      <w:r>
        <w:t>（一）在截止报价时间前，各参选单位以邮件形式递交报价文件至询价公告指定邮箱（邮件标题：公司名称+</w:t>
      </w:r>
      <w:r>
        <w:rPr>
          <w:rFonts w:hint="eastAsia"/>
          <w:lang w:eastAsia="zh-CN"/>
        </w:rPr>
        <w:t>生化池吊装维修服务</w:t>
      </w:r>
      <w:r>
        <w:t>采购项目）；</w:t>
      </w:r>
    </w:p>
    <w:p w14:paraId="5DAEED17">
      <w:pPr>
        <w:pStyle w:val="77"/>
        <w:spacing w:after="78"/>
        <w:rPr>
          <w:rFonts w:hint="default"/>
        </w:rPr>
      </w:pPr>
      <w:r>
        <w:t>（二）评审委员会对参选单位进行资格性、符合性审查，如存在审核未通过的单位，则记录原因并通知未通过的单位；</w:t>
      </w:r>
    </w:p>
    <w:p w14:paraId="1ACA6AE4">
      <w:pPr>
        <w:pStyle w:val="77"/>
        <w:spacing w:after="78"/>
        <w:rPr>
          <w:rFonts w:hint="default"/>
        </w:rPr>
      </w:pPr>
      <w:r>
        <w:t>（三）评审委员会根据询价规则形成询价报告，确定候选人排名；</w:t>
      </w:r>
    </w:p>
    <w:p w14:paraId="62737701">
      <w:pPr>
        <w:pStyle w:val="77"/>
        <w:spacing w:after="78"/>
        <w:rPr>
          <w:rFonts w:hint="default"/>
        </w:rPr>
      </w:pPr>
      <w:r>
        <w:t>（四）询价结束后，采购人将询价结果报公司内部决策，通过后将结果通知中选单位，双方择日签订正式协议。</w:t>
      </w:r>
    </w:p>
    <w:bookmarkEnd w:id="4"/>
    <w:p w14:paraId="02A95AD3">
      <w:pPr>
        <w:pStyle w:val="42"/>
        <w:spacing w:after="78" w:line="640" w:lineRule="exact"/>
        <w:ind w:firstLine="640"/>
        <w:rPr>
          <w:rFonts w:eastAsia="黑体"/>
          <w:sz w:val="32"/>
          <w:szCs w:val="32"/>
        </w:rPr>
      </w:pPr>
      <w:r>
        <w:rPr>
          <w:rFonts w:hint="eastAsia" w:eastAsia="黑体"/>
          <w:sz w:val="32"/>
          <w:szCs w:val="32"/>
        </w:rPr>
        <w:t>五、选聘材料提交</w:t>
      </w:r>
    </w:p>
    <w:p w14:paraId="360E14FD">
      <w:pPr>
        <w:pStyle w:val="77"/>
        <w:spacing w:after="78"/>
        <w:rPr>
          <w:rFonts w:hint="default"/>
        </w:rPr>
      </w:pPr>
      <w:r>
        <w:t>（一）响应文件递交截止时间为2025年</w:t>
      </w:r>
      <w:r>
        <w:rPr>
          <w:rFonts w:hint="eastAsia"/>
          <w:lang w:val="en-US" w:eastAsia="zh-CN"/>
        </w:rPr>
        <w:t>11</w:t>
      </w:r>
      <w:r>
        <w:t>月</w:t>
      </w:r>
      <w:r>
        <w:rPr>
          <w:rFonts w:hint="eastAsia"/>
          <w:lang w:val="en-US" w:eastAsia="zh-CN"/>
        </w:rPr>
        <w:t>11</w:t>
      </w:r>
      <w:r>
        <w:t>日1</w:t>
      </w:r>
      <w:r>
        <w:rPr>
          <w:rFonts w:hint="eastAsia"/>
          <w:lang w:val="en-US" w:eastAsia="zh-CN"/>
        </w:rPr>
        <w:t>8</w:t>
      </w:r>
      <w:r>
        <w:t>时00分（北京时间）；</w:t>
      </w:r>
    </w:p>
    <w:p w14:paraId="5547FA90">
      <w:pPr>
        <w:pStyle w:val="77"/>
        <w:spacing w:after="78"/>
        <w:rPr>
          <w:rFonts w:hint="default"/>
        </w:rPr>
      </w:pPr>
      <w:r>
        <w:t>（二）响应文件递交方式</w:t>
      </w:r>
    </w:p>
    <w:p w14:paraId="45645030">
      <w:pPr>
        <w:pStyle w:val="77"/>
        <w:spacing w:after="78"/>
        <w:rPr>
          <w:rFonts w:hint="default"/>
        </w:rPr>
      </w:pPr>
      <w:bookmarkStart w:id="5" w:name="_Hlk174440279"/>
      <w:r>
        <w:t>本次文件递交方式采用线上递交，PDF盖章版响应文件必须在递交截止时间前发送至采购联系人邮箱。响应文件递交截止时间前未完成报价文件发送的，视为不参选。</w:t>
      </w:r>
    </w:p>
    <w:bookmarkEnd w:id="5"/>
    <w:p w14:paraId="34650E2A">
      <w:pPr>
        <w:pStyle w:val="42"/>
        <w:spacing w:after="78" w:line="640" w:lineRule="exact"/>
        <w:ind w:firstLine="640"/>
        <w:rPr>
          <w:rFonts w:eastAsia="黑体"/>
          <w:sz w:val="32"/>
          <w:szCs w:val="32"/>
        </w:rPr>
      </w:pPr>
      <w:r>
        <w:rPr>
          <w:rFonts w:hint="eastAsia" w:eastAsia="黑体"/>
          <w:sz w:val="32"/>
          <w:szCs w:val="32"/>
        </w:rPr>
        <w:t>六、评分规则</w:t>
      </w:r>
    </w:p>
    <w:p w14:paraId="23DD3B19">
      <w:pPr>
        <w:pStyle w:val="77"/>
        <w:spacing w:after="78"/>
        <w:rPr>
          <w:rFonts w:hint="default"/>
        </w:rPr>
      </w:pPr>
      <w:r>
        <w:t>本次评审设一轮报价，采用最低投标价法。采购人对所有参选供应商进行资格审查，资格审查合格的供应商报价成立，根据最低价法确定中选人。</w:t>
      </w:r>
    </w:p>
    <w:p w14:paraId="7930FFC0">
      <w:pPr>
        <w:pStyle w:val="77"/>
        <w:spacing w:after="78"/>
        <w:rPr>
          <w:rFonts w:hint="default"/>
        </w:rPr>
      </w:pPr>
      <w:r>
        <w:t>本采购项目以不含税价进行对比，供应商需填报含税价、税率；不含税价计算方式：不含税价=含税价/（1+税率）。</w:t>
      </w:r>
    </w:p>
    <w:p w14:paraId="67D06880">
      <w:pPr>
        <w:pStyle w:val="77"/>
        <w:spacing w:after="78"/>
        <w:rPr>
          <w:rFonts w:hint="default"/>
        </w:rPr>
      </w:pPr>
      <w:r>
        <w:t>如出现并列最低报价，以报价文件递交时间在先者优先中选。若中选供应商放弃资格，则按报价由低到高顺序依次递补。</w:t>
      </w:r>
    </w:p>
    <w:p w14:paraId="4145EB2A">
      <w:pPr>
        <w:pStyle w:val="42"/>
        <w:spacing w:after="78" w:line="640" w:lineRule="exact"/>
        <w:ind w:firstLine="640"/>
        <w:rPr>
          <w:rFonts w:eastAsia="黑体"/>
          <w:sz w:val="32"/>
          <w:szCs w:val="32"/>
        </w:rPr>
      </w:pPr>
      <w:r>
        <w:rPr>
          <w:rFonts w:hint="eastAsia" w:eastAsia="黑体"/>
          <w:sz w:val="32"/>
          <w:szCs w:val="32"/>
        </w:rPr>
        <w:t>七、限价要求</w:t>
      </w:r>
    </w:p>
    <w:p w14:paraId="325B7CFB">
      <w:pPr>
        <w:pStyle w:val="77"/>
        <w:spacing w:after="78"/>
        <w:rPr>
          <w:rFonts w:hint="default"/>
        </w:rPr>
      </w:pPr>
      <w:r>
        <w:rPr>
          <w:rFonts w:hint="eastAsia"/>
          <w:lang w:val="en-US" w:eastAsia="zh-CN"/>
        </w:rPr>
        <w:t>本项目采用总价包干模式，含税限价8万元，超过限价的报价视为无效报价</w:t>
      </w:r>
      <w:r>
        <w:t>。</w:t>
      </w:r>
    </w:p>
    <w:p w14:paraId="7AD67109">
      <w:pPr>
        <w:pStyle w:val="42"/>
        <w:spacing w:after="78" w:line="640" w:lineRule="exact"/>
        <w:ind w:firstLine="640"/>
        <w:rPr>
          <w:rFonts w:eastAsia="黑体"/>
          <w:sz w:val="32"/>
          <w:szCs w:val="32"/>
        </w:rPr>
      </w:pPr>
      <w:r>
        <w:rPr>
          <w:rFonts w:hint="eastAsia" w:eastAsia="黑体"/>
          <w:sz w:val="32"/>
          <w:szCs w:val="32"/>
        </w:rPr>
        <w:t>八、澄清及修改</w:t>
      </w:r>
    </w:p>
    <w:p w14:paraId="0FBB6DE5">
      <w:pPr>
        <w:pStyle w:val="77"/>
        <w:spacing w:after="78"/>
        <w:rPr>
          <w:rFonts w:hint="default"/>
        </w:rPr>
      </w:pPr>
      <w:r>
        <w:t>1、采购人如需对已发出的询价文件进行澄清或修改的，将在</w:t>
      </w:r>
      <w:bookmarkStart w:id="6" w:name="_Hlk173242607"/>
      <w:r>
        <w:t>深圳市深水水务咨询有限公司官网（http://www.szsszx.com/）</w:t>
      </w:r>
      <w:bookmarkEnd w:id="6"/>
      <w:r>
        <w:t>发布更正公告，该澄清或修改内容为询价文件的组成部分。</w:t>
      </w:r>
    </w:p>
    <w:p w14:paraId="247394FA">
      <w:pPr>
        <w:pStyle w:val="77"/>
        <w:spacing w:after="78"/>
        <w:rPr>
          <w:rFonts w:hint="default"/>
        </w:rPr>
      </w:pPr>
      <w:r>
        <w:t>2、询价申请人认为需要对询价文件进行澄清的，可以邮件形式向采购人提出申请（截止时间2025年</w:t>
      </w:r>
      <w:r>
        <w:rPr>
          <w:rFonts w:hint="eastAsia"/>
          <w:lang w:val="en-US" w:eastAsia="zh-CN"/>
        </w:rPr>
        <w:t>11</w:t>
      </w:r>
      <w:r>
        <w:t>月</w:t>
      </w:r>
      <w:r>
        <w:rPr>
          <w:rFonts w:hint="eastAsia"/>
          <w:lang w:val="en-US" w:eastAsia="zh-CN"/>
        </w:rPr>
        <w:t>11</w:t>
      </w:r>
      <w:r>
        <w:t>日1</w:t>
      </w:r>
      <w:r>
        <w:rPr>
          <w:rFonts w:hint="eastAsia"/>
          <w:lang w:val="en-US" w:eastAsia="zh-CN"/>
        </w:rPr>
        <w:t>8</w:t>
      </w:r>
      <w:r>
        <w:t>时00分），但采购人可决定是否采纳申请事项。</w:t>
      </w:r>
    </w:p>
    <w:p w14:paraId="012709CD">
      <w:pPr>
        <w:pStyle w:val="77"/>
        <w:spacing w:after="78"/>
        <w:rPr>
          <w:rFonts w:hint="default"/>
        </w:rPr>
      </w:pPr>
      <w:r>
        <w:t>3、询价申请人应于响应文件递交截止时间之前，自行在深圳市深水水务咨询有限公司官网（http://www.szsszx.com/）查询本项目的更正公告，因未查阅公告造成的后果由申请人自行承担。</w:t>
      </w:r>
    </w:p>
    <w:p w14:paraId="51AF9BD1">
      <w:pPr>
        <w:pStyle w:val="42"/>
        <w:spacing w:after="78" w:line="640" w:lineRule="exact"/>
        <w:ind w:firstLine="640"/>
        <w:rPr>
          <w:rFonts w:eastAsia="黑体"/>
          <w:sz w:val="32"/>
          <w:szCs w:val="32"/>
        </w:rPr>
      </w:pPr>
      <w:r>
        <w:rPr>
          <w:rFonts w:hint="eastAsia" w:eastAsia="黑体"/>
          <w:sz w:val="32"/>
          <w:szCs w:val="32"/>
        </w:rPr>
        <w:t>九、其他</w:t>
      </w:r>
    </w:p>
    <w:p w14:paraId="58F9906B">
      <w:pPr>
        <w:pStyle w:val="77"/>
        <w:spacing w:after="78"/>
        <w:rPr>
          <w:rFonts w:hint="default"/>
        </w:rPr>
      </w:pPr>
      <w:r>
        <w:t>1、中选人应在结果公告期满后尽快与采购人签订采购合同。因中选人原因造成逾期未与采购人签订采购合同的，视为自动放弃；</w:t>
      </w:r>
    </w:p>
    <w:p w14:paraId="792648F6">
      <w:pPr>
        <w:pStyle w:val="77"/>
        <w:spacing w:after="78"/>
        <w:rPr>
          <w:rFonts w:hint="default"/>
        </w:rPr>
      </w:pPr>
      <w:r>
        <w:t>2、中选人因不可抗力原因不能履行采购合同或放弃成交的，采购人可依序与其他中选候选人签订采购合同，也可以重新组织采购。</w:t>
      </w:r>
    </w:p>
    <w:p w14:paraId="4CC9FB61">
      <w:pPr>
        <w:pStyle w:val="77"/>
        <w:spacing w:after="78"/>
        <w:rPr>
          <w:rFonts w:hint="default"/>
        </w:rPr>
      </w:pPr>
      <w: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BBD955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318554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78B35E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2A03EA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1890750C">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78E701CE">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13D41BB">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11</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7</w:t>
      </w:r>
      <w:r>
        <w:rPr>
          <w:rFonts w:hint="eastAsia" w:ascii="Times New Roman" w:hAnsi="Times New Roman" w:eastAsia="仿宋_GB2312"/>
          <w:color w:val="000000"/>
          <w:kern w:val="0"/>
          <w:sz w:val="32"/>
          <w:szCs w:val="32"/>
        </w:rPr>
        <w:t>日</w:t>
      </w:r>
    </w:p>
    <w:p w14:paraId="360F938D">
      <w:pPr>
        <w:spacing w:after="78"/>
      </w:pPr>
    </w:p>
    <w:p w14:paraId="0E9C624A">
      <w:pPr>
        <w:spacing w:after="78"/>
      </w:pPr>
      <w:r>
        <w:br w:type="page"/>
      </w:r>
    </w:p>
    <w:p w14:paraId="2073711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07C6991D">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68EC9685">
      <w:pPr>
        <w:spacing w:after="78"/>
        <w:jc w:val="center"/>
        <w:rPr>
          <w:rFonts w:ascii="Times New Roman Regular" w:hAnsi="Times New Roman Regular" w:eastAsia="黑体" w:cs="Times New Roman Regular"/>
          <w:color w:val="000000"/>
          <w:sz w:val="28"/>
          <w:szCs w:val="28"/>
          <w:u w:val="single"/>
        </w:rPr>
      </w:pPr>
    </w:p>
    <w:p w14:paraId="575753DE">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4C394689">
      <w:pPr>
        <w:spacing w:after="78"/>
        <w:jc w:val="center"/>
        <w:rPr>
          <w:rFonts w:ascii="Times New Roman Regular" w:hAnsi="Times New Roman Regular" w:eastAsia="黑体" w:cs="Times New Roman Regular"/>
          <w:color w:val="000000"/>
          <w:sz w:val="72"/>
          <w:szCs w:val="72"/>
          <w:shd w:val="clear" w:color="auto" w:fill="FFFFFF"/>
        </w:rPr>
      </w:pPr>
    </w:p>
    <w:p w14:paraId="4C53DC45">
      <w:pPr>
        <w:spacing w:after="78"/>
        <w:jc w:val="center"/>
        <w:rPr>
          <w:rFonts w:ascii="Times New Roman Regular" w:hAnsi="Times New Roman Regular" w:eastAsia="黑体" w:cs="Times New Roman Regular"/>
          <w:color w:val="000000"/>
          <w:sz w:val="72"/>
          <w:szCs w:val="72"/>
          <w:shd w:val="clear" w:color="auto" w:fill="FFFFFF"/>
        </w:rPr>
      </w:pPr>
    </w:p>
    <w:p w14:paraId="48362F7D">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CN"/>
        </w:rPr>
        <w:t>生化池吊装维修服务</w:t>
      </w:r>
      <w:r>
        <w:rPr>
          <w:rFonts w:hint="eastAsia" w:ascii="Times New Roman Regular" w:hAnsi="Times New Roman Regular" w:eastAsia="黑体" w:cs="Times New Roman Regular"/>
          <w:color w:val="000000"/>
          <w:sz w:val="56"/>
          <w:szCs w:val="56"/>
          <w:shd w:val="clear" w:color="auto" w:fill="FFFFFF"/>
          <w:lang w:eastAsia="zh-Hans"/>
        </w:rPr>
        <w:t>采购</w:t>
      </w:r>
      <w:r>
        <w:rPr>
          <w:rFonts w:ascii="Times New Roman Regular" w:hAnsi="Times New Roman Regular" w:eastAsia="黑体" w:cs="Times New Roman Regular"/>
          <w:color w:val="000000"/>
          <w:sz w:val="56"/>
          <w:szCs w:val="56"/>
          <w:shd w:val="clear" w:color="auto" w:fill="FFFFFF"/>
          <w:lang w:eastAsia="zh-Hans"/>
        </w:rPr>
        <w:t>合同</w:t>
      </w:r>
    </w:p>
    <w:p w14:paraId="61C8A1E1">
      <w:pPr>
        <w:spacing w:after="78"/>
        <w:jc w:val="center"/>
        <w:rPr>
          <w:rFonts w:ascii="Times New Roman Regular" w:hAnsi="Times New Roman Regular" w:eastAsia="黑体" w:cs="Times New Roman Regular"/>
          <w:color w:val="000000"/>
          <w:sz w:val="28"/>
          <w:szCs w:val="28"/>
          <w:u w:val="single"/>
        </w:rPr>
      </w:pPr>
    </w:p>
    <w:p w14:paraId="68F71BEA">
      <w:pPr>
        <w:spacing w:after="78"/>
        <w:jc w:val="center"/>
        <w:rPr>
          <w:rFonts w:ascii="Times New Roman Regular" w:hAnsi="Times New Roman Regular" w:eastAsia="黑体" w:cs="Times New Roman Regular"/>
          <w:color w:val="000000"/>
          <w:sz w:val="28"/>
          <w:szCs w:val="28"/>
          <w:u w:val="single"/>
        </w:rPr>
      </w:pPr>
    </w:p>
    <w:p w14:paraId="6AF6BE6A">
      <w:pPr>
        <w:spacing w:after="78"/>
        <w:jc w:val="center"/>
        <w:rPr>
          <w:rFonts w:ascii="Times New Roman Regular" w:hAnsi="Times New Roman Regular" w:eastAsia="黑体" w:cs="Times New Roman Regular"/>
          <w:color w:val="000000"/>
          <w:sz w:val="28"/>
          <w:szCs w:val="28"/>
          <w:u w:val="single"/>
        </w:rPr>
      </w:pPr>
    </w:p>
    <w:p w14:paraId="16F3E39E">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3AC21342">
        <w:tblPrEx>
          <w:tblCellMar>
            <w:top w:w="0" w:type="dxa"/>
            <w:left w:w="108" w:type="dxa"/>
            <w:bottom w:w="0" w:type="dxa"/>
            <w:right w:w="108" w:type="dxa"/>
          </w:tblCellMar>
        </w:tblPrEx>
        <w:tc>
          <w:tcPr>
            <w:tcW w:w="1804" w:type="dxa"/>
            <w:vAlign w:val="center"/>
          </w:tcPr>
          <w:p w14:paraId="256FE8A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13D6114">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6D72518E">
        <w:tblPrEx>
          <w:tblCellMar>
            <w:top w:w="0" w:type="dxa"/>
            <w:left w:w="108" w:type="dxa"/>
            <w:bottom w:w="0" w:type="dxa"/>
            <w:right w:w="108" w:type="dxa"/>
          </w:tblCellMar>
        </w:tblPrEx>
        <w:tc>
          <w:tcPr>
            <w:tcW w:w="1804" w:type="dxa"/>
            <w:vAlign w:val="center"/>
          </w:tcPr>
          <w:p w14:paraId="4269A06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693B1F3A">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1C29DA6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0CAD3FB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55AF9B03">
      <w:pPr>
        <w:spacing w:after="78"/>
        <w:jc w:val="center"/>
        <w:rPr>
          <w:rFonts w:ascii="Times New Roman Regular" w:hAnsi="Times New Roman Regular" w:eastAsia="黑体" w:cs="Times New Roman Regular"/>
          <w:color w:val="000000"/>
          <w:sz w:val="28"/>
          <w:szCs w:val="28"/>
          <w:u w:val="single"/>
        </w:rPr>
      </w:pPr>
    </w:p>
    <w:p w14:paraId="4CDAA79E">
      <w:pPr>
        <w:spacing w:after="78"/>
        <w:jc w:val="center"/>
        <w:rPr>
          <w:rFonts w:ascii="Times New Roman Regular" w:hAnsi="Times New Roman Regular" w:eastAsia="黑体" w:cs="Times New Roman Regular"/>
          <w:color w:val="000000"/>
          <w:sz w:val="28"/>
          <w:szCs w:val="28"/>
          <w:u w:val="single"/>
        </w:rPr>
      </w:pPr>
    </w:p>
    <w:p w14:paraId="7B5D36F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21237AF">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生化池吊装维修服务服务采购</w:t>
      </w:r>
      <w:r>
        <w:rPr>
          <w:rFonts w:ascii="黑体" w:hAnsi="黑体" w:eastAsia="黑体" w:cs="Times New Roman Regular"/>
          <w:spacing w:val="-6"/>
          <w:sz w:val="36"/>
          <w:szCs w:val="48"/>
          <w:lang w:eastAsia="zh-Hans"/>
        </w:rPr>
        <w:t>合同</w:t>
      </w:r>
    </w:p>
    <w:p w14:paraId="4FEF16F4">
      <w:pPr>
        <w:widowControl/>
        <w:spacing w:after="78" w:line="360" w:lineRule="auto"/>
        <w:ind w:firstLine="480" w:firstLineChars="200"/>
        <w:rPr>
          <w:rFonts w:hint="eastAsia" w:ascii="宋体" w:hAnsi="宋体" w:cs="宋体"/>
          <w:sz w:val="24"/>
        </w:rPr>
      </w:pPr>
      <w:r>
        <w:rPr>
          <w:rFonts w:hint="eastAsia" w:ascii="宋体" w:hAnsi="宋体" w:cs="宋体"/>
          <w:sz w:val="24"/>
        </w:rPr>
        <w:t>甲方（买方）：深圳市深水水务咨询有限公司</w:t>
      </w:r>
    </w:p>
    <w:p w14:paraId="740485B3">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联系人：       </w:t>
      </w:r>
    </w:p>
    <w:p w14:paraId="0A0FE399">
      <w:pPr>
        <w:widowControl/>
        <w:spacing w:after="78" w:line="360" w:lineRule="auto"/>
        <w:ind w:firstLine="480" w:firstLineChars="200"/>
        <w:rPr>
          <w:rFonts w:hint="eastAsia" w:ascii="宋体" w:hAnsi="宋体" w:cs="宋体"/>
          <w:sz w:val="24"/>
        </w:rPr>
      </w:pPr>
      <w:r>
        <w:rPr>
          <w:rFonts w:hint="eastAsia" w:ascii="宋体" w:hAnsi="宋体" w:cs="宋体"/>
          <w:sz w:val="24"/>
        </w:rPr>
        <w:t>联系电话：</w:t>
      </w:r>
    </w:p>
    <w:p w14:paraId="22507B70">
      <w:pPr>
        <w:widowControl/>
        <w:spacing w:after="78" w:line="360" w:lineRule="auto"/>
        <w:ind w:firstLine="480" w:firstLineChars="200"/>
        <w:rPr>
          <w:rFonts w:hint="eastAsia" w:ascii="宋体" w:hAnsi="宋体" w:cs="宋体"/>
          <w:sz w:val="24"/>
        </w:rPr>
      </w:pPr>
      <w:r>
        <w:rPr>
          <w:rFonts w:hint="eastAsia" w:ascii="宋体" w:hAnsi="宋体" w:cs="宋体"/>
          <w:sz w:val="24"/>
        </w:rPr>
        <w:t>通讯地址：深圳市罗湖区清水河街道清水河社区清水河一路112号罗湖投资控股大厦裙楼401</w:t>
      </w:r>
    </w:p>
    <w:p w14:paraId="049C47A4">
      <w:pPr>
        <w:widowControl/>
        <w:spacing w:after="78" w:line="240" w:lineRule="auto"/>
        <w:rPr>
          <w:rFonts w:hint="eastAsia" w:ascii="宋体" w:hAnsi="宋体" w:cs="宋体"/>
          <w:sz w:val="24"/>
        </w:rPr>
      </w:pPr>
    </w:p>
    <w:p w14:paraId="7A750AC8">
      <w:pPr>
        <w:widowControl/>
        <w:spacing w:after="78" w:line="360" w:lineRule="auto"/>
        <w:ind w:firstLine="480" w:firstLineChars="200"/>
        <w:rPr>
          <w:rFonts w:hint="eastAsia" w:ascii="宋体" w:hAnsi="宋体" w:cs="宋体"/>
          <w:sz w:val="24"/>
        </w:rPr>
      </w:pPr>
      <w:r>
        <w:rPr>
          <w:rFonts w:hint="eastAsia" w:ascii="宋体" w:hAnsi="宋体" w:cs="宋体"/>
          <w:sz w:val="24"/>
        </w:rPr>
        <w:t>乙方（卖方）：</w:t>
      </w:r>
    </w:p>
    <w:p w14:paraId="727EBDD1">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联系人：       </w:t>
      </w:r>
    </w:p>
    <w:p w14:paraId="0344F85C">
      <w:pPr>
        <w:widowControl/>
        <w:spacing w:after="78" w:line="360" w:lineRule="auto"/>
        <w:ind w:firstLine="480" w:firstLineChars="200"/>
        <w:rPr>
          <w:rFonts w:hint="eastAsia" w:ascii="宋体" w:hAnsi="宋体" w:cs="宋体"/>
          <w:sz w:val="24"/>
        </w:rPr>
      </w:pPr>
      <w:r>
        <w:rPr>
          <w:rFonts w:hint="eastAsia" w:ascii="宋体" w:hAnsi="宋体" w:cs="宋体"/>
          <w:sz w:val="24"/>
        </w:rPr>
        <w:t>联系电话：</w:t>
      </w:r>
    </w:p>
    <w:p w14:paraId="772BA14D">
      <w:pPr>
        <w:widowControl/>
        <w:spacing w:after="78" w:line="360" w:lineRule="auto"/>
        <w:ind w:firstLine="480" w:firstLineChars="200"/>
        <w:rPr>
          <w:rFonts w:hint="eastAsia" w:ascii="宋体" w:hAnsi="宋体" w:cs="宋体"/>
          <w:sz w:val="24"/>
        </w:rPr>
      </w:pPr>
      <w:r>
        <w:rPr>
          <w:rFonts w:hint="eastAsia" w:ascii="宋体" w:hAnsi="宋体" w:cs="宋体"/>
          <w:sz w:val="24"/>
        </w:rPr>
        <w:t>通讯地址：</w:t>
      </w:r>
    </w:p>
    <w:p w14:paraId="5FD7F08C">
      <w:pPr>
        <w:widowControl/>
        <w:spacing w:after="78" w:line="240" w:lineRule="auto"/>
        <w:ind w:firstLine="480" w:firstLineChars="200"/>
        <w:rPr>
          <w:rFonts w:hint="eastAsia" w:ascii="宋体" w:hAnsi="宋体" w:cs="宋体"/>
          <w:sz w:val="24"/>
        </w:rPr>
      </w:pPr>
    </w:p>
    <w:p w14:paraId="7A340226">
      <w:pPr>
        <w:widowControl/>
        <w:spacing w:after="78" w:line="360" w:lineRule="auto"/>
        <w:ind w:firstLine="480" w:firstLineChars="200"/>
        <w:rPr>
          <w:rFonts w:hint="eastAsia" w:ascii="宋体" w:hAnsi="宋体" w:cs="宋体"/>
          <w:sz w:val="24"/>
        </w:rPr>
      </w:pPr>
      <w:r>
        <w:rPr>
          <w:rFonts w:hint="eastAsia" w:ascii="宋体" w:hAnsi="宋体" w:cs="宋体"/>
          <w:sz w:val="24"/>
        </w:rPr>
        <w:t>甲、乙双方根据《中华人民共和国民法典》等相关法律、法规的规定，经平等协商达成合同如下：</w:t>
      </w:r>
    </w:p>
    <w:p w14:paraId="38435D19">
      <w:pPr>
        <w:adjustRightInd w:val="0"/>
        <w:spacing w:before="240" w:afterLines="0" w:line="360" w:lineRule="auto"/>
        <w:ind w:firstLine="640" w:firstLineChars="200"/>
        <w:outlineLvl w:val="0"/>
        <w:rPr>
          <w:rFonts w:hint="default"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服务内容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150"/>
        <w:gridCol w:w="887"/>
        <w:gridCol w:w="1513"/>
        <w:gridCol w:w="3623"/>
      </w:tblGrid>
      <w:tr w14:paraId="6ABB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47F7D567">
            <w:pPr>
              <w:spacing w:line="640" w:lineRule="exact"/>
              <w:rPr>
                <w:rFonts w:hint="eastAsia"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序号</w:t>
            </w:r>
          </w:p>
        </w:tc>
        <w:tc>
          <w:tcPr>
            <w:tcW w:w="2150" w:type="dxa"/>
            <w:noWrap w:val="0"/>
            <w:vAlign w:val="top"/>
          </w:tcPr>
          <w:p w14:paraId="2989285E">
            <w:pPr>
              <w:spacing w:line="640" w:lineRule="exact"/>
              <w:rPr>
                <w:rFonts w:hint="default"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服务内容</w:t>
            </w:r>
          </w:p>
        </w:tc>
        <w:tc>
          <w:tcPr>
            <w:tcW w:w="887" w:type="dxa"/>
            <w:noWrap w:val="0"/>
            <w:vAlign w:val="top"/>
          </w:tcPr>
          <w:p w14:paraId="1F22632C">
            <w:pPr>
              <w:spacing w:line="640" w:lineRule="exact"/>
              <w:rPr>
                <w:rFonts w:hint="default"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单位</w:t>
            </w:r>
          </w:p>
        </w:tc>
        <w:tc>
          <w:tcPr>
            <w:tcW w:w="1513" w:type="dxa"/>
            <w:noWrap w:val="0"/>
            <w:vAlign w:val="top"/>
          </w:tcPr>
          <w:p w14:paraId="382FE778">
            <w:pPr>
              <w:spacing w:line="640" w:lineRule="exact"/>
              <w:rPr>
                <w:rFonts w:hint="eastAsia"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数量（个）</w:t>
            </w:r>
          </w:p>
        </w:tc>
        <w:tc>
          <w:tcPr>
            <w:tcW w:w="3623" w:type="dxa"/>
            <w:noWrap w:val="0"/>
            <w:vAlign w:val="top"/>
          </w:tcPr>
          <w:p w14:paraId="70B6D705">
            <w:pPr>
              <w:spacing w:line="640" w:lineRule="exact"/>
              <w:rPr>
                <w:rFonts w:hint="eastAsia"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备注</w:t>
            </w:r>
          </w:p>
        </w:tc>
      </w:tr>
      <w:tr w14:paraId="6F68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1EEC2F3F">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1</w:t>
            </w:r>
          </w:p>
        </w:tc>
        <w:tc>
          <w:tcPr>
            <w:tcW w:w="2150" w:type="dxa"/>
            <w:noWrap w:val="0"/>
            <w:vAlign w:val="top"/>
          </w:tcPr>
          <w:p w14:paraId="79F7D201">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rPr>
              <w:t>模块转运吊装安装服务</w:t>
            </w:r>
          </w:p>
        </w:tc>
        <w:tc>
          <w:tcPr>
            <w:tcW w:w="887" w:type="dxa"/>
            <w:noWrap w:val="0"/>
            <w:vAlign w:val="top"/>
          </w:tcPr>
          <w:p w14:paraId="6F49751D">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模块</w:t>
            </w:r>
          </w:p>
        </w:tc>
        <w:tc>
          <w:tcPr>
            <w:tcW w:w="1513" w:type="dxa"/>
            <w:noWrap w:val="0"/>
            <w:vAlign w:val="top"/>
          </w:tcPr>
          <w:p w14:paraId="54592805">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31</w:t>
            </w:r>
          </w:p>
        </w:tc>
        <w:tc>
          <w:tcPr>
            <w:tcW w:w="3623" w:type="dxa"/>
            <w:noWrap w:val="0"/>
            <w:vAlign w:val="top"/>
          </w:tcPr>
          <w:p w14:paraId="59EDC9CF">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rPr>
              <w:t>包含吊出和吊进，及相应的栏杆切除和恢复、管道连接等</w:t>
            </w:r>
          </w:p>
        </w:tc>
      </w:tr>
      <w:tr w14:paraId="1B45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47801758">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2</w:t>
            </w:r>
          </w:p>
        </w:tc>
        <w:tc>
          <w:tcPr>
            <w:tcW w:w="2150" w:type="dxa"/>
            <w:noWrap w:val="0"/>
            <w:vAlign w:val="top"/>
          </w:tcPr>
          <w:p w14:paraId="2B4CE39F">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lang w:val="en-US" w:eastAsia="zh-CN"/>
              </w:rPr>
              <w:t>生物池模块内部斜管清理</w:t>
            </w:r>
          </w:p>
        </w:tc>
        <w:tc>
          <w:tcPr>
            <w:tcW w:w="887" w:type="dxa"/>
            <w:noWrap w:val="0"/>
            <w:vAlign w:val="top"/>
          </w:tcPr>
          <w:p w14:paraId="2E5E4969">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模块</w:t>
            </w:r>
          </w:p>
        </w:tc>
        <w:tc>
          <w:tcPr>
            <w:tcW w:w="1513" w:type="dxa"/>
            <w:noWrap w:val="0"/>
            <w:vAlign w:val="top"/>
          </w:tcPr>
          <w:p w14:paraId="48066D5D">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50</w:t>
            </w:r>
          </w:p>
        </w:tc>
        <w:tc>
          <w:tcPr>
            <w:tcW w:w="3623" w:type="dxa"/>
            <w:noWrap w:val="0"/>
            <w:vAlign w:val="top"/>
          </w:tcPr>
          <w:p w14:paraId="7F694216">
            <w:pPr>
              <w:spacing w:line="640" w:lineRule="exact"/>
              <w:rPr>
                <w:rFonts w:hint="eastAsia" w:ascii="Times New Roman" w:hAnsi="Times New Roman" w:eastAsia="仿宋"/>
                <w:sz w:val="24"/>
                <w:szCs w:val="24"/>
                <w:vertAlign w:val="baseline"/>
              </w:rPr>
            </w:pPr>
          </w:p>
        </w:tc>
      </w:tr>
      <w:tr w14:paraId="3B30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43F6926D">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3</w:t>
            </w:r>
          </w:p>
        </w:tc>
        <w:tc>
          <w:tcPr>
            <w:tcW w:w="2150" w:type="dxa"/>
            <w:noWrap w:val="0"/>
            <w:vAlign w:val="top"/>
          </w:tcPr>
          <w:p w14:paraId="1A2CF295">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rPr>
              <w:t>模块解体</w:t>
            </w:r>
            <w:r>
              <w:rPr>
                <w:rFonts w:hint="eastAsia" w:ascii="Times New Roman" w:hAnsi="Times New Roman" w:eastAsia="仿宋"/>
                <w:sz w:val="24"/>
                <w:szCs w:val="24"/>
                <w:vertAlign w:val="baseline"/>
                <w:lang w:eastAsia="zh-CN"/>
              </w:rPr>
              <w:t>、</w:t>
            </w:r>
            <w:r>
              <w:rPr>
                <w:rFonts w:hint="eastAsia" w:ascii="Times New Roman" w:hAnsi="Times New Roman" w:eastAsia="仿宋"/>
                <w:sz w:val="24"/>
                <w:szCs w:val="24"/>
                <w:vertAlign w:val="baseline"/>
                <w:lang w:val="en-US" w:eastAsia="zh-CN"/>
              </w:rPr>
              <w:t>运输</w:t>
            </w:r>
          </w:p>
        </w:tc>
        <w:tc>
          <w:tcPr>
            <w:tcW w:w="887" w:type="dxa"/>
            <w:noWrap w:val="0"/>
            <w:vAlign w:val="top"/>
          </w:tcPr>
          <w:p w14:paraId="7FBC0E56">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模块</w:t>
            </w:r>
          </w:p>
        </w:tc>
        <w:tc>
          <w:tcPr>
            <w:tcW w:w="1513" w:type="dxa"/>
            <w:noWrap w:val="0"/>
            <w:vAlign w:val="top"/>
          </w:tcPr>
          <w:p w14:paraId="1375C8EE">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19</w:t>
            </w:r>
          </w:p>
        </w:tc>
        <w:tc>
          <w:tcPr>
            <w:tcW w:w="3623" w:type="dxa"/>
            <w:noWrap w:val="0"/>
            <w:vAlign w:val="top"/>
          </w:tcPr>
          <w:p w14:paraId="6DE7D476">
            <w:pPr>
              <w:spacing w:line="640" w:lineRule="exact"/>
              <w:rPr>
                <w:rFonts w:hint="default" w:ascii="Times New Roman" w:hAnsi="Times New Roman" w:eastAsia="仿宋"/>
                <w:sz w:val="24"/>
                <w:szCs w:val="24"/>
                <w:highlight w:val="none"/>
                <w:vertAlign w:val="baseline"/>
                <w:lang w:val="en-US" w:eastAsia="zh-CN"/>
              </w:rPr>
            </w:pPr>
            <w:r>
              <w:rPr>
                <w:rFonts w:hint="eastAsia" w:ascii="Times New Roman" w:hAnsi="Times New Roman" w:eastAsia="仿宋"/>
                <w:sz w:val="24"/>
                <w:szCs w:val="24"/>
                <w:highlight w:val="none"/>
                <w:vertAlign w:val="baseline"/>
                <w:lang w:val="en-US" w:eastAsia="zh-CN"/>
              </w:rPr>
              <w:t>运至观澜河口调蓄池项目指定位置</w:t>
            </w:r>
          </w:p>
        </w:tc>
      </w:tr>
      <w:tr w14:paraId="633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7D4A9FEE">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4</w:t>
            </w:r>
          </w:p>
        </w:tc>
        <w:tc>
          <w:tcPr>
            <w:tcW w:w="2150" w:type="dxa"/>
            <w:noWrap w:val="0"/>
            <w:vAlign w:val="top"/>
          </w:tcPr>
          <w:p w14:paraId="2368F374">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rPr>
              <w:t>生化池曝气板条更换</w:t>
            </w:r>
          </w:p>
        </w:tc>
        <w:tc>
          <w:tcPr>
            <w:tcW w:w="887" w:type="dxa"/>
            <w:noWrap w:val="0"/>
            <w:vAlign w:val="top"/>
          </w:tcPr>
          <w:p w14:paraId="786387E7">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池</w:t>
            </w:r>
          </w:p>
        </w:tc>
        <w:tc>
          <w:tcPr>
            <w:tcW w:w="1513" w:type="dxa"/>
            <w:noWrap w:val="0"/>
            <w:vAlign w:val="top"/>
          </w:tcPr>
          <w:p w14:paraId="61A0031F">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5</w:t>
            </w:r>
          </w:p>
        </w:tc>
        <w:tc>
          <w:tcPr>
            <w:tcW w:w="3623" w:type="dxa"/>
            <w:noWrap w:val="0"/>
            <w:vAlign w:val="top"/>
          </w:tcPr>
          <w:p w14:paraId="7F1F3569">
            <w:pPr>
              <w:spacing w:line="640" w:lineRule="exact"/>
              <w:rPr>
                <w:rFonts w:hint="default" w:ascii="Times New Roman" w:hAnsi="Times New Roman" w:eastAsia="仿宋"/>
                <w:sz w:val="24"/>
                <w:szCs w:val="24"/>
                <w:highlight w:val="none"/>
                <w:vertAlign w:val="baseline"/>
                <w:lang w:val="en-US" w:eastAsia="zh-CN"/>
              </w:rPr>
            </w:pPr>
            <w:r>
              <w:rPr>
                <w:rFonts w:hint="eastAsia" w:ascii="Times New Roman" w:hAnsi="Times New Roman" w:eastAsia="仿宋"/>
                <w:sz w:val="24"/>
                <w:szCs w:val="24"/>
                <w:highlight w:val="none"/>
                <w:vertAlign w:val="baseline"/>
              </w:rPr>
              <w:t>预估每个池8根</w:t>
            </w:r>
            <w:r>
              <w:rPr>
                <w:rFonts w:hint="eastAsia" w:ascii="Times New Roman" w:hAnsi="Times New Roman" w:eastAsia="仿宋"/>
                <w:sz w:val="24"/>
                <w:szCs w:val="24"/>
                <w:highlight w:val="none"/>
                <w:vertAlign w:val="baseline"/>
                <w:lang w:eastAsia="zh-CN"/>
              </w:rPr>
              <w:t>，</w:t>
            </w:r>
            <w:r>
              <w:rPr>
                <w:rFonts w:hint="eastAsia" w:ascii="Times New Roman" w:hAnsi="Times New Roman" w:eastAsia="仿宋"/>
                <w:sz w:val="24"/>
                <w:szCs w:val="24"/>
                <w:highlight w:val="none"/>
                <w:vertAlign w:val="baseline"/>
                <w:lang w:val="en-US" w:eastAsia="zh-CN"/>
              </w:rPr>
              <w:t>曝气板条由甲方提供</w:t>
            </w:r>
          </w:p>
        </w:tc>
      </w:tr>
      <w:tr w14:paraId="54AC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34A75371">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5</w:t>
            </w:r>
          </w:p>
        </w:tc>
        <w:tc>
          <w:tcPr>
            <w:tcW w:w="2150" w:type="dxa"/>
            <w:noWrap w:val="0"/>
            <w:vAlign w:val="top"/>
          </w:tcPr>
          <w:p w14:paraId="4D8A86B1">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rPr>
              <w:t>模块底部挡气板矫正修复</w:t>
            </w:r>
          </w:p>
        </w:tc>
        <w:tc>
          <w:tcPr>
            <w:tcW w:w="887" w:type="dxa"/>
            <w:noWrap w:val="0"/>
            <w:vAlign w:val="top"/>
          </w:tcPr>
          <w:p w14:paraId="7F246BB9">
            <w:pPr>
              <w:spacing w:line="640" w:lineRule="exact"/>
              <w:rPr>
                <w:rFonts w:hint="default"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模块</w:t>
            </w:r>
          </w:p>
        </w:tc>
        <w:tc>
          <w:tcPr>
            <w:tcW w:w="1513" w:type="dxa"/>
            <w:noWrap w:val="0"/>
            <w:vAlign w:val="top"/>
          </w:tcPr>
          <w:p w14:paraId="0168C8BC">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31</w:t>
            </w:r>
          </w:p>
        </w:tc>
        <w:tc>
          <w:tcPr>
            <w:tcW w:w="3623" w:type="dxa"/>
            <w:noWrap w:val="0"/>
            <w:vAlign w:val="top"/>
          </w:tcPr>
          <w:p w14:paraId="0AA72CB7">
            <w:pPr>
              <w:spacing w:line="640" w:lineRule="exact"/>
              <w:rPr>
                <w:rFonts w:hint="eastAsia" w:ascii="Times New Roman" w:hAnsi="Times New Roman" w:eastAsia="仿宋"/>
                <w:sz w:val="24"/>
                <w:szCs w:val="24"/>
                <w:vertAlign w:val="baseline"/>
              </w:rPr>
            </w:pPr>
          </w:p>
        </w:tc>
      </w:tr>
      <w:tr w14:paraId="63AB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top"/>
          </w:tcPr>
          <w:p w14:paraId="3D7DB524">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6</w:t>
            </w:r>
          </w:p>
        </w:tc>
        <w:tc>
          <w:tcPr>
            <w:tcW w:w="2150" w:type="dxa"/>
            <w:noWrap w:val="0"/>
            <w:vAlign w:val="top"/>
          </w:tcPr>
          <w:p w14:paraId="7E1E3143">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rPr>
              <w:t>钢丝绳防护工作</w:t>
            </w:r>
          </w:p>
        </w:tc>
        <w:tc>
          <w:tcPr>
            <w:tcW w:w="887" w:type="dxa"/>
            <w:noWrap w:val="0"/>
            <w:vAlign w:val="top"/>
          </w:tcPr>
          <w:p w14:paraId="2659F9BD">
            <w:pPr>
              <w:spacing w:line="640" w:lineRule="exact"/>
              <w:rPr>
                <w:rFonts w:hint="eastAsia" w:ascii="Times New Roman" w:hAnsi="Times New Roman" w:eastAsia="仿宋"/>
                <w:sz w:val="24"/>
                <w:szCs w:val="24"/>
                <w:vertAlign w:val="baseline"/>
                <w:lang w:val="en-US" w:eastAsia="zh-CN"/>
              </w:rPr>
            </w:pPr>
            <w:r>
              <w:rPr>
                <w:rFonts w:hint="eastAsia" w:ascii="Times New Roman" w:hAnsi="Times New Roman" w:eastAsia="仿宋"/>
                <w:sz w:val="24"/>
                <w:szCs w:val="24"/>
                <w:vertAlign w:val="baseline"/>
                <w:lang w:val="en-US" w:eastAsia="zh-CN"/>
              </w:rPr>
              <w:t>池</w:t>
            </w:r>
          </w:p>
        </w:tc>
        <w:tc>
          <w:tcPr>
            <w:tcW w:w="1513" w:type="dxa"/>
            <w:noWrap w:val="0"/>
            <w:vAlign w:val="top"/>
          </w:tcPr>
          <w:p w14:paraId="10A7B555">
            <w:pPr>
              <w:spacing w:line="640" w:lineRule="exact"/>
              <w:rPr>
                <w:rFonts w:hint="default" w:ascii="Times New Roman" w:hAnsi="Times New Roman" w:eastAsia="仿宋"/>
                <w:sz w:val="24"/>
                <w:szCs w:val="24"/>
                <w:highlight w:val="yellow"/>
                <w:vertAlign w:val="baseline"/>
                <w:lang w:val="en-US" w:eastAsia="zh-CN"/>
              </w:rPr>
            </w:pPr>
            <w:r>
              <w:rPr>
                <w:rFonts w:hint="eastAsia" w:ascii="Times New Roman" w:hAnsi="Times New Roman" w:eastAsia="仿宋"/>
                <w:sz w:val="24"/>
                <w:szCs w:val="24"/>
                <w:highlight w:val="none"/>
                <w:vertAlign w:val="baseline"/>
                <w:lang w:val="en-US" w:eastAsia="zh-CN"/>
              </w:rPr>
              <w:t>4</w:t>
            </w:r>
          </w:p>
        </w:tc>
        <w:tc>
          <w:tcPr>
            <w:tcW w:w="3623" w:type="dxa"/>
            <w:noWrap w:val="0"/>
            <w:vAlign w:val="top"/>
          </w:tcPr>
          <w:p w14:paraId="0CEEADB2">
            <w:pPr>
              <w:spacing w:line="640" w:lineRule="exact"/>
              <w:rPr>
                <w:rFonts w:hint="eastAsia" w:ascii="Times New Roman" w:hAnsi="Times New Roman" w:eastAsia="仿宋"/>
                <w:sz w:val="24"/>
                <w:szCs w:val="24"/>
                <w:vertAlign w:val="baseline"/>
              </w:rPr>
            </w:pPr>
            <w:r>
              <w:rPr>
                <w:rFonts w:hint="eastAsia" w:ascii="Times New Roman" w:hAnsi="Times New Roman" w:eastAsia="仿宋"/>
                <w:sz w:val="24"/>
                <w:szCs w:val="24"/>
                <w:vertAlign w:val="baseline"/>
              </w:rPr>
              <w:t>每排模块下方拉通钢丝绳固定在池面两端风管上，每个生化池共计9排，需拉通18条钢丝绳</w:t>
            </w:r>
          </w:p>
        </w:tc>
      </w:tr>
      <w:tr w14:paraId="6AD9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noWrap w:val="0"/>
            <w:vAlign w:val="top"/>
          </w:tcPr>
          <w:p w14:paraId="0A60EEF7">
            <w:pPr>
              <w:spacing w:line="640" w:lineRule="exact"/>
              <w:rPr>
                <w:rFonts w:hint="eastAsia" w:ascii="Times New Roman" w:hAnsi="Times New Roman" w:eastAsia="仿宋"/>
                <w:b/>
                <w:bCs/>
                <w:sz w:val="24"/>
                <w:szCs w:val="24"/>
                <w:vertAlign w:val="baseline"/>
                <w:lang w:val="en-US" w:eastAsia="zh-CN"/>
              </w:rPr>
            </w:pPr>
            <w:r>
              <w:rPr>
                <w:rFonts w:hint="eastAsia" w:ascii="Times New Roman" w:hAnsi="Times New Roman" w:eastAsia="仿宋"/>
                <w:b/>
                <w:bCs/>
                <w:sz w:val="24"/>
                <w:szCs w:val="24"/>
                <w:vertAlign w:val="baseline"/>
                <w:lang w:val="en-US" w:eastAsia="zh-CN"/>
              </w:rPr>
              <w:t>注1：上述服务报价时应含处置旧模块费用</w:t>
            </w:r>
          </w:p>
          <w:p w14:paraId="74AA39F0">
            <w:pPr>
              <w:spacing w:line="640" w:lineRule="exact"/>
              <w:rPr>
                <w:rFonts w:hint="eastAsia" w:ascii="Times New Roman" w:hAnsi="Times New Roman" w:eastAsia="仿宋"/>
                <w:b w:val="0"/>
                <w:bCs w:val="0"/>
                <w:sz w:val="24"/>
                <w:szCs w:val="24"/>
                <w:vertAlign w:val="baseline"/>
                <w:lang w:val="en-US" w:eastAsia="zh-CN"/>
              </w:rPr>
            </w:pPr>
            <w:r>
              <w:rPr>
                <w:rFonts w:hint="eastAsia" w:ascii="Times New Roman" w:hAnsi="Times New Roman" w:eastAsia="仿宋"/>
                <w:b/>
                <w:bCs/>
                <w:sz w:val="24"/>
                <w:szCs w:val="24"/>
                <w:vertAlign w:val="baseline"/>
                <w:lang w:val="en-US" w:eastAsia="zh-CN"/>
              </w:rPr>
              <w:t>注2：</w:t>
            </w:r>
            <w:r>
              <w:rPr>
                <w:rFonts w:hint="eastAsia" w:ascii="Times New Roman" w:hAnsi="Times New Roman" w:eastAsia="仿宋"/>
                <w:b w:val="0"/>
                <w:bCs w:val="0"/>
                <w:sz w:val="24"/>
                <w:szCs w:val="24"/>
                <w:vertAlign w:val="baseline"/>
                <w:lang w:val="en-US" w:eastAsia="zh-CN"/>
              </w:rPr>
              <w:t>生物池模块运出地点为：</w:t>
            </w:r>
            <w:r>
              <w:rPr>
                <w:rFonts w:hint="eastAsia" w:ascii="Times New Roman" w:hAnsi="Times New Roman" w:eastAsia="仿宋"/>
                <w:b/>
                <w:bCs/>
                <w:sz w:val="24"/>
                <w:szCs w:val="24"/>
                <w:vertAlign w:val="baseline"/>
                <w:lang w:val="en-US" w:eastAsia="zh-CN"/>
              </w:rPr>
              <w:t>广东省深圳市龙华区桂月路5号</w:t>
            </w:r>
            <w:r>
              <w:rPr>
                <w:rFonts w:hint="eastAsia" w:ascii="Times New Roman" w:hAnsi="Times New Roman" w:eastAsia="仿宋"/>
                <w:b w:val="0"/>
                <w:bCs w:val="0"/>
                <w:sz w:val="24"/>
                <w:szCs w:val="24"/>
                <w:vertAlign w:val="baseline"/>
                <w:lang w:val="en-US" w:eastAsia="zh-CN"/>
              </w:rPr>
              <w:t>；</w:t>
            </w:r>
          </w:p>
          <w:p w14:paraId="3A87E1AE">
            <w:pPr>
              <w:spacing w:line="640" w:lineRule="exact"/>
              <w:rPr>
                <w:rFonts w:hint="default" w:ascii="Times New Roman" w:hAnsi="Times New Roman" w:eastAsia="仿宋"/>
                <w:b/>
                <w:bCs/>
                <w:sz w:val="24"/>
                <w:szCs w:val="24"/>
                <w:vertAlign w:val="baseline"/>
                <w:lang w:val="en-US" w:eastAsia="zh-CN"/>
              </w:rPr>
            </w:pPr>
            <w:r>
              <w:rPr>
                <w:rFonts w:hint="eastAsia" w:ascii="Times New Roman" w:hAnsi="Times New Roman" w:eastAsia="仿宋"/>
                <w:b w:val="0"/>
                <w:bCs w:val="0"/>
                <w:sz w:val="24"/>
                <w:szCs w:val="24"/>
                <w:vertAlign w:val="baseline"/>
                <w:lang w:val="en-US" w:eastAsia="zh-CN"/>
              </w:rPr>
              <w:t>生物池模块吊装地点为：</w:t>
            </w:r>
            <w:r>
              <w:rPr>
                <w:rFonts w:hint="eastAsia" w:ascii="Times New Roman" w:hAnsi="Times New Roman" w:eastAsia="仿宋"/>
                <w:b/>
                <w:bCs/>
                <w:sz w:val="24"/>
                <w:szCs w:val="24"/>
                <w:vertAlign w:val="baseline"/>
                <w:lang w:val="en-US" w:eastAsia="zh-CN"/>
              </w:rPr>
              <w:t>广东省深圳市龙华区观澜街道桂花路380号</w:t>
            </w:r>
          </w:p>
        </w:tc>
      </w:tr>
    </w:tbl>
    <w:p w14:paraId="49B94B6A">
      <w:pPr>
        <w:pStyle w:val="69"/>
        <w:spacing w:after="78" w:line="360" w:lineRule="auto"/>
        <w:ind w:left="0" w:leftChars="0" w:firstLine="480" w:firstLineChars="200"/>
      </w:pPr>
      <w:r>
        <w:rPr>
          <w:rFonts w:hint="eastAsia"/>
          <w:lang w:eastAsia="zh-Hans"/>
        </w:rPr>
        <w:t>上述金额</w:t>
      </w:r>
      <w:r>
        <w:rPr>
          <w:rFonts w:hint="eastAsia"/>
          <w:lang w:val="en-US" w:eastAsia="zh-CN"/>
        </w:rPr>
        <w:t>为合同总价</w:t>
      </w:r>
      <w:r>
        <w:rPr>
          <w:rFonts w:hint="eastAsia"/>
        </w:rPr>
        <w:t>，不限于材料费（需更换的相关模块和曝气板条及其配件由甲方提供）、人员工资和福利、技术服务费、评审费、保险、文本印刷费、差旅费、调研费、交通费、办公设施和设备、通讯设备、管理费、利润、税金等与本合同全部工作内容有关的一切费用。</w:t>
      </w:r>
    </w:p>
    <w:p w14:paraId="77F2CD19">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val="en-US" w:eastAsia="zh-CN"/>
        </w:rPr>
        <w:t>服务</w:t>
      </w:r>
      <w:r>
        <w:rPr>
          <w:rFonts w:hint="eastAsia" w:ascii="Times New Roman Regular" w:hAnsi="Times New Roman Regular" w:eastAsia="黑体" w:cs="Times New Roman Regular"/>
          <w:color w:val="000000"/>
          <w:kern w:val="0"/>
          <w:sz w:val="32"/>
          <w:szCs w:val="32"/>
          <w:lang w:eastAsia="zh-Hans"/>
        </w:rPr>
        <w:t>要求及技术标准</w:t>
      </w:r>
    </w:p>
    <w:p w14:paraId="4366E6C5">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2.1乙方所提供作业设备需符合国家相关标准，特种作业人员（如吊车司机、信号司索工）需持有效证书等</w:t>
      </w:r>
      <w:r>
        <w:rPr>
          <w:rFonts w:hint="eastAsia" w:ascii="宋体" w:hAnsi="宋体" w:cs="宋体"/>
          <w:sz w:val="24"/>
        </w:rPr>
        <w:t>，并完全符合强制性的国家技术质量规范和合同规定的质量、规格、性能和技术规范等的要求。</w:t>
      </w:r>
    </w:p>
    <w:p w14:paraId="0C925705">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2.2</w:t>
      </w:r>
      <w:r>
        <w:rPr>
          <w:rFonts w:hint="eastAsia" w:ascii="宋体" w:hAnsi="宋体" w:cs="宋体"/>
          <w:sz w:val="24"/>
        </w:rPr>
        <w:t>乙方对乙方承包范围内的全部服务的质量、安全、文明施工等负完全责任。</w:t>
      </w:r>
    </w:p>
    <w:p w14:paraId="64B2430A">
      <w:pPr>
        <w:widowControl/>
        <w:spacing w:after="78" w:line="360" w:lineRule="auto"/>
        <w:ind w:firstLine="480" w:firstLineChars="200"/>
        <w:rPr>
          <w:rFonts w:ascii="Times New Roman Regular" w:hAnsi="Times New Roman Regular" w:eastAsia="黑体" w:cs="Times New Roman Regular"/>
          <w:color w:val="000000"/>
          <w:kern w:val="0"/>
          <w:sz w:val="32"/>
          <w:szCs w:val="32"/>
          <w:lang w:eastAsia="zh-Hans"/>
        </w:rPr>
      </w:pPr>
      <w:r>
        <w:rPr>
          <w:rFonts w:hint="eastAsia" w:ascii="宋体" w:hAnsi="宋体" w:cs="宋体"/>
          <w:sz w:val="24"/>
          <w:lang w:val="en-US" w:eastAsia="zh-CN"/>
        </w:rPr>
        <w:t>2.3</w:t>
      </w:r>
      <w:r>
        <w:rPr>
          <w:rFonts w:hint="eastAsia" w:ascii="宋体" w:hAnsi="宋体" w:cs="宋体"/>
          <w:sz w:val="24"/>
        </w:rPr>
        <w:t>乙方应按有关规范、设计要求及甲方代表的指令进行</w:t>
      </w:r>
      <w:r>
        <w:rPr>
          <w:rFonts w:hint="eastAsia" w:ascii="宋体" w:hAnsi="宋体" w:cs="宋体"/>
          <w:sz w:val="24"/>
          <w:lang w:val="en-US" w:eastAsia="zh-CN"/>
        </w:rPr>
        <w:t>作业</w:t>
      </w:r>
      <w:r>
        <w:rPr>
          <w:rFonts w:hint="eastAsia" w:ascii="宋体" w:hAnsi="宋体" w:cs="宋体"/>
          <w:sz w:val="24"/>
        </w:rPr>
        <w:t>，随时</w:t>
      </w:r>
      <w:r>
        <w:rPr>
          <w:rFonts w:hint="eastAsia" w:ascii="宋体" w:hAnsi="宋体" w:cs="宋体"/>
          <w:sz w:val="24"/>
          <w:lang w:val="en-US" w:eastAsia="zh-CN"/>
        </w:rPr>
        <w:t>配合甲方要求作业和</w:t>
      </w:r>
      <w:r>
        <w:rPr>
          <w:rFonts w:hint="eastAsia" w:ascii="宋体" w:hAnsi="宋体" w:cs="宋体"/>
          <w:sz w:val="24"/>
        </w:rPr>
        <w:t>接受甲方的检查。</w:t>
      </w:r>
    </w:p>
    <w:p w14:paraId="4E5E92D8">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val="en-US" w:eastAsia="zh-CN"/>
        </w:rPr>
        <w:t>工期</w:t>
      </w:r>
    </w:p>
    <w:p w14:paraId="1CE85930">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3.1工期：本工程为间断性施工维修服务，总工期不超过40天。</w:t>
      </w:r>
    </w:p>
    <w:p w14:paraId="54623635">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3.2维修地点：深圳市龙华区观澜街道桂花路380号观澜河</w:t>
      </w:r>
      <w:r>
        <w:rPr>
          <w:rFonts w:hint="eastAsia"/>
          <w:spacing w:val="-1"/>
          <w:sz w:val="24"/>
        </w:rPr>
        <w:t>口调蓄池</w:t>
      </w:r>
      <w:r>
        <w:rPr>
          <w:spacing w:val="-1"/>
          <w:sz w:val="24"/>
        </w:rPr>
        <w:t>。</w:t>
      </w:r>
    </w:p>
    <w:p w14:paraId="4F18938A">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合同期限及结算方式</w:t>
      </w:r>
    </w:p>
    <w:p w14:paraId="0EE5F8AF">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1双方因本合同发生的一切费用均以人民币结算及支付。</w:t>
      </w:r>
    </w:p>
    <w:p w14:paraId="2782122A">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2卖方的账户名称、开户银行及帐号以本合同提供的为准。</w:t>
      </w:r>
    </w:p>
    <w:p w14:paraId="43FF9EC3">
      <w:pPr>
        <w:widowControl/>
        <w:spacing w:after="78" w:line="360" w:lineRule="auto"/>
        <w:ind w:firstLine="480" w:firstLineChars="200"/>
        <w:rPr>
          <w:rFonts w:hint="eastAsia" w:ascii="宋体" w:hAnsi="宋体" w:cs="宋体"/>
          <w:sz w:val="24"/>
        </w:rPr>
      </w:pPr>
      <w:r>
        <w:rPr>
          <w:rFonts w:hint="eastAsia" w:ascii="宋体" w:hAnsi="宋体" w:cs="宋体"/>
          <w:sz w:val="24"/>
        </w:rPr>
        <w:t>卖方开户行和账号</w:t>
      </w:r>
    </w:p>
    <w:p w14:paraId="407A7FF2">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开户银行：                                                                 </w:t>
      </w:r>
    </w:p>
    <w:p w14:paraId="368B5057">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户    名：                                                                  </w:t>
      </w:r>
    </w:p>
    <w:p w14:paraId="1995E2E3">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帐    号：                                     </w:t>
      </w:r>
    </w:p>
    <w:p w14:paraId="262DEAAB">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3.3</w:t>
      </w:r>
      <w:r>
        <w:rPr>
          <w:rFonts w:hint="eastAsia" w:ascii="宋体" w:hAnsi="宋体" w:cs="宋体"/>
          <w:sz w:val="24"/>
        </w:rPr>
        <w:t>付款方式</w:t>
      </w:r>
    </w:p>
    <w:p w14:paraId="6B24F910">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乙方完成维修更换并在甲方验收合格后支付合同总价100%，乙方提供有效【】%增值税专用发票及相关请款材料后甲方向乙方付款，由于乙方未提供付款申请材料的，付款时间相应顺延，甲方无需承担逾期付款的违约责任</w:t>
      </w:r>
      <w:r>
        <w:rPr>
          <w:rFonts w:hint="eastAsia" w:ascii="宋体" w:hAnsi="宋体" w:cs="宋体"/>
          <w:sz w:val="24"/>
        </w:rPr>
        <w:t>。</w:t>
      </w:r>
    </w:p>
    <w:p w14:paraId="42D86D7B">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val="en-US" w:eastAsia="zh-CN"/>
        </w:rPr>
        <w:t>验收</w:t>
      </w:r>
    </w:p>
    <w:p w14:paraId="70645FFF">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5.1乙方在维修更换过程中发现其他（维修计划以外）的故障，必须及时将情况反映给甲方，在取得甲方同意后方可继续维修。</w:t>
      </w:r>
    </w:p>
    <w:p w14:paraId="1179D659">
      <w:pPr>
        <w:widowControl/>
        <w:spacing w:after="78" w:line="360" w:lineRule="auto"/>
        <w:ind w:firstLine="480" w:firstLineChars="200"/>
        <w:rPr>
          <w:rFonts w:hint="eastAsia" w:ascii="宋体" w:hAnsi="宋体" w:cs="宋体"/>
          <w:sz w:val="24"/>
          <w:lang w:val="en-US" w:eastAsia="zh-Hans"/>
        </w:rPr>
      </w:pPr>
      <w:r>
        <w:rPr>
          <w:rFonts w:hint="eastAsia" w:ascii="宋体" w:hAnsi="宋体" w:cs="宋体"/>
          <w:sz w:val="24"/>
          <w:lang w:val="en-US" w:eastAsia="zh-CN"/>
        </w:rPr>
        <w:t>5.2对甲方设备乙方在维修更换过程中，能不更换的零部件尽量不予更换，确实不能修复或修复不经济的零部件，在征得甲方同意后方可更换</w:t>
      </w:r>
    </w:p>
    <w:p w14:paraId="6DA1C2D1">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val="en-US" w:eastAsia="zh-CN"/>
        </w:rPr>
        <w:t>双方权利</w:t>
      </w:r>
      <w:r>
        <w:rPr>
          <w:rFonts w:hint="eastAsia" w:ascii="Times New Roman Regular" w:hAnsi="Times New Roman Regular" w:eastAsia="黑体" w:cs="Times New Roman Regular"/>
          <w:color w:val="000000"/>
          <w:kern w:val="0"/>
          <w:sz w:val="32"/>
          <w:szCs w:val="32"/>
          <w:lang w:eastAsia="zh-Hans"/>
        </w:rPr>
        <w:t>和义务</w:t>
      </w:r>
    </w:p>
    <w:p w14:paraId="61A7D88B">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6.1乙方有责任按本合同的要求，按时、保质、保量地提供合同修复服务。</w:t>
      </w:r>
    </w:p>
    <w:p w14:paraId="7F2B29A1">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6.2乙方维修应保证满足甲方对技术(质量)、数量要求，对有缺陷的零件、部件乙方同意免费修复，以达到合同规定的规格、质量和性能。</w:t>
      </w:r>
    </w:p>
    <w:p w14:paraId="35E8FD3A">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6.3在甲、乙双方约定的质量保证时间内，因维修质量造成的机械事故和经济损失，由乙方全部负责。</w:t>
      </w:r>
    </w:p>
    <w:p w14:paraId="464757BC">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6.4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39FDB3F2">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6.5甲方负责对乙方维修进行质量监督和验收。</w:t>
      </w:r>
    </w:p>
    <w:p w14:paraId="74F469CD">
      <w:pPr>
        <w:widowControl/>
        <w:spacing w:after="78" w:line="360" w:lineRule="auto"/>
        <w:ind w:firstLine="480" w:firstLineChars="200"/>
        <w:rPr>
          <w:rFonts w:hint="default" w:ascii="宋体" w:hAnsi="宋体" w:cs="宋体"/>
          <w:sz w:val="24"/>
          <w:lang w:val="en-US" w:eastAsia="zh-Hans"/>
        </w:rPr>
      </w:pPr>
      <w:r>
        <w:rPr>
          <w:rFonts w:hint="eastAsia" w:ascii="宋体" w:hAnsi="宋体" w:cs="宋体"/>
          <w:sz w:val="24"/>
          <w:lang w:val="en-US" w:eastAsia="zh-CN"/>
        </w:rPr>
        <w:t>6.5甲方应及时提供维修所需配件，因甲方原因导致工期延误，乙方不承担违约责任。</w:t>
      </w:r>
    </w:p>
    <w:p w14:paraId="5F8BCC97">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违约责任</w:t>
      </w:r>
    </w:p>
    <w:p w14:paraId="69BF5ED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1.在合同履约过程中一方违约时，由其承担给对方造成的相应损失。</w:t>
      </w:r>
    </w:p>
    <w:p w14:paraId="0D2C935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2.甲方付款前，乙方应向甲方提供足额的当期发票和相关付款申请材料，乙方不提供或不及时提供发票和相关付款申请材料期间，甲方拒付货款不承担任何违约责任。</w:t>
      </w:r>
    </w:p>
    <w:p w14:paraId="15D00B8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3.若乙方在本合同规定的</w:t>
      </w:r>
      <w:r>
        <w:rPr>
          <w:rFonts w:hint="eastAsia" w:ascii="宋体" w:hAnsi="宋体" w:cs="宋体"/>
          <w:sz w:val="24"/>
          <w:lang w:val="en-US" w:eastAsia="zh-CN"/>
        </w:rPr>
        <w:t>响应</w:t>
      </w:r>
      <w:r>
        <w:rPr>
          <w:rFonts w:hint="eastAsia" w:ascii="宋体" w:hAnsi="宋体" w:cs="宋体"/>
          <w:sz w:val="24"/>
          <w:lang w:eastAsia="zh-Hans"/>
        </w:rPr>
        <w:t>时间内未经甲方同意而不能按</w:t>
      </w:r>
      <w:r>
        <w:rPr>
          <w:rFonts w:hint="eastAsia" w:ascii="宋体" w:hAnsi="宋体" w:cs="宋体"/>
          <w:sz w:val="24"/>
          <w:lang w:val="en-US" w:eastAsia="zh-CN"/>
        </w:rPr>
        <w:t>时提供吊装作业服务的</w:t>
      </w:r>
      <w:r>
        <w:rPr>
          <w:rFonts w:hint="eastAsia" w:ascii="宋体" w:hAnsi="宋体" w:cs="宋体"/>
          <w:sz w:val="24"/>
          <w:lang w:eastAsia="zh-Hans"/>
        </w:rPr>
        <w:t>，则每延迟一天甲方有权向乙方处以每日该</w:t>
      </w:r>
      <w:r>
        <w:rPr>
          <w:rFonts w:hint="eastAsia" w:ascii="宋体" w:hAnsi="宋体" w:cs="宋体"/>
          <w:sz w:val="24"/>
          <w:lang w:val="en-US" w:eastAsia="zh-CN"/>
        </w:rPr>
        <w:t>班</w:t>
      </w:r>
      <w:r>
        <w:rPr>
          <w:rFonts w:hint="eastAsia" w:ascii="宋体" w:hAnsi="宋体" w:cs="宋体"/>
          <w:sz w:val="24"/>
          <w:lang w:eastAsia="zh-Hans"/>
        </w:rPr>
        <w:t>次</w:t>
      </w:r>
      <w:r>
        <w:rPr>
          <w:rFonts w:hint="eastAsia" w:ascii="宋体" w:hAnsi="宋体" w:cs="宋体"/>
          <w:sz w:val="24"/>
          <w:lang w:val="en-US" w:eastAsia="zh-CN"/>
        </w:rPr>
        <w:t>吊装服务</w:t>
      </w:r>
      <w:r>
        <w:rPr>
          <w:rFonts w:hint="eastAsia" w:ascii="宋体" w:hAnsi="宋体" w:cs="宋体"/>
          <w:sz w:val="24"/>
          <w:lang w:eastAsia="zh-Hans"/>
        </w:rPr>
        <w:t>总额的</w:t>
      </w:r>
      <w:r>
        <w:rPr>
          <w:rFonts w:hint="eastAsia" w:ascii="宋体" w:hAnsi="宋体" w:cs="宋体"/>
          <w:sz w:val="24"/>
          <w:lang w:val="en-US" w:eastAsia="zh-CN"/>
        </w:rPr>
        <w:t>5</w:t>
      </w:r>
      <w:r>
        <w:rPr>
          <w:rFonts w:hint="eastAsia" w:ascii="宋体" w:hAnsi="宋体" w:cs="宋体"/>
          <w:sz w:val="24"/>
          <w:lang w:eastAsia="zh-Hans"/>
        </w:rPr>
        <w:t>%的罚款，超过</w:t>
      </w:r>
      <w:r>
        <w:rPr>
          <w:rFonts w:hint="eastAsia" w:ascii="宋体" w:hAnsi="宋体" w:cs="宋体"/>
          <w:sz w:val="24"/>
          <w:lang w:val="en-US" w:eastAsia="zh-CN"/>
        </w:rPr>
        <w:t>3</w:t>
      </w:r>
      <w:r>
        <w:rPr>
          <w:rFonts w:hint="eastAsia" w:ascii="宋体" w:hAnsi="宋体" w:cs="宋体"/>
          <w:sz w:val="24"/>
          <w:lang w:eastAsia="zh-Hans"/>
        </w:rPr>
        <w:t>天加倍处罚。若乙方在本合同规定的</w:t>
      </w:r>
      <w:r>
        <w:rPr>
          <w:rFonts w:hint="eastAsia" w:ascii="宋体" w:hAnsi="宋体" w:cs="宋体"/>
          <w:sz w:val="24"/>
          <w:lang w:val="en-US" w:eastAsia="zh-CN"/>
        </w:rPr>
        <w:t>响应时间</w:t>
      </w:r>
      <w:r>
        <w:rPr>
          <w:rFonts w:hint="eastAsia" w:ascii="宋体" w:hAnsi="宋体" w:cs="宋体"/>
          <w:sz w:val="24"/>
          <w:lang w:eastAsia="zh-Hans"/>
        </w:rPr>
        <w:t>延迟</w:t>
      </w:r>
      <w:r>
        <w:rPr>
          <w:rFonts w:hint="eastAsia" w:ascii="宋体" w:hAnsi="宋体" w:cs="宋体"/>
          <w:sz w:val="24"/>
          <w:lang w:val="en-US" w:eastAsia="zh-CN"/>
        </w:rPr>
        <w:t>6</w:t>
      </w:r>
      <w:r>
        <w:rPr>
          <w:rFonts w:hint="eastAsia" w:ascii="宋体" w:hAnsi="宋体" w:cs="宋体"/>
          <w:sz w:val="24"/>
          <w:lang w:eastAsia="zh-Hans"/>
        </w:rPr>
        <w:t>天仍然不能</w:t>
      </w:r>
      <w:r>
        <w:rPr>
          <w:rFonts w:hint="eastAsia" w:ascii="宋体" w:hAnsi="宋体" w:cs="宋体"/>
          <w:sz w:val="24"/>
          <w:lang w:val="en-US" w:eastAsia="zh-CN"/>
        </w:rPr>
        <w:t>提供吊装服务的</w:t>
      </w:r>
      <w:r>
        <w:rPr>
          <w:rFonts w:hint="eastAsia" w:ascii="宋体" w:hAnsi="宋体" w:cs="宋体"/>
          <w:sz w:val="24"/>
          <w:lang w:eastAsia="zh-Hans"/>
        </w:rPr>
        <w:t>，则甲方有权终止合同，并有权按采购总价</w:t>
      </w:r>
      <w:r>
        <w:rPr>
          <w:rFonts w:hint="eastAsia" w:ascii="宋体" w:hAnsi="宋体" w:cs="宋体"/>
          <w:sz w:val="24"/>
          <w:lang w:val="en-US" w:eastAsia="zh-CN"/>
        </w:rPr>
        <w:t>2</w:t>
      </w:r>
      <w:r>
        <w:rPr>
          <w:rFonts w:hint="eastAsia" w:ascii="宋体" w:hAnsi="宋体" w:cs="宋体"/>
          <w:sz w:val="24"/>
          <w:lang w:eastAsia="zh-Hans"/>
        </w:rPr>
        <w:t>0% 追究违约金及由此为甲方带来的一切经济损失。</w:t>
      </w:r>
    </w:p>
    <w:p w14:paraId="141B961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6.按合同规定应赔付的违约金，赔偿及其他经济损失，应当在明确责任后15日内付给对方，否则按逾期付款处理。</w:t>
      </w:r>
    </w:p>
    <w:p w14:paraId="2483293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8.一方因追究违约方法律责任而支付的案件受理费、保全费、执行费、公告费、律师费、保全担保费/保险费、公证费，由违约方承担。</w:t>
      </w:r>
    </w:p>
    <w:p w14:paraId="56D2138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bookmarkStart w:id="7" w:name="_Toc17163"/>
      <w:r>
        <w:rPr>
          <w:rFonts w:hint="eastAsia" w:ascii="Times New Roman Regular" w:hAnsi="Times New Roman Regular" w:eastAsia="黑体" w:cs="Times New Roman Regular"/>
          <w:color w:val="000000"/>
          <w:kern w:val="0"/>
          <w:sz w:val="32"/>
          <w:szCs w:val="32"/>
          <w:lang w:eastAsia="zh-Hans"/>
        </w:rPr>
        <w:t>保密</w:t>
      </w:r>
    </w:p>
    <w:p w14:paraId="5444F4DE">
      <w:pPr>
        <w:widowControl/>
        <w:spacing w:after="78" w:line="360" w:lineRule="auto"/>
        <w:ind w:firstLine="480" w:firstLineChars="200"/>
        <w:rPr>
          <w:rFonts w:hint="eastAsia" w:ascii="宋体" w:hAnsi="宋体" w:cs="宋体"/>
          <w:sz w:val="24"/>
          <w:lang w:eastAsia="zh-Hans"/>
        </w:rPr>
      </w:pPr>
      <w:bookmarkStart w:id="8" w:name="_Toc201719108"/>
      <w:bookmarkStart w:id="9" w:name="_Toc201742849"/>
      <w:bookmarkStart w:id="10" w:name="_Toc201743104"/>
      <w:bookmarkStart w:id="11" w:name="_Toc199215936"/>
      <w:bookmarkStart w:id="12" w:name="_Toc201401648"/>
      <w:bookmarkStart w:id="13" w:name="_Toc199213733"/>
      <w:bookmarkStart w:id="14" w:name="_Toc199215768"/>
      <w:bookmarkStart w:id="15" w:name="_Toc201997932"/>
      <w:r>
        <w:rPr>
          <w:rFonts w:hint="eastAsia" w:ascii="宋体" w:hAnsi="宋体" w:cs="宋体"/>
          <w:sz w:val="24"/>
          <w:lang w:eastAsia="zh-Hans"/>
        </w:rPr>
        <w:t>对于在合同履行过程中所获得或知悉的、关于甲方的所有未公开的信息、商业秘密（包括项目信息、资料、人力资源等），乙方及其员工均负有保密义务，否则应赔偿人民币</w:t>
      </w:r>
      <w:r>
        <w:rPr>
          <w:rFonts w:hint="eastAsia" w:ascii="宋体" w:hAnsi="宋体" w:cs="宋体"/>
          <w:sz w:val="24"/>
          <w:lang w:val="en-US" w:eastAsia="zh-CN"/>
        </w:rPr>
        <w:t>1</w:t>
      </w:r>
      <w:r>
        <w:rPr>
          <w:rFonts w:hint="eastAsia" w:ascii="宋体" w:hAnsi="宋体" w:cs="宋体"/>
          <w:sz w:val="24"/>
          <w:lang w:eastAsia="zh-Hans"/>
        </w:rPr>
        <w:t>万元。保密期限，自乙方知悉该资料或信息之日起至公众可通过合法途径获得、知悉相关资料、信息之日止。</w:t>
      </w:r>
    </w:p>
    <w:bookmarkEnd w:id="8"/>
    <w:bookmarkEnd w:id="9"/>
    <w:bookmarkEnd w:id="10"/>
    <w:bookmarkEnd w:id="11"/>
    <w:bookmarkEnd w:id="12"/>
    <w:bookmarkEnd w:id="13"/>
    <w:bookmarkEnd w:id="14"/>
    <w:bookmarkEnd w:id="15"/>
    <w:p w14:paraId="390A445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bookmarkStart w:id="16" w:name="_Toc201742856"/>
      <w:bookmarkStart w:id="17" w:name="_Toc199213740"/>
      <w:bookmarkStart w:id="18" w:name="_Toc199215943"/>
      <w:bookmarkStart w:id="19" w:name="_Toc201997939"/>
      <w:bookmarkStart w:id="20" w:name="_Toc199215775"/>
      <w:bookmarkStart w:id="21" w:name="_Toc201719115"/>
      <w:bookmarkStart w:id="22" w:name="_Toc201401655"/>
      <w:bookmarkStart w:id="23" w:name="_Toc201743111"/>
      <w:r>
        <w:rPr>
          <w:rFonts w:hint="eastAsia" w:ascii="Times New Roman Regular" w:hAnsi="Times New Roman Regular" w:eastAsia="黑体" w:cs="Times New Roman Regular"/>
          <w:color w:val="000000"/>
          <w:kern w:val="0"/>
          <w:sz w:val="32"/>
          <w:szCs w:val="32"/>
          <w:lang w:eastAsia="zh-Hans"/>
        </w:rPr>
        <w:t>不可抗力</w:t>
      </w:r>
    </w:p>
    <w:p w14:paraId="59ED6AE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1.由于不可抗力的原因，一方不能履行合同义务的，应当在不可抗力发生之日起3天内以书面形式通知对方，并提供证明材料证明不可抗力事件的存在。</w:t>
      </w:r>
    </w:p>
    <w:p w14:paraId="042A952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2.不可抗力事件发生后，双方应当积极寻求以合理的方式履行本合同。如不可抗力无法消除，致使合同目的无法实现的，双方均有权解除合同，且均不互相追究违约责任。</w:t>
      </w:r>
    </w:p>
    <w:p w14:paraId="70A7E6D5">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合同生效</w:t>
      </w:r>
    </w:p>
    <w:p w14:paraId="744F5D0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本合同一式【肆】份，双方各执【贰】份，经双方法定代表人或授权代表签字并加盖合同章（或公章）后生效，合同生效日期以最后一方签字盖章日为准。</w:t>
      </w:r>
    </w:p>
    <w:p w14:paraId="23B0EC3A">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其他约定事项</w:t>
      </w:r>
      <w:bookmarkEnd w:id="16"/>
      <w:bookmarkEnd w:id="17"/>
      <w:bookmarkEnd w:id="18"/>
      <w:bookmarkEnd w:id="19"/>
      <w:bookmarkEnd w:id="20"/>
      <w:bookmarkEnd w:id="21"/>
      <w:bookmarkEnd w:id="22"/>
      <w:bookmarkEnd w:id="23"/>
    </w:p>
    <w:p w14:paraId="72472C3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1.本合同未尽事宜，按照采购文件的有关规定、中标人/中选人的中标文件/成交通知书及其澄清、说明或者补正文件执行。</w:t>
      </w:r>
    </w:p>
    <w:p w14:paraId="2F773EB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2.本合同中的附件由《供应商廉洁协议书》</w:t>
      </w:r>
      <w:r>
        <w:rPr>
          <w:rFonts w:hint="eastAsia" w:ascii="宋体" w:hAnsi="宋体" w:cs="宋体"/>
          <w:sz w:val="24"/>
          <w:lang w:eastAsia="zh-CN"/>
        </w:rPr>
        <w:t>《</w:t>
      </w:r>
      <w:r>
        <w:rPr>
          <w:rFonts w:hint="eastAsia" w:ascii="宋体" w:hAnsi="宋体" w:cs="宋体"/>
          <w:sz w:val="24"/>
          <w:lang w:val="en-US" w:eastAsia="zh-CN"/>
        </w:rPr>
        <w:t>安全生产协议</w:t>
      </w:r>
      <w:r>
        <w:rPr>
          <w:rFonts w:hint="eastAsia" w:ascii="宋体" w:hAnsi="宋体" w:cs="宋体"/>
          <w:sz w:val="24"/>
          <w:lang w:eastAsia="zh-CN"/>
        </w:rPr>
        <w:t>》</w:t>
      </w:r>
      <w:r>
        <w:rPr>
          <w:rFonts w:hint="eastAsia" w:ascii="宋体" w:hAnsi="宋体" w:cs="宋体"/>
          <w:sz w:val="24"/>
          <w:lang w:eastAsia="zh-Hans"/>
        </w:rPr>
        <w:t>组成，均为本合同不可分割的部分，与本合同具有相同的法律效力。</w:t>
      </w:r>
    </w:p>
    <w:p w14:paraId="0CAE20D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3.一方当事人未经另一方书面同意，不得将其合同项下的权利和义务全部或部分转让给第三方。</w:t>
      </w:r>
    </w:p>
    <w:p w14:paraId="0F2EA596">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4.在执行合同过程中，所有经双方签署确认的文件（包括会议纪要、补充协议、往来信函）即成为本合同的有效组成部分，其生效日期为双方签字盖章确认的日期。    </w:t>
      </w:r>
    </w:p>
    <w:p w14:paraId="6A535A2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5.因履行本合同产生的争议由双方协商解决，协商不成的，任何一方均可向买方所在地有管辖权的人民法院提起诉讼。</w:t>
      </w:r>
    </w:p>
    <w:p w14:paraId="1AB58925">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条 合同附件</w:t>
      </w:r>
      <w:bookmarkEnd w:id="7"/>
    </w:p>
    <w:p w14:paraId="415B0C29">
      <w:pPr>
        <w:widowControl/>
        <w:spacing w:after="78" w:line="360" w:lineRule="auto"/>
        <w:ind w:firstLine="480" w:firstLineChars="200"/>
        <w:rPr>
          <w:rFonts w:hint="eastAsia" w:ascii="宋体" w:hAnsi="宋体" w:cs="宋体"/>
          <w:sz w:val="24"/>
        </w:rPr>
      </w:pPr>
      <w:r>
        <w:rPr>
          <w:rFonts w:hint="eastAsia" w:ascii="宋体" w:hAnsi="宋体" w:cs="宋体"/>
          <w:sz w:val="24"/>
          <w:lang w:eastAsia="zh-Hans"/>
        </w:rPr>
        <w:t>附件1：供应商廉洁协议书</w:t>
      </w:r>
    </w:p>
    <w:p w14:paraId="3DC59F5C">
      <w:pPr>
        <w:widowControl/>
        <w:spacing w:after="78" w:line="360" w:lineRule="auto"/>
        <w:ind w:firstLine="480" w:firstLineChars="200"/>
        <w:jc w:val="center"/>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30E6EB30">
        <w:tblPrEx>
          <w:tblCellMar>
            <w:top w:w="0" w:type="dxa"/>
            <w:left w:w="108" w:type="dxa"/>
            <w:bottom w:w="0" w:type="dxa"/>
            <w:right w:w="108" w:type="dxa"/>
          </w:tblCellMar>
        </w:tblPrEx>
        <w:trPr>
          <w:trHeight w:val="1271" w:hRule="exact"/>
          <w:jc w:val="center"/>
        </w:trPr>
        <w:tc>
          <w:tcPr>
            <w:tcW w:w="4389" w:type="dxa"/>
          </w:tcPr>
          <w:p w14:paraId="617F5D7E">
            <w:pPr>
              <w:spacing w:before="156" w:beforeLines="50" w:afterLines="0" w:line="24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6E329924">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2629E946">
            <w:pPr>
              <w:spacing w:before="156" w:beforeLines="50" w:after="78" w:line="360" w:lineRule="auto"/>
              <w:rPr>
                <w:rFonts w:hint="eastAsia" w:ascii="宋体" w:hAnsi="宋体" w:cs="宋体"/>
                <w:color w:val="000000"/>
                <w:sz w:val="28"/>
                <w:szCs w:val="28"/>
                <w:lang w:eastAsia="zh-Hans"/>
              </w:rPr>
            </w:pPr>
          </w:p>
        </w:tc>
      </w:tr>
      <w:tr w14:paraId="4548964A">
        <w:tblPrEx>
          <w:tblCellMar>
            <w:top w:w="0" w:type="dxa"/>
            <w:left w:w="108" w:type="dxa"/>
            <w:bottom w:w="0" w:type="dxa"/>
            <w:right w:w="108" w:type="dxa"/>
          </w:tblCellMar>
        </w:tblPrEx>
        <w:trPr>
          <w:trHeight w:val="1171" w:hRule="atLeast"/>
          <w:jc w:val="center"/>
        </w:trPr>
        <w:tc>
          <w:tcPr>
            <w:tcW w:w="4389" w:type="dxa"/>
          </w:tcPr>
          <w:p w14:paraId="25D9523A">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1D3440FB">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78ADA2B7">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384835E6">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73B64A1D">
        <w:tblPrEx>
          <w:tblCellMar>
            <w:top w:w="0" w:type="dxa"/>
            <w:left w:w="108" w:type="dxa"/>
            <w:bottom w:w="0" w:type="dxa"/>
            <w:right w:w="108" w:type="dxa"/>
          </w:tblCellMar>
        </w:tblPrEx>
        <w:trPr>
          <w:jc w:val="center"/>
        </w:trPr>
        <w:tc>
          <w:tcPr>
            <w:tcW w:w="4389" w:type="dxa"/>
          </w:tcPr>
          <w:p w14:paraId="0CBA77A4">
            <w:pPr>
              <w:spacing w:before="156" w:beforeLines="50" w:after="78" w:line="360" w:lineRule="auto"/>
              <w:rPr>
                <w:rFonts w:hint="eastAsia" w:ascii="宋体" w:hAnsi="宋体" w:cs="宋体"/>
                <w:color w:val="000000"/>
                <w:sz w:val="28"/>
                <w:szCs w:val="28"/>
                <w:lang w:eastAsia="zh-Hans"/>
              </w:rPr>
            </w:pPr>
          </w:p>
        </w:tc>
        <w:tc>
          <w:tcPr>
            <w:tcW w:w="4389" w:type="dxa"/>
          </w:tcPr>
          <w:p w14:paraId="688C917D">
            <w:pPr>
              <w:spacing w:before="156" w:beforeLines="50" w:after="78" w:line="360" w:lineRule="auto"/>
              <w:rPr>
                <w:rFonts w:hint="eastAsia" w:ascii="宋体" w:hAnsi="宋体" w:cs="宋体"/>
                <w:color w:val="000000"/>
                <w:sz w:val="28"/>
                <w:szCs w:val="28"/>
                <w:lang w:eastAsia="zh-Hans"/>
              </w:rPr>
            </w:pPr>
          </w:p>
        </w:tc>
      </w:tr>
      <w:tr w14:paraId="718E4C02">
        <w:tblPrEx>
          <w:tblCellMar>
            <w:top w:w="0" w:type="dxa"/>
            <w:left w:w="108" w:type="dxa"/>
            <w:bottom w:w="0" w:type="dxa"/>
            <w:right w:w="108" w:type="dxa"/>
          </w:tblCellMar>
        </w:tblPrEx>
        <w:trPr>
          <w:jc w:val="center"/>
        </w:trPr>
        <w:tc>
          <w:tcPr>
            <w:tcW w:w="4389" w:type="dxa"/>
          </w:tcPr>
          <w:p w14:paraId="3346355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27793FB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7B06E494">
      <w:pPr>
        <w:spacing w:after="78"/>
        <w:rPr>
          <w:rFonts w:hint="eastAsia" w:ascii="宋体" w:hAnsi="宋体" w:cs="宋体"/>
          <w:sz w:val="28"/>
          <w:szCs w:val="28"/>
        </w:rPr>
      </w:pPr>
      <w:bookmarkStart w:id="24" w:name="_Hlk111222939"/>
      <w:r>
        <w:rPr>
          <w:rFonts w:hint="eastAsia" w:ascii="宋体" w:hAnsi="宋体" w:cs="宋体"/>
          <w:sz w:val="28"/>
          <w:szCs w:val="28"/>
        </w:rPr>
        <w:br w:type="page"/>
      </w:r>
    </w:p>
    <w:p w14:paraId="527C0BB5">
      <w:pPr>
        <w:pStyle w:val="3"/>
        <w:spacing w:after="78"/>
      </w:pPr>
      <w:r>
        <w:rPr>
          <w:rFonts w:hint="eastAsia"/>
        </w:rPr>
        <w:t>附件1：供应商廉洁协议书</w:t>
      </w:r>
    </w:p>
    <w:p w14:paraId="7BDA080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7672D63F">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2E9229B2">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385660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4BD98A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5896FA57">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330EBF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57C6776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73DF894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A240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28A3D57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30403E5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BA49E3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555B10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24"/>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98B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2375B469">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596E992">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7F58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38B549C1">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DDB40FD">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5530DECB">
      <w:pPr>
        <w:pStyle w:val="3"/>
        <w:spacing w:before="100" w:after="78"/>
        <w:jc w:val="left"/>
        <w:outlineLvl w:val="0"/>
        <w:rPr>
          <w:rFonts w:hint="eastAsia" w:ascii="Arial" w:eastAsia="黑体" w:cs="Times New Roman"/>
        </w:rPr>
      </w:pPr>
      <w:r>
        <w:rPr>
          <w:rFonts w:hint="eastAsia" w:ascii="宋体" w:hAnsi="宋体" w:cs="宋体"/>
          <w:sz w:val="28"/>
          <w:szCs w:val="28"/>
        </w:rPr>
        <w:br w:type="page"/>
      </w:r>
      <w:bookmarkStart w:id="25" w:name="_Hlk179877024"/>
      <w:r>
        <w:rPr>
          <w:rFonts w:hint="eastAsia" w:ascii="Arial" w:eastAsia="黑体" w:cs="Times New Roman"/>
        </w:rPr>
        <w:t>附件2：安全生产协议</w:t>
      </w:r>
    </w:p>
    <w:p w14:paraId="4EE00210">
      <w:pPr>
        <w:pStyle w:val="73"/>
        <w:spacing w:after="78" w:line="540" w:lineRule="exact"/>
        <w:ind w:firstLine="0"/>
        <w:jc w:val="center"/>
        <w:rPr>
          <w:rFonts w:hint="eastAsia" w:eastAsia="PMingLiU" w:asciiTheme="minorEastAsia" w:hAnsiTheme="minorEastAsia" w:cstheme="minorEastAsia"/>
          <w:b/>
          <w:sz w:val="36"/>
          <w:szCs w:val="36"/>
        </w:rPr>
      </w:pPr>
    </w:p>
    <w:p w14:paraId="02BC045F">
      <w:pPr>
        <w:pStyle w:val="73"/>
        <w:spacing w:after="78" w:line="540" w:lineRule="exact"/>
        <w:ind w:firstLine="0"/>
        <w:jc w:val="center"/>
        <w:rPr>
          <w:rFonts w:hint="eastAsia" w:eastAsia="PMingLiU" w:asciiTheme="minorEastAsia" w:hAnsiTheme="minorEastAsia" w:cstheme="minorEastAsia"/>
          <w:b/>
          <w:sz w:val="36"/>
          <w:szCs w:val="36"/>
        </w:rPr>
      </w:pPr>
      <w:r>
        <w:rPr>
          <w:rFonts w:hint="eastAsia" w:asciiTheme="minorEastAsia" w:hAnsiTheme="minorEastAsia" w:cstheme="minorEastAsia"/>
          <w:b/>
          <w:sz w:val="36"/>
          <w:szCs w:val="36"/>
        </w:rPr>
        <w:t>安全生产</w:t>
      </w:r>
      <w:r>
        <w:rPr>
          <w:rFonts w:hint="eastAsia" w:asciiTheme="minorEastAsia" w:hAnsiTheme="minorEastAsia" w:eastAsiaTheme="minorEastAsia" w:cstheme="minorEastAsia"/>
          <w:b/>
          <w:sz w:val="36"/>
          <w:szCs w:val="36"/>
        </w:rPr>
        <w:t>协议</w:t>
      </w:r>
    </w:p>
    <w:p w14:paraId="02005ADA">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甲方：</w:t>
      </w:r>
      <w:r>
        <w:rPr>
          <w:rFonts w:hint="eastAsia" w:asciiTheme="minorEastAsia" w:hAnsiTheme="minorEastAsia"/>
          <w:sz w:val="24"/>
          <w:lang w:eastAsia="zh-CN"/>
        </w:rPr>
        <w:t xml:space="preserve">                         </w:t>
      </w:r>
      <w:r>
        <w:rPr>
          <w:rFonts w:hint="eastAsia" w:asciiTheme="minorEastAsia" w:hAnsiTheme="minorEastAsia"/>
          <w:sz w:val="24"/>
        </w:rPr>
        <w:t xml:space="preserve"> </w:t>
      </w:r>
    </w:p>
    <w:p w14:paraId="62AA025C">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乙方：</w:t>
      </w:r>
      <w:r>
        <w:rPr>
          <w:rFonts w:hint="eastAsia" w:asciiTheme="minorEastAsia" w:hAnsiTheme="minorEastAsia" w:eastAsiaTheme="minorEastAsia" w:cstheme="minorEastAsia"/>
          <w:sz w:val="24"/>
          <w:szCs w:val="24"/>
          <w:lang w:val="en-US" w:eastAsia="zh-CN"/>
        </w:rPr>
        <w:t xml:space="preserve">                         </w:t>
      </w:r>
    </w:p>
    <w:p w14:paraId="2F2977D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4E7E918">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项目内容</w:t>
      </w:r>
    </w:p>
    <w:p w14:paraId="2FE62412">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1、项目名称：</w:t>
      </w:r>
      <w:r>
        <w:rPr>
          <w:rFonts w:hint="eastAsia" w:asciiTheme="minorEastAsia" w:hAnsiTheme="minorEastAsia"/>
          <w:sz w:val="24"/>
          <w:lang w:eastAsia="zh-CN"/>
        </w:rPr>
        <w:t>XXXXXX</w:t>
      </w:r>
      <w:r>
        <w:rPr>
          <w:rFonts w:hint="eastAsia" w:asciiTheme="minorEastAsia" w:hAnsiTheme="minorEastAsia"/>
          <w:sz w:val="24"/>
        </w:rPr>
        <w:t>服务项目</w:t>
      </w:r>
    </w:p>
    <w:p w14:paraId="2B02A506">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2、作业时间：自合同签订之日起，</w:t>
      </w:r>
      <w:r>
        <w:rPr>
          <w:rFonts w:hint="eastAsia" w:asciiTheme="minorEastAsia" w:hAnsiTheme="minorEastAsia"/>
          <w:sz w:val="24"/>
          <w:lang w:val="en-US" w:eastAsia="zh-CN"/>
        </w:rPr>
        <w:t>4</w:t>
      </w:r>
      <w:r>
        <w:rPr>
          <w:rFonts w:hint="eastAsia" w:asciiTheme="minorEastAsia" w:hAnsiTheme="minorEastAsia"/>
          <w:sz w:val="24"/>
        </w:rPr>
        <w:t>0个日历日内完成规定的所有内容。</w:t>
      </w:r>
    </w:p>
    <w:p w14:paraId="1F81B2E5">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适用对象和范围</w:t>
      </w:r>
    </w:p>
    <w:p w14:paraId="4DB8BB4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2F4921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本协议作为合同的附件同时签订、同时生效，合同期内甲、乙双方应当依据本协议约定，享有各自权利、承担各自义务。</w:t>
      </w:r>
    </w:p>
    <w:p w14:paraId="3B946DC4">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双方应当遵循的基本原则</w:t>
      </w:r>
    </w:p>
    <w:p w14:paraId="4843DF0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1、甲乙双方应各自明确专人，负责合同期内的安全生产工作。双方安全生产管理人员应当坚持原则、忠于职守，严格按本协议的约定履行各自的权利、义务。</w:t>
      </w:r>
    </w:p>
    <w:p w14:paraId="6ECF0B4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2、双方应相互配合，支持安全检查工作的落实。乙方不得拒绝、阻扰甲方安全监督检查工作。</w:t>
      </w:r>
    </w:p>
    <w:p w14:paraId="17F1259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3、乙方应牢固树立“安全第一、预防为主”的指导思想，建立健全各项安全管理规章制度，制订并落实各项安全防护措施。</w:t>
      </w:r>
    </w:p>
    <w:p w14:paraId="193C210C">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4、双方必须严守技术秘密和业务秘密。</w:t>
      </w:r>
    </w:p>
    <w:p w14:paraId="32CC8142">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甲方的权利、义务、职责和应当采取的措施</w:t>
      </w:r>
    </w:p>
    <w:p w14:paraId="6A8787C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1、乙方人员进入工作现场之前，甲方应告知乙方本企业相关的安全生产规章制度、操作规程及要求。</w:t>
      </w:r>
    </w:p>
    <w:p w14:paraId="6C70F67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44AB57B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7C51F64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4、检查乙方的资质和乙方特种设备作业人员、特种作业人员是否持证上岗；确定乙方进行具体负责安全管理工作的机构和责任人。</w:t>
      </w:r>
    </w:p>
    <w:p w14:paraId="6F60FA7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7675CC4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6、甲方对乙方进行安全检查时，有权向乙方询问有关安全措施落实情况，调阅有关安全措施资料，指导或提出安全生产管理意见和建议。</w:t>
      </w:r>
    </w:p>
    <w:p w14:paraId="202B5F7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7、甲方应当为乙方提供安全、规范的施工、检修、安装、运输、劳务作业现场，承诺不因其过错或消极不作为而给乙方造成事故隐患。</w:t>
      </w:r>
    </w:p>
    <w:p w14:paraId="3AF9582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8、甲方有义务协助乙方处理突发的安全事故，及时采取救助措施。</w:t>
      </w:r>
    </w:p>
    <w:p w14:paraId="0AB8A64B">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乙方的权利、义务、职责和应当采取的措施</w:t>
      </w:r>
    </w:p>
    <w:p w14:paraId="68D04CF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1、乙方必须具备承揽本项目的安全生产能力及相关资质。</w:t>
      </w:r>
    </w:p>
    <w:p w14:paraId="1A25384F">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2、乙方严禁将承包（租）的工程（业务)或部分工程（业务)转包或者违法分包。否则所发生安全事故，由乙方承担全部安全生产责任。</w:t>
      </w:r>
    </w:p>
    <w:p w14:paraId="20EDF85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3、乙方应具有完善的安全管理组织体系，在甲方施工、检修、安装、运输、劳务等现场作业期间，乙方指派</w:t>
      </w:r>
      <w:r>
        <w:rPr>
          <w:rFonts w:hint="eastAsia" w:asciiTheme="minorEastAsia" w:hAnsiTheme="minorEastAsia"/>
          <w:sz w:val="24"/>
          <w:u w:val="single"/>
        </w:rPr>
        <w:t>专人</w:t>
      </w:r>
      <w:r>
        <w:rPr>
          <w:rFonts w:hint="eastAsia" w:asciiTheme="minorEastAsia" w:hAnsiTheme="minorEastAsia"/>
          <w:sz w:val="24"/>
        </w:rPr>
        <w:t>，全面负责项目的现场安全管理工作。</w:t>
      </w:r>
    </w:p>
    <w:p w14:paraId="645D83BD">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4、乙方应根据《中华人民共和国安全生产法》等安全相关法律法规，建立健全本单位全员安全生产责任制，明确派驻现场作业人员的安全职责，并对其职责落实情况进行监督考核。</w:t>
      </w:r>
    </w:p>
    <w:p w14:paraId="7293CAD7">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AD98A8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76A315A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982C0F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8、乙方人员在甲方作业期间，按规定佩戴合格的劳动防护用具（乙方自备），并应严格遵守甲方各项安全生产规章制度、操作规程及要求。</w:t>
      </w:r>
    </w:p>
    <w:p w14:paraId="5831DC8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BE54F1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771782A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BFC89C6">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023E5ED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13、对甲方提出的整改建议，乙方应认真对待，并将整改情况以书面形式反馈甲方有关部门，否则甲方有权责令其停止施工，限期整改，乙方应对延期造成的损失负责。</w:t>
      </w:r>
    </w:p>
    <w:p w14:paraId="2DC9969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14、乙方人员在作业现场不得擅自动用或操作甲方的设施、装备，因此酿成的后果由乙方负责。</w:t>
      </w:r>
    </w:p>
    <w:p w14:paraId="29A28D4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15、乙方作业期间的用电必须取得甲方同意，将电源接入作业场所的总配电箱，必须有防止影响上一级电源的过流断路保护，乙方不得私自拉接电源，否则按本协议约定承担违约金。</w:t>
      </w:r>
    </w:p>
    <w:p w14:paraId="5C11A6CA">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2C388BB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1054E0BF">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违约责任</w:t>
      </w:r>
    </w:p>
    <w:p w14:paraId="233EBD21">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38EA683D">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2、因乙方管理或操作不当产生的事故隐患，每发现一起，乙方承担违约金。</w:t>
      </w:r>
    </w:p>
    <w:p w14:paraId="13ADD06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3、除本合同第六条第一项和第二项以外，甲乙双方若有违反本协议约定的行为，每发生一项承担违约金。</w:t>
      </w:r>
    </w:p>
    <w:p w14:paraId="0E214DB3">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4、因乙方违约而发生的违约金和赔偿金，甲方可在应付乙方的相关款项中予以扣减。</w:t>
      </w:r>
    </w:p>
    <w:p w14:paraId="2EAE81AD">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附则</w:t>
      </w:r>
    </w:p>
    <w:p w14:paraId="77B1A5C8">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本协议与双方所签订的相关业务主合同具有同等法律效力。</w:t>
      </w:r>
    </w:p>
    <w:p w14:paraId="7531E4FC">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八、协议未尽事宜，双方协商解决，签订补充条款。 </w:t>
      </w:r>
    </w:p>
    <w:p w14:paraId="162A972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九、本协议在履行过程中发生争议，由双方协商解决，协商不成可通过司法程序裁决。 </w:t>
      </w:r>
    </w:p>
    <w:p w14:paraId="7AF5738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十、乙方违反本协议造成的一切安全事故由乙方负责，给甲方造成的一切损失及相关部门的行政处罚由乙方承担。</w:t>
      </w:r>
    </w:p>
    <w:p w14:paraId="355E035F">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十一、本协议甲乙双方代表签字盖章后生效。 </w:t>
      </w:r>
    </w:p>
    <w:p w14:paraId="72B41AC4">
      <w:pPr>
        <w:spacing w:after="78" w:line="560" w:lineRule="exact"/>
        <w:ind w:firstLine="484" w:firstLineChars="202"/>
        <w:rPr>
          <w:rFonts w:hint="eastAsia" w:asciiTheme="minorEastAsia" w:hAnsiTheme="minorEastAsia"/>
          <w:sz w:val="24"/>
        </w:rPr>
      </w:pPr>
    </w:p>
    <w:p w14:paraId="0273C772">
      <w:pPr>
        <w:spacing w:after="78" w:line="560" w:lineRule="exact"/>
        <w:ind w:firstLine="484" w:firstLineChars="202"/>
        <w:rPr>
          <w:rFonts w:hint="eastAsia" w:asciiTheme="minorEastAsia" w:hAnsiTheme="minorEastAsia"/>
          <w:sz w:val="24"/>
        </w:rPr>
      </w:pPr>
    </w:p>
    <w:p w14:paraId="2EB705CE">
      <w:pPr>
        <w:spacing w:after="78" w:line="560" w:lineRule="exact"/>
        <w:ind w:firstLine="484" w:firstLineChars="202"/>
        <w:rPr>
          <w:rFonts w:hint="eastAsia" w:asciiTheme="minorEastAsia" w:hAnsiTheme="minorEastAsia"/>
          <w:sz w:val="24"/>
        </w:rPr>
      </w:pPr>
    </w:p>
    <w:p w14:paraId="3E667BD1">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甲方（盖章）                      </w:t>
      </w:r>
    </w:p>
    <w:p w14:paraId="7CA8D272">
      <w:pPr>
        <w:spacing w:after="78" w:line="560" w:lineRule="exact"/>
        <w:ind w:firstLine="484" w:firstLineChars="202"/>
        <w:rPr>
          <w:rFonts w:hint="eastAsia" w:eastAsia="宋体" w:asciiTheme="minorEastAsia" w:hAnsiTheme="minorEastAsia"/>
          <w:sz w:val="24"/>
          <w:lang w:eastAsia="zh-CN"/>
        </w:rPr>
      </w:pPr>
      <w:r>
        <w:rPr>
          <w:rFonts w:hint="eastAsia" w:asciiTheme="minorEastAsia" w:hAnsiTheme="minorEastAsia"/>
          <w:sz w:val="24"/>
          <w:lang w:eastAsia="zh-CN"/>
        </w:rPr>
        <w:t xml:space="preserve">                         </w:t>
      </w:r>
    </w:p>
    <w:p w14:paraId="739E513A">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1B9F1AFA">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 xml:space="preserve">    年   月   日          </w:t>
      </w:r>
    </w:p>
    <w:p w14:paraId="41DABADE">
      <w:pPr>
        <w:spacing w:after="78" w:line="600" w:lineRule="exact"/>
        <w:ind w:firstLine="480" w:firstLineChars="200"/>
        <w:rPr>
          <w:rFonts w:hint="eastAsia" w:asciiTheme="minorEastAsia" w:hAnsiTheme="minorEastAsia"/>
          <w:sz w:val="24"/>
        </w:rPr>
      </w:pPr>
    </w:p>
    <w:p w14:paraId="7F3FAC83">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乙方（盖章）</w:t>
      </w:r>
    </w:p>
    <w:p w14:paraId="711B5F25">
      <w:pPr>
        <w:spacing w:after="78" w:line="600" w:lineRule="exact"/>
        <w:ind w:firstLine="480" w:firstLineChars="200"/>
        <w:rPr>
          <w:rFonts w:hint="eastAsia" w:asciiTheme="minorEastAsia" w:hAnsiTheme="minorEastAsia"/>
          <w:sz w:val="24"/>
        </w:rPr>
      </w:pPr>
      <w:r>
        <w:rPr>
          <w:rFonts w:hint="eastAsia" w:asciiTheme="minorEastAsia" w:hAnsiTheme="minorEastAsia" w:eastAsiaTheme="minorEastAsia" w:cstheme="minorEastAsia"/>
          <w:sz w:val="24"/>
          <w:szCs w:val="24"/>
          <w:lang w:val="en-US" w:eastAsia="zh-CN"/>
        </w:rPr>
        <w:t xml:space="preserve">                         </w:t>
      </w:r>
    </w:p>
    <w:p w14:paraId="48CA23F0">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577BB300">
      <w:pPr>
        <w:tabs>
          <w:tab w:val="left" w:pos="3346"/>
        </w:tabs>
        <w:spacing w:after="78" w:line="600" w:lineRule="exact"/>
        <w:ind w:firstLine="480" w:firstLineChars="200"/>
        <w:rPr>
          <w:rFonts w:hint="eastAsia" w:ascii="仿宋" w:hAnsi="仿宋" w:eastAsia="仿宋"/>
          <w:b/>
          <w:szCs w:val="21"/>
        </w:rPr>
      </w:pPr>
      <w:r>
        <w:rPr>
          <w:rFonts w:hint="eastAsia" w:asciiTheme="minorEastAsia" w:hAnsiTheme="minorEastAsia"/>
          <w:sz w:val="24"/>
        </w:rPr>
        <w:t xml:space="preserve">    年   月  </w:t>
      </w:r>
      <w:r>
        <w:rPr>
          <w:rFonts w:hint="eastAsia" w:asciiTheme="minorEastAsia" w:hAnsiTheme="minorEastAsia"/>
          <w:sz w:val="24"/>
          <w:lang w:val="en-US" w:eastAsia="zh-CN"/>
        </w:rPr>
        <w:t xml:space="preserve"> 日</w:t>
      </w:r>
      <w:r>
        <w:rPr>
          <w:rFonts w:hint="eastAsia" w:asciiTheme="minorEastAsia" w:hAnsiTheme="minorEastAsia"/>
          <w:sz w:val="24"/>
        </w:rPr>
        <w:t xml:space="preserve"> </w:t>
      </w:r>
      <w:bookmarkEnd w:id="25"/>
      <w:r>
        <w:rPr>
          <w:rFonts w:hint="eastAsia" w:asciiTheme="minorEastAsia" w:hAnsiTheme="minorEastAsia"/>
          <w:sz w:val="24"/>
          <w:lang w:eastAsia="zh-CN"/>
        </w:rPr>
        <w:tab/>
      </w:r>
    </w:p>
    <w:p w14:paraId="3906AF7C">
      <w:pPr>
        <w:spacing w:after="78"/>
      </w:pPr>
      <w:r>
        <w:br w:type="page"/>
      </w:r>
    </w:p>
    <w:p w14:paraId="334B61F8">
      <w:pPr>
        <w:spacing w:after="78"/>
        <w:rPr>
          <w:rFonts w:hint="eastAsia" w:ascii="宋体" w:hAnsi="宋体" w:cs="宋体"/>
          <w:sz w:val="28"/>
          <w:szCs w:val="28"/>
        </w:rPr>
      </w:pPr>
    </w:p>
    <w:p w14:paraId="3E7AA76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274C7D4">
      <w:pPr>
        <w:spacing w:after="78"/>
      </w:pPr>
    </w:p>
    <w:p w14:paraId="5522C656">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235DD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21FC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07E9DFA8">
            <w:pPr>
              <w:widowControl/>
              <w:spacing w:after="78" w:line="360" w:lineRule="atLeast"/>
              <w:jc w:val="center"/>
              <w:rPr>
                <w:rFonts w:hint="eastAsia" w:ascii="仿宋" w:hAnsi="仿宋" w:eastAsia="仿宋" w:cs="仿宋"/>
                <w:sz w:val="24"/>
                <w:szCs w:val="20"/>
              </w:rPr>
            </w:pPr>
          </w:p>
        </w:tc>
      </w:tr>
      <w:tr w14:paraId="3E549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576E8F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7719559">
            <w:pPr>
              <w:widowControl/>
              <w:spacing w:after="78" w:line="360" w:lineRule="atLeast"/>
              <w:jc w:val="center"/>
              <w:rPr>
                <w:rFonts w:hint="eastAsia" w:ascii="仿宋" w:hAnsi="仿宋" w:eastAsia="仿宋" w:cs="仿宋"/>
                <w:sz w:val="24"/>
                <w:szCs w:val="20"/>
              </w:rPr>
            </w:pPr>
          </w:p>
        </w:tc>
        <w:tc>
          <w:tcPr>
            <w:tcW w:w="1320" w:type="dxa"/>
            <w:vAlign w:val="center"/>
          </w:tcPr>
          <w:p w14:paraId="6B7B4BB3">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4140018">
            <w:pPr>
              <w:widowControl/>
              <w:spacing w:after="78" w:line="360" w:lineRule="atLeast"/>
              <w:jc w:val="center"/>
              <w:rPr>
                <w:rFonts w:hint="eastAsia" w:ascii="仿宋" w:hAnsi="仿宋" w:eastAsia="仿宋" w:cs="仿宋"/>
                <w:sz w:val="24"/>
                <w:szCs w:val="20"/>
              </w:rPr>
            </w:pPr>
          </w:p>
        </w:tc>
      </w:tr>
      <w:tr w14:paraId="705F6C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D84329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9627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27410AA">
            <w:pPr>
              <w:widowControl/>
              <w:spacing w:after="78" w:line="360" w:lineRule="atLeast"/>
              <w:jc w:val="center"/>
              <w:rPr>
                <w:rFonts w:hint="eastAsia" w:ascii="仿宋" w:hAnsi="仿宋" w:eastAsia="仿宋" w:cs="仿宋"/>
                <w:sz w:val="24"/>
                <w:szCs w:val="20"/>
              </w:rPr>
            </w:pPr>
          </w:p>
        </w:tc>
        <w:tc>
          <w:tcPr>
            <w:tcW w:w="1320" w:type="dxa"/>
            <w:vAlign w:val="center"/>
          </w:tcPr>
          <w:p w14:paraId="09B011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2A934E7">
            <w:pPr>
              <w:widowControl/>
              <w:spacing w:after="78" w:line="360" w:lineRule="atLeast"/>
              <w:jc w:val="center"/>
              <w:rPr>
                <w:rFonts w:hint="eastAsia" w:ascii="仿宋" w:hAnsi="仿宋" w:eastAsia="仿宋" w:cs="仿宋"/>
                <w:sz w:val="24"/>
                <w:szCs w:val="20"/>
              </w:rPr>
            </w:pPr>
          </w:p>
        </w:tc>
      </w:tr>
      <w:tr w14:paraId="03AB5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7E23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C2C8B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33E634B2">
            <w:pPr>
              <w:widowControl/>
              <w:spacing w:after="78" w:line="360" w:lineRule="atLeast"/>
              <w:jc w:val="center"/>
              <w:rPr>
                <w:rFonts w:hint="eastAsia" w:ascii="仿宋" w:hAnsi="仿宋" w:eastAsia="仿宋" w:cs="仿宋"/>
                <w:sz w:val="24"/>
                <w:szCs w:val="20"/>
              </w:rPr>
            </w:pPr>
          </w:p>
        </w:tc>
        <w:tc>
          <w:tcPr>
            <w:tcW w:w="850" w:type="dxa"/>
            <w:vAlign w:val="center"/>
          </w:tcPr>
          <w:p w14:paraId="218057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53A88962">
            <w:pPr>
              <w:widowControl/>
              <w:spacing w:after="78" w:line="360" w:lineRule="atLeast"/>
              <w:jc w:val="center"/>
              <w:rPr>
                <w:rFonts w:hint="eastAsia" w:ascii="仿宋" w:hAnsi="仿宋" w:eastAsia="仿宋" w:cs="仿宋"/>
                <w:sz w:val="24"/>
                <w:szCs w:val="20"/>
              </w:rPr>
            </w:pPr>
          </w:p>
        </w:tc>
      </w:tr>
      <w:tr w14:paraId="4A5497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F7F84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A0F794A">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EACE831">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596D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A4926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35A76C6">
            <w:pPr>
              <w:spacing w:after="78" w:line="360" w:lineRule="atLeast"/>
              <w:jc w:val="center"/>
              <w:rPr>
                <w:rFonts w:hint="eastAsia" w:ascii="仿宋" w:hAnsi="仿宋" w:eastAsia="仿宋" w:cs="仿宋"/>
                <w:sz w:val="24"/>
                <w:szCs w:val="20"/>
              </w:rPr>
            </w:pPr>
          </w:p>
          <w:p w14:paraId="508B76CD">
            <w:pPr>
              <w:widowControl/>
              <w:spacing w:after="78" w:line="360" w:lineRule="atLeast"/>
              <w:jc w:val="center"/>
              <w:rPr>
                <w:rFonts w:hint="eastAsia" w:ascii="仿宋" w:hAnsi="仿宋" w:eastAsia="仿宋" w:cs="仿宋"/>
                <w:sz w:val="24"/>
                <w:szCs w:val="20"/>
              </w:rPr>
            </w:pPr>
          </w:p>
        </w:tc>
      </w:tr>
      <w:tr w14:paraId="760860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EC663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BEEA9F4">
            <w:pPr>
              <w:spacing w:after="78" w:line="360" w:lineRule="atLeast"/>
              <w:jc w:val="center"/>
              <w:rPr>
                <w:rFonts w:hint="eastAsia" w:ascii="仿宋" w:hAnsi="仿宋" w:eastAsia="仿宋" w:cs="仿宋"/>
                <w:sz w:val="24"/>
                <w:szCs w:val="20"/>
              </w:rPr>
            </w:pPr>
          </w:p>
          <w:p w14:paraId="5DFAB541">
            <w:pPr>
              <w:widowControl/>
              <w:spacing w:after="78" w:line="360" w:lineRule="atLeast"/>
              <w:jc w:val="center"/>
              <w:rPr>
                <w:rFonts w:hint="eastAsia" w:ascii="仿宋" w:hAnsi="仿宋" w:eastAsia="仿宋" w:cs="仿宋"/>
                <w:sz w:val="24"/>
                <w:szCs w:val="20"/>
              </w:rPr>
            </w:pPr>
          </w:p>
        </w:tc>
      </w:tr>
      <w:tr w14:paraId="688E9B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6F7D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36BA1B">
            <w:pPr>
              <w:widowControl/>
              <w:spacing w:after="78" w:line="360" w:lineRule="atLeast"/>
              <w:jc w:val="center"/>
              <w:rPr>
                <w:rFonts w:hint="eastAsia" w:ascii="仿宋" w:hAnsi="仿宋" w:eastAsia="仿宋" w:cs="仿宋"/>
                <w:sz w:val="24"/>
                <w:szCs w:val="20"/>
              </w:rPr>
            </w:pPr>
          </w:p>
        </w:tc>
      </w:tr>
      <w:tr w14:paraId="4D3C93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1FD4E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DB9D567">
            <w:pPr>
              <w:widowControl/>
              <w:spacing w:after="78" w:line="360" w:lineRule="atLeast"/>
              <w:jc w:val="center"/>
              <w:rPr>
                <w:rFonts w:hint="eastAsia" w:ascii="仿宋" w:hAnsi="仿宋" w:eastAsia="仿宋" w:cs="仿宋"/>
                <w:sz w:val="24"/>
                <w:szCs w:val="20"/>
              </w:rPr>
            </w:pPr>
          </w:p>
        </w:tc>
      </w:tr>
      <w:tr w14:paraId="4C5822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7FE1E7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AE2DD7E">
            <w:pPr>
              <w:widowControl/>
              <w:spacing w:after="78" w:line="360" w:lineRule="atLeast"/>
              <w:jc w:val="center"/>
              <w:rPr>
                <w:rFonts w:hint="eastAsia" w:ascii="仿宋" w:hAnsi="仿宋" w:eastAsia="仿宋" w:cs="仿宋"/>
                <w:sz w:val="24"/>
                <w:szCs w:val="20"/>
              </w:rPr>
            </w:pPr>
          </w:p>
        </w:tc>
      </w:tr>
      <w:tr w14:paraId="510E1A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C1F79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E93A42D">
            <w:pPr>
              <w:widowControl/>
              <w:spacing w:after="78" w:line="360" w:lineRule="atLeast"/>
              <w:jc w:val="center"/>
              <w:rPr>
                <w:rFonts w:hint="eastAsia" w:ascii="仿宋" w:hAnsi="仿宋" w:eastAsia="仿宋" w:cs="仿宋"/>
                <w:sz w:val="24"/>
                <w:szCs w:val="20"/>
              </w:rPr>
            </w:pPr>
          </w:p>
        </w:tc>
      </w:tr>
    </w:tbl>
    <w:p w14:paraId="251B9DA2">
      <w:pPr>
        <w:tabs>
          <w:tab w:val="left" w:pos="630"/>
        </w:tabs>
        <w:spacing w:after="78" w:line="276" w:lineRule="auto"/>
        <w:rPr>
          <w:rFonts w:hint="eastAsia" w:ascii="仿宋" w:hAnsi="仿宋" w:eastAsia="仿宋"/>
          <w:color w:val="000000"/>
          <w:kern w:val="0"/>
          <w:szCs w:val="21"/>
        </w:rPr>
      </w:pPr>
    </w:p>
    <w:p w14:paraId="2F7B105E">
      <w:pPr>
        <w:spacing w:after="78"/>
        <w:ind w:firstLine="560"/>
      </w:pPr>
    </w:p>
    <w:p w14:paraId="1F2FA8B0">
      <w:pPr>
        <w:spacing w:after="78"/>
        <w:ind w:firstLine="560"/>
      </w:pPr>
    </w:p>
    <w:p w14:paraId="026726CE">
      <w:pPr>
        <w:spacing w:after="78"/>
        <w:ind w:firstLine="560"/>
      </w:pPr>
    </w:p>
    <w:p w14:paraId="4A486F86">
      <w:pPr>
        <w:snapToGrid w:val="0"/>
        <w:spacing w:afterLines="0" w:line="360" w:lineRule="auto"/>
        <w:ind w:firstLine="525" w:firstLineChars="250"/>
        <w:jc w:val="right"/>
        <w:rPr>
          <w:rFonts w:hint="eastAsia" w:ascii="仿宋" w:hAnsi="仿宋" w:eastAsia="仿宋" w:cs="Arial"/>
        </w:rPr>
      </w:pPr>
    </w:p>
    <w:p w14:paraId="57EB347B">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5494A7E">
      <w:pPr>
        <w:pStyle w:val="4"/>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17BBAEA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626E481">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生化池吊装维修服务</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生化池吊装维修服务</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D18DB10">
      <w:pPr>
        <w:pStyle w:val="64"/>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D98E97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E41C01E">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740DC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E422F3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C1A1E3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106A1B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75B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4D257FA3">
      <w:pPr>
        <w:tabs>
          <w:tab w:val="left" w:pos="7665"/>
        </w:tabs>
        <w:spacing w:after="78" w:line="276" w:lineRule="auto"/>
        <w:ind w:firstLine="420" w:firstLineChars="200"/>
        <w:rPr>
          <w:rFonts w:hint="eastAsia" w:ascii="仿宋" w:hAnsi="仿宋" w:eastAsia="仿宋"/>
          <w:szCs w:val="21"/>
        </w:rPr>
      </w:pPr>
      <w:bookmarkStart w:id="26"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29E6C2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2A7E92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（3）近二年内（2023年</w:t>
      </w:r>
      <w:r>
        <w:rPr>
          <w:rFonts w:hint="eastAsia" w:ascii="仿宋" w:hAnsi="仿宋" w:eastAsia="仿宋"/>
          <w:szCs w:val="21"/>
          <w:lang w:val="en-US" w:eastAsia="zh-CN"/>
        </w:rPr>
        <w:t>11</w:t>
      </w:r>
      <w:r>
        <w:rPr>
          <w:rFonts w:hint="eastAsia" w:ascii="仿宋" w:hAnsi="仿宋" w:eastAsia="仿宋"/>
          <w:szCs w:val="21"/>
        </w:rPr>
        <w:t>月至今）或成立至今（成立不足三年的单位）至少具备一项正在实施或已完成的类似业绩；</w:t>
      </w:r>
    </w:p>
    <w:p w14:paraId="7EA7BCC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26"/>
    <w:p w14:paraId="0403038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2AC2B8B">
      <w:pPr>
        <w:pStyle w:val="64"/>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F158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生化池吊装维修服务</w:t>
      </w:r>
      <w:r>
        <w:rPr>
          <w:rFonts w:hint="eastAsia" w:ascii="仿宋" w:hAnsi="仿宋" w:eastAsia="仿宋"/>
          <w:color w:val="000000"/>
          <w:szCs w:val="21"/>
          <w:u w:val="single"/>
        </w:rPr>
        <w:t>采购项目</w:t>
      </w:r>
      <w:r>
        <w:rPr>
          <w:rFonts w:ascii="仿宋" w:hAnsi="仿宋" w:eastAsia="仿宋"/>
          <w:szCs w:val="21"/>
        </w:rPr>
        <w:t>选聘，特承诺如下：</w:t>
      </w:r>
    </w:p>
    <w:p w14:paraId="37B92E4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30B1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523FF8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10E467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BB12E93">
      <w:pPr>
        <w:tabs>
          <w:tab w:val="left" w:pos="1110"/>
        </w:tabs>
        <w:spacing w:after="78" w:line="276" w:lineRule="auto"/>
        <w:ind w:firstLine="420" w:firstLineChars="200"/>
        <w:rPr>
          <w:rFonts w:hint="eastAsia" w:ascii="仿宋" w:hAnsi="仿宋" w:eastAsia="仿宋"/>
          <w:color w:val="000000"/>
          <w:szCs w:val="21"/>
        </w:rPr>
      </w:pPr>
    </w:p>
    <w:p w14:paraId="675488D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1131007">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35AA78C">
      <w:pPr>
        <w:pStyle w:val="4"/>
        <w:adjustRightInd w:val="0"/>
        <w:spacing w:before="240" w:after="120" w:afterLines="0" w:line="400" w:lineRule="exact"/>
        <w:rPr>
          <w:rFonts w:hint="eastAsia" w:ascii="Calibri" w:hAnsi="Calibri" w:eastAsia="仿宋"/>
          <w:sz w:val="24"/>
          <w:szCs w:val="22"/>
          <w:lang w:eastAsia="zh-CN"/>
        </w:rPr>
      </w:pPr>
      <w:r>
        <w:rPr>
          <w:rFonts w:ascii="仿宋" w:hAnsi="仿宋" w:eastAsia="仿宋"/>
          <w:szCs w:val="21"/>
        </w:rPr>
        <w:br w:type="page"/>
      </w:r>
      <w:bookmarkStart w:id="27" w:name="_Hlk180658069"/>
      <w:r>
        <w:rPr>
          <w:rFonts w:hint="eastAsia" w:ascii="Calibri" w:hAnsi="Calibri" w:eastAsia="仿宋"/>
          <w:sz w:val="24"/>
          <w:szCs w:val="22"/>
        </w:rPr>
        <w:t>营业执照</w:t>
      </w:r>
      <w:r>
        <w:rPr>
          <w:rFonts w:hint="eastAsia" w:ascii="Calibri" w:hAnsi="Calibri" w:eastAsia="仿宋"/>
          <w:sz w:val="24"/>
          <w:szCs w:val="22"/>
          <w:lang w:eastAsia="zh-CN"/>
        </w:rPr>
        <w:t>（</w:t>
      </w:r>
      <w:r>
        <w:rPr>
          <w:rFonts w:hint="eastAsia" w:ascii="Calibri" w:hAnsi="Calibri" w:eastAsia="仿宋"/>
          <w:sz w:val="24"/>
          <w:szCs w:val="22"/>
          <w:lang w:val="en-US" w:eastAsia="zh-CN"/>
        </w:rPr>
        <w:t>需盖章</w:t>
      </w:r>
      <w:r>
        <w:rPr>
          <w:rFonts w:hint="eastAsia" w:ascii="Calibri" w:hAnsi="Calibri" w:eastAsia="仿宋"/>
          <w:sz w:val="24"/>
          <w:szCs w:val="22"/>
          <w:lang w:eastAsia="zh-CN"/>
        </w:rPr>
        <w:t>）</w:t>
      </w:r>
    </w:p>
    <w:p w14:paraId="07DA78E2">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048B8FC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048B8FC7">
                      <w:pPr>
                        <w:spacing w:after="78"/>
                      </w:pPr>
                    </w:p>
                  </w:txbxContent>
                </v:textbox>
              </v:shape>
            </w:pict>
          </mc:Fallback>
        </mc:AlternateContent>
      </w:r>
    </w:p>
    <w:p w14:paraId="635C3377">
      <w:pPr>
        <w:tabs>
          <w:tab w:val="left" w:pos="1110"/>
        </w:tabs>
        <w:spacing w:after="78" w:line="276" w:lineRule="auto"/>
        <w:ind w:firstLine="480" w:firstLineChars="200"/>
        <w:rPr>
          <w:rFonts w:hint="eastAsia" w:ascii="仿宋" w:hAnsi="仿宋" w:eastAsia="仿宋" w:cs="宋体"/>
          <w:color w:val="000000"/>
          <w:sz w:val="24"/>
          <w:szCs w:val="21"/>
        </w:rPr>
      </w:pPr>
    </w:p>
    <w:p w14:paraId="632F535D">
      <w:pPr>
        <w:tabs>
          <w:tab w:val="left" w:pos="1110"/>
        </w:tabs>
        <w:spacing w:after="78" w:line="276" w:lineRule="auto"/>
        <w:ind w:firstLine="480" w:firstLineChars="200"/>
        <w:rPr>
          <w:rFonts w:hint="eastAsia" w:ascii="仿宋" w:hAnsi="仿宋" w:eastAsia="仿宋" w:cs="宋体"/>
          <w:color w:val="000000"/>
          <w:sz w:val="24"/>
          <w:szCs w:val="21"/>
        </w:rPr>
      </w:pPr>
    </w:p>
    <w:p w14:paraId="299E0FA5">
      <w:pPr>
        <w:tabs>
          <w:tab w:val="left" w:pos="1110"/>
        </w:tabs>
        <w:spacing w:after="78" w:line="276" w:lineRule="auto"/>
        <w:ind w:firstLine="480" w:firstLineChars="200"/>
        <w:rPr>
          <w:rFonts w:hint="eastAsia" w:ascii="仿宋" w:hAnsi="仿宋" w:eastAsia="仿宋" w:cs="宋体"/>
          <w:color w:val="000000"/>
          <w:sz w:val="24"/>
          <w:szCs w:val="21"/>
        </w:rPr>
      </w:pPr>
    </w:p>
    <w:p w14:paraId="2FCB0642">
      <w:pPr>
        <w:tabs>
          <w:tab w:val="left" w:pos="1110"/>
        </w:tabs>
        <w:spacing w:after="78" w:line="276" w:lineRule="auto"/>
        <w:ind w:firstLine="480" w:firstLineChars="200"/>
        <w:rPr>
          <w:rFonts w:hint="eastAsia" w:ascii="仿宋" w:hAnsi="仿宋" w:eastAsia="仿宋" w:cs="宋体"/>
          <w:color w:val="000000"/>
          <w:sz w:val="24"/>
          <w:szCs w:val="21"/>
        </w:rPr>
      </w:pPr>
    </w:p>
    <w:p w14:paraId="1ABBD93C">
      <w:pPr>
        <w:tabs>
          <w:tab w:val="left" w:pos="1110"/>
        </w:tabs>
        <w:spacing w:after="78" w:line="276" w:lineRule="auto"/>
        <w:ind w:firstLine="480" w:firstLineChars="200"/>
        <w:rPr>
          <w:rFonts w:hint="eastAsia" w:ascii="仿宋" w:hAnsi="仿宋" w:eastAsia="仿宋" w:cs="宋体"/>
          <w:color w:val="000000"/>
          <w:sz w:val="24"/>
          <w:szCs w:val="21"/>
        </w:rPr>
      </w:pPr>
    </w:p>
    <w:p w14:paraId="3389A2AC">
      <w:pPr>
        <w:tabs>
          <w:tab w:val="left" w:pos="1110"/>
        </w:tabs>
        <w:spacing w:after="78" w:line="276" w:lineRule="auto"/>
        <w:ind w:firstLine="480" w:firstLineChars="200"/>
        <w:rPr>
          <w:rFonts w:hint="eastAsia" w:ascii="仿宋" w:hAnsi="仿宋" w:eastAsia="仿宋" w:cs="宋体"/>
          <w:color w:val="000000"/>
          <w:sz w:val="24"/>
          <w:szCs w:val="21"/>
        </w:rPr>
      </w:pPr>
    </w:p>
    <w:p w14:paraId="42326C16">
      <w:pPr>
        <w:tabs>
          <w:tab w:val="left" w:pos="1110"/>
        </w:tabs>
        <w:spacing w:after="78" w:line="276" w:lineRule="auto"/>
        <w:ind w:firstLine="480" w:firstLineChars="200"/>
        <w:rPr>
          <w:rFonts w:hint="eastAsia" w:ascii="仿宋" w:hAnsi="仿宋" w:eastAsia="仿宋" w:cs="宋体"/>
          <w:color w:val="000000"/>
          <w:sz w:val="24"/>
          <w:szCs w:val="21"/>
        </w:rPr>
      </w:pPr>
    </w:p>
    <w:p w14:paraId="23696C66">
      <w:pPr>
        <w:tabs>
          <w:tab w:val="left" w:pos="1110"/>
        </w:tabs>
        <w:spacing w:after="78" w:line="276" w:lineRule="auto"/>
        <w:ind w:firstLine="480" w:firstLineChars="200"/>
        <w:rPr>
          <w:rFonts w:hint="eastAsia" w:ascii="仿宋" w:hAnsi="仿宋" w:eastAsia="仿宋" w:cs="宋体"/>
          <w:color w:val="000000"/>
          <w:sz w:val="24"/>
          <w:szCs w:val="21"/>
        </w:rPr>
      </w:pPr>
    </w:p>
    <w:p w14:paraId="1E7047D1">
      <w:pPr>
        <w:tabs>
          <w:tab w:val="left" w:pos="1110"/>
        </w:tabs>
        <w:spacing w:after="78" w:line="276" w:lineRule="auto"/>
        <w:ind w:firstLine="480" w:firstLineChars="200"/>
        <w:rPr>
          <w:rFonts w:hint="eastAsia" w:ascii="仿宋" w:hAnsi="仿宋" w:eastAsia="仿宋" w:cs="宋体"/>
          <w:color w:val="000000"/>
          <w:sz w:val="24"/>
          <w:szCs w:val="21"/>
        </w:rPr>
      </w:pPr>
    </w:p>
    <w:p w14:paraId="547FF0B2">
      <w:pPr>
        <w:tabs>
          <w:tab w:val="left" w:pos="1110"/>
        </w:tabs>
        <w:spacing w:after="78" w:line="276" w:lineRule="auto"/>
        <w:ind w:firstLine="480" w:firstLineChars="200"/>
        <w:rPr>
          <w:rFonts w:hint="eastAsia" w:ascii="仿宋" w:hAnsi="仿宋" w:eastAsia="仿宋" w:cs="宋体"/>
          <w:color w:val="000000"/>
          <w:sz w:val="24"/>
          <w:szCs w:val="21"/>
        </w:rPr>
      </w:pPr>
    </w:p>
    <w:p w14:paraId="4B41B95A">
      <w:pPr>
        <w:tabs>
          <w:tab w:val="left" w:pos="1110"/>
        </w:tabs>
        <w:spacing w:after="78" w:line="276" w:lineRule="auto"/>
        <w:ind w:firstLine="480" w:firstLineChars="200"/>
        <w:rPr>
          <w:rFonts w:hint="eastAsia" w:ascii="仿宋" w:hAnsi="仿宋" w:eastAsia="仿宋" w:cs="宋体"/>
          <w:color w:val="000000"/>
          <w:sz w:val="24"/>
          <w:szCs w:val="21"/>
        </w:rPr>
      </w:pPr>
    </w:p>
    <w:p w14:paraId="33707F9F">
      <w:pPr>
        <w:pStyle w:val="65"/>
      </w:pPr>
    </w:p>
    <w:bookmarkEnd w:id="27"/>
    <w:p w14:paraId="1AB17BD4">
      <w:pPr>
        <w:tabs>
          <w:tab w:val="left" w:pos="1110"/>
        </w:tabs>
        <w:spacing w:after="78" w:line="276" w:lineRule="auto"/>
        <w:ind w:firstLine="0" w:firstLineChars="0"/>
        <w:rPr>
          <w:rFonts w:hint="eastAsia" w:ascii="仿宋" w:hAnsi="仿宋" w:eastAsia="仿宋" w:cs="宋体"/>
          <w:color w:val="000000"/>
          <w:sz w:val="24"/>
          <w:szCs w:val="21"/>
        </w:rPr>
      </w:pPr>
    </w:p>
    <w:p w14:paraId="25E82D30">
      <w:pPr>
        <w:spacing w:after="78"/>
      </w:pPr>
      <w:r>
        <w:br w:type="page"/>
      </w:r>
    </w:p>
    <w:p w14:paraId="4E3C7304">
      <w:pPr>
        <w:pStyle w:val="4"/>
        <w:adjustRightInd w:val="0"/>
        <w:spacing w:before="240" w:after="120" w:afterLines="0" w:line="400" w:lineRule="exact"/>
        <w:rPr>
          <w:rFonts w:hint="eastAsia" w:ascii="Calibri" w:hAnsi="Calibri" w:eastAsia="仿宋"/>
          <w:sz w:val="24"/>
          <w:szCs w:val="22"/>
        </w:rPr>
      </w:pPr>
      <w:r>
        <w:rPr>
          <w:rFonts w:hint="eastAsia" w:ascii="Calibri" w:hAnsi="Calibri" w:eastAsia="仿宋" w:cs="Times New Roman"/>
          <w:sz w:val="24"/>
          <w:szCs w:val="22"/>
          <w:lang w:val="en-US" w:eastAsia="zh-CN"/>
        </w:rPr>
        <w:t>特种作业人员证书（需盖章）</w:t>
      </w:r>
    </w:p>
    <w:p w14:paraId="44ADDFBC">
      <w:pPr>
        <w:spacing w:after="78"/>
      </w:pPr>
    </w:p>
    <w:p w14:paraId="334641DE">
      <w:pPr>
        <w:spacing w:after="78"/>
      </w:pPr>
    </w:p>
    <w:p w14:paraId="177C9AC8">
      <w:pPr>
        <w:spacing w:after="78"/>
      </w:pPr>
    </w:p>
    <w:p w14:paraId="404788E7">
      <w:pPr>
        <w:spacing w:after="78"/>
      </w:pPr>
    </w:p>
    <w:p w14:paraId="43DFE78B">
      <w:pPr>
        <w:spacing w:after="78"/>
      </w:pPr>
    </w:p>
    <w:p w14:paraId="68CAA0FF">
      <w:pPr>
        <w:spacing w:after="78"/>
      </w:pPr>
    </w:p>
    <w:p w14:paraId="55759A77">
      <w:pPr>
        <w:spacing w:after="78"/>
      </w:pPr>
    </w:p>
    <w:p w14:paraId="13AC49A7">
      <w:pPr>
        <w:spacing w:after="78"/>
      </w:pPr>
    </w:p>
    <w:p w14:paraId="3451D314">
      <w:pPr>
        <w:spacing w:after="78"/>
      </w:pPr>
    </w:p>
    <w:p w14:paraId="54D98CC1">
      <w:pPr>
        <w:spacing w:after="78"/>
      </w:pPr>
    </w:p>
    <w:p w14:paraId="6079D042">
      <w:pPr>
        <w:spacing w:after="78"/>
      </w:pPr>
    </w:p>
    <w:p w14:paraId="025739E9">
      <w:pPr>
        <w:spacing w:after="78"/>
      </w:pPr>
    </w:p>
    <w:p w14:paraId="3F2046A4">
      <w:pPr>
        <w:spacing w:after="78"/>
      </w:pPr>
    </w:p>
    <w:p w14:paraId="1DE51141">
      <w:pPr>
        <w:spacing w:after="78"/>
      </w:pPr>
    </w:p>
    <w:p w14:paraId="32AEEC6C">
      <w:pPr>
        <w:spacing w:after="78"/>
      </w:pPr>
    </w:p>
    <w:p w14:paraId="40065179">
      <w:pPr>
        <w:spacing w:after="78"/>
      </w:pPr>
    </w:p>
    <w:p w14:paraId="23539B7B">
      <w:pPr>
        <w:spacing w:after="78"/>
      </w:pPr>
    </w:p>
    <w:p w14:paraId="2D3D0F9C">
      <w:pPr>
        <w:spacing w:after="78"/>
      </w:pPr>
    </w:p>
    <w:p w14:paraId="08E437ED">
      <w:pPr>
        <w:spacing w:after="0"/>
      </w:pPr>
      <w:r>
        <w:br w:type="page"/>
      </w:r>
    </w:p>
    <w:p w14:paraId="1F2BD69E">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踏勘确认表及踏勘照片（需盖章）</w:t>
      </w:r>
    </w:p>
    <w:p w14:paraId="6FD53713">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eastAsia="zh-CN"/>
        </w:rPr>
        <w:t>生化池吊装维修服务采购项目</w:t>
      </w:r>
    </w:p>
    <w:p w14:paraId="61AEBF46">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07ECC583">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161E757">
            <w:pPr>
              <w:spacing w:after="78" w:line="640" w:lineRule="exact"/>
              <w:jc w:val="center"/>
              <w:rPr>
                <w:rFonts w:eastAsia="仿宋_GB2312"/>
                <w:b/>
                <w:bCs/>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E85562">
            <w:pPr>
              <w:spacing w:after="78" w:line="640" w:lineRule="exact"/>
              <w:jc w:val="center"/>
              <w:rPr>
                <w:rFonts w:eastAsia="仿宋_GB2312"/>
                <w:b/>
                <w:bCs/>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8861288">
            <w:pPr>
              <w:spacing w:after="78" w:line="640" w:lineRule="exact"/>
              <w:rPr>
                <w:rFonts w:eastAsia="仿宋_GB2312"/>
                <w:b/>
                <w:bCs/>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599570F">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6ADB3E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CEC0008">
            <w:pPr>
              <w:spacing w:after="78" w:line="640" w:lineRule="exact"/>
              <w:jc w:val="center"/>
              <w:rPr>
                <w:rFonts w:eastAsia="仿宋_GB2312"/>
                <w:b/>
                <w:bCs/>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E966C97">
            <w:pPr>
              <w:spacing w:after="78" w:line="640" w:lineRule="exact"/>
              <w:jc w:val="center"/>
              <w:rPr>
                <w:rFonts w:eastAsia="仿宋_GB2312"/>
                <w:b/>
                <w:bCs/>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9C49157">
            <w:pPr>
              <w:spacing w:after="78" w:line="640" w:lineRule="exact"/>
              <w:jc w:val="center"/>
              <w:rPr>
                <w:rFonts w:eastAsia="仿宋_GB2312"/>
                <w:b/>
                <w:bCs/>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CB006D7">
            <w:pPr>
              <w:spacing w:after="78" w:line="640" w:lineRule="exact"/>
              <w:jc w:val="center"/>
              <w:rPr>
                <w:rFonts w:eastAsia="仿宋_GB2312"/>
                <w:b/>
                <w:bCs/>
                <w:sz w:val="32"/>
                <w:szCs w:val="32"/>
              </w:rPr>
            </w:pPr>
          </w:p>
        </w:tc>
      </w:tr>
    </w:tbl>
    <w:p w14:paraId="51A48278">
      <w:pPr>
        <w:spacing w:after="78"/>
      </w:pPr>
      <w:r>
        <w:rPr>
          <w:rFonts w:hint="eastAsia"/>
        </w:rPr>
        <w:t>注：（1）《现场踏勘确认单》需附参选单位到项目现场踏勘的照片，</w:t>
      </w:r>
      <w:r>
        <w:rPr>
          <w:rFonts w:hint="eastAsia"/>
          <w:b/>
          <w:bCs/>
        </w:rPr>
        <w:t>照片内应有参选单位人员及项目人员</w:t>
      </w:r>
      <w:r>
        <w:rPr>
          <w:rFonts w:hint="eastAsia"/>
        </w:rPr>
        <w:t>。</w:t>
      </w:r>
    </w:p>
    <w:p w14:paraId="2F2E2730">
      <w:pPr>
        <w:spacing w:after="78"/>
      </w:pPr>
      <w:r>
        <w:rPr>
          <w:rFonts w:hint="eastAsia"/>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sz w:val="22"/>
          <w:szCs w:val="28"/>
        </w:rPr>
      </w:pPr>
      <w:r>
        <w:rPr>
          <w:rFonts w:hint="eastAsia" w:ascii="仿宋_GB2312" w:eastAsia="仿宋_GB2312"/>
          <w:b/>
          <w:bCs/>
          <w:sz w:val="22"/>
          <w:szCs w:val="28"/>
        </w:rPr>
        <w:t>附：现场踏勘照片</w:t>
      </w:r>
      <w:bookmarkStart w:id="30" w:name="_GoBack"/>
      <w:bookmarkEnd w:id="30"/>
    </w:p>
    <w:p w14:paraId="1E65BD5E">
      <w:pPr>
        <w:pStyle w:val="4"/>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000000"/>
          <w:szCs w:val="21"/>
        </w:rPr>
        <w:br w:type="page"/>
      </w:r>
    </w:p>
    <w:p w14:paraId="571A549E">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生化池吊装维修服务</w:t>
      </w:r>
      <w:r>
        <w:rPr>
          <w:rFonts w:hint="eastAsia" w:ascii="仿宋" w:hAnsi="仿宋" w:eastAsia="仿宋"/>
          <w:b/>
          <w:bCs/>
          <w:kern w:val="0"/>
          <w:sz w:val="24"/>
        </w:rPr>
        <w:t>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379"/>
        <w:gridCol w:w="2400"/>
        <w:gridCol w:w="60"/>
        <w:gridCol w:w="55"/>
        <w:gridCol w:w="908"/>
        <w:gridCol w:w="52"/>
        <w:gridCol w:w="1138"/>
        <w:gridCol w:w="837"/>
        <w:gridCol w:w="188"/>
        <w:gridCol w:w="1503"/>
      </w:tblGrid>
      <w:tr w14:paraId="7140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82D047F">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10"/>
            <w:vAlign w:val="center"/>
          </w:tcPr>
          <w:p w14:paraId="62124078">
            <w:pPr>
              <w:spacing w:afterLines="0" w:line="300" w:lineRule="exact"/>
              <w:jc w:val="center"/>
              <w:rPr>
                <w:rFonts w:hint="eastAsia" w:ascii="仿宋" w:hAnsi="仿宋" w:eastAsia="仿宋"/>
                <w:b/>
                <w:szCs w:val="21"/>
              </w:rPr>
            </w:pPr>
            <w:r>
              <w:rPr>
                <w:rFonts w:hint="eastAsia" w:ascii="仿宋" w:hAnsi="仿宋" w:eastAsia="仿宋"/>
                <w:b/>
                <w:bCs/>
                <w:kern w:val="0"/>
                <w:sz w:val="24"/>
                <w:lang w:eastAsia="zh-CN"/>
              </w:rPr>
              <w:t>生化池吊装维修服务</w:t>
            </w:r>
            <w:r>
              <w:rPr>
                <w:rFonts w:hint="eastAsia" w:ascii="仿宋" w:hAnsi="仿宋" w:eastAsia="仿宋"/>
                <w:b/>
                <w:bCs/>
                <w:kern w:val="0"/>
                <w:sz w:val="24"/>
              </w:rPr>
              <w:t>采购项目</w:t>
            </w:r>
          </w:p>
        </w:tc>
      </w:tr>
      <w:tr w14:paraId="12B5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4648E98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76344F7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4FD862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5"/>
          </w:tcPr>
          <w:p w14:paraId="3B4CF73C">
            <w:pPr>
              <w:spacing w:afterLines="0"/>
              <w:jc w:val="center"/>
              <w:rPr>
                <w:rFonts w:hint="eastAsia" w:ascii="仿宋" w:hAnsi="仿宋" w:eastAsia="仿宋"/>
                <w:szCs w:val="21"/>
              </w:rPr>
            </w:pPr>
          </w:p>
        </w:tc>
      </w:tr>
      <w:tr w14:paraId="5174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58350680">
            <w:pPr>
              <w:spacing w:afterLines="0" w:line="300" w:lineRule="exact"/>
              <w:jc w:val="center"/>
              <w:rPr>
                <w:rFonts w:hint="eastAsia" w:ascii="仿宋" w:hAnsi="仿宋" w:eastAsia="仿宋"/>
                <w:szCs w:val="21"/>
              </w:rPr>
            </w:pPr>
          </w:p>
        </w:tc>
        <w:tc>
          <w:tcPr>
            <w:tcW w:w="3839" w:type="dxa"/>
            <w:gridSpan w:val="3"/>
            <w:vMerge w:val="continue"/>
            <w:vAlign w:val="center"/>
          </w:tcPr>
          <w:p w14:paraId="05474CE5">
            <w:pPr>
              <w:spacing w:afterLines="0" w:line="300" w:lineRule="exact"/>
              <w:jc w:val="center"/>
              <w:rPr>
                <w:rFonts w:hint="eastAsia" w:ascii="仿宋" w:hAnsi="仿宋" w:eastAsia="仿宋"/>
                <w:szCs w:val="21"/>
              </w:rPr>
            </w:pPr>
          </w:p>
        </w:tc>
        <w:tc>
          <w:tcPr>
            <w:tcW w:w="963" w:type="dxa"/>
            <w:gridSpan w:val="2"/>
            <w:vAlign w:val="center"/>
          </w:tcPr>
          <w:p w14:paraId="1B5DB25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5"/>
          </w:tcPr>
          <w:p w14:paraId="748FF345">
            <w:pPr>
              <w:spacing w:afterLines="0"/>
              <w:jc w:val="center"/>
              <w:rPr>
                <w:rFonts w:hint="eastAsia" w:ascii="仿宋" w:hAnsi="仿宋" w:eastAsia="仿宋"/>
                <w:szCs w:val="21"/>
              </w:rPr>
            </w:pPr>
          </w:p>
        </w:tc>
      </w:tr>
      <w:tr w14:paraId="6EC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7FD1E6DD">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3292B242">
            <w:pPr>
              <w:spacing w:afterLines="0" w:line="300" w:lineRule="exact"/>
              <w:jc w:val="center"/>
              <w:rPr>
                <w:rFonts w:hint="eastAsia" w:ascii="仿宋" w:hAnsi="仿宋" w:eastAsia="仿宋"/>
                <w:szCs w:val="21"/>
              </w:rPr>
            </w:pPr>
            <w:r>
              <w:rPr>
                <w:rFonts w:hint="eastAsia" w:ascii="仿宋" w:hAnsi="仿宋" w:eastAsia="仿宋"/>
                <w:szCs w:val="21"/>
              </w:rPr>
              <w:t>深圳龙华观澜河口调蓄池</w:t>
            </w:r>
          </w:p>
        </w:tc>
        <w:tc>
          <w:tcPr>
            <w:tcW w:w="963" w:type="dxa"/>
            <w:gridSpan w:val="2"/>
            <w:vAlign w:val="center"/>
          </w:tcPr>
          <w:p w14:paraId="40CD5F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5"/>
          </w:tcPr>
          <w:p w14:paraId="21C71D9A">
            <w:pPr>
              <w:spacing w:afterLines="0"/>
              <w:jc w:val="center"/>
              <w:rPr>
                <w:rFonts w:hint="eastAsia" w:ascii="仿宋" w:hAnsi="仿宋" w:eastAsia="仿宋"/>
                <w:szCs w:val="21"/>
              </w:rPr>
            </w:pPr>
          </w:p>
        </w:tc>
      </w:tr>
      <w:tr w14:paraId="2689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1"/>
            <w:vAlign w:val="center"/>
          </w:tcPr>
          <w:p w14:paraId="71FA3329">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F4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067A3C6D">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79" w:type="dxa"/>
            <w:vAlign w:val="center"/>
          </w:tcPr>
          <w:p w14:paraId="1A6CC99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400" w:type="dxa"/>
            <w:vAlign w:val="center"/>
          </w:tcPr>
          <w:p w14:paraId="5EAE9685">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服务内容</w:t>
            </w:r>
          </w:p>
        </w:tc>
        <w:tc>
          <w:tcPr>
            <w:tcW w:w="1023" w:type="dxa"/>
            <w:gridSpan w:val="3"/>
            <w:vAlign w:val="center"/>
          </w:tcPr>
          <w:p w14:paraId="5076F49A">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数量</w:t>
            </w:r>
          </w:p>
        </w:tc>
        <w:tc>
          <w:tcPr>
            <w:tcW w:w="1190" w:type="dxa"/>
            <w:gridSpan w:val="2"/>
            <w:vAlign w:val="center"/>
          </w:tcPr>
          <w:p w14:paraId="21632F10">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tc>
        <w:tc>
          <w:tcPr>
            <w:tcW w:w="1025" w:type="dxa"/>
            <w:gridSpan w:val="2"/>
            <w:vAlign w:val="center"/>
          </w:tcPr>
          <w:p w14:paraId="5AD61683">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小计</w:t>
            </w:r>
          </w:p>
        </w:tc>
        <w:tc>
          <w:tcPr>
            <w:tcW w:w="1503" w:type="dxa"/>
            <w:vAlign w:val="center"/>
          </w:tcPr>
          <w:p w14:paraId="75112F48">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1F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1916410B">
            <w:pPr>
              <w:pStyle w:val="59"/>
              <w:numPr>
                <w:ilvl w:val="0"/>
                <w:numId w:val="0"/>
              </w:numPr>
              <w:spacing w:afterLines="0" w:line="240" w:lineRule="auto"/>
              <w:ind w:left="440" w:leftChars="0" w:hanging="440" w:firstLineChars="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379" w:type="dxa"/>
            <w:vAlign w:val="center"/>
          </w:tcPr>
          <w:p w14:paraId="410E093D">
            <w:pPr>
              <w:widowControl/>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Times New Roman" w:hAnsi="Times New Roman" w:eastAsia="仿宋" w:cs="仿宋"/>
                <w:color w:val="000000"/>
                <w:kern w:val="0"/>
                <w:sz w:val="24"/>
                <w:szCs w:val="24"/>
                <w:lang w:val="en-US" w:eastAsia="zh-CN" w:bidi="ar"/>
              </w:rPr>
              <w:t>模块转运吊装安装服务</w:t>
            </w:r>
          </w:p>
        </w:tc>
        <w:tc>
          <w:tcPr>
            <w:tcW w:w="2400" w:type="dxa"/>
            <w:vAlign w:val="center"/>
          </w:tcPr>
          <w:p w14:paraId="02007974">
            <w:pPr>
              <w:widowControl/>
              <w:jc w:val="center"/>
              <w:textAlignment w:val="center"/>
              <w:rPr>
                <w:rFonts w:hint="eastAsia" w:ascii="仿宋" w:hAnsi="仿宋" w:eastAsia="仿宋" w:cs="仿宋"/>
                <w:color w:val="000000"/>
                <w:kern w:val="0"/>
                <w:sz w:val="21"/>
                <w:szCs w:val="21"/>
                <w:lang w:val="en-US" w:eastAsia="zh-CN" w:bidi="ar"/>
              </w:rPr>
            </w:pPr>
            <w:r>
              <w:rPr>
                <w:rFonts w:hint="eastAsia" w:ascii="Times New Roman" w:hAnsi="Times New Roman" w:eastAsia="仿宋" w:cs="仿宋"/>
                <w:color w:val="000000"/>
                <w:kern w:val="0"/>
                <w:sz w:val="24"/>
                <w:szCs w:val="24"/>
                <w:lang w:val="en-US" w:eastAsia="zh-CN" w:bidi="ar"/>
              </w:rPr>
              <w:t>包含吊出和吊进，及相应的栏杆切除和恢复、管道连接等</w:t>
            </w:r>
          </w:p>
        </w:tc>
        <w:tc>
          <w:tcPr>
            <w:tcW w:w="1023" w:type="dxa"/>
            <w:gridSpan w:val="3"/>
            <w:vAlign w:val="center"/>
          </w:tcPr>
          <w:p w14:paraId="388113B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Times New Roman" w:hAnsi="Times New Roman" w:cs="Times New Roman"/>
                <w:i w:val="0"/>
                <w:iCs w:val="0"/>
                <w:color w:val="000000"/>
                <w:kern w:val="0"/>
                <w:sz w:val="20"/>
                <w:szCs w:val="20"/>
                <w:u w:val="none"/>
                <w:lang w:val="en-US" w:eastAsia="zh-CN" w:bidi="ar"/>
              </w:rPr>
              <w:t>31个</w:t>
            </w:r>
          </w:p>
        </w:tc>
        <w:tc>
          <w:tcPr>
            <w:tcW w:w="1190" w:type="dxa"/>
            <w:gridSpan w:val="2"/>
            <w:vAlign w:val="center"/>
          </w:tcPr>
          <w:p w14:paraId="13D634C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2CBD810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63D5922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14:paraId="135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Merge w:val="restart"/>
            <w:vAlign w:val="center"/>
          </w:tcPr>
          <w:p w14:paraId="42DE3EC1">
            <w:pPr>
              <w:pStyle w:val="59"/>
              <w:numPr>
                <w:ilvl w:val="0"/>
                <w:numId w:val="0"/>
              </w:numPr>
              <w:spacing w:afterLines="0" w:line="240" w:lineRule="auto"/>
              <w:ind w:left="440" w:leftChars="0" w:hanging="440" w:firstLineChars="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1379" w:type="dxa"/>
            <w:vMerge w:val="restart"/>
            <w:vAlign w:val="center"/>
          </w:tcPr>
          <w:p w14:paraId="7E9E8CDE">
            <w:pPr>
              <w:widowControl/>
              <w:spacing w:line="240" w:lineRule="auto"/>
              <w:jc w:val="center"/>
              <w:textAlignment w:val="center"/>
              <w:rPr>
                <w:rFonts w:hint="default"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其他附属服务</w:t>
            </w:r>
          </w:p>
        </w:tc>
        <w:tc>
          <w:tcPr>
            <w:tcW w:w="2400" w:type="dxa"/>
            <w:shd w:val="clear" w:color="auto" w:fill="auto"/>
            <w:vAlign w:val="center"/>
          </w:tcPr>
          <w:p w14:paraId="27008EA9">
            <w:pPr>
              <w:widowControl/>
              <w:spacing w:line="240" w:lineRule="auto"/>
              <w:jc w:val="center"/>
              <w:textAlignment w:val="center"/>
              <w:rPr>
                <w:rFonts w:hint="eastAsia" w:ascii="Times New Roman" w:hAnsi="Times New Roman" w:eastAsia="仿宋" w:cs="仿宋"/>
                <w:color w:val="000000"/>
                <w:kern w:val="0"/>
                <w:sz w:val="24"/>
                <w:szCs w:val="24"/>
                <w:vertAlign w:val="baseline"/>
                <w:lang w:val="en-US" w:eastAsia="zh-CN" w:bidi="ar"/>
              </w:rPr>
            </w:pPr>
            <w:r>
              <w:rPr>
                <w:rFonts w:hint="eastAsia" w:ascii="Times New Roman" w:hAnsi="Times New Roman" w:eastAsia="仿宋" w:cs="仿宋"/>
                <w:color w:val="000000"/>
                <w:kern w:val="0"/>
                <w:sz w:val="24"/>
                <w:szCs w:val="24"/>
                <w:vertAlign w:val="baseline"/>
                <w:lang w:val="en-US" w:eastAsia="zh-CN" w:bidi="ar"/>
              </w:rPr>
              <w:t>生物池模块内部斜管清理</w:t>
            </w:r>
          </w:p>
        </w:tc>
        <w:tc>
          <w:tcPr>
            <w:tcW w:w="1023" w:type="dxa"/>
            <w:gridSpan w:val="3"/>
            <w:vAlign w:val="center"/>
          </w:tcPr>
          <w:p w14:paraId="7BC1A817">
            <w:pPr>
              <w:widowControl/>
              <w:spacing w:line="240" w:lineRule="auto"/>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olor w:val="000000"/>
                <w:kern w:val="0"/>
                <w:sz w:val="20"/>
                <w:szCs w:val="20"/>
                <w:u w:val="none"/>
                <w:vertAlign w:val="baseline"/>
                <w:lang w:val="en-US" w:eastAsia="zh-CN" w:bidi="ar"/>
              </w:rPr>
              <w:t>50</w:t>
            </w:r>
            <w:r>
              <w:rPr>
                <w:rFonts w:hint="eastAsia" w:ascii="Times New Roman" w:hAnsi="Times New Roman"/>
                <w:color w:val="000000"/>
                <w:kern w:val="0"/>
                <w:sz w:val="20"/>
                <w:szCs w:val="20"/>
                <w:u w:val="none"/>
                <w:vertAlign w:val="baseline"/>
                <w:lang w:val="en-US" w:eastAsia="zh-CN" w:bidi="ar"/>
              </w:rPr>
              <w:t>个</w:t>
            </w:r>
          </w:p>
        </w:tc>
        <w:tc>
          <w:tcPr>
            <w:tcW w:w="1190" w:type="dxa"/>
            <w:gridSpan w:val="2"/>
            <w:vAlign w:val="center"/>
          </w:tcPr>
          <w:p w14:paraId="0A77BAA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0182C19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49B5EA9D">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w:t>
            </w:r>
          </w:p>
        </w:tc>
      </w:tr>
      <w:tr w14:paraId="1135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Merge w:val="continue"/>
            <w:vAlign w:val="center"/>
          </w:tcPr>
          <w:p w14:paraId="67A796B7">
            <w:pPr>
              <w:pStyle w:val="59"/>
              <w:numPr>
                <w:ilvl w:val="0"/>
                <w:numId w:val="0"/>
              </w:numPr>
              <w:spacing w:afterLines="0" w:line="240" w:lineRule="auto"/>
              <w:ind w:left="440" w:leftChars="0" w:hanging="440" w:firstLineChars="0"/>
              <w:jc w:val="center"/>
              <w:rPr>
                <w:rFonts w:hint="eastAsia" w:ascii="仿宋" w:hAnsi="仿宋" w:eastAsia="仿宋"/>
                <w:szCs w:val="21"/>
                <w:lang w:val="en-US" w:eastAsia="zh-CN"/>
              </w:rPr>
            </w:pPr>
          </w:p>
        </w:tc>
        <w:tc>
          <w:tcPr>
            <w:tcW w:w="1379" w:type="dxa"/>
            <w:vMerge w:val="continue"/>
            <w:vAlign w:val="center"/>
          </w:tcPr>
          <w:p w14:paraId="688877F0">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p>
        </w:tc>
        <w:tc>
          <w:tcPr>
            <w:tcW w:w="2400" w:type="dxa"/>
            <w:shd w:val="clear" w:color="auto" w:fill="auto"/>
            <w:vAlign w:val="center"/>
          </w:tcPr>
          <w:p w14:paraId="2E02ADFE">
            <w:pPr>
              <w:widowControl/>
              <w:spacing w:line="240" w:lineRule="auto"/>
              <w:jc w:val="center"/>
              <w:textAlignment w:val="center"/>
              <w:rPr>
                <w:rFonts w:hint="eastAsia" w:ascii="Times New Roman" w:hAnsi="Times New Roman" w:eastAsia="仿宋" w:cs="仿宋"/>
                <w:color w:val="000000"/>
                <w:kern w:val="0"/>
                <w:sz w:val="24"/>
                <w:szCs w:val="24"/>
                <w:vertAlign w:val="baseline"/>
                <w:lang w:val="en-US" w:eastAsia="zh-CN" w:bidi="ar"/>
              </w:rPr>
            </w:pPr>
            <w:r>
              <w:rPr>
                <w:rFonts w:hint="eastAsia" w:ascii="Times New Roman" w:hAnsi="Times New Roman" w:eastAsia="仿宋" w:cs="仿宋"/>
                <w:color w:val="000000"/>
                <w:kern w:val="0"/>
                <w:sz w:val="24"/>
                <w:szCs w:val="24"/>
                <w:vertAlign w:val="baseline"/>
                <w:lang w:bidi="ar"/>
              </w:rPr>
              <w:t>模块解体</w:t>
            </w:r>
            <w:r>
              <w:rPr>
                <w:rFonts w:hint="eastAsia" w:ascii="Times New Roman" w:hAnsi="Times New Roman" w:eastAsia="仿宋" w:cs="仿宋"/>
                <w:color w:val="000000"/>
                <w:kern w:val="0"/>
                <w:sz w:val="24"/>
                <w:szCs w:val="24"/>
                <w:vertAlign w:val="baseline"/>
                <w:lang w:eastAsia="zh-CN" w:bidi="ar"/>
              </w:rPr>
              <w:t>、</w:t>
            </w:r>
            <w:r>
              <w:rPr>
                <w:rFonts w:hint="eastAsia" w:ascii="Times New Roman" w:hAnsi="Times New Roman" w:eastAsia="仿宋" w:cs="仿宋"/>
                <w:color w:val="000000"/>
                <w:kern w:val="0"/>
                <w:sz w:val="24"/>
                <w:szCs w:val="24"/>
                <w:vertAlign w:val="baseline"/>
                <w:lang w:val="en-US" w:eastAsia="zh-CN" w:bidi="ar"/>
              </w:rPr>
              <w:t>运输</w:t>
            </w:r>
          </w:p>
        </w:tc>
        <w:tc>
          <w:tcPr>
            <w:tcW w:w="1023" w:type="dxa"/>
            <w:gridSpan w:val="3"/>
            <w:vAlign w:val="center"/>
          </w:tcPr>
          <w:p w14:paraId="21215599">
            <w:pPr>
              <w:widowControl/>
              <w:spacing w:line="240" w:lineRule="auto"/>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olor w:val="000000"/>
                <w:kern w:val="0"/>
                <w:sz w:val="20"/>
                <w:szCs w:val="20"/>
                <w:u w:val="none"/>
                <w:vertAlign w:val="baseline"/>
                <w:lang w:val="en-US" w:eastAsia="zh-CN" w:bidi="ar"/>
              </w:rPr>
              <w:t>19</w:t>
            </w:r>
            <w:r>
              <w:rPr>
                <w:rFonts w:hint="eastAsia" w:ascii="Times New Roman" w:hAnsi="Times New Roman"/>
                <w:color w:val="000000"/>
                <w:kern w:val="0"/>
                <w:sz w:val="20"/>
                <w:szCs w:val="20"/>
                <w:u w:val="none"/>
                <w:vertAlign w:val="baseline"/>
                <w:lang w:val="en-US" w:eastAsia="zh-CN" w:bidi="ar"/>
              </w:rPr>
              <w:t>个</w:t>
            </w:r>
          </w:p>
        </w:tc>
        <w:tc>
          <w:tcPr>
            <w:tcW w:w="1190" w:type="dxa"/>
            <w:gridSpan w:val="2"/>
            <w:vAlign w:val="center"/>
          </w:tcPr>
          <w:p w14:paraId="7456626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533BBE5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2F7B8B52">
            <w:pPr>
              <w:widowControl/>
              <w:spacing w:line="240" w:lineRule="auto"/>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vertAlign w:val="baseline"/>
                <w:lang w:val="en-US" w:eastAsia="zh-CN" w:bidi="ar"/>
              </w:rPr>
              <w:t>运至观澜河口调蓄池项目指定位置</w:t>
            </w:r>
          </w:p>
        </w:tc>
      </w:tr>
      <w:tr w14:paraId="3A35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Merge w:val="continue"/>
            <w:vAlign w:val="center"/>
          </w:tcPr>
          <w:p w14:paraId="1437B169">
            <w:pPr>
              <w:pStyle w:val="59"/>
              <w:numPr>
                <w:ilvl w:val="0"/>
                <w:numId w:val="0"/>
              </w:numPr>
              <w:spacing w:afterLines="0" w:line="240" w:lineRule="auto"/>
              <w:ind w:left="440" w:leftChars="0" w:hanging="440" w:firstLineChars="0"/>
              <w:jc w:val="center"/>
              <w:rPr>
                <w:rFonts w:hint="eastAsia" w:ascii="仿宋" w:hAnsi="仿宋" w:eastAsia="仿宋"/>
                <w:szCs w:val="21"/>
                <w:lang w:val="en-US" w:eastAsia="zh-CN"/>
              </w:rPr>
            </w:pPr>
          </w:p>
        </w:tc>
        <w:tc>
          <w:tcPr>
            <w:tcW w:w="1379" w:type="dxa"/>
            <w:vMerge w:val="continue"/>
            <w:vAlign w:val="center"/>
          </w:tcPr>
          <w:p w14:paraId="380A6FE2">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p>
        </w:tc>
        <w:tc>
          <w:tcPr>
            <w:tcW w:w="2400" w:type="dxa"/>
            <w:shd w:val="clear" w:color="auto" w:fill="auto"/>
            <w:vAlign w:val="center"/>
          </w:tcPr>
          <w:p w14:paraId="5FA2D5CE">
            <w:pPr>
              <w:widowControl/>
              <w:spacing w:line="240" w:lineRule="auto"/>
              <w:jc w:val="center"/>
              <w:textAlignment w:val="center"/>
              <w:rPr>
                <w:rFonts w:hint="eastAsia" w:ascii="Times New Roman" w:hAnsi="Times New Roman" w:eastAsia="仿宋" w:cs="仿宋"/>
                <w:color w:val="000000"/>
                <w:kern w:val="0"/>
                <w:sz w:val="24"/>
                <w:szCs w:val="24"/>
                <w:vertAlign w:val="baseline"/>
                <w:lang w:val="en-US" w:eastAsia="zh-CN" w:bidi="ar"/>
              </w:rPr>
            </w:pPr>
            <w:r>
              <w:rPr>
                <w:rFonts w:hint="eastAsia" w:ascii="Times New Roman" w:hAnsi="Times New Roman" w:eastAsia="仿宋" w:cs="仿宋"/>
                <w:color w:val="000000"/>
                <w:kern w:val="0"/>
                <w:sz w:val="24"/>
                <w:szCs w:val="24"/>
                <w:vertAlign w:val="baseline"/>
                <w:lang w:bidi="ar"/>
              </w:rPr>
              <w:t>生化池曝气板条更换</w:t>
            </w:r>
          </w:p>
        </w:tc>
        <w:tc>
          <w:tcPr>
            <w:tcW w:w="1023" w:type="dxa"/>
            <w:gridSpan w:val="3"/>
            <w:vAlign w:val="center"/>
          </w:tcPr>
          <w:p w14:paraId="3895CD50">
            <w:pPr>
              <w:widowControl/>
              <w:spacing w:line="240" w:lineRule="auto"/>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olor w:val="000000"/>
                <w:kern w:val="0"/>
                <w:sz w:val="20"/>
                <w:szCs w:val="20"/>
                <w:u w:val="none"/>
                <w:vertAlign w:val="baseline"/>
                <w:lang w:val="en-US" w:eastAsia="zh-CN" w:bidi="ar"/>
              </w:rPr>
              <w:t>5</w:t>
            </w:r>
            <w:r>
              <w:rPr>
                <w:rFonts w:hint="eastAsia" w:ascii="Times New Roman" w:hAnsi="Times New Roman"/>
                <w:color w:val="000000"/>
                <w:kern w:val="0"/>
                <w:sz w:val="20"/>
                <w:szCs w:val="20"/>
                <w:u w:val="none"/>
                <w:vertAlign w:val="baseline"/>
                <w:lang w:val="en-US" w:eastAsia="zh-CN" w:bidi="ar"/>
              </w:rPr>
              <w:t>池</w:t>
            </w:r>
          </w:p>
        </w:tc>
        <w:tc>
          <w:tcPr>
            <w:tcW w:w="1190" w:type="dxa"/>
            <w:gridSpan w:val="2"/>
            <w:vAlign w:val="center"/>
          </w:tcPr>
          <w:p w14:paraId="375B6CB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10AAEFF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4F81ED01">
            <w:pPr>
              <w:widowControl/>
              <w:spacing w:line="240" w:lineRule="auto"/>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vertAlign w:val="baseline"/>
                <w:lang w:bidi="ar"/>
              </w:rPr>
              <w:t>预估每个池8根</w:t>
            </w:r>
            <w:r>
              <w:rPr>
                <w:rFonts w:hint="eastAsia" w:ascii="Times New Roman" w:hAnsi="Times New Roman" w:eastAsia="仿宋" w:cs="仿宋"/>
                <w:color w:val="000000"/>
                <w:kern w:val="0"/>
                <w:sz w:val="24"/>
                <w:szCs w:val="24"/>
                <w:vertAlign w:val="baseline"/>
                <w:lang w:eastAsia="zh-CN" w:bidi="ar"/>
              </w:rPr>
              <w:t>，</w:t>
            </w:r>
            <w:r>
              <w:rPr>
                <w:rFonts w:hint="eastAsia" w:ascii="Times New Roman" w:hAnsi="Times New Roman" w:eastAsia="仿宋" w:cs="仿宋"/>
                <w:color w:val="000000"/>
                <w:kern w:val="0"/>
                <w:sz w:val="24"/>
                <w:szCs w:val="24"/>
                <w:vertAlign w:val="baseline"/>
                <w:lang w:val="en-US" w:eastAsia="zh-CN" w:bidi="ar"/>
              </w:rPr>
              <w:t>曝气板条由甲方提供</w:t>
            </w:r>
          </w:p>
        </w:tc>
      </w:tr>
      <w:tr w14:paraId="4B25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Merge w:val="continue"/>
            <w:vAlign w:val="center"/>
          </w:tcPr>
          <w:p w14:paraId="428F15B4">
            <w:pPr>
              <w:pStyle w:val="59"/>
              <w:numPr>
                <w:ilvl w:val="0"/>
                <w:numId w:val="0"/>
              </w:numPr>
              <w:spacing w:afterLines="0" w:line="240" w:lineRule="auto"/>
              <w:ind w:left="440" w:leftChars="0" w:hanging="440" w:firstLineChars="0"/>
              <w:jc w:val="center"/>
              <w:rPr>
                <w:rFonts w:hint="eastAsia" w:ascii="仿宋" w:hAnsi="仿宋" w:eastAsia="仿宋"/>
                <w:szCs w:val="21"/>
                <w:lang w:val="en-US" w:eastAsia="zh-CN"/>
              </w:rPr>
            </w:pPr>
          </w:p>
        </w:tc>
        <w:tc>
          <w:tcPr>
            <w:tcW w:w="1379" w:type="dxa"/>
            <w:vMerge w:val="continue"/>
            <w:vAlign w:val="center"/>
          </w:tcPr>
          <w:p w14:paraId="1E54EEE9">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p>
        </w:tc>
        <w:tc>
          <w:tcPr>
            <w:tcW w:w="2400" w:type="dxa"/>
            <w:shd w:val="clear" w:color="auto" w:fill="auto"/>
            <w:vAlign w:val="center"/>
          </w:tcPr>
          <w:p w14:paraId="6622E826">
            <w:pPr>
              <w:widowControl/>
              <w:spacing w:line="240" w:lineRule="auto"/>
              <w:jc w:val="center"/>
              <w:textAlignment w:val="center"/>
              <w:rPr>
                <w:rFonts w:hint="eastAsia" w:ascii="Times New Roman" w:hAnsi="Times New Roman" w:eastAsia="仿宋" w:cs="仿宋"/>
                <w:color w:val="000000"/>
                <w:kern w:val="0"/>
                <w:sz w:val="24"/>
                <w:szCs w:val="24"/>
                <w:vertAlign w:val="baseline"/>
                <w:lang w:val="en-US" w:eastAsia="zh-CN" w:bidi="ar"/>
              </w:rPr>
            </w:pPr>
            <w:r>
              <w:rPr>
                <w:rFonts w:hint="eastAsia" w:ascii="Times New Roman" w:hAnsi="Times New Roman" w:eastAsia="仿宋" w:cs="仿宋"/>
                <w:color w:val="000000"/>
                <w:kern w:val="0"/>
                <w:sz w:val="24"/>
                <w:szCs w:val="24"/>
                <w:vertAlign w:val="baseline"/>
                <w:lang w:bidi="ar"/>
              </w:rPr>
              <w:t>模块底部挡气板矫正修复</w:t>
            </w:r>
          </w:p>
        </w:tc>
        <w:tc>
          <w:tcPr>
            <w:tcW w:w="1023" w:type="dxa"/>
            <w:gridSpan w:val="3"/>
            <w:vAlign w:val="center"/>
          </w:tcPr>
          <w:p w14:paraId="3502541C">
            <w:pPr>
              <w:widowControl/>
              <w:spacing w:line="240" w:lineRule="auto"/>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olor w:val="000000"/>
                <w:kern w:val="0"/>
                <w:sz w:val="20"/>
                <w:szCs w:val="20"/>
                <w:u w:val="none"/>
                <w:vertAlign w:val="baseline"/>
                <w:lang w:val="en-US" w:eastAsia="zh-CN" w:bidi="ar"/>
              </w:rPr>
              <w:t>31</w:t>
            </w:r>
            <w:r>
              <w:rPr>
                <w:rFonts w:hint="eastAsia" w:ascii="Times New Roman" w:hAnsi="Times New Roman"/>
                <w:color w:val="000000"/>
                <w:kern w:val="0"/>
                <w:sz w:val="20"/>
                <w:szCs w:val="20"/>
                <w:u w:val="none"/>
                <w:vertAlign w:val="baseline"/>
                <w:lang w:val="en-US" w:eastAsia="zh-CN" w:bidi="ar"/>
              </w:rPr>
              <w:t>个</w:t>
            </w:r>
          </w:p>
        </w:tc>
        <w:tc>
          <w:tcPr>
            <w:tcW w:w="1190" w:type="dxa"/>
            <w:gridSpan w:val="2"/>
            <w:vAlign w:val="center"/>
          </w:tcPr>
          <w:p w14:paraId="0F7041A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69919BD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098FC797">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w:t>
            </w:r>
          </w:p>
        </w:tc>
      </w:tr>
      <w:tr w14:paraId="5E42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Merge w:val="continue"/>
            <w:vAlign w:val="center"/>
          </w:tcPr>
          <w:p w14:paraId="66D62420">
            <w:pPr>
              <w:pStyle w:val="59"/>
              <w:numPr>
                <w:ilvl w:val="0"/>
                <w:numId w:val="0"/>
              </w:numPr>
              <w:spacing w:afterLines="0" w:line="240" w:lineRule="auto"/>
              <w:ind w:left="440" w:leftChars="0" w:hanging="440" w:firstLineChars="0"/>
              <w:jc w:val="center"/>
              <w:rPr>
                <w:rFonts w:hint="eastAsia" w:ascii="仿宋" w:hAnsi="仿宋" w:eastAsia="仿宋"/>
                <w:szCs w:val="21"/>
                <w:lang w:val="en-US" w:eastAsia="zh-CN"/>
              </w:rPr>
            </w:pPr>
          </w:p>
        </w:tc>
        <w:tc>
          <w:tcPr>
            <w:tcW w:w="1379" w:type="dxa"/>
            <w:vMerge w:val="continue"/>
            <w:vAlign w:val="center"/>
          </w:tcPr>
          <w:p w14:paraId="5B297544">
            <w:pPr>
              <w:widowControl/>
              <w:spacing w:line="240" w:lineRule="auto"/>
              <w:jc w:val="center"/>
              <w:textAlignment w:val="center"/>
              <w:rPr>
                <w:rFonts w:hint="eastAsia" w:ascii="Times New Roman" w:hAnsi="Times New Roman" w:eastAsia="仿宋" w:cs="仿宋"/>
                <w:color w:val="000000"/>
                <w:kern w:val="0"/>
                <w:sz w:val="24"/>
                <w:szCs w:val="24"/>
                <w:lang w:val="en-US" w:eastAsia="zh-CN" w:bidi="ar"/>
              </w:rPr>
            </w:pPr>
          </w:p>
        </w:tc>
        <w:tc>
          <w:tcPr>
            <w:tcW w:w="2400" w:type="dxa"/>
            <w:shd w:val="clear" w:color="auto" w:fill="auto"/>
            <w:vAlign w:val="center"/>
          </w:tcPr>
          <w:p w14:paraId="1530CEE8">
            <w:pPr>
              <w:widowControl/>
              <w:spacing w:line="240" w:lineRule="auto"/>
              <w:jc w:val="center"/>
              <w:textAlignment w:val="center"/>
              <w:rPr>
                <w:rFonts w:hint="eastAsia" w:ascii="Times New Roman" w:hAnsi="Times New Roman" w:eastAsia="仿宋" w:cs="仿宋"/>
                <w:color w:val="000000"/>
                <w:kern w:val="0"/>
                <w:sz w:val="24"/>
                <w:szCs w:val="24"/>
                <w:vertAlign w:val="baseline"/>
                <w:lang w:val="en-US" w:eastAsia="zh-CN" w:bidi="ar"/>
              </w:rPr>
            </w:pPr>
            <w:r>
              <w:rPr>
                <w:rFonts w:hint="eastAsia" w:ascii="Times New Roman" w:hAnsi="Times New Roman" w:eastAsia="仿宋" w:cs="仿宋"/>
                <w:color w:val="000000"/>
                <w:kern w:val="0"/>
                <w:sz w:val="24"/>
                <w:szCs w:val="24"/>
                <w:vertAlign w:val="baseline"/>
                <w:lang w:bidi="ar"/>
              </w:rPr>
              <w:t>钢丝绳防护工作</w:t>
            </w:r>
          </w:p>
        </w:tc>
        <w:tc>
          <w:tcPr>
            <w:tcW w:w="1023" w:type="dxa"/>
            <w:gridSpan w:val="3"/>
            <w:vAlign w:val="center"/>
          </w:tcPr>
          <w:p w14:paraId="7FBE786C">
            <w:pPr>
              <w:widowControl/>
              <w:spacing w:line="240" w:lineRule="auto"/>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olor w:val="000000"/>
                <w:kern w:val="0"/>
                <w:sz w:val="20"/>
                <w:szCs w:val="20"/>
                <w:u w:val="none"/>
                <w:vertAlign w:val="baseline"/>
                <w:lang w:val="en-US" w:eastAsia="zh-CN" w:bidi="ar"/>
              </w:rPr>
              <w:t>4</w:t>
            </w:r>
            <w:r>
              <w:rPr>
                <w:rFonts w:hint="eastAsia" w:ascii="Times New Roman" w:hAnsi="Times New Roman"/>
                <w:color w:val="000000"/>
                <w:kern w:val="0"/>
                <w:sz w:val="20"/>
                <w:szCs w:val="20"/>
                <w:u w:val="none"/>
                <w:vertAlign w:val="baseline"/>
                <w:lang w:val="en-US" w:eastAsia="zh-CN" w:bidi="ar"/>
              </w:rPr>
              <w:t>池</w:t>
            </w:r>
          </w:p>
        </w:tc>
        <w:tc>
          <w:tcPr>
            <w:tcW w:w="1190" w:type="dxa"/>
            <w:gridSpan w:val="2"/>
            <w:vAlign w:val="center"/>
          </w:tcPr>
          <w:p w14:paraId="6CC03B1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837" w:type="dxa"/>
            <w:vAlign w:val="center"/>
          </w:tcPr>
          <w:p w14:paraId="5437DCD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sz w:val="21"/>
                <w:szCs w:val="21"/>
              </w:rPr>
            </w:pPr>
          </w:p>
        </w:tc>
        <w:tc>
          <w:tcPr>
            <w:tcW w:w="1691" w:type="dxa"/>
            <w:gridSpan w:val="2"/>
            <w:vAlign w:val="center"/>
          </w:tcPr>
          <w:p w14:paraId="79B8A571">
            <w:pPr>
              <w:widowControl/>
              <w:spacing w:line="240" w:lineRule="auto"/>
              <w:jc w:val="center"/>
              <w:textAlignment w:val="center"/>
              <w:rPr>
                <w:rFonts w:hint="eastAsia" w:ascii="Times New Roman" w:hAnsi="Times New Roman" w:eastAsia="仿宋" w:cs="仿宋"/>
                <w:color w:val="000000"/>
                <w:kern w:val="0"/>
                <w:sz w:val="24"/>
                <w:szCs w:val="24"/>
                <w:lang w:bidi="ar"/>
              </w:rPr>
            </w:pPr>
            <w:r>
              <w:rPr>
                <w:rFonts w:hint="eastAsia" w:ascii="Times New Roman" w:hAnsi="Times New Roman" w:eastAsia="仿宋" w:cs="仿宋"/>
                <w:color w:val="000000"/>
                <w:kern w:val="0"/>
                <w:sz w:val="24"/>
                <w:szCs w:val="24"/>
                <w:vertAlign w:val="baseline"/>
                <w:lang w:bidi="ar"/>
              </w:rPr>
              <w:t>每排模块下方拉通钢丝绳固定在池面两端风管上，每个生化池共计9排，需拉通18条钢丝绳</w:t>
            </w:r>
          </w:p>
        </w:tc>
      </w:tr>
      <w:tr w14:paraId="5A4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747" w:type="dxa"/>
            <w:gridSpan w:val="11"/>
            <w:vAlign w:val="center"/>
          </w:tcPr>
          <w:p w14:paraId="677530F2">
            <w:pPr>
              <w:spacing w:afterLines="0" w:line="440" w:lineRule="exact"/>
              <w:jc w:val="center"/>
              <w:rPr>
                <w:rFonts w:hint="eastAsia" w:ascii="仿宋" w:hAnsi="仿宋" w:eastAsia="仿宋"/>
                <w:szCs w:val="21"/>
              </w:rPr>
            </w:pPr>
            <w:r>
              <w:rPr>
                <w:rFonts w:hint="eastAsia" w:ascii="Times New Roman" w:hAnsi="Times New Roman" w:eastAsia="仿宋" w:cs="仿宋"/>
                <w:b/>
                <w:bCs/>
                <w:color w:val="000000"/>
                <w:kern w:val="0"/>
                <w:sz w:val="24"/>
                <w:szCs w:val="24"/>
                <w:lang w:val="en-US" w:eastAsia="zh-CN" w:bidi="ar"/>
              </w:rPr>
              <w:t>备注：上述项目报价应含处置旧模块费用</w:t>
            </w:r>
          </w:p>
        </w:tc>
      </w:tr>
      <w:tr w14:paraId="00B8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747" w:type="dxa"/>
            <w:gridSpan w:val="11"/>
            <w:vAlign w:val="center"/>
          </w:tcPr>
          <w:p w14:paraId="391BF193">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含税合计（元）：</w:t>
            </w:r>
          </w:p>
        </w:tc>
      </w:tr>
      <w:tr w14:paraId="1F4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528258C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6D9422A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670268F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5"/>
            <w:vAlign w:val="center"/>
          </w:tcPr>
          <w:p w14:paraId="62818ECA">
            <w:pPr>
              <w:spacing w:afterLines="0" w:line="300" w:lineRule="exact"/>
              <w:jc w:val="center"/>
              <w:rPr>
                <w:rFonts w:hint="eastAsia" w:ascii="仿宋" w:hAnsi="仿宋" w:eastAsia="仿宋"/>
                <w:szCs w:val="21"/>
              </w:rPr>
            </w:pPr>
          </w:p>
        </w:tc>
      </w:tr>
      <w:tr w14:paraId="02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532C97BF">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10"/>
            <w:vAlign w:val="center"/>
          </w:tcPr>
          <w:p w14:paraId="70C649CF">
            <w:pPr>
              <w:spacing w:afterLines="0" w:line="300" w:lineRule="exact"/>
              <w:jc w:val="left"/>
              <w:rPr>
                <w:rFonts w:hint="eastAsia" w:ascii="仿宋" w:hAnsi="仿宋" w:eastAsia="仿宋"/>
                <w:szCs w:val="21"/>
              </w:rPr>
            </w:pPr>
            <w:r>
              <w:rPr>
                <w:rFonts w:hint="eastAsia" w:ascii="仿宋" w:hAnsi="仿宋" w:eastAsia="仿宋"/>
                <w:szCs w:val="21"/>
                <w:lang w:val="en-US" w:eastAsia="zh-CN"/>
              </w:rPr>
              <w:t>乙方完成维修更换并在甲方验收合格后支付合同总价100%</w:t>
            </w:r>
            <w:r>
              <w:rPr>
                <w:rFonts w:hint="eastAsia" w:ascii="仿宋" w:hAnsi="仿宋" w:eastAsia="仿宋"/>
                <w:szCs w:val="21"/>
              </w:rPr>
              <w:t>。</w:t>
            </w:r>
          </w:p>
        </w:tc>
      </w:tr>
      <w:tr w14:paraId="3E8F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66C601AF">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期</w:t>
            </w:r>
          </w:p>
        </w:tc>
        <w:tc>
          <w:tcPr>
            <w:tcW w:w="3894" w:type="dxa"/>
            <w:gridSpan w:val="4"/>
            <w:vAlign w:val="center"/>
          </w:tcPr>
          <w:p w14:paraId="553B846C">
            <w:pPr>
              <w:spacing w:afterLines="0" w:line="300" w:lineRule="exact"/>
              <w:jc w:val="left"/>
              <w:rPr>
                <w:rFonts w:hint="eastAsia" w:ascii="仿宋" w:hAnsi="仿宋" w:eastAsia="仿宋"/>
                <w:szCs w:val="21"/>
              </w:rPr>
            </w:pPr>
            <w:r>
              <w:rPr>
                <w:rFonts w:hint="eastAsia" w:ascii="仿宋" w:hAnsi="仿宋" w:eastAsia="仿宋"/>
                <w:szCs w:val="21"/>
              </w:rPr>
              <w:t>本工程为间断性施工维修服务，总工期不超过40天。</w:t>
            </w:r>
          </w:p>
        </w:tc>
        <w:tc>
          <w:tcPr>
            <w:tcW w:w="960" w:type="dxa"/>
            <w:gridSpan w:val="2"/>
            <w:vAlign w:val="center"/>
          </w:tcPr>
          <w:p w14:paraId="6753F8A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4"/>
            <w:vAlign w:val="center"/>
          </w:tcPr>
          <w:p w14:paraId="1B76FB35">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w:t>
            </w:r>
          </w:p>
        </w:tc>
      </w:tr>
      <w:tr w14:paraId="729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1"/>
            <w:vAlign w:val="center"/>
          </w:tcPr>
          <w:p w14:paraId="309A890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386ED71">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材料费（需更换的相关模块和曝气板条及其配件由甲方提供）、人员工资和福利、技术服务费、评审费、保险、文本印刷费、差旅费、调研费、交通费、办公设施和设备、通讯设备、管理费、利润、税金等与本合同全部工作内容有关的一切费用。；</w:t>
            </w:r>
          </w:p>
          <w:p w14:paraId="5A4FC81D">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3、项目地址:深圳龙华观澜河口调蓄池；</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6CFF281">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3A92D20C">
      <w:pPr>
        <w:pStyle w:val="9"/>
        <w:jc w:val="center"/>
        <w:rPr>
          <w:rFonts w:hint="eastAsia" w:ascii="仿宋" w:hAnsi="仿宋" w:eastAsia="仿宋"/>
          <w:sz w:val="22"/>
          <w:szCs w:val="28"/>
        </w:rPr>
      </w:pPr>
    </w:p>
    <w:p w14:paraId="0CBE0241">
      <w:pPr>
        <w:snapToGrid w:val="0"/>
        <w:spacing w:afterLines="0" w:line="360" w:lineRule="auto"/>
        <w:jc w:val="both"/>
        <w:rPr>
          <w:rFonts w:hint="eastAsia" w:ascii="仿宋" w:hAnsi="仿宋" w:eastAsia="仿宋" w:cs="Arial"/>
        </w:rPr>
      </w:pPr>
    </w:p>
    <w:p w14:paraId="70691D73">
      <w:pPr>
        <w:snapToGrid w:val="0"/>
        <w:spacing w:afterLines="0" w:line="360" w:lineRule="auto"/>
        <w:ind w:firstLine="525" w:firstLineChars="250"/>
        <w:jc w:val="right"/>
        <w:rPr>
          <w:rFonts w:hint="eastAsia" w:ascii="仿宋" w:hAnsi="仿宋" w:eastAsia="仿宋" w:cs="Arial"/>
        </w:rPr>
      </w:pPr>
    </w:p>
    <w:p w14:paraId="0B9BBA9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w:t>
      </w:r>
      <w:r>
        <w:rPr>
          <w:rFonts w:hint="eastAsia" w:ascii="仿宋" w:hAnsi="仿宋" w:eastAsia="仿宋" w:cs="Arial"/>
          <w:lang w:val="en-US" w:eastAsia="zh-CN"/>
        </w:rPr>
        <w:t xml:space="preserve">   </w:t>
      </w:r>
      <w:r>
        <w:rPr>
          <w:rFonts w:hint="eastAsia" w:ascii="仿宋" w:hAnsi="仿宋" w:eastAsia="仿宋" w:cs="Arial"/>
        </w:rPr>
        <w:t xml:space="preserve"> 报价单位盖章 </w:t>
      </w:r>
      <w:r>
        <w:rPr>
          <w:rFonts w:ascii="仿宋" w:hAnsi="仿宋" w:eastAsia="仿宋" w:cs="Arial"/>
        </w:rPr>
        <w:t xml:space="preserve">          </w:t>
      </w:r>
    </w:p>
    <w:p w14:paraId="705114D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1990625">
      <w:pPr>
        <w:spacing w:after="78" w:line="288" w:lineRule="auto"/>
        <w:rPr>
          <w:rFonts w:hint="eastAsia" w:ascii="仿宋" w:hAnsi="仿宋" w:eastAsia="仿宋"/>
          <w:b/>
          <w:szCs w:val="21"/>
        </w:rPr>
      </w:pPr>
    </w:p>
    <w:p w14:paraId="168DA078">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8" w:name="_Toc116850266"/>
      <w:bookmarkStart w:id="29" w:name="_Toc133335897"/>
      <w:r>
        <w:rPr>
          <w:rFonts w:hint="eastAsia" w:ascii="仿宋" w:hAnsi="仿宋" w:eastAsia="仿宋"/>
          <w:b/>
          <w:bCs/>
          <w:kern w:val="0"/>
          <w:sz w:val="24"/>
        </w:rPr>
        <w:t>响应供应商认为有必要提供的其他材料</w:t>
      </w:r>
      <w:bookmarkEnd w:id="28"/>
      <w:bookmarkEnd w:id="29"/>
    </w:p>
    <w:p w14:paraId="5251EC24">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0720">
    <w:pPr>
      <w:pStyle w:val="14"/>
    </w:pPr>
  </w:p>
  <w:p w14:paraId="25152A1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E055346">
        <w:pPr>
          <w:pStyle w:val="14"/>
          <w:spacing w:after="60"/>
        </w:pPr>
        <w:r>
          <w:t xml:space="preserve">     </w:t>
        </w:r>
      </w:p>
    </w:sdtContent>
  </w:sdt>
  <w:p w14:paraId="2D58A682">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31D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ED2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85A4">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4C9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10A2">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3E9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C15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FBFF88"/>
    <w:multiLevelType w:val="singleLevel"/>
    <w:tmpl w:val="3EFBFF88"/>
    <w:lvl w:ilvl="0" w:tentative="0">
      <w:start w:val="2"/>
      <w:numFmt w:val="chineseCounting"/>
      <w:suff w:val="space"/>
      <w:lvlText w:val="第%1条"/>
      <w:lvlJc w:val="left"/>
      <w:rPr>
        <w:rFonts w:hint="eastAsia"/>
      </w:rPr>
    </w:lvl>
  </w:abstractNum>
  <w:abstractNum w:abstractNumId="4">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8CF"/>
    <w:rsid w:val="004B4A64"/>
    <w:rsid w:val="004B627E"/>
    <w:rsid w:val="004B62D7"/>
    <w:rsid w:val="004B67A4"/>
    <w:rsid w:val="004C47F6"/>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363"/>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965"/>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85C"/>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54CE"/>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79C"/>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6A5"/>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B66"/>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26C1"/>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147778C"/>
    <w:rsid w:val="01B342D5"/>
    <w:rsid w:val="032633D2"/>
    <w:rsid w:val="03327406"/>
    <w:rsid w:val="03806F86"/>
    <w:rsid w:val="03FD0922"/>
    <w:rsid w:val="043568B3"/>
    <w:rsid w:val="0442248D"/>
    <w:rsid w:val="04A5524D"/>
    <w:rsid w:val="050414F1"/>
    <w:rsid w:val="061D38C0"/>
    <w:rsid w:val="0673282B"/>
    <w:rsid w:val="06F9F432"/>
    <w:rsid w:val="073F33DE"/>
    <w:rsid w:val="07D7113E"/>
    <w:rsid w:val="081E4F20"/>
    <w:rsid w:val="08C616B7"/>
    <w:rsid w:val="08CB361B"/>
    <w:rsid w:val="0942333D"/>
    <w:rsid w:val="09442FE4"/>
    <w:rsid w:val="0A443FEF"/>
    <w:rsid w:val="0A886720"/>
    <w:rsid w:val="0B0E30C9"/>
    <w:rsid w:val="0D7F8C1E"/>
    <w:rsid w:val="0DAFDDD2"/>
    <w:rsid w:val="0DF465A6"/>
    <w:rsid w:val="0E3C3018"/>
    <w:rsid w:val="0F73174D"/>
    <w:rsid w:val="0FBD03C5"/>
    <w:rsid w:val="0FD61205"/>
    <w:rsid w:val="106940DF"/>
    <w:rsid w:val="10D27B32"/>
    <w:rsid w:val="10DD77C5"/>
    <w:rsid w:val="11271C3D"/>
    <w:rsid w:val="114F425F"/>
    <w:rsid w:val="11EF2AC8"/>
    <w:rsid w:val="122E42A1"/>
    <w:rsid w:val="12762B59"/>
    <w:rsid w:val="12D44BF8"/>
    <w:rsid w:val="137912FC"/>
    <w:rsid w:val="138076A6"/>
    <w:rsid w:val="13AA076C"/>
    <w:rsid w:val="13AFEC81"/>
    <w:rsid w:val="14060DE1"/>
    <w:rsid w:val="144C4DED"/>
    <w:rsid w:val="14A57336"/>
    <w:rsid w:val="159D39C7"/>
    <w:rsid w:val="15C56A7A"/>
    <w:rsid w:val="164D719B"/>
    <w:rsid w:val="16C531D6"/>
    <w:rsid w:val="16FE3FF2"/>
    <w:rsid w:val="182201B4"/>
    <w:rsid w:val="18EC1885"/>
    <w:rsid w:val="18F733EE"/>
    <w:rsid w:val="18F77513"/>
    <w:rsid w:val="19662322"/>
    <w:rsid w:val="19670574"/>
    <w:rsid w:val="198D3D53"/>
    <w:rsid w:val="19F17E3E"/>
    <w:rsid w:val="1A530AF8"/>
    <w:rsid w:val="1A9D5B89"/>
    <w:rsid w:val="1ACB7EC9"/>
    <w:rsid w:val="1B1C538E"/>
    <w:rsid w:val="1B3FC108"/>
    <w:rsid w:val="1BBF5AD0"/>
    <w:rsid w:val="1BF83423"/>
    <w:rsid w:val="1BFB4A9B"/>
    <w:rsid w:val="1BFE3282"/>
    <w:rsid w:val="1C204D87"/>
    <w:rsid w:val="1C976608"/>
    <w:rsid w:val="1CF92763"/>
    <w:rsid w:val="1E45754E"/>
    <w:rsid w:val="1E4922D7"/>
    <w:rsid w:val="1E5866DD"/>
    <w:rsid w:val="1F0F1A56"/>
    <w:rsid w:val="1F274302"/>
    <w:rsid w:val="1F7F9C30"/>
    <w:rsid w:val="1FB39FF7"/>
    <w:rsid w:val="1FB54372"/>
    <w:rsid w:val="1FFF4E3F"/>
    <w:rsid w:val="2043516B"/>
    <w:rsid w:val="20EE50D7"/>
    <w:rsid w:val="21154D5A"/>
    <w:rsid w:val="216C445F"/>
    <w:rsid w:val="21867A05"/>
    <w:rsid w:val="21E46752"/>
    <w:rsid w:val="21FE6397"/>
    <w:rsid w:val="22220AC1"/>
    <w:rsid w:val="22400062"/>
    <w:rsid w:val="224103B3"/>
    <w:rsid w:val="225E24B0"/>
    <w:rsid w:val="2277734E"/>
    <w:rsid w:val="228201CD"/>
    <w:rsid w:val="22CD0F59"/>
    <w:rsid w:val="22FC6147"/>
    <w:rsid w:val="23046E34"/>
    <w:rsid w:val="23056BDE"/>
    <w:rsid w:val="233F7E6C"/>
    <w:rsid w:val="2377255E"/>
    <w:rsid w:val="23A578CF"/>
    <w:rsid w:val="23BA7357"/>
    <w:rsid w:val="24D33D5B"/>
    <w:rsid w:val="25643E27"/>
    <w:rsid w:val="257FF5EF"/>
    <w:rsid w:val="260364B8"/>
    <w:rsid w:val="26401020"/>
    <w:rsid w:val="27313F6F"/>
    <w:rsid w:val="2743743A"/>
    <w:rsid w:val="275C47A5"/>
    <w:rsid w:val="27BED872"/>
    <w:rsid w:val="28A36794"/>
    <w:rsid w:val="28B64F90"/>
    <w:rsid w:val="28F5500F"/>
    <w:rsid w:val="293A5848"/>
    <w:rsid w:val="295757E3"/>
    <w:rsid w:val="29833800"/>
    <w:rsid w:val="299D769A"/>
    <w:rsid w:val="29E9B391"/>
    <w:rsid w:val="2A266D5E"/>
    <w:rsid w:val="2A39383E"/>
    <w:rsid w:val="2AB40818"/>
    <w:rsid w:val="2AFDB16C"/>
    <w:rsid w:val="2B3B55D1"/>
    <w:rsid w:val="2B7D8E96"/>
    <w:rsid w:val="2B8F6383"/>
    <w:rsid w:val="2B9B7C50"/>
    <w:rsid w:val="2C87EFA4"/>
    <w:rsid w:val="2CDA4378"/>
    <w:rsid w:val="2CE90E48"/>
    <w:rsid w:val="2CEFA2BD"/>
    <w:rsid w:val="2D4A18E7"/>
    <w:rsid w:val="2D9E346A"/>
    <w:rsid w:val="2DB31B82"/>
    <w:rsid w:val="2DF56335"/>
    <w:rsid w:val="2EFF028F"/>
    <w:rsid w:val="2EFF0385"/>
    <w:rsid w:val="2F364819"/>
    <w:rsid w:val="2F7648AC"/>
    <w:rsid w:val="2FC55B9D"/>
    <w:rsid w:val="2FC75471"/>
    <w:rsid w:val="2FDFB298"/>
    <w:rsid w:val="2FEBB001"/>
    <w:rsid w:val="307E792C"/>
    <w:rsid w:val="30BF60A9"/>
    <w:rsid w:val="30EE09A0"/>
    <w:rsid w:val="31701B38"/>
    <w:rsid w:val="320715EF"/>
    <w:rsid w:val="32214519"/>
    <w:rsid w:val="323E1D4E"/>
    <w:rsid w:val="32700042"/>
    <w:rsid w:val="333D6F9A"/>
    <w:rsid w:val="34050BA2"/>
    <w:rsid w:val="340E3EBE"/>
    <w:rsid w:val="343969A2"/>
    <w:rsid w:val="34D610A0"/>
    <w:rsid w:val="350031D3"/>
    <w:rsid w:val="361D2247"/>
    <w:rsid w:val="364F4412"/>
    <w:rsid w:val="3666242F"/>
    <w:rsid w:val="36B91E0A"/>
    <w:rsid w:val="377B856B"/>
    <w:rsid w:val="37FEEEDA"/>
    <w:rsid w:val="383B014F"/>
    <w:rsid w:val="38432D32"/>
    <w:rsid w:val="3881229C"/>
    <w:rsid w:val="38D20DDA"/>
    <w:rsid w:val="391FB7C6"/>
    <w:rsid w:val="3956852C"/>
    <w:rsid w:val="395D29A2"/>
    <w:rsid w:val="397D4866"/>
    <w:rsid w:val="3A255BB6"/>
    <w:rsid w:val="3A3B0BB3"/>
    <w:rsid w:val="3A51BFC5"/>
    <w:rsid w:val="3A7647DA"/>
    <w:rsid w:val="3A8C21FC"/>
    <w:rsid w:val="3AFD93B8"/>
    <w:rsid w:val="3B1F391F"/>
    <w:rsid w:val="3B459C86"/>
    <w:rsid w:val="3B5F884B"/>
    <w:rsid w:val="3B95BADD"/>
    <w:rsid w:val="3C227E05"/>
    <w:rsid w:val="3C5D14BF"/>
    <w:rsid w:val="3C7BEB7C"/>
    <w:rsid w:val="3D6C951B"/>
    <w:rsid w:val="3DA717FC"/>
    <w:rsid w:val="3DAE6148"/>
    <w:rsid w:val="3DB56025"/>
    <w:rsid w:val="3DFF524D"/>
    <w:rsid w:val="3DFF7079"/>
    <w:rsid w:val="3DFFBEE7"/>
    <w:rsid w:val="3E2E0DB1"/>
    <w:rsid w:val="3EA7FE48"/>
    <w:rsid w:val="3EF86484"/>
    <w:rsid w:val="3EFBCAFF"/>
    <w:rsid w:val="3EFFC981"/>
    <w:rsid w:val="3FBF5430"/>
    <w:rsid w:val="3FD37539"/>
    <w:rsid w:val="3FDFD096"/>
    <w:rsid w:val="3FED8FF1"/>
    <w:rsid w:val="3FFCCAC4"/>
    <w:rsid w:val="3FFE10BE"/>
    <w:rsid w:val="40C839DF"/>
    <w:rsid w:val="41084168"/>
    <w:rsid w:val="411C34DE"/>
    <w:rsid w:val="417EEE12"/>
    <w:rsid w:val="42652233"/>
    <w:rsid w:val="42AF0AFF"/>
    <w:rsid w:val="4345104A"/>
    <w:rsid w:val="435A7F52"/>
    <w:rsid w:val="436337CE"/>
    <w:rsid w:val="439316CB"/>
    <w:rsid w:val="44292F68"/>
    <w:rsid w:val="44CA4783"/>
    <w:rsid w:val="44CE0BF8"/>
    <w:rsid w:val="45F35A54"/>
    <w:rsid w:val="46D36C59"/>
    <w:rsid w:val="47555600"/>
    <w:rsid w:val="477F8B44"/>
    <w:rsid w:val="47C514E3"/>
    <w:rsid w:val="48B00D40"/>
    <w:rsid w:val="49BA5245"/>
    <w:rsid w:val="49C317F9"/>
    <w:rsid w:val="4ACDDF1D"/>
    <w:rsid w:val="4AF327B9"/>
    <w:rsid w:val="4B6D2F19"/>
    <w:rsid w:val="4BBA3990"/>
    <w:rsid w:val="4C651E42"/>
    <w:rsid w:val="4C7D012B"/>
    <w:rsid w:val="4C9E7F9F"/>
    <w:rsid w:val="4CE161AA"/>
    <w:rsid w:val="4D9626D8"/>
    <w:rsid w:val="4DD17A14"/>
    <w:rsid w:val="4DFF1032"/>
    <w:rsid w:val="4E0C68A9"/>
    <w:rsid w:val="4ED34B2E"/>
    <w:rsid w:val="4EFDA9D6"/>
    <w:rsid w:val="4EFF30A2"/>
    <w:rsid w:val="4F09713E"/>
    <w:rsid w:val="4F10078B"/>
    <w:rsid w:val="4F155DA1"/>
    <w:rsid w:val="4F22226C"/>
    <w:rsid w:val="4F4F0D8E"/>
    <w:rsid w:val="4FF9BA94"/>
    <w:rsid w:val="4FFC2348"/>
    <w:rsid w:val="503039E3"/>
    <w:rsid w:val="50AA42C7"/>
    <w:rsid w:val="51361FFF"/>
    <w:rsid w:val="51D610EC"/>
    <w:rsid w:val="532F6D06"/>
    <w:rsid w:val="535D3B69"/>
    <w:rsid w:val="539B439B"/>
    <w:rsid w:val="543F3462"/>
    <w:rsid w:val="54B15C5C"/>
    <w:rsid w:val="54B971CF"/>
    <w:rsid w:val="552D2A3E"/>
    <w:rsid w:val="554B5B49"/>
    <w:rsid w:val="557F0F30"/>
    <w:rsid w:val="55835451"/>
    <w:rsid w:val="559E5CE3"/>
    <w:rsid w:val="55D442DB"/>
    <w:rsid w:val="561E65DB"/>
    <w:rsid w:val="565E29AE"/>
    <w:rsid w:val="56DD8954"/>
    <w:rsid w:val="570128B7"/>
    <w:rsid w:val="571758A2"/>
    <w:rsid w:val="57AFC3C2"/>
    <w:rsid w:val="57EC78BB"/>
    <w:rsid w:val="57F76B26"/>
    <w:rsid w:val="58845D45"/>
    <w:rsid w:val="58890E36"/>
    <w:rsid w:val="598E5D63"/>
    <w:rsid w:val="59FF3A15"/>
    <w:rsid w:val="5A9E28C7"/>
    <w:rsid w:val="5AFFC0B6"/>
    <w:rsid w:val="5B500403"/>
    <w:rsid w:val="5BC22E0D"/>
    <w:rsid w:val="5BFAA3C6"/>
    <w:rsid w:val="5C163B75"/>
    <w:rsid w:val="5C3929A3"/>
    <w:rsid w:val="5CC81FFA"/>
    <w:rsid w:val="5CEC4049"/>
    <w:rsid w:val="5D69DE7E"/>
    <w:rsid w:val="5D7BEC1C"/>
    <w:rsid w:val="5DDB0F78"/>
    <w:rsid w:val="5DE639DC"/>
    <w:rsid w:val="5E426035"/>
    <w:rsid w:val="5E737D05"/>
    <w:rsid w:val="5E8BD0E0"/>
    <w:rsid w:val="5EDF7832"/>
    <w:rsid w:val="5EF54E86"/>
    <w:rsid w:val="5F12D39A"/>
    <w:rsid w:val="5F864151"/>
    <w:rsid w:val="5F9C4EB5"/>
    <w:rsid w:val="5FDF7957"/>
    <w:rsid w:val="5FEBE7E7"/>
    <w:rsid w:val="5FF13CC0"/>
    <w:rsid w:val="5FF92615"/>
    <w:rsid w:val="5FF9696C"/>
    <w:rsid w:val="5FFDF639"/>
    <w:rsid w:val="5FFFB48E"/>
    <w:rsid w:val="607C6C48"/>
    <w:rsid w:val="60A564B5"/>
    <w:rsid w:val="60C75443"/>
    <w:rsid w:val="621C6FEF"/>
    <w:rsid w:val="62A80882"/>
    <w:rsid w:val="62E409F8"/>
    <w:rsid w:val="633C8FA8"/>
    <w:rsid w:val="633F0871"/>
    <w:rsid w:val="637FE448"/>
    <w:rsid w:val="63972DD1"/>
    <w:rsid w:val="63BD36A8"/>
    <w:rsid w:val="642F3009"/>
    <w:rsid w:val="649D502F"/>
    <w:rsid w:val="64D81248"/>
    <w:rsid w:val="654FD8A0"/>
    <w:rsid w:val="658E1FB1"/>
    <w:rsid w:val="659D3FA3"/>
    <w:rsid w:val="65CD2BCA"/>
    <w:rsid w:val="66544FA9"/>
    <w:rsid w:val="66772A46"/>
    <w:rsid w:val="66E766C2"/>
    <w:rsid w:val="67194FDD"/>
    <w:rsid w:val="6775E9D8"/>
    <w:rsid w:val="67F565AC"/>
    <w:rsid w:val="67F73327"/>
    <w:rsid w:val="68AB69D7"/>
    <w:rsid w:val="68FA8082"/>
    <w:rsid w:val="695F613F"/>
    <w:rsid w:val="69800221"/>
    <w:rsid w:val="69BF38A2"/>
    <w:rsid w:val="69EFC425"/>
    <w:rsid w:val="6ACFA4E7"/>
    <w:rsid w:val="6AEE79B5"/>
    <w:rsid w:val="6AF208ED"/>
    <w:rsid w:val="6B76151E"/>
    <w:rsid w:val="6B86ABFC"/>
    <w:rsid w:val="6BA92576"/>
    <w:rsid w:val="6BBD76DF"/>
    <w:rsid w:val="6BCA69A4"/>
    <w:rsid w:val="6BDA34B9"/>
    <w:rsid w:val="6BEF6F0A"/>
    <w:rsid w:val="6BF6364D"/>
    <w:rsid w:val="6C67530A"/>
    <w:rsid w:val="6C731664"/>
    <w:rsid w:val="6C917204"/>
    <w:rsid w:val="6D350F65"/>
    <w:rsid w:val="6D36FBAA"/>
    <w:rsid w:val="6D64376B"/>
    <w:rsid w:val="6DBB76BC"/>
    <w:rsid w:val="6DE7364E"/>
    <w:rsid w:val="6DF8FC16"/>
    <w:rsid w:val="6DFAD7F2"/>
    <w:rsid w:val="6DFE24B9"/>
    <w:rsid w:val="6E2A3799"/>
    <w:rsid w:val="6ED26D8F"/>
    <w:rsid w:val="6EFB6A16"/>
    <w:rsid w:val="6F36F6F4"/>
    <w:rsid w:val="6FA6DB15"/>
    <w:rsid w:val="6FAB380F"/>
    <w:rsid w:val="6FBADB8D"/>
    <w:rsid w:val="6FDDBDCB"/>
    <w:rsid w:val="6FEAAF68"/>
    <w:rsid w:val="6FFA9CDC"/>
    <w:rsid w:val="6FFB74FC"/>
    <w:rsid w:val="6FFDAE21"/>
    <w:rsid w:val="6FFE89B2"/>
    <w:rsid w:val="6FFF16F2"/>
    <w:rsid w:val="6FFFEBAB"/>
    <w:rsid w:val="700B3CE3"/>
    <w:rsid w:val="70151E79"/>
    <w:rsid w:val="70522B5B"/>
    <w:rsid w:val="705FDC4F"/>
    <w:rsid w:val="70C049B0"/>
    <w:rsid w:val="71D3FAB0"/>
    <w:rsid w:val="722241AD"/>
    <w:rsid w:val="72700B97"/>
    <w:rsid w:val="72EA3F61"/>
    <w:rsid w:val="731C29AB"/>
    <w:rsid w:val="73692554"/>
    <w:rsid w:val="738467A2"/>
    <w:rsid w:val="73BA2FC9"/>
    <w:rsid w:val="73EFA308"/>
    <w:rsid w:val="741E75FD"/>
    <w:rsid w:val="74C91020"/>
    <w:rsid w:val="75F31DC5"/>
    <w:rsid w:val="75FB540A"/>
    <w:rsid w:val="767774B9"/>
    <w:rsid w:val="767E572A"/>
    <w:rsid w:val="767F8E38"/>
    <w:rsid w:val="76C15DFA"/>
    <w:rsid w:val="76C826FD"/>
    <w:rsid w:val="76CD1315"/>
    <w:rsid w:val="76D34A4F"/>
    <w:rsid w:val="76DF1811"/>
    <w:rsid w:val="76F74DDF"/>
    <w:rsid w:val="771542E1"/>
    <w:rsid w:val="773EFEC2"/>
    <w:rsid w:val="77567AD1"/>
    <w:rsid w:val="776F9B9F"/>
    <w:rsid w:val="7797C448"/>
    <w:rsid w:val="77C35AEB"/>
    <w:rsid w:val="77CF1E1A"/>
    <w:rsid w:val="77ED011D"/>
    <w:rsid w:val="77EFA3DE"/>
    <w:rsid w:val="77F97CB1"/>
    <w:rsid w:val="785A2A93"/>
    <w:rsid w:val="787212BF"/>
    <w:rsid w:val="787BD127"/>
    <w:rsid w:val="78C82EA2"/>
    <w:rsid w:val="78CE2999"/>
    <w:rsid w:val="78DFF50A"/>
    <w:rsid w:val="79711576"/>
    <w:rsid w:val="79BB9841"/>
    <w:rsid w:val="79DF1FD7"/>
    <w:rsid w:val="7A102B3D"/>
    <w:rsid w:val="7A5F0597"/>
    <w:rsid w:val="7A8377B3"/>
    <w:rsid w:val="7ABF0B18"/>
    <w:rsid w:val="7AD5360C"/>
    <w:rsid w:val="7ADFE466"/>
    <w:rsid w:val="7B030BB8"/>
    <w:rsid w:val="7B6EDD4B"/>
    <w:rsid w:val="7B737D6F"/>
    <w:rsid w:val="7BAB6FC2"/>
    <w:rsid w:val="7BBD36C3"/>
    <w:rsid w:val="7BC6D504"/>
    <w:rsid w:val="7BD75F15"/>
    <w:rsid w:val="7BF51143"/>
    <w:rsid w:val="7BF9CC8D"/>
    <w:rsid w:val="7BFE49B6"/>
    <w:rsid w:val="7BFF08C6"/>
    <w:rsid w:val="7BFF827E"/>
    <w:rsid w:val="7C003D20"/>
    <w:rsid w:val="7C14004B"/>
    <w:rsid w:val="7C5A2109"/>
    <w:rsid w:val="7CFBDE83"/>
    <w:rsid w:val="7CFC8BB6"/>
    <w:rsid w:val="7CFE278F"/>
    <w:rsid w:val="7CFF28FB"/>
    <w:rsid w:val="7D4B5E7D"/>
    <w:rsid w:val="7D570A35"/>
    <w:rsid w:val="7D6E25DE"/>
    <w:rsid w:val="7D7FD9BC"/>
    <w:rsid w:val="7DD30A52"/>
    <w:rsid w:val="7DD8137B"/>
    <w:rsid w:val="7DDF15BC"/>
    <w:rsid w:val="7DECE624"/>
    <w:rsid w:val="7DFC2925"/>
    <w:rsid w:val="7DFE9D0E"/>
    <w:rsid w:val="7E3246EF"/>
    <w:rsid w:val="7E3F007D"/>
    <w:rsid w:val="7E5A082B"/>
    <w:rsid w:val="7E6F8A07"/>
    <w:rsid w:val="7E6F9801"/>
    <w:rsid w:val="7E7164B0"/>
    <w:rsid w:val="7E7A170C"/>
    <w:rsid w:val="7E7D91AA"/>
    <w:rsid w:val="7E9021D4"/>
    <w:rsid w:val="7EC04024"/>
    <w:rsid w:val="7ED6EE61"/>
    <w:rsid w:val="7EF6E115"/>
    <w:rsid w:val="7EFC441B"/>
    <w:rsid w:val="7EFF0106"/>
    <w:rsid w:val="7EFF5357"/>
    <w:rsid w:val="7F2D4191"/>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3196</Words>
  <Characters>3342</Characters>
  <Lines>11</Lines>
  <Paragraphs>19</Paragraphs>
  <TotalTime>11</TotalTime>
  <ScaleCrop>false</ScaleCrop>
  <LinksUpToDate>false</LinksUpToDate>
  <CharactersWithSpaces>3556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2025-11-07T07:57:33Z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