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ascii="Times New Roman" w:hAnsi="Times New Roman" w:eastAsia="方正小标宋简体"/>
          <w:bCs/>
          <w:sz w:val="32"/>
          <w:szCs w:val="32"/>
        </w:rPr>
      </w:pPr>
    </w:p>
    <w:p w14:paraId="0D518695">
      <w:pPr>
        <w:pStyle w:val="3"/>
        <w:spacing w:after="78"/>
        <w:rPr>
          <w:rFonts w:ascii="Times New Roman" w:hAnsi="Times New Roman" w:eastAsia="方正小标宋简体"/>
          <w:bCs/>
          <w:sz w:val="32"/>
          <w:szCs w:val="32"/>
        </w:rPr>
      </w:pPr>
    </w:p>
    <w:p w14:paraId="0BA4B7DB">
      <w:pPr>
        <w:pStyle w:val="3"/>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立式多级离心泵采购项目（第二次）</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11"/>
        <w:rPr>
          <w:rFonts w:ascii="Times New Roman" w:hAnsi="Times New Roman" w:eastAsia="方正小标宋简体"/>
          <w:sz w:val="32"/>
          <w:szCs w:val="32"/>
        </w:rPr>
      </w:pPr>
    </w:p>
    <w:p w14:paraId="7A8473BF">
      <w:pPr>
        <w:spacing w:after="78"/>
      </w:pPr>
    </w:p>
    <w:p w14:paraId="46595FB2">
      <w:pPr>
        <w:pStyle w:val="11"/>
      </w:pPr>
    </w:p>
    <w:p w14:paraId="6DB90C7F">
      <w:pPr>
        <w:pStyle w:val="11"/>
      </w:pPr>
    </w:p>
    <w:p w14:paraId="6F21665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3"/>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立式多级离心泵采购项目（第二次）</w:t>
      </w:r>
      <w:r>
        <w:rPr>
          <w:rFonts w:hint="eastAsia" w:ascii="Times New Roman" w:hAnsi="Times New Roman" w:eastAsia="仿宋_GB2312"/>
          <w:bCs/>
          <w:sz w:val="32"/>
          <w:szCs w:val="32"/>
        </w:rPr>
        <w:t>。</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1639"/>
        <w:gridCol w:w="4971"/>
        <w:gridCol w:w="825"/>
        <w:gridCol w:w="768"/>
      </w:tblGrid>
      <w:tr w14:paraId="7318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2451D79D">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1E159E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4971" w:type="dxa"/>
            <w:tcBorders>
              <w:top w:val="single" w:color="000000" w:sz="4" w:space="0"/>
              <w:left w:val="single" w:color="000000" w:sz="4" w:space="0"/>
              <w:bottom w:val="single" w:color="000000" w:sz="4" w:space="0"/>
              <w:right w:val="single" w:color="000000" w:sz="4" w:space="0"/>
            </w:tcBorders>
            <w:noWrap/>
            <w:vAlign w:val="center"/>
          </w:tcPr>
          <w:p w14:paraId="3347AF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5875E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auto" w:sz="4" w:space="0"/>
              <w:right w:val="single" w:color="000000" w:sz="4" w:space="0"/>
            </w:tcBorders>
            <w:noWrap/>
            <w:vAlign w:val="center"/>
          </w:tcPr>
          <w:p w14:paraId="6C80A26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1518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85C0F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1C6478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浓缩机冲洗泵</w:t>
            </w:r>
          </w:p>
        </w:tc>
        <w:tc>
          <w:tcPr>
            <w:tcW w:w="4971" w:type="dxa"/>
            <w:tcBorders>
              <w:top w:val="single" w:color="000000" w:sz="4" w:space="0"/>
              <w:left w:val="single" w:color="000000" w:sz="4" w:space="0"/>
              <w:bottom w:val="single" w:color="000000" w:sz="4" w:space="0"/>
              <w:right w:val="single" w:color="000000" w:sz="4" w:space="0"/>
            </w:tcBorders>
            <w:noWrap w:val="0"/>
            <w:vAlign w:val="center"/>
          </w:tcPr>
          <w:p w14:paraId="025086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sz w:val="22"/>
                <w:szCs w:val="22"/>
                <w:lang w:val="en-US"/>
              </w:rPr>
            </w:pPr>
            <w:r>
              <w:rPr>
                <w:rFonts w:hint="eastAsia" w:ascii="Times New Roman" w:hAnsi="Times New Roman" w:eastAsia="仿宋" w:cs="Times New Roman"/>
                <w:sz w:val="22"/>
                <w:szCs w:val="22"/>
                <w:lang w:val="en-US" w:eastAsia="zh-CN"/>
              </w:rPr>
              <w:t>立式多级离心泵，流量：8m³/h;扬程:73m；功率:3.0kw，材质：304不锈钢</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022135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台</w:t>
            </w:r>
          </w:p>
        </w:tc>
        <w:tc>
          <w:tcPr>
            <w:tcW w:w="768" w:type="dxa"/>
            <w:tcBorders>
              <w:top w:val="single" w:color="auto" w:sz="4" w:space="0"/>
              <w:left w:val="single" w:color="auto" w:sz="4" w:space="0"/>
              <w:bottom w:val="single" w:color="000000" w:sz="4" w:space="0"/>
              <w:right w:val="single" w:color="auto" w:sz="4" w:space="0"/>
            </w:tcBorders>
            <w:noWrap w:val="0"/>
            <w:vAlign w:val="center"/>
          </w:tcPr>
          <w:p w14:paraId="42D6D0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r>
      <w:tr w14:paraId="6A9F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322C6B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2</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1594C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压榨泵</w:t>
            </w:r>
          </w:p>
        </w:tc>
        <w:tc>
          <w:tcPr>
            <w:tcW w:w="4971" w:type="dxa"/>
            <w:tcBorders>
              <w:top w:val="single" w:color="000000" w:sz="4" w:space="0"/>
              <w:left w:val="single" w:color="000000" w:sz="4" w:space="0"/>
              <w:bottom w:val="single" w:color="000000" w:sz="4" w:space="0"/>
              <w:right w:val="single" w:color="000000" w:sz="4" w:space="0"/>
            </w:tcBorders>
            <w:noWrap w:val="0"/>
            <w:vAlign w:val="center"/>
          </w:tcPr>
          <w:p w14:paraId="65CE05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立式多级离心泵，流量15m³/h;扬程：213m；N=15kw，过滤部件和泵壳为SS304</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1FA776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台</w:t>
            </w:r>
          </w:p>
        </w:tc>
        <w:tc>
          <w:tcPr>
            <w:tcW w:w="768" w:type="dxa"/>
            <w:tcBorders>
              <w:top w:val="single" w:color="000000" w:sz="4" w:space="0"/>
              <w:left w:val="single" w:color="auto" w:sz="4" w:space="0"/>
              <w:bottom w:val="single" w:color="auto" w:sz="4" w:space="0"/>
              <w:right w:val="single" w:color="auto" w:sz="4" w:space="0"/>
            </w:tcBorders>
            <w:noWrap w:val="0"/>
            <w:vAlign w:val="center"/>
          </w:tcPr>
          <w:p w14:paraId="0AB94D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r>
    </w:tbl>
    <w:p w14:paraId="502EDB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.5万元（报价总价不得超过限价要求，否则做无效报价）。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w:t>
      </w:r>
      <w:r>
        <w:rPr>
          <w:rFonts w:hint="eastAsia" w:ascii="Times New Roman" w:hAnsi="Times New Roman" w:eastAsia="仿宋_GB2312"/>
          <w:bCs/>
          <w:color w:val="000000"/>
          <w:sz w:val="32"/>
          <w:szCs w:val="32"/>
          <w:lang w:val="en-US" w:eastAsia="zh-CN"/>
        </w:rPr>
        <w:t>合同签订之日起15个日历日</w:t>
      </w:r>
      <w:r>
        <w:rPr>
          <w:rFonts w:hint="eastAsia" w:ascii="Times New Roman" w:hAnsi="Times New Roman" w:eastAsia="仿宋_GB2312"/>
          <w:bCs/>
          <w:color w:val="000000"/>
          <w:sz w:val="32"/>
          <w:szCs w:val="32"/>
        </w:rPr>
        <w:t>内</w:t>
      </w:r>
      <w:bookmarkEnd w:id="0"/>
      <w:r>
        <w:rPr>
          <w:rFonts w:hint="eastAsia" w:ascii="Times New Roman" w:hAnsi="Times New Roman" w:eastAsia="仿宋_GB2312"/>
          <w:bCs/>
          <w:color w:val="000000"/>
          <w:sz w:val="32"/>
          <w:szCs w:val="32"/>
        </w:rPr>
        <w:t>。</w:t>
      </w:r>
    </w:p>
    <w:p w14:paraId="0681F2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（五）质保要求：质保期</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w:t>
      </w:r>
    </w:p>
    <w:p w14:paraId="4246367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w:t>
      </w:r>
      <w:r>
        <w:rPr>
          <w:rFonts w:hint="eastAsia" w:ascii="Times New Roman" w:hAnsi="Times New Roman" w:eastAsia="仿宋_GB2312"/>
          <w:bCs/>
          <w:color w:val="000000"/>
          <w:sz w:val="32"/>
          <w:szCs w:val="32"/>
          <w:lang w:eastAsia="zh-CN"/>
        </w:rPr>
        <w:t>合同签订后支付合同总额的30%作为预付款，货物到货并验收通过后，甲方支付合同总额</w:t>
      </w:r>
      <w:r>
        <w:rPr>
          <w:rFonts w:hint="eastAsia" w:ascii="Times New Roman" w:hAnsi="Times New Roman" w:eastAsia="仿宋_GB2312"/>
          <w:bCs/>
          <w:color w:val="000000"/>
          <w:sz w:val="32"/>
          <w:szCs w:val="32"/>
          <w:lang w:val="en-US" w:eastAsia="zh-CN"/>
        </w:rPr>
        <w:t>65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验收款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质保期满后累计支付合同总额5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质保金。不满足本项目付款方式的报价将做报价无效处理。</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11</w:t>
      </w:r>
      <w:r>
        <w:rPr>
          <w:rFonts w:hint="eastAsia" w:ascii="Times New Roman" w:hAnsi="Times New Roman" w:eastAsia="仿宋_GB2312"/>
          <w:bCs/>
          <w:color w:val="000000"/>
          <w:sz w:val="32"/>
          <w:szCs w:val="32"/>
        </w:rPr>
        <w:t>月至今）或成立至今（成立不足两年的单位）至少具备</w:t>
      </w:r>
      <w:r>
        <w:rPr>
          <w:rFonts w:hint="eastAsia" w:ascii="Times New Roman" w:hAnsi="Times New Roman" w:eastAsia="仿宋_GB2312"/>
          <w:bCs/>
          <w:color w:val="000000"/>
          <w:sz w:val="32"/>
          <w:szCs w:val="32"/>
          <w:lang w:val="en-US" w:eastAsia="zh-CN"/>
        </w:rPr>
        <w:t>两</w:t>
      </w:r>
      <w:r>
        <w:rPr>
          <w:rFonts w:hint="eastAsia" w:ascii="Times New Roman" w:hAnsi="Times New Roman" w:eastAsia="仿宋_GB2312"/>
          <w:bCs/>
          <w:color w:val="000000"/>
          <w:sz w:val="32"/>
          <w:szCs w:val="32"/>
        </w:rPr>
        <w:t>项正在实施或已完成的类似业绩（</w:t>
      </w:r>
      <w:r>
        <w:rPr>
          <w:rFonts w:hint="eastAsia" w:ascii="Times New Roman" w:hAnsi="Times New Roman" w:eastAsia="仿宋_GB2312"/>
          <w:bCs/>
          <w:color w:val="000000"/>
          <w:sz w:val="32"/>
          <w:szCs w:val="32"/>
          <w:lang w:val="en-US" w:eastAsia="zh-CN"/>
        </w:rPr>
        <w:t>提供证明资料</w:t>
      </w:r>
      <w:r>
        <w:rPr>
          <w:rFonts w:hint="eastAsia" w:ascii="Times New Roman" w:hAnsi="Times New Roman" w:eastAsia="仿宋_GB2312"/>
          <w:bCs/>
          <w:color w:val="000000"/>
          <w:sz w:val="32"/>
          <w:szCs w:val="32"/>
        </w:rPr>
        <w:t>）；</w:t>
      </w:r>
    </w:p>
    <w:p w14:paraId="18C90CD7">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cs="Times New Roman"/>
          <w:bCs/>
          <w:i w:val="0"/>
          <w:iCs w:val="0"/>
          <w:caps w:val="0"/>
          <w:color w:val="000000"/>
          <w:spacing w:val="0"/>
          <w:sz w:val="32"/>
          <w:szCs w:val="32"/>
          <w:shd w:val="clear"/>
        </w:rPr>
        <w:t>投标人须为所投离心泵的设备制造商或合法代理商，投标人为代理商的，必须提供合法有效的代理证书或制造商（分公司、办事处授权无效）对本次投标项目出具的合法有效的授权书</w:t>
      </w:r>
      <w:r>
        <w:rPr>
          <w:rFonts w:hint="eastAsia" w:ascii="Times New Roman" w:hAnsi="Times New Roman" w:eastAsia="仿宋_GB2312" w:cs="Times New Roman"/>
          <w:bCs/>
          <w:i w:val="0"/>
          <w:iCs w:val="0"/>
          <w:caps w:val="0"/>
          <w:color w:val="000000"/>
          <w:spacing w:val="0"/>
          <w:sz w:val="32"/>
          <w:szCs w:val="32"/>
          <w:shd w:val="clear"/>
          <w:lang w:eastAsia="zh-CN"/>
        </w:rPr>
        <w:t>。</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）不接受联合体参选（由供应商在《承诺函》中作出声明）；</w:t>
      </w:r>
    </w:p>
    <w:bookmarkEnd w:id="1"/>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lang w:val="en-US" w:eastAsia="zh-CN"/>
        </w:rPr>
        <w:t>业绩证明材料、代理书或制造商授权书（如有）</w:t>
      </w:r>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立式多级离心泵采购项目（第二次）</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11</w:t>
      </w:r>
      <w:r>
        <w:rPr>
          <w:rFonts w:ascii="Times New Roman" w:hAnsi="Times New Roman" w:eastAsia="仿宋_GB2312"/>
          <w:sz w:val="32"/>
        </w:rPr>
        <w:t>月</w:t>
      </w:r>
      <w:r>
        <w:rPr>
          <w:rFonts w:hint="eastAsia" w:ascii="Times New Roman" w:hAnsi="Times New Roman" w:eastAsia="仿宋_GB2312"/>
          <w:sz w:val="32"/>
          <w:lang w:val="en-US" w:eastAsia="zh-CN"/>
        </w:rPr>
        <w:t>4</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11"/>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3"/>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1</w:t>
      </w:r>
      <w:r>
        <w:rPr>
          <w:rFonts w:hint="eastAsia" w:ascii="Times New Roman" w:hAnsi="Times New Roman" w:eastAsia="仿宋"/>
          <w:sz w:val="32"/>
          <w:szCs w:val="32"/>
        </w:rPr>
        <w:t>.5</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0A85170">
      <w:pPr>
        <w:spacing w:after="78" w:line="640" w:lineRule="exact"/>
        <w:ind w:firstLine="640" w:firstLineChars="200"/>
        <w:jc w:val="left"/>
        <w:rPr>
          <w:rFonts w:ascii="Times New Roman" w:hAnsi="Times New Roman" w:eastAsia="仿宋_GB2312"/>
          <w:color w:val="000000"/>
          <w:kern w:val="0"/>
          <w:sz w:val="32"/>
          <w:szCs w:val="32"/>
        </w:rPr>
      </w:pPr>
      <w:bookmarkStart w:id="5" w:name="_Hlk173242662"/>
      <w:r>
        <w:rPr>
          <w:rFonts w:hint="eastAsia" w:ascii="Times New Roman" w:hAnsi="Times New Roman" w:eastAsia="仿宋_GB2312"/>
          <w:color w:val="000000"/>
          <w:kern w:val="0"/>
          <w:sz w:val="32"/>
          <w:szCs w:val="32"/>
        </w:rPr>
        <w:t>联系人：黄工</w:t>
      </w:r>
    </w:p>
    <w:p w14:paraId="2D59B6F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话：0755-29395688转8309</w:t>
      </w:r>
    </w:p>
    <w:p w14:paraId="08F2B52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箱：sszxyfcg@126.com</w:t>
      </w:r>
    </w:p>
    <w:bookmarkEnd w:id="5"/>
    <w:p w14:paraId="44149207">
      <w:pPr>
        <w:pStyle w:val="11"/>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11"/>
        <w:spacing w:line="640" w:lineRule="exact"/>
        <w:jc w:val="right"/>
        <w:rPr>
          <w:rFonts w:hint="eastAsia" w:eastAsia="仿宋_GB2312"/>
          <w:lang w:eastAsia="zh-CN"/>
        </w:rPr>
      </w:pPr>
      <w:bookmarkStart w:id="6" w:name="_Hlk178341758"/>
      <w:r>
        <w:rPr>
          <w:rFonts w:hint="eastAsia" w:ascii="Times New Roman" w:hAnsi="Times New Roman" w:eastAsia="仿宋_GB2312"/>
          <w:bCs/>
          <w:color w:val="000000"/>
          <w:sz w:val="32"/>
          <w:szCs w:val="32"/>
          <w:lang w:eastAsia="zh-CN"/>
        </w:rPr>
        <w:t>深圳市深水水务咨询有限公司</w:t>
      </w:r>
    </w:p>
    <w:bookmarkEnd w:id="6"/>
    <w:p w14:paraId="7B8C6ED4">
      <w:pPr>
        <w:wordWrap w:val="0"/>
        <w:spacing w:after="78" w:line="640" w:lineRule="exact"/>
        <w:jc w:val="right"/>
      </w:pPr>
      <w:bookmarkStart w:id="7"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8" w:name="_Toc201997925"/>
      <w:bookmarkStart w:id="9" w:name="_Hlk173317860"/>
      <w:bookmarkStart w:id="10"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立式多级离心泵</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3"/>
        <w:tblW w:w="8029" w:type="dxa"/>
        <w:jc w:val="center"/>
        <w:tblLayout w:type="fixed"/>
        <w:tblCellMar>
          <w:top w:w="0" w:type="dxa"/>
          <w:left w:w="108" w:type="dxa"/>
          <w:bottom w:w="0" w:type="dxa"/>
          <w:right w:w="108" w:type="dxa"/>
        </w:tblCellMar>
      </w:tblPr>
      <w:tblGrid>
        <w:gridCol w:w="1804"/>
        <w:gridCol w:w="6225"/>
      </w:tblGrid>
      <w:tr w14:paraId="42D385D0">
        <w:tblPrEx>
          <w:tblCellMar>
            <w:top w:w="0" w:type="dxa"/>
            <w:left w:w="108" w:type="dxa"/>
            <w:bottom w:w="0" w:type="dxa"/>
            <w:right w:w="108" w:type="dxa"/>
          </w:tblCellMar>
        </w:tblPrEx>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8"/>
      <w:bookmarkEnd w:id="9"/>
      <w:bookmarkEnd w:id="10"/>
    </w:p>
    <w:p w14:paraId="2BD87EFC">
      <w:pPr>
        <w:spacing w:after="78"/>
        <w:ind w:firstLine="265" w:firstLineChars="66"/>
        <w:jc w:val="center"/>
        <w:rPr>
          <w:b/>
          <w:bCs/>
        </w:rPr>
      </w:pPr>
      <w:bookmarkStart w:id="11"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rPr>
          <w:rFonts w:hint="eastAsia" w:eastAsia="宋体"/>
          <w:lang w:val="en-US" w:eastAsia="zh-CN"/>
        </w:rPr>
      </w:pPr>
      <w:r>
        <w:rPr>
          <w:rFonts w:hint="eastAsia"/>
        </w:rPr>
        <w:t>通讯地址：深圳市罗湖区清水河街道清水河一路112号罗湖投资控股大厦A座4楼</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6"/>
        <w:spacing w:before="156" w:beforeLines="50" w:after="156" w:afterLines="50"/>
        <w:ind w:left="1020" w:leftChars="200" w:hanging="600"/>
        <w:jc w:val="left"/>
        <w:rPr>
          <w:rFonts w:hint="eastAsia" w:ascii="宋体" w:hAnsi="宋体" w:cs="宋体"/>
          <w:color w:val="000000"/>
          <w:szCs w:val="24"/>
        </w:rPr>
      </w:pPr>
      <w:bookmarkStart w:id="12" w:name="_Toc199213728"/>
      <w:bookmarkStart w:id="13" w:name="_Toc201742844"/>
      <w:bookmarkStart w:id="14" w:name="_Toc201743099"/>
      <w:bookmarkStart w:id="15" w:name="_Toc199215931"/>
      <w:bookmarkStart w:id="16" w:name="_Toc201997927"/>
      <w:bookmarkStart w:id="17" w:name="_Toc201719103"/>
      <w:bookmarkStart w:id="18" w:name="_Toc201401643"/>
      <w:bookmarkStart w:id="19" w:name="_Toc199215763"/>
      <w:r>
        <w:rPr>
          <w:rFonts w:hint="eastAsia" w:ascii="宋体" w:hAnsi="宋体" w:cs="宋体"/>
          <w:color w:val="000000"/>
          <w:szCs w:val="24"/>
          <w:lang w:eastAsia="zh-Hans"/>
        </w:rPr>
        <w:t>一、</w:t>
      </w:r>
      <w:r>
        <w:rPr>
          <w:rFonts w:hint="eastAsia" w:ascii="宋体" w:hAnsi="宋体" w:cs="宋体"/>
          <w:color w:val="000000"/>
          <w:szCs w:val="24"/>
        </w:rPr>
        <w:t>货物和数量</w:t>
      </w:r>
      <w:bookmarkEnd w:id="12"/>
      <w:bookmarkEnd w:id="13"/>
      <w:bookmarkEnd w:id="14"/>
      <w:bookmarkEnd w:id="15"/>
      <w:bookmarkEnd w:id="16"/>
      <w:bookmarkEnd w:id="17"/>
      <w:bookmarkEnd w:id="18"/>
      <w:bookmarkEnd w:id="19"/>
    </w:p>
    <w:p w14:paraId="19F30B7A">
      <w:pPr>
        <w:spacing w:after="78"/>
        <w:ind w:firstLine="560"/>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lang w:val="en-US" w:eastAsia="zh-CN"/>
              </w:rPr>
            </w:pPr>
            <w:r>
              <w:rPr>
                <w:rFonts w:hint="eastAsia" w:asciiTheme="minorEastAsia" w:hAnsiTheme="minorEastAsia" w:eastAsiaTheme="minorEastAsia"/>
                <w:b/>
                <w:bCs/>
                <w:kern w:val="0"/>
                <w:szCs w:val="21"/>
                <w:lang w:val="en-US" w:eastAsia="zh-CN"/>
              </w:rPr>
              <w:t>品牌</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2"/>
        <w:spacing w:after="78"/>
        <w:ind w:left="0" w:leftChars="0" w:firstLine="0" w:firstLineChars="0"/>
      </w:pPr>
    </w:p>
    <w:p w14:paraId="27A6A71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6"/>
        <w:spacing w:before="156" w:beforeLines="50" w:after="156" w:afterLines="50"/>
        <w:ind w:left="1020" w:leftChars="200" w:hanging="600"/>
        <w:jc w:val="left"/>
        <w:rPr>
          <w:rFonts w:hint="eastAsia" w:ascii="宋体" w:hAnsi="宋体" w:cs="宋体"/>
          <w:color w:val="000000"/>
          <w:szCs w:val="24"/>
        </w:rPr>
      </w:pPr>
      <w:bookmarkStart w:id="20" w:name="_Toc199213730"/>
      <w:bookmarkStart w:id="21" w:name="_Toc201997929"/>
      <w:bookmarkStart w:id="22" w:name="_Toc201742846"/>
      <w:bookmarkStart w:id="23" w:name="_Toc201743101"/>
      <w:bookmarkStart w:id="24" w:name="_Toc201719105"/>
      <w:bookmarkStart w:id="25" w:name="_Toc201401645"/>
      <w:bookmarkStart w:id="26" w:name="_Toc199215933"/>
      <w:bookmarkStart w:id="27" w:name="_Toc199215765"/>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20"/>
      <w:bookmarkEnd w:id="21"/>
      <w:bookmarkEnd w:id="22"/>
      <w:bookmarkEnd w:id="23"/>
      <w:bookmarkEnd w:id="24"/>
      <w:bookmarkEnd w:id="25"/>
      <w:bookmarkEnd w:id="26"/>
      <w:bookmarkEnd w:id="27"/>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p>
    <w:p w14:paraId="77C6067B">
      <w:pPr>
        <w:spacing w:after="78"/>
        <w:ind w:firstLine="560"/>
        <w:rPr>
          <w:color w:val="000000"/>
          <w:lang w:eastAsia="zh-Hans"/>
        </w:rPr>
      </w:pPr>
      <w:r>
        <w:rPr>
          <w:rFonts w:hint="eastAsia"/>
          <w:color w:val="000000"/>
          <w:lang w:eastAsia="zh-Hans"/>
        </w:rPr>
        <w:t>纳税识别号：</w:t>
      </w:r>
    </w:p>
    <w:p w14:paraId="581593EE">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5B877E4E">
      <w:pPr>
        <w:spacing w:after="78"/>
        <w:ind w:firstLine="630" w:firstLineChars="300"/>
        <w:rPr>
          <w:rFonts w:hint="eastAsia"/>
        </w:rPr>
      </w:pPr>
      <w:r>
        <w:rPr>
          <w:rFonts w:hint="eastAsia"/>
        </w:rPr>
        <w:t>本合同采用总价包干模式；</w:t>
      </w:r>
    </w:p>
    <w:p w14:paraId="27689439">
      <w:pPr>
        <w:widowControl w:val="0"/>
        <w:spacing w:after="78" w:afterLines="25" w:line="300" w:lineRule="auto"/>
        <w:ind w:firstLine="630" w:firstLineChars="30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（1）合同签订后15个工作日内，甲方向乙方支付合同金额的30%作为预付款。</w:t>
      </w:r>
    </w:p>
    <w:p w14:paraId="092D0DD6">
      <w:pPr>
        <w:widowControl w:val="0"/>
        <w:spacing w:after="78" w:afterLines="25" w:line="300" w:lineRule="auto"/>
        <w:ind w:left="0" w:leftChars="0" w:firstLine="630" w:firstLineChars="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（2）合同货物到货并验收通过后，甲方支付65%合同价总额的验收款。</w:t>
      </w:r>
    </w:p>
    <w:p w14:paraId="44211E35">
      <w:pPr>
        <w:widowControl w:val="0"/>
        <w:spacing w:after="78" w:afterLines="25" w:line="300" w:lineRule="auto"/>
        <w:ind w:left="0" w:leftChars="0" w:firstLine="630" w:firstLineChars="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（3）质保期满后（质保期为从本项目完工起一年时间），甲方向乙方支付剩余款项。</w:t>
      </w:r>
    </w:p>
    <w:p w14:paraId="7E20B424">
      <w:pPr>
        <w:spacing w:after="78"/>
        <w:ind w:firstLine="630" w:firstLineChars="300"/>
      </w:pP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6"/>
        <w:spacing w:before="156" w:beforeLines="50" w:after="156" w:afterLines="50"/>
        <w:ind w:left="1020" w:leftChars="200" w:hanging="600"/>
        <w:jc w:val="left"/>
        <w:rPr>
          <w:rFonts w:hint="eastAsia" w:ascii="宋体" w:hAnsi="宋体" w:cs="宋体"/>
          <w:color w:val="000000"/>
          <w:szCs w:val="24"/>
        </w:rPr>
      </w:pPr>
      <w:bookmarkStart w:id="28" w:name="_Toc199215766"/>
      <w:bookmarkStart w:id="29" w:name="_Toc199215934"/>
      <w:bookmarkStart w:id="30" w:name="_Toc201719106"/>
      <w:bookmarkStart w:id="31" w:name="_Toc201743102"/>
      <w:bookmarkStart w:id="32" w:name="_Toc199213731"/>
      <w:bookmarkStart w:id="33" w:name="_Toc201997930"/>
      <w:bookmarkStart w:id="34" w:name="_Toc201742847"/>
      <w:bookmarkStart w:id="35" w:name="_Toc201401646"/>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6"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6"/>
    <w:p w14:paraId="06C88828">
      <w:pPr>
        <w:pStyle w:val="6"/>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8"/>
      <w:bookmarkEnd w:id="29"/>
      <w:bookmarkEnd w:id="30"/>
      <w:bookmarkEnd w:id="31"/>
      <w:bookmarkEnd w:id="32"/>
      <w:bookmarkEnd w:id="33"/>
      <w:bookmarkEnd w:id="34"/>
      <w:bookmarkEnd w:id="35"/>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7" w:name="_Hlk114044349"/>
      <w:r>
        <w:rPr>
          <w:rFonts w:hint="eastAsia"/>
          <w:bCs/>
          <w:lang w:val="en-US" w:eastAsia="zh-CN"/>
        </w:rPr>
        <w:t>合同签订</w:t>
      </w:r>
      <w:r>
        <w:rPr>
          <w:rFonts w:hint="eastAsia"/>
          <w:bCs/>
        </w:rPr>
        <w:t>之日起</w:t>
      </w:r>
      <w:r>
        <w:rPr>
          <w:rFonts w:hint="eastAsia"/>
          <w:bCs/>
          <w:u w:val="single"/>
        </w:rPr>
        <w:t xml:space="preserve">  </w:t>
      </w:r>
      <w:r>
        <w:rPr>
          <w:rFonts w:hint="eastAsia"/>
          <w:bCs/>
          <w:u w:val="single"/>
          <w:lang w:val="en-US" w:eastAsia="zh-CN"/>
        </w:rPr>
        <w:t>15</w:t>
      </w:r>
      <w:r>
        <w:rPr>
          <w:rFonts w:hint="eastAsia"/>
          <w:bCs/>
          <w:u w:val="single"/>
          <w:lang w:eastAsia="zh-Hans"/>
        </w:rPr>
        <w:t xml:space="preserve"> </w:t>
      </w:r>
      <w:r>
        <w:rPr>
          <w:rFonts w:hint="eastAsia"/>
          <w:bCs/>
          <w:u w:val="single"/>
        </w:rPr>
        <w:t xml:space="preserve"> </w:t>
      </w:r>
      <w:r>
        <w:rPr>
          <w:rFonts w:hint="eastAsia"/>
          <w:bCs/>
          <w:lang w:eastAsia="zh-CN"/>
        </w:rPr>
        <w:t>日</w:t>
      </w:r>
      <w:r>
        <w:rPr>
          <w:rFonts w:hint="eastAsia"/>
          <w:bCs/>
        </w:rPr>
        <w:t>内。</w:t>
      </w:r>
    </w:p>
    <w:bookmarkEnd w:id="37"/>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8"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8"/>
    </w:p>
    <w:p w14:paraId="712B9A13">
      <w:pPr>
        <w:pStyle w:val="6"/>
        <w:spacing w:before="156" w:beforeLines="50" w:after="156" w:afterLines="50"/>
        <w:ind w:left="1020" w:leftChars="200" w:hanging="600"/>
        <w:jc w:val="left"/>
        <w:rPr>
          <w:rFonts w:hint="eastAsia" w:ascii="宋体" w:hAnsi="宋体" w:cs="宋体"/>
          <w:color w:val="000000"/>
          <w:szCs w:val="24"/>
        </w:rPr>
      </w:pPr>
      <w:bookmarkStart w:id="39" w:name="_Toc201401647"/>
      <w:bookmarkStart w:id="40" w:name="_Toc199213732"/>
      <w:bookmarkStart w:id="41" w:name="_Toc199215767"/>
      <w:bookmarkStart w:id="42" w:name="_Toc199215935"/>
      <w:bookmarkStart w:id="43" w:name="_Toc201743103"/>
      <w:bookmarkStart w:id="44" w:name="_Toc201997931"/>
      <w:bookmarkStart w:id="45" w:name="_Toc201742848"/>
      <w:bookmarkStart w:id="46" w:name="_Toc201719107"/>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6"/>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9"/>
      <w:bookmarkEnd w:id="40"/>
      <w:bookmarkEnd w:id="41"/>
      <w:bookmarkEnd w:id="42"/>
      <w:bookmarkEnd w:id="43"/>
      <w:bookmarkEnd w:id="44"/>
      <w:bookmarkEnd w:id="45"/>
      <w:bookmarkEnd w:id="46"/>
      <w:r>
        <w:rPr>
          <w:rFonts w:hint="eastAsia" w:ascii="宋体" w:hAnsi="宋体" w:cs="宋体"/>
          <w:color w:val="000000"/>
          <w:szCs w:val="24"/>
        </w:rPr>
        <w:t>保密</w:t>
      </w:r>
    </w:p>
    <w:p w14:paraId="69F67820">
      <w:pPr>
        <w:spacing w:after="78"/>
        <w:ind w:firstLine="560"/>
      </w:pPr>
      <w:bookmarkStart w:id="47" w:name="_Toc201743104"/>
      <w:bookmarkStart w:id="48" w:name="_Toc199215936"/>
      <w:bookmarkStart w:id="49" w:name="_Toc201742849"/>
      <w:bookmarkStart w:id="50" w:name="_Toc199213733"/>
      <w:bookmarkStart w:id="51" w:name="_Toc201997932"/>
      <w:bookmarkStart w:id="52" w:name="_Toc199215768"/>
      <w:bookmarkStart w:id="53" w:name="_Toc201401648"/>
      <w:bookmarkStart w:id="54" w:name="_Toc20171910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7"/>
    <w:bookmarkEnd w:id="48"/>
    <w:bookmarkEnd w:id="49"/>
    <w:bookmarkEnd w:id="50"/>
    <w:bookmarkEnd w:id="51"/>
    <w:bookmarkEnd w:id="52"/>
    <w:bookmarkEnd w:id="53"/>
    <w:bookmarkEnd w:id="54"/>
    <w:p w14:paraId="2F6B4050">
      <w:pPr>
        <w:pStyle w:val="6"/>
        <w:spacing w:before="156" w:beforeLines="50" w:after="156" w:afterLines="50"/>
        <w:ind w:left="1020" w:leftChars="200" w:hanging="600"/>
        <w:jc w:val="left"/>
        <w:rPr>
          <w:rFonts w:hint="eastAsia" w:ascii="宋体" w:hAnsi="宋体" w:cs="宋体"/>
          <w:color w:val="000000"/>
          <w:szCs w:val="24"/>
        </w:rPr>
      </w:pPr>
      <w:bookmarkStart w:id="55" w:name="_Toc199215773"/>
      <w:bookmarkStart w:id="56" w:name="_Toc201719113"/>
      <w:bookmarkStart w:id="57" w:name="_Toc201997937"/>
      <w:bookmarkStart w:id="58" w:name="_Toc201742854"/>
      <w:bookmarkStart w:id="59" w:name="_Toc201743109"/>
      <w:bookmarkStart w:id="60" w:name="_Toc199213738"/>
      <w:bookmarkStart w:id="61" w:name="_Toc201401653"/>
      <w:bookmarkStart w:id="62" w:name="_Toc199215941"/>
      <w:r>
        <w:rPr>
          <w:rFonts w:hint="eastAsia" w:ascii="宋体" w:hAnsi="宋体" w:cs="宋体"/>
          <w:color w:val="000000"/>
          <w:szCs w:val="24"/>
        </w:rPr>
        <w:t>十</w:t>
      </w:r>
      <w:r>
        <w:rPr>
          <w:rFonts w:hint="eastAsia" w:ascii="宋体" w:hAnsi="宋体" w:cs="宋体"/>
          <w:color w:val="000000"/>
          <w:szCs w:val="24"/>
          <w:lang w:eastAsia="zh-Hans"/>
        </w:rPr>
        <w:t>、</w:t>
      </w:r>
      <w:bookmarkEnd w:id="55"/>
      <w:bookmarkEnd w:id="56"/>
      <w:bookmarkEnd w:id="57"/>
      <w:bookmarkEnd w:id="58"/>
      <w:bookmarkEnd w:id="59"/>
      <w:bookmarkEnd w:id="60"/>
      <w:bookmarkEnd w:id="61"/>
      <w:bookmarkEnd w:id="62"/>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6"/>
        <w:spacing w:before="156" w:beforeLines="50" w:after="156" w:afterLines="50"/>
        <w:ind w:left="1020" w:leftChars="200" w:hanging="600"/>
        <w:jc w:val="left"/>
        <w:rPr>
          <w:rFonts w:hint="eastAsia" w:ascii="宋体" w:hAnsi="宋体" w:cs="宋体"/>
          <w:color w:val="000000"/>
          <w:szCs w:val="24"/>
        </w:rPr>
      </w:pPr>
      <w:bookmarkStart w:id="63" w:name="_Toc199215775"/>
      <w:bookmarkStart w:id="64" w:name="_Toc199213740"/>
      <w:bookmarkStart w:id="65" w:name="_Toc199215943"/>
      <w:bookmarkStart w:id="66" w:name="_Toc201743111"/>
      <w:bookmarkStart w:id="67" w:name="_Toc201997939"/>
      <w:bookmarkStart w:id="68" w:name="_Toc201742856"/>
      <w:bookmarkStart w:id="69" w:name="_Toc201719115"/>
      <w:bookmarkStart w:id="70" w:name="_Toc20140165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3"/>
      <w:bookmarkEnd w:id="64"/>
      <w:bookmarkEnd w:id="65"/>
      <w:bookmarkEnd w:id="66"/>
      <w:bookmarkEnd w:id="67"/>
      <w:bookmarkEnd w:id="68"/>
      <w:bookmarkEnd w:id="69"/>
      <w:bookmarkEnd w:id="70"/>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3"/>
        <w:tblW w:w="0" w:type="auto"/>
        <w:tblInd w:w="0" w:type="dxa"/>
        <w:tblLayout w:type="autofit"/>
        <w:tblCellMar>
          <w:top w:w="0" w:type="dxa"/>
          <w:left w:w="108" w:type="dxa"/>
          <w:bottom w:w="0" w:type="dxa"/>
          <w:right w:w="108" w:type="dxa"/>
        </w:tblCellMar>
      </w:tblPr>
      <w:tblGrid>
        <w:gridCol w:w="4261"/>
        <w:gridCol w:w="4261"/>
      </w:tblGrid>
      <w:tr w14:paraId="72134D45">
        <w:tblPrEx>
          <w:tblCellMar>
            <w:top w:w="0" w:type="dxa"/>
            <w:left w:w="108" w:type="dxa"/>
            <w:bottom w:w="0" w:type="dxa"/>
            <w:right w:w="108" w:type="dxa"/>
          </w:tblCellMar>
        </w:tblPrEx>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blPrEx>
          <w:tblCellMar>
            <w:top w:w="0" w:type="dxa"/>
            <w:left w:w="108" w:type="dxa"/>
            <w:bottom w:w="0" w:type="dxa"/>
            <w:right w:w="108" w:type="dxa"/>
          </w:tblCellMar>
        </w:tblPrEx>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1" w:name="_Toc416353562"/>
    </w:p>
    <w:p w14:paraId="122787CE">
      <w:pPr>
        <w:pStyle w:val="68"/>
        <w:spacing w:after="78"/>
        <w:ind w:firstLine="480"/>
        <w:rPr>
          <w:rFonts w:ascii="黑体" w:eastAsia="黑体"/>
          <w:b/>
          <w:color w:val="000000"/>
          <w:sz w:val="30"/>
          <w:szCs w:val="30"/>
        </w:rPr>
      </w:pPr>
      <w:r>
        <w:br w:type="page"/>
      </w:r>
      <w:bookmarkEnd w:id="71"/>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r>
        <w:rPr>
          <w:rFonts w:hint="eastAsia" w:ascii="宋体" w:hAnsi="宋体"/>
          <w:sz w:val="24"/>
        </w:rPr>
        <w:t>甲方监督电话：</w:t>
      </w: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2"/>
        <w:spacing w:after="78" w:line="360" w:lineRule="auto"/>
        <w:ind w:firstLine="480"/>
      </w:pPr>
      <w:r>
        <w:rPr>
          <w:rFonts w:hint="eastAsia" w:ascii="宋体" w:hAnsi="宋体"/>
          <w:sz w:val="24"/>
        </w:rPr>
        <w:t>年</w:t>
      </w:r>
      <w:r>
        <w:rPr>
          <w:rFonts w:ascii="宋体" w:hAnsi="宋体"/>
          <w:sz w:val="24"/>
        </w:rPr>
        <w:t xml:space="preserve">  月   日                                年     月   日</w:t>
      </w:r>
      <w:bookmarkEnd w:id="11"/>
    </w:p>
    <w:p w14:paraId="0733A28E">
      <w:pPr>
        <w:spacing w:after="78"/>
      </w:pPr>
    </w:p>
    <w:p w14:paraId="62EFD85B">
      <w:pPr>
        <w:widowControl/>
        <w:spacing w:after="78" w:line="640" w:lineRule="exact"/>
        <w:jc w:val="left"/>
      </w:pPr>
    </w:p>
    <w:p w14:paraId="264C12CC">
      <w:pPr>
        <w:spacing w:after="78"/>
      </w:pPr>
      <w:r>
        <w:br w:type="page"/>
      </w:r>
    </w:p>
    <w:p w14:paraId="4F79D9A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4F74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4B3CDD9B">
            <w:pPr>
              <w:pStyle w:val="8"/>
              <w:spacing w:after="78"/>
              <w:ind w:firstLine="0" w:firstLineChars="0"/>
              <w:rPr>
                <w:rFonts w:eastAsia="仿宋"/>
              </w:rPr>
            </w:pPr>
            <w:r>
              <w:rPr>
                <w:rFonts w:hint="eastAsia" w:ascii="仿宋" w:hAnsi="仿宋" w:eastAsia="仿宋" w:cs="仿宋"/>
                <w:sz w:val="24"/>
                <w:szCs w:val="20"/>
              </w:rPr>
              <w:t>（盖章）</w:t>
            </w:r>
          </w:p>
        </w:tc>
        <w:tc>
          <w:tcPr>
            <w:tcW w:w="6693" w:type="dxa"/>
            <w:gridSpan w:val="6"/>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0E75CE0">
            <w:pPr>
              <w:widowControl/>
              <w:spacing w:after="78" w:line="360" w:lineRule="atLeast"/>
              <w:jc w:val="center"/>
              <w:rPr>
                <w:rFonts w:hint="eastAsia" w:ascii="仿宋" w:hAnsi="仿宋" w:eastAsia="仿宋" w:cs="仿宋"/>
                <w:sz w:val="24"/>
                <w:szCs w:val="20"/>
              </w:rPr>
            </w:pPr>
          </w:p>
        </w:tc>
        <w:tc>
          <w:tcPr>
            <w:tcW w:w="85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44D8860">
            <w:pPr>
              <w:widowControl/>
              <w:spacing w:after="78" w:line="360" w:lineRule="atLeast"/>
              <w:jc w:val="center"/>
              <w:rPr>
                <w:rFonts w:hint="eastAsia" w:ascii="仿宋" w:hAnsi="仿宋" w:eastAsia="仿宋" w:cs="仿宋"/>
                <w:sz w:val="24"/>
                <w:szCs w:val="20"/>
              </w:rPr>
            </w:pPr>
          </w:p>
        </w:tc>
      </w:tr>
    </w:tbl>
    <w:p w14:paraId="7A449836">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立式多级离心泵采购项目（第二次）</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立式多级离心泵采购项目（第二次）</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5"/>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5"/>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2"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w:t>
      </w:r>
      <w:r>
        <w:rPr>
          <w:rFonts w:hint="eastAsia" w:ascii="仿宋" w:hAnsi="仿宋" w:eastAsia="仿宋"/>
          <w:szCs w:val="21"/>
          <w:lang w:val="en-US" w:eastAsia="zh-CN"/>
        </w:rPr>
        <w:t>两</w:t>
      </w:r>
      <w:r>
        <w:rPr>
          <w:rFonts w:hint="eastAsia" w:ascii="仿宋" w:hAnsi="仿宋" w:eastAsia="仿宋"/>
          <w:szCs w:val="21"/>
        </w:rPr>
        <w:t>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2"/>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5"/>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3"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立式多级离心泵采购项目（第二次）</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3"/>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4"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4"/>
    <w:p w14:paraId="54CD2F42">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r>
        <w:rPr>
          <w:rFonts w:hint="eastAsia" w:ascii="仿宋" w:hAnsi="仿宋" w:eastAsia="仿宋" w:cs="宋体"/>
          <w:color w:val="000000"/>
          <w:sz w:val="24"/>
          <w:szCs w:val="21"/>
          <w:lang w:val="en-US" w:eastAsia="zh-CN"/>
        </w:rPr>
        <w:t>至少两项同类业绩证明</w:t>
      </w:r>
      <w:r>
        <w:rPr>
          <w:rFonts w:hint="eastAsia" w:ascii="仿宋" w:hAnsi="仿宋" w:eastAsia="仿宋" w:cs="宋体"/>
          <w:color w:val="000000"/>
          <w:sz w:val="24"/>
          <w:szCs w:val="21"/>
        </w:rPr>
        <w:t>（需盖章）</w:t>
      </w:r>
    </w:p>
    <w:p w14:paraId="215E42D9">
      <w:pPr>
        <w:tabs>
          <w:tab w:val="left" w:pos="1110"/>
        </w:tabs>
        <w:spacing w:after="78" w:line="276" w:lineRule="auto"/>
        <w:ind w:firstLine="480" w:firstLineChars="200"/>
        <w:rPr>
          <w:rFonts w:hint="eastAsia" w:ascii="仿宋" w:hAnsi="仿宋" w:eastAsia="仿宋" w:cs="宋体"/>
          <w:color w:val="000000"/>
          <w:sz w:val="24"/>
          <w:szCs w:val="21"/>
        </w:rPr>
      </w:pPr>
    </w:p>
    <w:p w14:paraId="5087E033">
      <w:pPr>
        <w:tabs>
          <w:tab w:val="left" w:pos="1110"/>
        </w:tabs>
        <w:spacing w:after="78" w:line="276" w:lineRule="auto"/>
        <w:ind w:firstLine="480" w:firstLineChars="200"/>
        <w:rPr>
          <w:rFonts w:hint="eastAsia" w:ascii="仿宋" w:hAnsi="仿宋" w:eastAsia="仿宋" w:cs="宋体"/>
          <w:color w:val="000000"/>
          <w:sz w:val="24"/>
          <w:szCs w:val="21"/>
        </w:rPr>
      </w:pPr>
    </w:p>
    <w:p w14:paraId="1C199422">
      <w:pPr>
        <w:tabs>
          <w:tab w:val="left" w:pos="1110"/>
        </w:tabs>
        <w:spacing w:after="78" w:line="276" w:lineRule="auto"/>
        <w:ind w:firstLine="480" w:firstLineChars="200"/>
        <w:rPr>
          <w:rFonts w:hint="eastAsia" w:ascii="仿宋" w:hAnsi="仿宋" w:eastAsia="仿宋" w:cs="宋体"/>
          <w:color w:val="000000"/>
          <w:sz w:val="24"/>
          <w:szCs w:val="21"/>
        </w:rPr>
      </w:pPr>
    </w:p>
    <w:p w14:paraId="334C7BD3">
      <w:pPr>
        <w:tabs>
          <w:tab w:val="left" w:pos="1110"/>
        </w:tabs>
        <w:spacing w:after="78" w:line="276" w:lineRule="auto"/>
        <w:ind w:firstLine="480" w:firstLineChars="200"/>
        <w:rPr>
          <w:rFonts w:hint="eastAsia" w:ascii="仿宋" w:hAnsi="仿宋" w:eastAsia="仿宋" w:cs="宋体"/>
          <w:color w:val="000000"/>
          <w:sz w:val="24"/>
          <w:szCs w:val="21"/>
        </w:rPr>
      </w:pPr>
    </w:p>
    <w:p w14:paraId="32C8C2B4">
      <w:pPr>
        <w:tabs>
          <w:tab w:val="left" w:pos="1110"/>
        </w:tabs>
        <w:spacing w:after="78" w:line="276" w:lineRule="auto"/>
        <w:ind w:firstLine="480" w:firstLineChars="200"/>
        <w:rPr>
          <w:rFonts w:hint="eastAsia" w:ascii="仿宋" w:hAnsi="仿宋" w:eastAsia="仿宋" w:cs="宋体"/>
          <w:color w:val="000000"/>
          <w:sz w:val="24"/>
          <w:szCs w:val="21"/>
        </w:rPr>
      </w:pPr>
    </w:p>
    <w:p w14:paraId="75AB76C3">
      <w:pPr>
        <w:tabs>
          <w:tab w:val="left" w:pos="1110"/>
        </w:tabs>
        <w:spacing w:after="78" w:line="276" w:lineRule="auto"/>
        <w:ind w:firstLine="480" w:firstLineChars="200"/>
        <w:rPr>
          <w:rFonts w:hint="eastAsia" w:ascii="仿宋" w:hAnsi="仿宋" w:eastAsia="仿宋" w:cs="宋体"/>
          <w:color w:val="000000"/>
          <w:sz w:val="24"/>
          <w:szCs w:val="21"/>
        </w:rPr>
      </w:pPr>
    </w:p>
    <w:p w14:paraId="0CDA3A48">
      <w:pPr>
        <w:tabs>
          <w:tab w:val="left" w:pos="1110"/>
        </w:tabs>
        <w:spacing w:after="78" w:line="276" w:lineRule="auto"/>
        <w:ind w:firstLine="480" w:firstLineChars="200"/>
        <w:rPr>
          <w:rFonts w:hint="eastAsia" w:ascii="仿宋" w:hAnsi="仿宋" w:eastAsia="仿宋" w:cs="宋体"/>
          <w:color w:val="000000"/>
          <w:sz w:val="24"/>
          <w:szCs w:val="21"/>
        </w:rPr>
      </w:pPr>
    </w:p>
    <w:p w14:paraId="0375C17F">
      <w:pPr>
        <w:tabs>
          <w:tab w:val="left" w:pos="1110"/>
        </w:tabs>
        <w:spacing w:after="78" w:line="276" w:lineRule="auto"/>
        <w:ind w:firstLine="480" w:firstLineChars="200"/>
        <w:rPr>
          <w:rFonts w:hint="eastAsia" w:ascii="仿宋" w:hAnsi="仿宋" w:eastAsia="仿宋" w:cs="宋体"/>
          <w:color w:val="000000"/>
          <w:sz w:val="24"/>
          <w:szCs w:val="21"/>
        </w:rPr>
      </w:pPr>
    </w:p>
    <w:p w14:paraId="7E45BB8D">
      <w:pPr>
        <w:tabs>
          <w:tab w:val="left" w:pos="1110"/>
        </w:tabs>
        <w:spacing w:after="78" w:line="276" w:lineRule="auto"/>
        <w:ind w:firstLine="480" w:firstLineChars="200"/>
        <w:rPr>
          <w:rFonts w:hint="eastAsia" w:ascii="仿宋" w:hAnsi="仿宋" w:eastAsia="仿宋" w:cs="宋体"/>
          <w:color w:val="000000"/>
          <w:sz w:val="24"/>
          <w:szCs w:val="21"/>
        </w:rPr>
      </w:pPr>
    </w:p>
    <w:p w14:paraId="2A058741">
      <w:pPr>
        <w:tabs>
          <w:tab w:val="left" w:pos="1110"/>
        </w:tabs>
        <w:spacing w:after="78" w:line="276" w:lineRule="auto"/>
        <w:ind w:firstLine="480" w:firstLineChars="200"/>
        <w:rPr>
          <w:rFonts w:hint="eastAsia" w:ascii="仿宋" w:hAnsi="仿宋" w:eastAsia="仿宋" w:cs="宋体"/>
          <w:color w:val="000000"/>
          <w:sz w:val="24"/>
          <w:szCs w:val="21"/>
        </w:rPr>
      </w:pPr>
    </w:p>
    <w:p w14:paraId="4812E387">
      <w:pPr>
        <w:tabs>
          <w:tab w:val="left" w:pos="1110"/>
        </w:tabs>
        <w:spacing w:after="78" w:line="276" w:lineRule="auto"/>
        <w:ind w:firstLine="480" w:firstLineChars="200"/>
        <w:rPr>
          <w:rFonts w:hint="eastAsia" w:ascii="仿宋" w:hAnsi="仿宋" w:eastAsia="仿宋" w:cs="宋体"/>
          <w:color w:val="000000"/>
          <w:sz w:val="24"/>
          <w:szCs w:val="21"/>
        </w:rPr>
      </w:pPr>
    </w:p>
    <w:p w14:paraId="43CF32A4">
      <w:pPr>
        <w:tabs>
          <w:tab w:val="left" w:pos="1110"/>
        </w:tabs>
        <w:spacing w:after="78" w:line="276" w:lineRule="auto"/>
        <w:ind w:firstLine="480" w:firstLineChars="200"/>
        <w:rPr>
          <w:rFonts w:hint="eastAsia" w:ascii="仿宋" w:hAnsi="仿宋" w:eastAsia="仿宋" w:cs="宋体"/>
          <w:color w:val="000000"/>
          <w:sz w:val="24"/>
          <w:szCs w:val="21"/>
        </w:rPr>
      </w:pPr>
    </w:p>
    <w:p w14:paraId="2810959E">
      <w:pPr>
        <w:tabs>
          <w:tab w:val="left" w:pos="1110"/>
        </w:tabs>
        <w:spacing w:after="78" w:line="276" w:lineRule="auto"/>
        <w:ind w:firstLine="480" w:firstLineChars="200"/>
        <w:rPr>
          <w:rFonts w:hint="eastAsia" w:ascii="仿宋" w:hAnsi="仿宋" w:eastAsia="仿宋" w:cs="宋体"/>
          <w:color w:val="000000"/>
          <w:sz w:val="24"/>
          <w:szCs w:val="21"/>
        </w:rPr>
      </w:pPr>
    </w:p>
    <w:p w14:paraId="50C89D91">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D605AED">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立式多级离心泵采购项目（第二次）</w:t>
      </w:r>
      <w:r>
        <w:rPr>
          <w:rFonts w:hint="eastAsia" w:ascii="仿宋" w:hAnsi="仿宋" w:eastAsia="仿宋"/>
          <w:b/>
          <w:bCs/>
          <w:kern w:val="0"/>
          <w:sz w:val="24"/>
        </w:rPr>
        <w:t>报价一览表</w:t>
      </w:r>
    </w:p>
    <w:p w14:paraId="348D16C2">
      <w:pPr>
        <w:pStyle w:val="11"/>
        <w:jc w:val="center"/>
        <w:rPr>
          <w:rFonts w:hint="eastAsia" w:ascii="仿宋" w:hAnsi="仿宋" w:eastAsia="仿宋"/>
          <w:sz w:val="22"/>
          <w:szCs w:val="28"/>
        </w:rPr>
      </w:pPr>
    </w:p>
    <w:tbl>
      <w:tblPr>
        <w:tblStyle w:val="2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23"/>
        <w:gridCol w:w="3757"/>
        <w:gridCol w:w="634"/>
        <w:gridCol w:w="804"/>
        <w:gridCol w:w="975"/>
        <w:gridCol w:w="757"/>
        <w:gridCol w:w="952"/>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7"/>
            <w:vAlign w:val="center"/>
          </w:tcPr>
          <w:p w14:paraId="0471E45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立式多级离心泵采购项目（第二次）</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1A14703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414" w:type="dxa"/>
            <w:gridSpan w:val="3"/>
            <w:vMerge w:val="restart"/>
            <w:vAlign w:val="center"/>
          </w:tcPr>
          <w:p w14:paraId="1D21BEA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804" w:type="dxa"/>
            <w:vAlign w:val="center"/>
          </w:tcPr>
          <w:p w14:paraId="329CE4B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684" w:type="dxa"/>
            <w:gridSpan w:val="3"/>
          </w:tcPr>
          <w:p w14:paraId="48000418">
            <w:pPr>
              <w:spacing w:afterLines="0"/>
              <w:jc w:val="center"/>
              <w:rPr>
                <w:rFonts w:hint="eastAsia" w:ascii="仿宋" w:hAnsi="仿宋" w:eastAsia="仿宋"/>
                <w:szCs w:val="21"/>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rPr>
            </w:pPr>
          </w:p>
        </w:tc>
        <w:tc>
          <w:tcPr>
            <w:tcW w:w="5414" w:type="dxa"/>
            <w:gridSpan w:val="3"/>
            <w:vMerge w:val="continue"/>
            <w:vAlign w:val="center"/>
          </w:tcPr>
          <w:p w14:paraId="466047D5">
            <w:pPr>
              <w:spacing w:afterLines="0" w:line="300" w:lineRule="exact"/>
              <w:jc w:val="center"/>
              <w:rPr>
                <w:rFonts w:hint="eastAsia" w:ascii="仿宋" w:hAnsi="仿宋" w:eastAsia="仿宋"/>
                <w:szCs w:val="21"/>
              </w:rPr>
            </w:pPr>
          </w:p>
        </w:tc>
        <w:tc>
          <w:tcPr>
            <w:tcW w:w="804" w:type="dxa"/>
            <w:vAlign w:val="center"/>
          </w:tcPr>
          <w:p w14:paraId="76B098E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684" w:type="dxa"/>
            <w:gridSpan w:val="3"/>
          </w:tcPr>
          <w:p w14:paraId="6FE6F703">
            <w:pPr>
              <w:spacing w:afterLines="0"/>
              <w:jc w:val="center"/>
              <w:rPr>
                <w:rFonts w:hint="eastAsia" w:ascii="仿宋" w:hAnsi="仿宋" w:eastAsia="仿宋"/>
                <w:szCs w:val="21"/>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414" w:type="dxa"/>
            <w:gridSpan w:val="3"/>
            <w:vAlign w:val="center"/>
          </w:tcPr>
          <w:p w14:paraId="50F1DEDF">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804" w:type="dxa"/>
            <w:vAlign w:val="center"/>
          </w:tcPr>
          <w:p w14:paraId="69FFF4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684" w:type="dxa"/>
            <w:gridSpan w:val="3"/>
          </w:tcPr>
          <w:p w14:paraId="1B4BAE93">
            <w:pPr>
              <w:spacing w:afterLines="0"/>
              <w:jc w:val="center"/>
              <w:rPr>
                <w:rFonts w:hint="eastAsia" w:ascii="仿宋" w:hAnsi="仿宋" w:eastAsia="仿宋"/>
                <w:szCs w:val="21"/>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40E49B6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23" w:type="dxa"/>
            <w:vAlign w:val="center"/>
          </w:tcPr>
          <w:p w14:paraId="441AAAF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3757" w:type="dxa"/>
            <w:vAlign w:val="center"/>
          </w:tcPr>
          <w:p w14:paraId="4E1ED399">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634" w:type="dxa"/>
            <w:vAlign w:val="center"/>
          </w:tcPr>
          <w:p w14:paraId="0FA8820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04" w:type="dxa"/>
            <w:vAlign w:val="center"/>
          </w:tcPr>
          <w:p w14:paraId="4E92150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975" w:type="dxa"/>
            <w:vAlign w:val="center"/>
          </w:tcPr>
          <w:p w14:paraId="553D5B06">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价</w:t>
            </w:r>
            <w:r>
              <w:rPr>
                <w:rFonts w:hint="eastAsia" w:ascii="仿宋" w:hAnsi="仿宋" w:eastAsia="仿宋"/>
                <w:b/>
                <w:szCs w:val="21"/>
              </w:rPr>
              <w:t>格（元）</w:t>
            </w:r>
          </w:p>
        </w:tc>
        <w:tc>
          <w:tcPr>
            <w:tcW w:w="757" w:type="dxa"/>
            <w:vAlign w:val="center"/>
          </w:tcPr>
          <w:p w14:paraId="79600210">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品牌</w:t>
            </w:r>
          </w:p>
        </w:tc>
        <w:tc>
          <w:tcPr>
            <w:tcW w:w="952" w:type="dxa"/>
            <w:vAlign w:val="center"/>
          </w:tcPr>
          <w:p w14:paraId="2DD9D8D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2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71F87B">
            <w:pPr>
              <w:pStyle w:val="60"/>
              <w:numPr>
                <w:ilvl w:val="0"/>
                <w:numId w:val="0"/>
              </w:numPr>
              <w:spacing w:afterLines="0" w:line="300" w:lineRule="exact"/>
              <w:ind w:left="440" w:leftChars="0" w:hanging="440" w:firstLineChars="0"/>
              <w:jc w:val="center"/>
              <w:rPr>
                <w:rFonts w:hint="eastAsia" w:ascii="仿宋" w:hAnsi="仿宋" w:eastAsia="仿宋"/>
                <w:szCs w:val="21"/>
              </w:rPr>
            </w:pPr>
            <w:r>
              <w:rPr>
                <w:rFonts w:hint="eastAsia" w:ascii="仿宋" w:hAnsi="仿宋" w:eastAsia="仿宋" w:cs="Times New Roman"/>
                <w:kern w:val="2"/>
                <w:sz w:val="21"/>
                <w:szCs w:val="21"/>
                <w:lang w:val="en-US" w:eastAsia="zh-CN" w:bidi="ar-SA"/>
              </w:rPr>
              <w:t>1</w:t>
            </w:r>
          </w:p>
        </w:tc>
        <w:tc>
          <w:tcPr>
            <w:tcW w:w="1023" w:type="dxa"/>
            <w:vAlign w:val="center"/>
          </w:tcPr>
          <w:p w14:paraId="70DF8A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浓缩机冲洗泵</w:t>
            </w:r>
          </w:p>
        </w:tc>
        <w:tc>
          <w:tcPr>
            <w:tcW w:w="3757" w:type="dxa"/>
            <w:shd w:val="clear" w:color="auto" w:fill="auto"/>
            <w:vAlign w:val="center"/>
          </w:tcPr>
          <w:p w14:paraId="4AC285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立式多级离心泵，流量：8m³/h;扬程:73m；功率:3.0kw，材质：碳钢或304不锈钢</w:t>
            </w:r>
          </w:p>
        </w:tc>
        <w:tc>
          <w:tcPr>
            <w:tcW w:w="634" w:type="dxa"/>
            <w:vAlign w:val="center"/>
          </w:tcPr>
          <w:p w14:paraId="238963C9">
            <w:pPr>
              <w:spacing w:afterLines="0" w:line="440" w:lineRule="exact"/>
              <w:jc w:val="center"/>
              <w:rPr>
                <w:rFonts w:hint="eastAsia" w:ascii="仿宋" w:hAnsi="仿宋" w:eastAsia="仿宋"/>
                <w:szCs w:val="21"/>
                <w:lang w:eastAsia="zh-CN"/>
              </w:rPr>
            </w:pPr>
            <w:r>
              <w:rPr>
                <w:rFonts w:hint="eastAsia" w:ascii="仿宋" w:hAnsi="仿宋" w:eastAsia="仿宋"/>
                <w:szCs w:val="21"/>
                <w:lang w:val="en-US" w:eastAsia="zh-CN"/>
              </w:rPr>
              <w:t>台</w:t>
            </w:r>
          </w:p>
        </w:tc>
        <w:tc>
          <w:tcPr>
            <w:tcW w:w="804" w:type="dxa"/>
            <w:vAlign w:val="center"/>
          </w:tcPr>
          <w:p w14:paraId="68C5E464">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975" w:type="dxa"/>
            <w:vAlign w:val="center"/>
          </w:tcPr>
          <w:p w14:paraId="0AD7D062">
            <w:pPr>
              <w:spacing w:afterLines="0" w:line="440" w:lineRule="exact"/>
              <w:jc w:val="center"/>
              <w:rPr>
                <w:rFonts w:hint="eastAsia" w:ascii="仿宋" w:hAnsi="仿宋" w:eastAsia="仿宋"/>
                <w:szCs w:val="21"/>
              </w:rPr>
            </w:pPr>
          </w:p>
        </w:tc>
        <w:tc>
          <w:tcPr>
            <w:tcW w:w="757" w:type="dxa"/>
            <w:vAlign w:val="center"/>
          </w:tcPr>
          <w:p w14:paraId="5C35AADE">
            <w:pPr>
              <w:spacing w:afterLines="0" w:line="440" w:lineRule="exact"/>
              <w:jc w:val="center"/>
              <w:rPr>
                <w:rFonts w:hint="eastAsia" w:ascii="仿宋" w:hAnsi="仿宋" w:eastAsia="仿宋"/>
                <w:szCs w:val="21"/>
              </w:rPr>
            </w:pPr>
          </w:p>
        </w:tc>
        <w:tc>
          <w:tcPr>
            <w:tcW w:w="952" w:type="dxa"/>
            <w:vAlign w:val="center"/>
          </w:tcPr>
          <w:p w14:paraId="3E763731">
            <w:pPr>
              <w:spacing w:afterLines="0" w:line="440" w:lineRule="exact"/>
              <w:jc w:val="center"/>
              <w:rPr>
                <w:rFonts w:hint="eastAsia" w:ascii="仿宋" w:hAnsi="仿宋" w:eastAsia="仿宋"/>
                <w:szCs w:val="21"/>
              </w:rPr>
            </w:pPr>
          </w:p>
        </w:tc>
      </w:tr>
      <w:tr w14:paraId="4543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99BF0C8">
            <w:pPr>
              <w:pStyle w:val="60"/>
              <w:numPr>
                <w:ilvl w:val="0"/>
                <w:numId w:val="0"/>
              </w:numPr>
              <w:spacing w:afterLines="0" w:line="300" w:lineRule="exact"/>
              <w:ind w:left="440" w:leftChars="0" w:hanging="440" w:firstLineChars="0"/>
              <w:jc w:val="center"/>
              <w:rPr>
                <w:rFonts w:hint="eastAsia" w:ascii="仿宋" w:hAnsi="仿宋" w:eastAsia="仿宋"/>
                <w:szCs w:val="21"/>
              </w:rPr>
            </w:pPr>
            <w:r>
              <w:rPr>
                <w:rFonts w:hint="eastAsia" w:ascii="仿宋" w:hAnsi="仿宋" w:eastAsia="仿宋" w:cs="Times New Roman"/>
                <w:kern w:val="2"/>
                <w:sz w:val="21"/>
                <w:szCs w:val="21"/>
                <w:lang w:val="en-US" w:eastAsia="zh-CN" w:bidi="ar-SA"/>
              </w:rPr>
              <w:t>2</w:t>
            </w:r>
          </w:p>
        </w:tc>
        <w:tc>
          <w:tcPr>
            <w:tcW w:w="1023" w:type="dxa"/>
            <w:vAlign w:val="center"/>
          </w:tcPr>
          <w:p w14:paraId="161B58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压榨泵</w:t>
            </w:r>
          </w:p>
        </w:tc>
        <w:tc>
          <w:tcPr>
            <w:tcW w:w="3757" w:type="dxa"/>
            <w:shd w:val="clear" w:color="auto" w:fill="auto"/>
            <w:vAlign w:val="center"/>
          </w:tcPr>
          <w:p w14:paraId="789029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立式多级离心泵，流量15m³/h;扬程：213m；N=15kw，过滤部件和泵壳为SS304</w:t>
            </w:r>
          </w:p>
        </w:tc>
        <w:tc>
          <w:tcPr>
            <w:tcW w:w="634" w:type="dxa"/>
            <w:vAlign w:val="center"/>
          </w:tcPr>
          <w:p w14:paraId="4B644D7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台</w:t>
            </w:r>
          </w:p>
        </w:tc>
        <w:tc>
          <w:tcPr>
            <w:tcW w:w="804" w:type="dxa"/>
            <w:vAlign w:val="center"/>
          </w:tcPr>
          <w:p w14:paraId="51372C5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975" w:type="dxa"/>
            <w:vAlign w:val="center"/>
          </w:tcPr>
          <w:p w14:paraId="52ABC751">
            <w:pPr>
              <w:spacing w:afterLines="0" w:line="440" w:lineRule="exact"/>
              <w:jc w:val="center"/>
              <w:rPr>
                <w:rFonts w:hint="eastAsia" w:ascii="仿宋" w:hAnsi="仿宋" w:eastAsia="仿宋"/>
                <w:szCs w:val="21"/>
              </w:rPr>
            </w:pPr>
          </w:p>
        </w:tc>
        <w:tc>
          <w:tcPr>
            <w:tcW w:w="757" w:type="dxa"/>
            <w:vAlign w:val="center"/>
          </w:tcPr>
          <w:p w14:paraId="69F12C11">
            <w:pPr>
              <w:spacing w:afterLines="0" w:line="440" w:lineRule="exact"/>
              <w:jc w:val="center"/>
              <w:rPr>
                <w:rFonts w:hint="eastAsia" w:ascii="仿宋" w:hAnsi="仿宋" w:eastAsia="仿宋"/>
                <w:szCs w:val="21"/>
              </w:rPr>
            </w:pPr>
          </w:p>
        </w:tc>
        <w:tc>
          <w:tcPr>
            <w:tcW w:w="952" w:type="dxa"/>
            <w:vAlign w:val="center"/>
          </w:tcPr>
          <w:p w14:paraId="6AD45D76">
            <w:pPr>
              <w:spacing w:afterLines="0" w:line="440" w:lineRule="exact"/>
              <w:jc w:val="center"/>
              <w:rPr>
                <w:rFonts w:hint="eastAsia" w:ascii="仿宋" w:hAnsi="仿宋" w:eastAsia="仿宋"/>
                <w:szCs w:val="21"/>
              </w:rPr>
            </w:pPr>
          </w:p>
        </w:tc>
      </w:tr>
      <w:tr w14:paraId="17A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3D5C7114">
            <w:pPr>
              <w:pStyle w:val="60"/>
              <w:numPr>
                <w:ilvl w:val="0"/>
                <w:numId w:val="0"/>
              </w:numPr>
              <w:spacing w:afterLines="0" w:line="300" w:lineRule="exact"/>
              <w:ind w:leftChars="0"/>
              <w:jc w:val="center"/>
              <w:rPr>
                <w:rFonts w:hint="default" w:ascii="仿宋" w:hAnsi="仿宋" w:eastAsia="仿宋"/>
                <w:szCs w:val="21"/>
                <w:lang w:val="en-US" w:eastAsia="zh-CN"/>
              </w:rPr>
            </w:pPr>
            <w:r>
              <w:rPr>
                <w:rFonts w:hint="eastAsia" w:ascii="仿宋" w:hAnsi="仿宋" w:eastAsia="仿宋"/>
                <w:szCs w:val="21"/>
                <w:lang w:val="en-US" w:eastAsia="zh-CN"/>
              </w:rPr>
              <w:t>含税合计</w:t>
            </w:r>
          </w:p>
        </w:tc>
        <w:tc>
          <w:tcPr>
            <w:tcW w:w="8902" w:type="dxa"/>
            <w:gridSpan w:val="7"/>
            <w:vAlign w:val="center"/>
          </w:tcPr>
          <w:p w14:paraId="4C96D4AC">
            <w:pPr>
              <w:spacing w:afterLines="0" w:line="440" w:lineRule="exact"/>
              <w:jc w:val="center"/>
              <w:rPr>
                <w:rFonts w:hint="eastAsia" w:ascii="仿宋" w:hAnsi="仿宋" w:eastAsia="仿宋"/>
                <w:szCs w:val="21"/>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414" w:type="dxa"/>
            <w:gridSpan w:val="3"/>
            <w:vAlign w:val="center"/>
          </w:tcPr>
          <w:p w14:paraId="572A96F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804" w:type="dxa"/>
            <w:vAlign w:val="center"/>
          </w:tcPr>
          <w:p w14:paraId="17EF5D1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684" w:type="dxa"/>
            <w:gridSpan w:val="3"/>
            <w:vAlign w:val="center"/>
          </w:tcPr>
          <w:p w14:paraId="54D36538">
            <w:pPr>
              <w:spacing w:afterLines="0" w:line="300" w:lineRule="exact"/>
              <w:jc w:val="center"/>
              <w:rPr>
                <w:rFonts w:hint="eastAsia" w:ascii="仿宋" w:hAnsi="仿宋" w:eastAsia="仿宋"/>
                <w:szCs w:val="21"/>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7"/>
            <w:vAlign w:val="center"/>
          </w:tcPr>
          <w:p w14:paraId="79704E21">
            <w:pPr>
              <w:spacing w:afterLines="0" w:line="300" w:lineRule="exact"/>
              <w:jc w:val="left"/>
              <w:rPr>
                <w:rFonts w:hint="eastAsia" w:ascii="仿宋" w:hAnsi="仿宋" w:eastAsia="仿宋"/>
                <w:szCs w:val="21"/>
                <w:lang w:eastAsia="zh-CN"/>
              </w:rPr>
            </w:pP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414" w:type="dxa"/>
            <w:gridSpan w:val="3"/>
            <w:vAlign w:val="center"/>
          </w:tcPr>
          <w:p w14:paraId="4B373EF5">
            <w:pPr>
              <w:spacing w:afterLines="0" w:line="300" w:lineRule="exact"/>
              <w:jc w:val="left"/>
              <w:rPr>
                <w:rFonts w:hint="eastAsia" w:ascii="仿宋" w:hAnsi="仿宋" w:eastAsia="仿宋"/>
                <w:szCs w:val="21"/>
              </w:rPr>
            </w:pPr>
            <w:r>
              <w:rPr>
                <w:rFonts w:hint="eastAsia" w:ascii="仿宋" w:hAnsi="仿宋" w:eastAsia="仿宋"/>
                <w:szCs w:val="21"/>
              </w:rPr>
              <w:t>自</w:t>
            </w:r>
            <w:r>
              <w:rPr>
                <w:rFonts w:hint="eastAsia" w:ascii="仿宋" w:hAnsi="仿宋" w:eastAsia="仿宋"/>
                <w:szCs w:val="21"/>
                <w:lang w:val="en-US" w:eastAsia="zh-CN"/>
              </w:rPr>
              <w:t>合同签订</w:t>
            </w:r>
            <w:r>
              <w:rPr>
                <w:rFonts w:hint="eastAsia" w:ascii="仿宋" w:hAnsi="仿宋" w:eastAsia="仿宋"/>
                <w:szCs w:val="21"/>
              </w:rPr>
              <w:t>之日起</w:t>
            </w:r>
            <w:r>
              <w:rPr>
                <w:rFonts w:hint="eastAsia" w:ascii="仿宋" w:hAnsi="仿宋" w:eastAsia="仿宋"/>
                <w:szCs w:val="21"/>
                <w:lang w:val="en-US" w:eastAsia="zh-CN"/>
              </w:rPr>
              <w:t>15日</w:t>
            </w:r>
            <w:r>
              <w:rPr>
                <w:rFonts w:hint="eastAsia" w:ascii="仿宋" w:hAnsi="仿宋" w:eastAsia="仿宋"/>
                <w:szCs w:val="21"/>
              </w:rPr>
              <w:t>内</w:t>
            </w:r>
          </w:p>
        </w:tc>
        <w:tc>
          <w:tcPr>
            <w:tcW w:w="804" w:type="dxa"/>
            <w:vAlign w:val="center"/>
          </w:tcPr>
          <w:p w14:paraId="21772C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684" w:type="dxa"/>
            <w:gridSpan w:val="3"/>
            <w:vAlign w:val="center"/>
          </w:tcPr>
          <w:p w14:paraId="73EA492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2AA307E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b/>
                <w:bCs/>
                <w:sz w:val="22"/>
                <w:szCs w:val="28"/>
              </w:rPr>
              <w:t>(其中付款方式为固定项，更改付款方式的视为无效报价)</w:t>
            </w:r>
            <w:r>
              <w:rPr>
                <w:rFonts w:hint="eastAsia" w:ascii="仿宋" w:hAnsi="仿宋" w:eastAsia="仿宋"/>
                <w:sz w:val="22"/>
                <w:szCs w:val="28"/>
              </w:rPr>
              <w:t>；</w:t>
            </w:r>
            <w:r>
              <w:rPr>
                <w:rFonts w:hint="eastAsia" w:ascii="仿宋" w:hAnsi="仿宋" w:eastAsia="仿宋"/>
                <w:szCs w:val="21"/>
              </w:rPr>
              <w:t>如使用本报价单模板，标“*”为必填项;</w:t>
            </w:r>
          </w:p>
          <w:p w14:paraId="4B725885">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rPr>
            </w:pPr>
            <w:r>
              <w:rPr>
                <w:rFonts w:hint="eastAsia" w:ascii="仿宋" w:hAnsi="仿宋" w:eastAsia="仿宋"/>
                <w:szCs w:val="21"/>
              </w:rPr>
              <w:t>3、服务地址:深圳市宝安区燕罗街道松罗路燕罗湿地公园松岗水质净化厂二期；</w:t>
            </w:r>
          </w:p>
          <w:p w14:paraId="23FD299C">
            <w:pPr>
              <w:spacing w:afterLines="0" w:line="300" w:lineRule="exact"/>
              <w:jc w:val="left"/>
              <w:rPr>
                <w:rFonts w:hint="eastAsia" w:ascii="仿宋" w:hAnsi="仿宋" w:eastAsia="仿宋"/>
                <w:szCs w:val="21"/>
              </w:rPr>
            </w:pPr>
            <w:r>
              <w:rPr>
                <w:rFonts w:hint="eastAsia" w:ascii="仿宋" w:hAnsi="仿宋" w:eastAsia="仿宋"/>
                <w:szCs w:val="21"/>
              </w:rPr>
              <w:t>4、签订总价包干合同，</w:t>
            </w: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r>
              <w:rPr>
                <w:rFonts w:hint="eastAsia" w:ascii="仿宋" w:hAnsi="仿宋" w:eastAsia="仿宋"/>
                <w:szCs w:val="21"/>
              </w:rPr>
              <w:t>；</w:t>
            </w:r>
          </w:p>
          <w:p w14:paraId="42320CC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1521169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16C991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6D1DE56C">
      <w:pPr>
        <w:wordWrap w:val="0"/>
        <w:snapToGrid w:val="0"/>
        <w:spacing w:afterLines="0" w:line="360" w:lineRule="auto"/>
        <w:jc w:val="right"/>
        <w:rPr>
          <w:rFonts w:hint="eastAsia" w:ascii="仿宋" w:hAnsi="仿宋" w:eastAsia="仿宋" w:cs="Arial"/>
        </w:rPr>
      </w:pPr>
      <w:bookmarkStart w:id="77" w:name="_GoBack"/>
      <w:bookmarkEnd w:id="77"/>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5" w:name="_Toc133335897"/>
      <w:bookmarkStart w:id="76" w:name="_Toc116850266"/>
      <w:r>
        <w:rPr>
          <w:rFonts w:hint="eastAsia" w:ascii="仿宋" w:hAnsi="仿宋" w:eastAsia="仿宋"/>
          <w:b/>
          <w:bCs/>
          <w:kern w:val="0"/>
          <w:sz w:val="24"/>
        </w:rPr>
        <w:t>响应供应商认为有必要提供的其他材料</w:t>
      </w:r>
      <w:bookmarkEnd w:id="75"/>
      <w:bookmarkEnd w:id="76"/>
    </w:p>
    <w:p w14:paraId="54D21A8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6"/>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F38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7"/>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469"/>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8C2829"/>
    <w:rsid w:val="0A886720"/>
    <w:rsid w:val="0B0E30C9"/>
    <w:rsid w:val="0D7F8C1E"/>
    <w:rsid w:val="0DAFDDD2"/>
    <w:rsid w:val="0FD61205"/>
    <w:rsid w:val="10154520"/>
    <w:rsid w:val="10DD77C5"/>
    <w:rsid w:val="121D2D43"/>
    <w:rsid w:val="13AFEC81"/>
    <w:rsid w:val="15A30ACB"/>
    <w:rsid w:val="17974BA9"/>
    <w:rsid w:val="17BC01F1"/>
    <w:rsid w:val="187413F9"/>
    <w:rsid w:val="1890063D"/>
    <w:rsid w:val="19ED4FA3"/>
    <w:rsid w:val="1B3FC108"/>
    <w:rsid w:val="1BBF5AD0"/>
    <w:rsid w:val="1BFB4A9B"/>
    <w:rsid w:val="1BFE3282"/>
    <w:rsid w:val="1F0F1A56"/>
    <w:rsid w:val="1F7F9C30"/>
    <w:rsid w:val="1FB39FF7"/>
    <w:rsid w:val="1FB54372"/>
    <w:rsid w:val="1FFF4E3F"/>
    <w:rsid w:val="20945972"/>
    <w:rsid w:val="21A63203"/>
    <w:rsid w:val="250E3F9A"/>
    <w:rsid w:val="257FF5EF"/>
    <w:rsid w:val="26BF2AC1"/>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604D6F"/>
    <w:rsid w:val="36B91E0A"/>
    <w:rsid w:val="372E2465"/>
    <w:rsid w:val="377B856B"/>
    <w:rsid w:val="37FEEEDA"/>
    <w:rsid w:val="391FB7C6"/>
    <w:rsid w:val="394F33A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8773B7"/>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9D6531"/>
    <w:rsid w:val="4ACDDF1D"/>
    <w:rsid w:val="4B9F26EC"/>
    <w:rsid w:val="4BBA3990"/>
    <w:rsid w:val="4C936C15"/>
    <w:rsid w:val="4D536A69"/>
    <w:rsid w:val="4DF923F4"/>
    <w:rsid w:val="4DFF1032"/>
    <w:rsid w:val="4E1A4D72"/>
    <w:rsid w:val="4EF67CEE"/>
    <w:rsid w:val="4EFDA9D6"/>
    <w:rsid w:val="4EFF30A2"/>
    <w:rsid w:val="4F10078B"/>
    <w:rsid w:val="4F155DA1"/>
    <w:rsid w:val="4F4F0D8E"/>
    <w:rsid w:val="4F6C49E3"/>
    <w:rsid w:val="4FF9BA94"/>
    <w:rsid w:val="4FFC2348"/>
    <w:rsid w:val="50F879AA"/>
    <w:rsid w:val="52BB5B13"/>
    <w:rsid w:val="530C47BA"/>
    <w:rsid w:val="557F0F30"/>
    <w:rsid w:val="559E5CE3"/>
    <w:rsid w:val="55B76F16"/>
    <w:rsid w:val="56DD8954"/>
    <w:rsid w:val="57AFC3C2"/>
    <w:rsid w:val="59FF3A15"/>
    <w:rsid w:val="5AFFC0B6"/>
    <w:rsid w:val="5B800EDC"/>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62F4F0D"/>
    <w:rsid w:val="67194FDD"/>
    <w:rsid w:val="6775E9D8"/>
    <w:rsid w:val="67F44CA4"/>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4065409"/>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204C93"/>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Normal Indent"/>
    <w:basedOn w:val="1"/>
    <w:next w:val="9"/>
    <w:qFormat/>
    <w:uiPriority w:val="0"/>
    <w:pPr>
      <w:ind w:firstLine="420" w:firstLineChars="200"/>
    </w:pPr>
  </w:style>
  <w:style w:type="paragraph" w:customStyle="1" w:styleId="9">
    <w:name w:val="*正文"/>
    <w:basedOn w:val="1"/>
    <w:qFormat/>
    <w:uiPriority w:val="0"/>
    <w:pPr>
      <w:ind w:firstLine="200"/>
    </w:pPr>
    <w:rPr>
      <w:szCs w:val="20"/>
    </w:rPr>
  </w:style>
  <w:style w:type="paragraph" w:styleId="10">
    <w:name w:val="annotation text"/>
    <w:basedOn w:val="1"/>
    <w:link w:val="36"/>
    <w:qFormat/>
    <w:uiPriority w:val="99"/>
    <w:pPr>
      <w:spacing w:afterLines="0" w:line="240" w:lineRule="auto"/>
      <w:jc w:val="left"/>
    </w:pPr>
    <w:rPr>
      <w:rFonts w:ascii="Times New Roman" w:hAnsi="Times New Roman"/>
    </w:rPr>
  </w:style>
  <w:style w:type="paragraph" w:styleId="11">
    <w:name w:val="Body Text"/>
    <w:basedOn w:val="1"/>
    <w:qFormat/>
    <w:uiPriority w:val="99"/>
    <w:pPr>
      <w:tabs>
        <w:tab w:val="left" w:pos="4760"/>
      </w:tabs>
      <w:spacing w:after="78"/>
      <w:jc w:val="left"/>
    </w:pPr>
  </w:style>
  <w:style w:type="paragraph" w:styleId="12">
    <w:name w:val="Body Text Indent"/>
    <w:basedOn w:val="1"/>
    <w:qFormat/>
    <w:uiPriority w:val="0"/>
    <w:pPr>
      <w:tabs>
        <w:tab w:val="left" w:pos="4760"/>
      </w:tabs>
      <w:spacing w:after="120"/>
      <w:ind w:left="420" w:leftChars="200"/>
    </w:pPr>
  </w:style>
  <w:style w:type="paragraph" w:styleId="13">
    <w:name w:val="Plain Text"/>
    <w:basedOn w:val="1"/>
    <w:qFormat/>
    <w:uiPriority w:val="0"/>
    <w:pPr>
      <w:spacing w:afterLines="0" w:line="240" w:lineRule="auto"/>
    </w:pPr>
    <w:rPr>
      <w:rFonts w:ascii="宋体" w:hAnsi="Courier New"/>
      <w:szCs w:val="20"/>
    </w:rPr>
  </w:style>
  <w:style w:type="paragraph" w:styleId="14">
    <w:name w:val="Body Text Indent 2"/>
    <w:basedOn w:val="1"/>
    <w:link w:val="64"/>
    <w:semiHidden/>
    <w:unhideWhenUsed/>
    <w:qFormat/>
    <w:uiPriority w:val="0"/>
    <w:pPr>
      <w:spacing w:after="120" w:line="480" w:lineRule="auto"/>
      <w:ind w:left="420" w:leftChars="200"/>
    </w:pPr>
  </w:style>
  <w:style w:type="paragraph" w:styleId="15">
    <w:name w:val="Balloon Text"/>
    <w:basedOn w:val="1"/>
    <w:link w:val="35"/>
    <w:qFormat/>
    <w:uiPriority w:val="0"/>
    <w:pPr>
      <w:spacing w:line="240" w:lineRule="auto"/>
    </w:pPr>
    <w:rPr>
      <w:sz w:val="18"/>
      <w:szCs w:val="18"/>
    </w:rPr>
  </w:style>
  <w:style w:type="paragraph" w:styleId="16">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7">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1">
    <w:name w:val="annotation subject"/>
    <w:basedOn w:val="10"/>
    <w:next w:val="10"/>
    <w:link w:val="37"/>
    <w:qFormat/>
    <w:uiPriority w:val="0"/>
    <w:pPr>
      <w:spacing w:afterLines="25" w:line="300" w:lineRule="auto"/>
    </w:pPr>
    <w:rPr>
      <w:rFonts w:ascii="Arial" w:hAnsi="Arial"/>
      <w:b/>
      <w:bCs/>
    </w:rPr>
  </w:style>
  <w:style w:type="paragraph" w:styleId="22">
    <w:name w:val="Body Text First Indent 2"/>
    <w:basedOn w:val="12"/>
    <w:link w:val="58"/>
    <w:qFormat/>
    <w:uiPriority w:val="99"/>
    <w:pPr>
      <w:ind w:firstLine="42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qFormat/>
    <w:uiPriority w:val="99"/>
    <w:rPr>
      <w:sz w:val="21"/>
      <w:szCs w:val="21"/>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5"/>
    <w:link w:val="15"/>
    <w:qFormat/>
    <w:uiPriority w:val="0"/>
    <w:rPr>
      <w:rFonts w:ascii="Arial" w:hAnsi="Arial" w:eastAsia="宋体" w:cs="Times New Roman"/>
      <w:kern w:val="2"/>
      <w:sz w:val="18"/>
      <w:szCs w:val="18"/>
    </w:rPr>
  </w:style>
  <w:style w:type="character" w:customStyle="1" w:styleId="36">
    <w:name w:val="批注文字 字符"/>
    <w:basedOn w:val="25"/>
    <w:link w:val="10"/>
    <w:qFormat/>
    <w:uiPriority w:val="99"/>
    <w:rPr>
      <w:rFonts w:ascii="Times New Roman" w:hAnsi="Times New Roman" w:eastAsia="宋体" w:cs="Times New Roman"/>
      <w:kern w:val="2"/>
      <w:sz w:val="21"/>
      <w:szCs w:val="24"/>
    </w:rPr>
  </w:style>
  <w:style w:type="character" w:customStyle="1" w:styleId="37">
    <w:name w:val="批注主题 字符"/>
    <w:basedOn w:val="36"/>
    <w:link w:val="21"/>
    <w:qFormat/>
    <w:uiPriority w:val="0"/>
    <w:rPr>
      <w:rFonts w:ascii="Arial" w:hAnsi="Arial" w:eastAsia="宋体" w:cs="Times New Roman"/>
      <w:b/>
      <w:bCs/>
      <w:kern w:val="2"/>
      <w:sz w:val="21"/>
      <w:szCs w:val="24"/>
    </w:rPr>
  </w:style>
  <w:style w:type="character" w:customStyle="1" w:styleId="38">
    <w:name w:val="font01"/>
    <w:basedOn w:val="25"/>
    <w:qFormat/>
    <w:uiPriority w:val="0"/>
    <w:rPr>
      <w:rFonts w:hint="eastAsia" w:ascii="宋体" w:hAnsi="宋体" w:eastAsia="宋体"/>
      <w:color w:val="000000"/>
      <w:sz w:val="20"/>
      <w:szCs w:val="20"/>
      <w:u w:val="none"/>
      <w:vertAlign w:val="superscript"/>
    </w:rPr>
  </w:style>
  <w:style w:type="character" w:customStyle="1" w:styleId="39">
    <w:name w:val="font31"/>
    <w:basedOn w:val="25"/>
    <w:qFormat/>
    <w:uiPriority w:val="0"/>
    <w:rPr>
      <w:rFonts w:hint="eastAsia" w:ascii="宋体" w:hAnsi="宋体" w:eastAsia="宋体"/>
      <w:color w:val="000000"/>
      <w:sz w:val="20"/>
      <w:szCs w:val="20"/>
      <w:u w:val="none"/>
    </w:rPr>
  </w:style>
  <w:style w:type="character" w:customStyle="1" w:styleId="40">
    <w:name w:val="页脚 字符"/>
    <w:basedOn w:val="25"/>
    <w:link w:val="16"/>
    <w:qFormat/>
    <w:uiPriority w:val="99"/>
    <w:rPr>
      <w:rFonts w:ascii="Arial" w:hAnsi="Arial" w:eastAsia="楷体_GB2312" w:cs="Times New Roman"/>
      <w:sz w:val="18"/>
      <w:szCs w:val="18"/>
    </w:rPr>
  </w:style>
  <w:style w:type="character" w:customStyle="1" w:styleId="41">
    <w:name w:val="页眉 字符"/>
    <w:basedOn w:val="25"/>
    <w:link w:val="17"/>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5"/>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5"/>
    <w:link w:val="7"/>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5"/>
    <w:qFormat/>
    <w:uiPriority w:val="0"/>
    <w:rPr>
      <w:rFonts w:hint="eastAsia" w:ascii="宋体" w:hAnsi="宋体" w:eastAsia="宋体"/>
      <w:color w:val="000000"/>
      <w:sz w:val="18"/>
      <w:szCs w:val="18"/>
      <w:u w:val="none"/>
    </w:rPr>
  </w:style>
  <w:style w:type="character" w:customStyle="1" w:styleId="54">
    <w:name w:val="font11"/>
    <w:basedOn w:val="25"/>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5"/>
    <w:link w:val="22"/>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4"/>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5"/>
    <w:link w:val="14"/>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586</Words>
  <Characters>627</Characters>
  <Lines>9</Lines>
  <Paragraphs>19</Paragraphs>
  <TotalTime>5</TotalTime>
  <ScaleCrop>false</ScaleCrop>
  <LinksUpToDate>false</LinksUpToDate>
  <CharactersWithSpaces>627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L—Jia</cp:lastModifiedBy>
  <cp:lastPrinted>2025-09-02T08:54:00Z</cp:lastPrinted>
  <dcterms:modified xsi:type="dcterms:W3CDTF">2025-11-01T02:40:20Z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