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bookmarkStart w:id="22" w:name="_GoBack"/>
      <w:bookmarkEnd w:id="22"/>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4334472C">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eastAsia="zh-CN"/>
        </w:rPr>
        <w:t>江西区域固体氢氧化钠</w:t>
      </w:r>
      <w:r>
        <w:rPr>
          <w:rFonts w:hint="eastAsia" w:ascii="Times New Roman" w:hAnsi="Times New Roman" w:eastAsia="长城小标宋体"/>
          <w:b/>
          <w:bCs/>
          <w:sz w:val="44"/>
          <w:szCs w:val="44"/>
        </w:rPr>
        <w:t>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8" w:right="1700" w:bottom="1418" w:left="1418" w:header="851" w:footer="992" w:gutter="0"/>
          <w:pgNumType w:start="1"/>
          <w:cols w:space="720" w:num="1"/>
          <w:titlePg/>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江西区域固体氢氧化钠</w:t>
      </w:r>
      <w:r>
        <w:rPr>
          <w:rFonts w:hint="eastAsia" w:ascii="仿宋_GB2312" w:hAnsi="仿宋_GB2312" w:eastAsia="仿宋_GB2312" w:cs="仿宋_GB2312"/>
          <w:bCs/>
          <w:color w:val="000000"/>
          <w:sz w:val="28"/>
          <w:szCs w:val="28"/>
        </w:rPr>
        <w:t>采购项目。</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8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5"/>
        <w:gridCol w:w="1266"/>
        <w:gridCol w:w="2001"/>
        <w:gridCol w:w="1119"/>
        <w:gridCol w:w="1257"/>
        <w:gridCol w:w="1095"/>
        <w:gridCol w:w="1251"/>
      </w:tblGrid>
      <w:tr w14:paraId="7F727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442" w:type="pct"/>
            <w:noWrap w:val="0"/>
            <w:vAlign w:val="center"/>
          </w:tcPr>
          <w:p w14:paraId="72A45C2E">
            <w:pPr>
              <w:pStyle w:val="58"/>
              <w:ind w:firstLine="0" w:firstLineChars="0"/>
              <w:jc w:val="center"/>
              <w:rPr>
                <w:rFonts w:hint="eastAsia" w:ascii="宋体" w:hAnsi="宋体" w:cs="宋体"/>
                <w:b/>
                <w:bCs/>
                <w:sz w:val="24"/>
                <w:szCs w:val="24"/>
              </w:rPr>
            </w:pPr>
            <w:bookmarkStart w:id="0" w:name="_Hlk191890472"/>
            <w:r>
              <w:rPr>
                <w:rFonts w:hint="eastAsia" w:ascii="宋体" w:hAnsi="宋体" w:cs="宋体"/>
                <w:b/>
                <w:bCs/>
                <w:sz w:val="24"/>
                <w:szCs w:val="24"/>
              </w:rPr>
              <w:t>序号</w:t>
            </w:r>
          </w:p>
        </w:tc>
        <w:tc>
          <w:tcPr>
            <w:tcW w:w="722" w:type="pct"/>
            <w:noWrap w:val="0"/>
            <w:vAlign w:val="center"/>
          </w:tcPr>
          <w:p w14:paraId="7930313C">
            <w:pPr>
              <w:pStyle w:val="58"/>
              <w:ind w:firstLine="0" w:firstLineChars="0"/>
              <w:jc w:val="center"/>
              <w:rPr>
                <w:rFonts w:hint="eastAsia" w:ascii="宋体" w:hAnsi="宋体" w:cs="宋体"/>
                <w:b/>
                <w:bCs/>
                <w:sz w:val="24"/>
                <w:szCs w:val="24"/>
              </w:rPr>
            </w:pPr>
            <w:r>
              <w:rPr>
                <w:rFonts w:hint="eastAsia" w:ascii="宋体" w:hAnsi="宋体" w:cs="宋体"/>
                <w:b/>
                <w:bCs/>
                <w:sz w:val="24"/>
                <w:szCs w:val="24"/>
              </w:rPr>
              <w:t>名称</w:t>
            </w:r>
          </w:p>
        </w:tc>
        <w:tc>
          <w:tcPr>
            <w:tcW w:w="1141" w:type="pct"/>
            <w:noWrap w:val="0"/>
            <w:vAlign w:val="center"/>
          </w:tcPr>
          <w:p w14:paraId="3465CA04">
            <w:pPr>
              <w:pStyle w:val="58"/>
              <w:ind w:firstLine="0" w:firstLineChars="0"/>
              <w:jc w:val="center"/>
              <w:rPr>
                <w:rFonts w:hint="eastAsia" w:ascii="宋体" w:hAnsi="宋体" w:cs="宋体"/>
                <w:b/>
                <w:bCs/>
                <w:sz w:val="24"/>
                <w:szCs w:val="24"/>
              </w:rPr>
            </w:pPr>
            <w:r>
              <w:rPr>
                <w:rFonts w:hint="eastAsia" w:ascii="宋体" w:hAnsi="宋体" w:cs="宋体"/>
                <w:b/>
                <w:bCs/>
                <w:sz w:val="24"/>
                <w:szCs w:val="24"/>
              </w:rPr>
              <w:t>规格</w:t>
            </w:r>
          </w:p>
        </w:tc>
        <w:tc>
          <w:tcPr>
            <w:tcW w:w="638" w:type="pct"/>
            <w:noWrap w:val="0"/>
            <w:vAlign w:val="center"/>
          </w:tcPr>
          <w:p w14:paraId="047E1C19">
            <w:pPr>
              <w:pStyle w:val="58"/>
              <w:ind w:firstLine="0" w:firstLineChars="0"/>
              <w:jc w:val="center"/>
              <w:rPr>
                <w:rFonts w:hint="default" w:ascii="宋体" w:hAnsi="宋体" w:eastAsia="宋体" w:cs="宋体"/>
                <w:spacing w:val="-8"/>
                <w:sz w:val="24"/>
                <w:szCs w:val="24"/>
                <w:lang w:val="en-US" w:eastAsia="zh-CN"/>
              </w:rPr>
            </w:pPr>
            <w:r>
              <w:rPr>
                <w:rFonts w:hint="eastAsia" w:ascii="宋体" w:hAnsi="宋体" w:cs="宋体"/>
                <w:b/>
                <w:bCs/>
                <w:sz w:val="24"/>
                <w:szCs w:val="24"/>
                <w:lang w:val="en-US" w:eastAsia="zh-CN"/>
              </w:rPr>
              <w:t>暂估</w:t>
            </w:r>
            <w:r>
              <w:rPr>
                <w:rFonts w:hint="eastAsia" w:ascii="宋体" w:hAnsi="宋体" w:cs="宋体"/>
                <w:b/>
                <w:bCs/>
                <w:sz w:val="24"/>
                <w:szCs w:val="24"/>
              </w:rPr>
              <w:t>量</w:t>
            </w:r>
            <w:r>
              <w:rPr>
                <w:rFonts w:hint="eastAsia" w:ascii="宋体" w:hAnsi="宋体" w:cs="宋体"/>
                <w:b/>
                <w:bCs/>
                <w:sz w:val="24"/>
                <w:szCs w:val="24"/>
                <w:lang w:eastAsia="zh-CN"/>
              </w:rPr>
              <w:t>（</w:t>
            </w:r>
            <w:r>
              <w:rPr>
                <w:rFonts w:hint="eastAsia" w:ascii="宋体" w:hAnsi="宋体" w:cs="宋体"/>
                <w:b/>
                <w:bCs/>
                <w:sz w:val="24"/>
                <w:szCs w:val="24"/>
                <w:lang w:val="en-US" w:eastAsia="zh-CN"/>
              </w:rPr>
              <w:t>吨）</w:t>
            </w:r>
          </w:p>
        </w:tc>
        <w:tc>
          <w:tcPr>
            <w:tcW w:w="717" w:type="pct"/>
            <w:noWrap w:val="0"/>
            <w:vAlign w:val="center"/>
          </w:tcPr>
          <w:p w14:paraId="3E7631DB">
            <w:pPr>
              <w:pStyle w:val="58"/>
              <w:ind w:firstLine="0" w:firstLineChars="0"/>
              <w:jc w:val="center"/>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含税上限单价（元/吨）</w:t>
            </w:r>
          </w:p>
        </w:tc>
        <w:tc>
          <w:tcPr>
            <w:tcW w:w="624" w:type="pct"/>
            <w:noWrap w:val="0"/>
            <w:vAlign w:val="center"/>
          </w:tcPr>
          <w:p w14:paraId="7BEE1947">
            <w:pPr>
              <w:pStyle w:val="58"/>
              <w:ind w:firstLine="0" w:firstLineChars="0"/>
              <w:jc w:val="center"/>
              <w:rPr>
                <w:rFonts w:hint="eastAsia" w:ascii="宋体" w:hAnsi="宋体" w:cs="宋体"/>
                <w:b/>
                <w:bCs/>
                <w:sz w:val="24"/>
                <w:szCs w:val="24"/>
              </w:rPr>
            </w:pPr>
            <w:r>
              <w:rPr>
                <w:rFonts w:hint="eastAsia" w:ascii="宋体" w:hAnsi="宋体" w:cs="宋体"/>
                <w:b/>
                <w:bCs/>
                <w:sz w:val="24"/>
                <w:szCs w:val="24"/>
              </w:rPr>
              <w:t>送货地点</w:t>
            </w:r>
          </w:p>
        </w:tc>
        <w:tc>
          <w:tcPr>
            <w:tcW w:w="713" w:type="pct"/>
            <w:noWrap w:val="0"/>
            <w:vAlign w:val="center"/>
          </w:tcPr>
          <w:p w14:paraId="357664CF">
            <w:pPr>
              <w:pStyle w:val="58"/>
              <w:ind w:firstLine="0" w:firstLineChars="0"/>
              <w:jc w:val="center"/>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备注</w:t>
            </w:r>
          </w:p>
        </w:tc>
      </w:tr>
      <w:tr w14:paraId="346FD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jc w:val="center"/>
        </w:trPr>
        <w:tc>
          <w:tcPr>
            <w:tcW w:w="442" w:type="pct"/>
            <w:noWrap w:val="0"/>
            <w:vAlign w:val="center"/>
          </w:tcPr>
          <w:p w14:paraId="740F4D8E">
            <w:pPr>
              <w:pStyle w:val="58"/>
              <w:autoSpaceDE w:val="0"/>
              <w:autoSpaceDN w:val="0"/>
              <w:adjustRightInd w:val="0"/>
              <w:snapToGrid w:val="0"/>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22" w:type="pct"/>
            <w:noWrap w:val="0"/>
            <w:vAlign w:val="center"/>
          </w:tcPr>
          <w:p w14:paraId="127B86E2">
            <w:pPr>
              <w:pStyle w:val="58"/>
              <w:autoSpaceDE w:val="0"/>
              <w:autoSpaceDN w:val="0"/>
              <w:adjustRightInd w:val="0"/>
              <w:snapToGrid w:val="0"/>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固体氢氧化钠</w:t>
            </w:r>
          </w:p>
        </w:tc>
        <w:tc>
          <w:tcPr>
            <w:tcW w:w="1141" w:type="pct"/>
            <w:noWrap w:val="0"/>
            <w:vAlign w:val="center"/>
          </w:tcPr>
          <w:p w14:paraId="7A98BBA4">
            <w:pPr>
              <w:pStyle w:val="58"/>
              <w:autoSpaceDE w:val="0"/>
              <w:autoSpaceDN w:val="0"/>
              <w:adjustRightInd w:val="0"/>
              <w:snapToGrid w:val="0"/>
              <w:ind w:firstLine="0" w:firstLineChars="0"/>
              <w:jc w:val="center"/>
              <w:rPr>
                <w:rFonts w:hint="eastAsia" w:ascii="仿宋" w:hAnsi="仿宋" w:eastAsia="仿宋" w:cs="仿宋"/>
                <w:sz w:val="24"/>
                <w:szCs w:val="24"/>
              </w:rPr>
            </w:pPr>
            <w:r>
              <w:rPr>
                <w:rFonts w:hint="eastAsia" w:ascii="仿宋" w:hAnsi="仿宋" w:eastAsia="仿宋" w:cs="仿宋"/>
                <w:sz w:val="24"/>
                <w:szCs w:val="24"/>
                <w:lang w:val="en-US" w:eastAsia="zh-CN"/>
              </w:rPr>
              <w:t>片碱，</w:t>
            </w:r>
            <w:r>
              <w:rPr>
                <w:rFonts w:hint="eastAsia" w:ascii="仿宋" w:hAnsi="仿宋" w:eastAsia="仿宋" w:cs="仿宋"/>
                <w:sz w:val="24"/>
                <w:szCs w:val="24"/>
                <w:lang w:eastAsia="zh-CN"/>
              </w:rPr>
              <w:t>氢氧化钠</w:t>
            </w:r>
            <w:r>
              <w:rPr>
                <w:rFonts w:hint="eastAsia" w:ascii="仿宋" w:hAnsi="仿宋" w:eastAsia="仿宋" w:cs="仿宋"/>
                <w:sz w:val="24"/>
                <w:szCs w:val="24"/>
              </w:rPr>
              <w:t>（NaOH）的质量分数≥98%</w:t>
            </w:r>
          </w:p>
        </w:tc>
        <w:tc>
          <w:tcPr>
            <w:tcW w:w="638" w:type="pct"/>
            <w:noWrap w:val="0"/>
            <w:vAlign w:val="center"/>
          </w:tcPr>
          <w:p w14:paraId="3B020F27">
            <w:pPr>
              <w:autoSpaceDE w:val="0"/>
              <w:autoSpaceDN w:val="0"/>
              <w:adjustRightInd w:val="0"/>
              <w:snapToGrid w:val="0"/>
              <w:jc w:val="center"/>
              <w:rPr>
                <w:rFonts w:hint="default"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10</w:t>
            </w:r>
          </w:p>
        </w:tc>
        <w:tc>
          <w:tcPr>
            <w:tcW w:w="717" w:type="pct"/>
            <w:noWrap w:val="0"/>
            <w:vAlign w:val="center"/>
          </w:tcPr>
          <w:p w14:paraId="4BEDE5AD">
            <w:pPr>
              <w:autoSpaceDE w:val="0"/>
              <w:autoSpaceDN w:val="0"/>
              <w:adjustRightInd w:val="0"/>
              <w:snapToGrid w:val="0"/>
              <w:jc w:val="center"/>
              <w:rPr>
                <w:rFonts w:hint="default"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4300</w:t>
            </w:r>
          </w:p>
        </w:tc>
        <w:tc>
          <w:tcPr>
            <w:tcW w:w="624" w:type="pct"/>
            <w:noWrap w:val="0"/>
            <w:vAlign w:val="center"/>
          </w:tcPr>
          <w:p w14:paraId="382D3ACF">
            <w:pPr>
              <w:autoSpaceDE w:val="0"/>
              <w:autoSpaceDN w:val="0"/>
              <w:adjustRightInd w:val="0"/>
              <w:snapToGrid w:val="0"/>
              <w:jc w:val="center"/>
              <w:rPr>
                <w:rFonts w:hint="eastAsia" w:ascii="仿宋" w:hAnsi="仿宋" w:eastAsia="仿宋" w:cs="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p>
          <w:p w14:paraId="061764E4">
            <w:pPr>
              <w:autoSpaceDE w:val="0"/>
              <w:autoSpaceDN w:val="0"/>
              <w:adjustRightInd w:val="0"/>
              <w:snapToGrid w:val="0"/>
              <w:jc w:val="center"/>
              <w:rPr>
                <w:rFonts w:hint="eastAsia" w:ascii="仿宋" w:hAnsi="仿宋" w:eastAsia="仿宋" w:cs="仿宋"/>
                <w:sz w:val="24"/>
                <w:szCs w:val="24"/>
              </w:rPr>
            </w:pP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713" w:type="pct"/>
            <w:noWrap w:val="0"/>
            <w:vAlign w:val="center"/>
          </w:tcPr>
          <w:p w14:paraId="3BB64E59">
            <w:pPr>
              <w:autoSpaceDE w:val="0"/>
              <w:autoSpaceDN w:val="0"/>
              <w:adjustRightInd w:val="0"/>
              <w:snapToGrid w:val="0"/>
              <w:jc w:val="center"/>
              <w:rPr>
                <w:rFonts w:hint="default" w:ascii="仿宋" w:hAnsi="仿宋" w:eastAsia="仿宋" w:cs="仿宋"/>
                <w:b/>
                <w:bCs/>
                <w:sz w:val="24"/>
                <w:szCs w:val="24"/>
                <w:lang w:val="en-US" w:eastAsia="zh-CN"/>
              </w:rPr>
            </w:pPr>
            <w:r>
              <w:rPr>
                <w:rFonts w:hint="eastAsia" w:ascii="仿宋" w:hAnsi="仿宋" w:eastAsia="仿宋" w:cs="仿宋"/>
                <w:b/>
                <w:bCs/>
                <w:sz w:val="24"/>
                <w:szCs w:val="24"/>
                <w:lang w:val="en-US" w:eastAsia="zh-CN"/>
              </w:rPr>
              <w:t>单次送货量＜10吨</w:t>
            </w:r>
          </w:p>
        </w:tc>
      </w:tr>
      <w:tr w14:paraId="60013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jc w:val="center"/>
        </w:trPr>
        <w:tc>
          <w:tcPr>
            <w:tcW w:w="442" w:type="pct"/>
            <w:noWrap w:val="0"/>
            <w:vAlign w:val="center"/>
          </w:tcPr>
          <w:p w14:paraId="23668F33">
            <w:pPr>
              <w:pStyle w:val="58"/>
              <w:autoSpaceDE w:val="0"/>
              <w:autoSpaceDN w:val="0"/>
              <w:adjustRightInd w:val="0"/>
              <w:snapToGrid w:val="0"/>
              <w:ind w:firstLine="0" w:firstLineChars="0"/>
              <w:jc w:val="center"/>
              <w:rPr>
                <w:rFonts w:hint="eastAsia" w:ascii="仿宋" w:hAnsi="仿宋" w:eastAsia="仿宋" w:cs="仿宋"/>
                <w:spacing w:val="-8"/>
                <w:kern w:val="2"/>
                <w:sz w:val="24"/>
                <w:szCs w:val="24"/>
                <w:lang w:val="en-US" w:eastAsia="zh-CN" w:bidi="ar-SA"/>
              </w:rPr>
            </w:pPr>
            <w:r>
              <w:rPr>
                <w:rFonts w:hint="eastAsia" w:ascii="仿宋" w:hAnsi="仿宋" w:eastAsia="仿宋" w:cs="仿宋"/>
                <w:spacing w:val="-8"/>
                <w:sz w:val="24"/>
                <w:szCs w:val="24"/>
                <w:lang w:val="en-US" w:eastAsia="zh-CN"/>
              </w:rPr>
              <w:t>2</w:t>
            </w:r>
          </w:p>
        </w:tc>
        <w:tc>
          <w:tcPr>
            <w:tcW w:w="722" w:type="pct"/>
            <w:noWrap w:val="0"/>
            <w:vAlign w:val="center"/>
          </w:tcPr>
          <w:p w14:paraId="2ED71A20">
            <w:pPr>
              <w:pStyle w:val="58"/>
              <w:autoSpaceDE w:val="0"/>
              <w:autoSpaceDN w:val="0"/>
              <w:adjustRightInd w:val="0"/>
              <w:snapToGrid w:val="0"/>
              <w:ind w:firstLine="0" w:firstLineChars="0"/>
              <w:jc w:val="center"/>
              <w:rPr>
                <w:rFonts w:hint="eastAsia" w:ascii="仿宋" w:hAnsi="仿宋" w:eastAsia="仿宋" w:cs="仿宋"/>
                <w:kern w:val="2"/>
                <w:sz w:val="24"/>
                <w:szCs w:val="24"/>
                <w:lang w:val="en-US" w:eastAsia="zh-CN" w:bidi="ar-SA"/>
              </w:rPr>
            </w:pPr>
            <w:r>
              <w:rPr>
                <w:rFonts w:hint="eastAsia" w:ascii="仿宋" w:hAnsi="仿宋" w:eastAsia="仿宋" w:cs="仿宋"/>
                <w:sz w:val="24"/>
                <w:szCs w:val="24"/>
                <w:lang w:eastAsia="zh-CN"/>
              </w:rPr>
              <w:t>固体氢氧化钠</w:t>
            </w:r>
          </w:p>
        </w:tc>
        <w:tc>
          <w:tcPr>
            <w:tcW w:w="1141" w:type="pct"/>
            <w:noWrap w:val="0"/>
            <w:vAlign w:val="center"/>
          </w:tcPr>
          <w:p w14:paraId="7A966F3F">
            <w:pPr>
              <w:pStyle w:val="58"/>
              <w:autoSpaceDE w:val="0"/>
              <w:autoSpaceDN w:val="0"/>
              <w:adjustRightInd w:val="0"/>
              <w:snapToGrid w:val="0"/>
              <w:ind w:firstLine="0" w:firstLineChars="0"/>
              <w:jc w:val="center"/>
              <w:rPr>
                <w:rFonts w:hint="eastAsia" w:ascii="仿宋" w:hAnsi="仿宋" w:eastAsia="仿宋" w:cs="仿宋"/>
                <w:kern w:val="2"/>
                <w:sz w:val="24"/>
                <w:szCs w:val="24"/>
                <w:lang w:val="en-US" w:eastAsia="zh-CN" w:bidi="ar-SA"/>
              </w:rPr>
            </w:pPr>
            <w:r>
              <w:rPr>
                <w:rFonts w:hint="eastAsia" w:ascii="仿宋" w:hAnsi="仿宋" w:eastAsia="仿宋" w:cs="仿宋"/>
                <w:sz w:val="24"/>
                <w:szCs w:val="24"/>
                <w:lang w:val="en-US" w:eastAsia="zh-CN"/>
              </w:rPr>
              <w:t>片碱，</w:t>
            </w:r>
            <w:r>
              <w:rPr>
                <w:rFonts w:hint="eastAsia" w:ascii="仿宋" w:hAnsi="仿宋" w:eastAsia="仿宋" w:cs="仿宋"/>
                <w:sz w:val="24"/>
                <w:szCs w:val="24"/>
                <w:lang w:eastAsia="zh-CN"/>
              </w:rPr>
              <w:t>氢氧化钠</w:t>
            </w:r>
            <w:r>
              <w:rPr>
                <w:rFonts w:hint="eastAsia" w:ascii="仿宋" w:hAnsi="仿宋" w:eastAsia="仿宋" w:cs="仿宋"/>
                <w:sz w:val="24"/>
                <w:szCs w:val="24"/>
              </w:rPr>
              <w:t>（NaOH）的质量分数≥98%</w:t>
            </w:r>
          </w:p>
        </w:tc>
        <w:tc>
          <w:tcPr>
            <w:tcW w:w="638" w:type="pct"/>
            <w:noWrap w:val="0"/>
            <w:vAlign w:val="center"/>
          </w:tcPr>
          <w:p w14:paraId="613D0230">
            <w:pPr>
              <w:autoSpaceDE w:val="0"/>
              <w:autoSpaceDN w:val="0"/>
              <w:adjustRightInd w:val="0"/>
              <w:snapToGrid w:val="0"/>
              <w:jc w:val="center"/>
              <w:rPr>
                <w:rFonts w:hint="default"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lang w:val="en-US" w:eastAsia="zh-CN" w:bidi="ar-SA"/>
              </w:rPr>
              <w:t>30</w:t>
            </w:r>
          </w:p>
        </w:tc>
        <w:tc>
          <w:tcPr>
            <w:tcW w:w="717" w:type="pct"/>
            <w:noWrap w:val="0"/>
            <w:vAlign w:val="center"/>
          </w:tcPr>
          <w:p w14:paraId="00B192D4">
            <w:pPr>
              <w:autoSpaceDE w:val="0"/>
              <w:autoSpaceDN w:val="0"/>
              <w:adjustRightInd w:val="0"/>
              <w:snapToGrid w:val="0"/>
              <w:jc w:val="center"/>
              <w:rPr>
                <w:rFonts w:hint="default"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lang w:val="en-US" w:eastAsia="zh-CN" w:bidi="ar-SA"/>
              </w:rPr>
              <w:t>4300</w:t>
            </w:r>
          </w:p>
        </w:tc>
        <w:tc>
          <w:tcPr>
            <w:tcW w:w="624" w:type="pct"/>
            <w:noWrap w:val="0"/>
            <w:vAlign w:val="center"/>
          </w:tcPr>
          <w:p w14:paraId="49BB7A7A">
            <w:pPr>
              <w:autoSpaceDE w:val="0"/>
              <w:autoSpaceDN w:val="0"/>
              <w:adjustRightInd w:val="0"/>
              <w:snapToGrid w:val="0"/>
              <w:jc w:val="center"/>
              <w:rPr>
                <w:rFonts w:hint="eastAsia" w:ascii="仿宋" w:hAnsi="仿宋" w:eastAsia="仿宋" w:cs="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p>
          <w:p w14:paraId="56C7A52C">
            <w:pPr>
              <w:autoSpaceDE w:val="0"/>
              <w:autoSpaceDN w:val="0"/>
              <w:adjustRightInd w:val="0"/>
              <w:snapToGrid w:val="0"/>
              <w:jc w:val="center"/>
              <w:rPr>
                <w:rFonts w:hint="eastAsia" w:ascii="仿宋" w:hAnsi="仿宋" w:eastAsia="仿宋" w:cs="仿宋"/>
                <w:kern w:val="2"/>
                <w:sz w:val="24"/>
                <w:szCs w:val="24"/>
                <w:lang w:val="en-US" w:eastAsia="zh-CN" w:bidi="ar-SA"/>
              </w:rPr>
            </w:pP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713" w:type="pct"/>
            <w:noWrap w:val="0"/>
            <w:vAlign w:val="center"/>
          </w:tcPr>
          <w:p w14:paraId="3B97A4F1">
            <w:pPr>
              <w:autoSpaceDE w:val="0"/>
              <w:autoSpaceDN w:val="0"/>
              <w:adjustRightInd w:val="0"/>
              <w:snapToGrid w:val="0"/>
              <w:jc w:val="center"/>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单次送货量≥10吨</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本项目报单价，签订单价合同，据实结算。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三</w:t>
      </w:r>
      <w:r>
        <w:rPr>
          <w:rFonts w:hint="eastAsia" w:ascii="Times New Roman" w:hAnsi="Times New Roman" w:eastAsia="仿宋_GB2312"/>
          <w:bCs/>
          <w:color w:val="000000"/>
          <w:sz w:val="28"/>
          <w:szCs w:val="28"/>
        </w:rPr>
        <w:t>个月，具体起止时间以合同签订为准。</w:t>
      </w:r>
    </w:p>
    <w:bookmarkEnd w:id="0"/>
    <w:p w14:paraId="34AE6F61">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317003C8">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25日</w:t>
      </w:r>
      <w:r>
        <w:rPr>
          <w:rFonts w:hint="eastAsia" w:ascii="仿宋_GB2312" w:hAnsi="仿宋_GB2312" w:eastAsia="仿宋_GB2312" w:cs="仿宋_GB2312"/>
          <w:sz w:val="28"/>
          <w:szCs w:val="28"/>
        </w:rPr>
        <w:t>核对本月已经验收合格的产品采购数量及价款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 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0A06962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特定资格要求：参选单位必须具备危险化学品经营许可。</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rPr>
        <w:t>证明材料:提供危险化学品经营许可证复印件并加盖参选单位公章</w:t>
      </w:r>
      <w:r>
        <w:rPr>
          <w:rFonts w:hint="eastAsia" w:ascii="仿宋_GB2312" w:hAnsi="仿宋_GB2312" w:eastAsia="仿宋_GB2312" w:cs="仿宋_GB2312"/>
          <w:bCs/>
          <w:color w:val="000000"/>
          <w:sz w:val="28"/>
          <w:szCs w:val="28"/>
        </w:rPr>
        <w:t>、业务章或合同章（三选一）</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w:t>
      </w:r>
      <w:r>
        <w:rPr>
          <w:rFonts w:hint="eastAsia" w:ascii="仿宋_GB2312" w:hAnsi="仿宋_GB2312" w:eastAsia="仿宋_GB2312" w:cs="仿宋_GB2312"/>
          <w:sz w:val="28"/>
          <w:szCs w:val="28"/>
        </w:rPr>
        <w:t>危险化学品经营许可</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w:t>
      </w:r>
      <w:r>
        <w:rPr>
          <w:rFonts w:hint="eastAsia" w:ascii="仿宋_GB2312" w:hAnsi="仿宋_GB2312" w:eastAsia="仿宋_GB2312" w:cs="仿宋_GB2312"/>
          <w:b/>
          <w:bCs/>
          <w:kern w:val="0"/>
          <w:sz w:val="28"/>
          <w:szCs w:val="28"/>
        </w:rPr>
        <w:t>以上资料均需加盖公章、业务章或合同章（三选一），否则做报价无效处理，</w:t>
      </w:r>
      <w:r>
        <w:rPr>
          <w:rFonts w:hint="eastAsia" w:ascii="仿宋_GB2312" w:hAnsi="仿宋_GB2312" w:eastAsia="仿宋_GB2312" w:cs="仿宋_GB2312"/>
          <w:kern w:val="0"/>
          <w:sz w:val="28"/>
          <w:szCs w:val="28"/>
        </w:rPr>
        <w:t>并发送邮件至采购联系人邮箱（邮件标题：响应公司名称+</w:t>
      </w:r>
      <w:r>
        <w:rPr>
          <w:rFonts w:hint="eastAsia" w:ascii="仿宋_GB2312" w:hAnsi="仿宋_GB2312" w:eastAsia="仿宋_GB2312" w:cs="仿宋_GB2312"/>
          <w:kern w:val="0"/>
          <w:sz w:val="28"/>
          <w:szCs w:val="28"/>
          <w:lang w:eastAsia="zh-CN"/>
        </w:rPr>
        <w:t>江西区域固体氢氧化钠</w:t>
      </w:r>
      <w:r>
        <w:rPr>
          <w:rFonts w:hint="eastAsia" w:ascii="仿宋_GB2312" w:hAnsi="仿宋_GB2312" w:eastAsia="仿宋_GB2312" w:cs="仿宋_GB2312"/>
          <w:kern w:val="0"/>
          <w:sz w:val="28"/>
          <w:szCs w:val="28"/>
        </w:rPr>
        <w:t>采购项目），并在截止时间前完成报价。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28</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spacing w:afterLines="0" w:line="560" w:lineRule="exact"/>
        <w:ind w:firstLine="560" w:firstLineChars="2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w:t>
      </w:r>
      <w:r>
        <w:rPr>
          <w:rFonts w:hint="eastAsia" w:ascii="Times New Roman" w:hAnsi="Times New Roman" w:eastAsia="仿宋_GB2312"/>
          <w:sz w:val="28"/>
          <w:szCs w:val="28"/>
          <w:lang w:val="en-US" w:eastAsia="zh-CN"/>
        </w:rPr>
        <w:t>总</w:t>
      </w:r>
      <w:r>
        <w:rPr>
          <w:rFonts w:hint="eastAsia" w:ascii="Times New Roman" w:hAnsi="Times New Roman" w:eastAsia="仿宋_GB2312"/>
          <w:sz w:val="28"/>
          <w:szCs w:val="28"/>
        </w:rPr>
        <w:t>价进行对比，供应商需填报含税</w:t>
      </w:r>
      <w:r>
        <w:rPr>
          <w:rFonts w:hint="eastAsia" w:ascii="Times New Roman" w:hAnsi="Times New Roman" w:eastAsia="仿宋_GB2312"/>
          <w:sz w:val="28"/>
          <w:szCs w:val="28"/>
          <w:lang w:val="en-US" w:eastAsia="zh-CN"/>
        </w:rPr>
        <w:t>单</w:t>
      </w:r>
      <w:r>
        <w:rPr>
          <w:rFonts w:hint="eastAsia" w:ascii="Times New Roman" w:hAnsi="Times New Roman" w:eastAsia="仿宋_GB2312"/>
          <w:sz w:val="28"/>
          <w:szCs w:val="28"/>
        </w:rPr>
        <w:t>价、</w:t>
      </w:r>
      <w:r>
        <w:rPr>
          <w:rFonts w:hint="eastAsia" w:ascii="Times New Roman" w:hAnsi="Times New Roman" w:eastAsia="仿宋_GB2312"/>
          <w:sz w:val="28"/>
          <w:szCs w:val="28"/>
          <w:lang w:val="en-US" w:eastAsia="zh-CN"/>
        </w:rPr>
        <w:t>含税总价及</w:t>
      </w:r>
      <w:r>
        <w:rPr>
          <w:rFonts w:hint="eastAsia" w:ascii="Times New Roman" w:hAnsi="Times New Roman" w:eastAsia="仿宋_GB2312"/>
          <w:sz w:val="28"/>
          <w:szCs w:val="28"/>
        </w:rPr>
        <w:t>税率；不含税价计算方式：不含税价=含税价/（1+税率）</w:t>
      </w:r>
      <w:r>
        <w:rPr>
          <w:rFonts w:hint="eastAsia" w:ascii="Times New Roman" w:hAnsi="Times New Roman" w:eastAsia="仿宋_GB2312"/>
          <w:sz w:val="28"/>
          <w:szCs w:val="28"/>
          <w:lang w:eastAsia="zh-CN"/>
        </w:rPr>
        <w:t>；不含税总价计算方式：不含税总价=（项次1数量*项次1不含税单价）+（项次2数量*项次2不含税单价）</w:t>
      </w:r>
      <w:r>
        <w:rPr>
          <w:rFonts w:hint="eastAsia" w:ascii="Times New Roman" w:hAnsi="Times New Roman" w:eastAsia="仿宋_GB2312"/>
          <w:sz w:val="28"/>
          <w:szCs w:val="28"/>
        </w:rPr>
        <w:t>。</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本次含税限</w:t>
      </w:r>
      <w:r>
        <w:rPr>
          <w:rFonts w:ascii="Times New Roman" w:hAnsi="Times New Roman" w:eastAsia="仿宋_GB2312"/>
          <w:sz w:val="28"/>
          <w:szCs w:val="22"/>
        </w:rPr>
        <w:t>价</w:t>
      </w:r>
      <w:r>
        <w:rPr>
          <w:rFonts w:hint="eastAsia" w:ascii="Times New Roman" w:hAnsi="Times New Roman" w:eastAsia="仿宋_GB2312"/>
          <w:sz w:val="28"/>
          <w:szCs w:val="22"/>
        </w:rPr>
        <w:t>单价为</w:t>
      </w:r>
      <w:r>
        <w:rPr>
          <w:rFonts w:hint="eastAsia" w:ascii="Times New Roman" w:hAnsi="Times New Roman" w:eastAsia="仿宋_GB2312"/>
          <w:sz w:val="28"/>
          <w:szCs w:val="22"/>
          <w:lang w:val="en-US" w:eastAsia="zh-CN"/>
        </w:rPr>
        <w:t>4300</w:t>
      </w:r>
      <w:r>
        <w:rPr>
          <w:rFonts w:ascii="Times New Roman" w:hAnsi="Times New Roman" w:eastAsia="仿宋_GB2312"/>
          <w:sz w:val="28"/>
          <w:szCs w:val="22"/>
        </w:rPr>
        <w:t>元/吨</w:t>
      </w:r>
      <w:r>
        <w:rPr>
          <w:rFonts w:hint="eastAsia" w:ascii="Times New Roman" w:hAnsi="Times New Roman" w:eastAsia="仿宋_GB2312"/>
          <w:sz w:val="28"/>
          <w:szCs w:val="22"/>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28</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联系人：王工、吴工</w:t>
      </w:r>
    </w:p>
    <w:p w14:paraId="77113CC7">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话：15521296724、15889553918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箱：sszxhjcaigoua@163.com</w:t>
      </w: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10</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24</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5150C068">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江西区</w:t>
      </w:r>
      <w:r>
        <w:rPr>
          <w:rFonts w:hint="eastAsia" w:ascii="宋体" w:hAnsi="宋体" w:cs="宋体"/>
          <w:b/>
          <w:sz w:val="56"/>
          <w:szCs w:val="56"/>
          <w:u w:val="single"/>
          <w:lang w:val="en-US" w:eastAsia="zh-CN"/>
        </w:rPr>
        <w:t>域氢氧化钠</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江西区域氢氧化钠</w:t>
            </w:r>
            <w:r>
              <w:rPr>
                <w:rFonts w:ascii="Times New Roman Regular" w:hAnsi="Times New Roman Regular" w:eastAsia="黑体" w:cs="Times New Roman Regular"/>
                <w:b/>
                <w:color w:val="000000"/>
                <w:sz w:val="28"/>
                <w:szCs w:val="28"/>
                <w:u w:val="single"/>
                <w:shd w:val="clear" w:color="auto" w:fill="FFFFFF"/>
                <w:lang w:eastAsia="zh-Hans"/>
              </w:rPr>
              <w:t>采购</w:t>
            </w:r>
            <w:r>
              <w:rPr>
                <w:rFonts w:hint="eastAsia" w:ascii="Times New Roman Regular" w:hAnsi="Times New Roman Regular" w:eastAsia="黑体" w:cs="Times New Roman Regular"/>
                <w:b/>
                <w:color w:val="000000"/>
                <w:sz w:val="28"/>
                <w:szCs w:val="28"/>
                <w:u w:val="single"/>
                <w:shd w:val="clear" w:color="auto" w:fill="FFFFFF"/>
              </w:rPr>
              <w:t>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134" w:right="1587" w:bottom="1134" w:left="1587" w:header="851" w:footer="992" w:gutter="0"/>
          <w:pgNumType w:start="1"/>
          <w:cols w:space="720" w:num="1"/>
          <w:titlePg/>
          <w:docGrid w:type="lines" w:linePitch="312" w:charSpace="0"/>
        </w:sectPr>
      </w:pPr>
    </w:p>
    <w:p w14:paraId="3506D3BB">
      <w:pPr>
        <w:spacing w:before="157" w:beforeLines="50" w:after="157" w:afterLines="50" w:line="36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江西区域氢氧化钠</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2EE43EBD">
      <w:pPr>
        <w:spacing w:after="78"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0B8964D4">
      <w:pPr>
        <w:spacing w:afterLines="0" w:line="360" w:lineRule="auto"/>
        <w:rPr>
          <w:rFonts w:hint="default" w:ascii="Times New Roman Regular" w:hAnsi="Times New Roman Regular" w:eastAsia="宋体"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吴</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rPr>
        <w:t>15889553918</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                      </w:t>
      </w:r>
    </w:p>
    <w:p w14:paraId="46F226A8">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52EE13C5">
      <w:pPr>
        <w:spacing w:after="78"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25966A9">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rPr>
        <w:t xml:space="preserve"> </w:t>
      </w:r>
    </w:p>
    <w:p w14:paraId="7C889C61">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43099"/>
      <w:bookmarkStart w:id="11" w:name="_Toc201401643"/>
      <w:bookmarkStart w:id="12" w:name="_Toc199215763"/>
      <w:bookmarkStart w:id="13" w:name="_Toc201997927"/>
      <w:bookmarkStart w:id="14" w:name="_Toc199215931"/>
      <w:bookmarkStart w:id="15" w:name="_Toc201719103"/>
      <w:bookmarkStart w:id="16" w:name="_Toc199213728"/>
      <w:bookmarkStart w:id="17" w:name="_Toc201742844"/>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hint="eastAsia" w:ascii="Times New Roman Regular" w:hAnsi="Times New Roman Regular" w:eastAsia="黑体" w:cs="Times New Roman Regular"/>
          <w:kern w:val="0"/>
          <w:sz w:val="32"/>
          <w:szCs w:val="32"/>
        </w:rPr>
        <w:t>二、</w:t>
      </w:r>
      <w:r>
        <w:rPr>
          <w:rFonts w:ascii="Times New Roman Regular" w:hAnsi="Times New Roman Regular" w:eastAsia="黑体" w:cs="Times New Roman Regular"/>
          <w:color w:val="000000"/>
          <w:kern w:val="0"/>
          <w:sz w:val="32"/>
          <w:szCs w:val="32"/>
        </w:rPr>
        <w:t>合同期限</w:t>
      </w:r>
    </w:p>
    <w:p w14:paraId="019375B1">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3</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lang w:eastAsia="zh-Hans"/>
        </w:rPr>
        <w:t>采购价款及付款方式</w:t>
      </w:r>
    </w:p>
    <w:p w14:paraId="10449843">
      <w:pPr>
        <w:pStyle w:val="68"/>
        <w:spacing w:line="360" w:lineRule="auto"/>
        <w:ind w:firstLine="480"/>
        <w:rPr>
          <w:rFonts w:hint="eastAsia" w:ascii="宋体" w:hAnsi="宋体" w:cs="宋体"/>
        </w:rPr>
        <w:sectPr>
          <w:footerReference r:id="rId11" w:type="first"/>
          <w:footerReference r:id="rId10" w:type="default"/>
          <w:pgSz w:w="11906" w:h="16838"/>
          <w:pgMar w:top="1418" w:right="1700" w:bottom="1418" w:left="1418" w:header="851" w:footer="992" w:gutter="0"/>
          <w:cols w:space="720" w:num="1"/>
          <w:docGrid w:type="lines" w:linePitch="312" w:charSpace="0"/>
        </w:sectPr>
      </w:pPr>
    </w:p>
    <w:p w14:paraId="3291FD8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25日</w:t>
      </w:r>
      <w:r>
        <w:rPr>
          <w:rFonts w:hint="eastAsia" w:ascii="宋体" w:hAnsi="宋体" w:cs="宋体"/>
        </w:rPr>
        <w:t>核对本月已经验收合格的产品采购数量及价款</w:t>
      </w:r>
      <w:r>
        <w:rPr>
          <w:rFonts w:hint="eastAsia" w:ascii="宋体" w:hAnsi="宋体" w:cs="宋体"/>
          <w:bCs/>
          <w:color w:val="000000"/>
        </w:rPr>
        <w:t>，中选人提供费用付款申请、经双方验收核对无误的证明文件及国家税务正式的 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lang w:eastAsia="zh-Hans"/>
        </w:rPr>
        <w:t>、质量及包装标准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五</w:t>
      </w:r>
      <w:r>
        <w:rPr>
          <w:rFonts w:ascii="Times New Roman Regular" w:hAnsi="Times New Roman Regular" w:eastAsia="黑体" w:cs="Times New Roman Regular"/>
          <w:color w:val="000000"/>
          <w:kern w:val="0"/>
          <w:sz w:val="32"/>
          <w:szCs w:val="32"/>
          <w:lang w:eastAsia="zh-Hans"/>
        </w:rPr>
        <w:t>、交货期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六</w:t>
      </w:r>
      <w:r>
        <w:rPr>
          <w:rFonts w:ascii="Times New Roman Regular" w:hAnsi="Times New Roman Regular" w:eastAsia="黑体" w:cs="Times New Roman Regular"/>
          <w:color w:val="000000"/>
          <w:kern w:val="0"/>
          <w:sz w:val="32"/>
          <w:szCs w:val="32"/>
          <w:lang w:eastAsia="zh-Hans"/>
        </w:rPr>
        <w:t>、运输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七</w:t>
      </w:r>
      <w:r>
        <w:rPr>
          <w:rFonts w:ascii="Times New Roman Regular" w:hAnsi="Times New Roman Regular" w:eastAsia="黑体" w:cs="Times New Roman Regular"/>
          <w:color w:val="000000"/>
          <w:kern w:val="0"/>
          <w:sz w:val="32"/>
          <w:szCs w:val="32"/>
          <w:lang w:eastAsia="zh-Hans"/>
        </w:rPr>
        <w:t>、验收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八</w:t>
      </w:r>
      <w:r>
        <w:rPr>
          <w:rFonts w:ascii="Times New Roman Regular" w:hAnsi="Times New Roman Regular" w:eastAsia="黑体" w:cs="Times New Roman Regular"/>
          <w:color w:val="000000"/>
          <w:kern w:val="0"/>
          <w:sz w:val="32"/>
          <w:szCs w:val="32"/>
          <w:lang w:eastAsia="zh-Hans"/>
        </w:rPr>
        <w:t>、权利义务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九</w:t>
      </w:r>
      <w:r>
        <w:rPr>
          <w:rFonts w:ascii="Times New Roman Regular" w:hAnsi="Times New Roman Regular" w:eastAsia="黑体" w:cs="Times New Roman Regular"/>
          <w:color w:val="000000"/>
          <w:kern w:val="0"/>
          <w:sz w:val="32"/>
          <w:szCs w:val="32"/>
          <w:lang w:eastAsia="zh-Hans"/>
        </w:rPr>
        <w:t>、违约责任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80</w:t>
      </w:r>
      <w:r>
        <w:rPr>
          <w:rFonts w:hint="eastAsia" w:ascii="宋体" w:hAnsi="宋体" w:cs="宋体"/>
        </w:rPr>
        <w:t>00】元。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8</w:t>
      </w:r>
      <w:r>
        <w:rPr>
          <w:rFonts w:hint="eastAsia" w:ascii="宋体" w:hAnsi="宋体" w:cs="宋体"/>
        </w:rPr>
        <w:t>000】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17</w:t>
      </w:r>
      <w:r>
        <w:rPr>
          <w:rFonts w:hint="eastAsia" w:ascii="宋体" w:hAnsi="宋体" w:cs="宋体"/>
        </w:rPr>
        <w:t>000】元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17</w:t>
      </w:r>
      <w:r>
        <w:rPr>
          <w:rFonts w:hint="eastAsia" w:ascii="宋体" w:hAnsi="宋体" w:cs="宋体"/>
        </w:rPr>
        <w:t>000】元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17</w:t>
      </w:r>
      <w:r>
        <w:rPr>
          <w:rFonts w:hint="eastAsia" w:ascii="宋体" w:hAnsi="宋体" w:cs="宋体"/>
        </w:rPr>
        <w:t>000】元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17</w:t>
      </w:r>
      <w:r>
        <w:rPr>
          <w:rFonts w:hint="eastAsia" w:ascii="宋体" w:hAnsi="宋体" w:cs="宋体"/>
        </w:rPr>
        <w:t>000】元，并赔偿因此给甲方造成的损失。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ascii="Times New Roman Regular" w:hAnsi="Times New Roman Regular" w:eastAsia="黑体" w:cs="Times New Roman Regular"/>
          <w:color w:val="000000"/>
          <w:kern w:val="0"/>
          <w:sz w:val="32"/>
          <w:szCs w:val="32"/>
          <w:lang w:eastAsia="zh-Hans"/>
        </w:rPr>
        <w:t>、质量保证期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lang w:eastAsia="zh-Hans"/>
        </w:rPr>
        <w:t>十</w:t>
      </w:r>
      <w:r>
        <w:rPr>
          <w:rFonts w:ascii="Times New Roman Regular" w:hAnsi="Times New Roman Regular" w:eastAsia="黑体" w:cs="Times New Roman Regular"/>
          <w:color w:val="000000"/>
          <w:kern w:val="0"/>
          <w:sz w:val="32"/>
          <w:szCs w:val="32"/>
        </w:rPr>
        <w:t>一</w:t>
      </w:r>
      <w:r>
        <w:rPr>
          <w:rFonts w:ascii="Times New Roman Regular" w:hAnsi="Times New Roman Regular" w:eastAsia="黑体" w:cs="Times New Roman Regular"/>
          <w:color w:val="000000"/>
          <w:kern w:val="0"/>
          <w:sz w:val="32"/>
          <w:szCs w:val="32"/>
          <w:lang w:eastAsia="zh-Hans"/>
        </w:rPr>
        <w:t>、</w:t>
      </w:r>
      <w:r>
        <w:rPr>
          <w:rFonts w:ascii="Times New Roman Regular" w:hAnsi="Times New Roman Regular" w:eastAsia="黑体" w:cs="Times New Roman Regular"/>
          <w:color w:val="000000"/>
          <w:kern w:val="0"/>
          <w:sz w:val="32"/>
          <w:szCs w:val="32"/>
        </w:rPr>
        <w:t>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二</w:t>
      </w:r>
      <w:r>
        <w:rPr>
          <w:rFonts w:ascii="Times New Roman Regular" w:hAnsi="Times New Roman Regular" w:eastAsia="黑体" w:cs="Times New Roman Regular"/>
          <w:color w:val="000000"/>
          <w:kern w:val="0"/>
          <w:sz w:val="32"/>
          <w:szCs w:val="32"/>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w:t>
      </w:r>
      <w:r>
        <w:rPr>
          <w:rFonts w:hint="eastAsia" w:ascii="宋体" w:hAnsi="宋体" w:cs="宋体"/>
          <w:color w:val="000000"/>
          <w:sz w:val="24"/>
          <w:lang w:val="en-US" w:eastAsia="zh-CN" w:bidi="ar"/>
        </w:rPr>
        <w:t xml:space="preserve"> 4 </w:t>
      </w:r>
      <w:r>
        <w:rPr>
          <w:rFonts w:hint="eastAsia" w:ascii="宋体" w:hAnsi="宋体" w:cs="宋体"/>
          <w:color w:val="000000"/>
          <w:sz w:val="24"/>
          <w:lang w:bidi="ar"/>
        </w:rPr>
        <w:t>】万元的违约金并赔偿甲方因此所遭受的一切损失。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rPr>
        <w:t>江西区域氢氧化钠</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711AD053">
        <w:tblPrEx>
          <w:tblCellMar>
            <w:top w:w="0" w:type="dxa"/>
            <w:left w:w="108" w:type="dxa"/>
            <w:bottom w:w="0" w:type="dxa"/>
            <w:right w:w="108" w:type="dxa"/>
          </w:tblCellMar>
        </w:tblPrEx>
        <w:trPr>
          <w:jc w:val="center"/>
        </w:trPr>
        <w:tc>
          <w:tcPr>
            <w:tcW w:w="4389" w:type="dxa"/>
          </w:tcPr>
          <w:p w14:paraId="6E100653">
            <w:pPr>
              <w:spacing w:before="156" w:beforeLines="50" w:after="78" w:line="360" w:lineRule="auto"/>
              <w:jc w:val="left"/>
              <w:rPr>
                <w:rFonts w:hint="eastAsia" w:ascii="宋体" w:hAnsi="宋体" w:cs="宋体"/>
                <w:color w:val="000000"/>
                <w:sz w:val="24"/>
                <w:lang w:eastAsia="zh-Hans"/>
              </w:rPr>
            </w:pPr>
          </w:p>
        </w:tc>
        <w:tc>
          <w:tcPr>
            <w:tcW w:w="4389" w:type="dxa"/>
          </w:tcPr>
          <w:p w14:paraId="77CF91D7">
            <w:pPr>
              <w:spacing w:before="156" w:beforeLines="50" w:after="78" w:line="360" w:lineRule="auto"/>
              <w:jc w:val="left"/>
              <w:rPr>
                <w:rFonts w:hint="eastAsia" w:ascii="宋体" w:hAnsi="宋体" w:cs="宋体"/>
                <w:color w:val="000000"/>
                <w:sz w:val="24"/>
                <w:lang w:eastAsia="zh-Hans"/>
              </w:rPr>
            </w:pP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2" w:type="default"/>
          <w:pgSz w:w="11906" w:h="16838"/>
          <w:pgMar w:top="1418" w:right="1700" w:bottom="1418" w:left="1418" w:header="851" w:footer="992" w:gutter="0"/>
          <w:cols w:space="720" w:num="1"/>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71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0"/>
        <w:gridCol w:w="1103"/>
        <w:gridCol w:w="1823"/>
        <w:gridCol w:w="704"/>
        <w:gridCol w:w="1336"/>
        <w:gridCol w:w="1287"/>
        <w:gridCol w:w="1158"/>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391"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序号</w:t>
            </w:r>
          </w:p>
        </w:tc>
        <w:tc>
          <w:tcPr>
            <w:tcW w:w="685"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产品名称</w:t>
            </w:r>
          </w:p>
        </w:tc>
        <w:tc>
          <w:tcPr>
            <w:tcW w:w="1133"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规格</w:t>
            </w:r>
            <w:r>
              <w:rPr>
                <w:rFonts w:hint="eastAsia" w:ascii="Times New Roman Regular" w:hAnsi="Times New Roman Regular" w:cs="Times New Roman Regular"/>
                <w:b/>
                <w:bCs/>
                <w:color w:val="000000"/>
                <w:kern w:val="0"/>
                <w:szCs w:val="21"/>
              </w:rPr>
              <w:t>参数</w:t>
            </w:r>
          </w:p>
        </w:tc>
        <w:tc>
          <w:tcPr>
            <w:tcW w:w="437"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单位</w:t>
            </w:r>
          </w:p>
        </w:tc>
        <w:tc>
          <w:tcPr>
            <w:tcW w:w="830"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71782F9D">
            <w:pPr>
              <w:widowControl/>
              <w:spacing w:afterLines="0" w:line="240" w:lineRule="auto"/>
              <w:jc w:val="center"/>
              <w:rPr>
                <w:rFonts w:ascii="Times New Roman Regular" w:hAnsi="Times New Roman Regular" w:cs="Times New Roman Regular"/>
                <w:b/>
                <w:bCs/>
                <w:color w:val="000000"/>
                <w:kern w:val="0"/>
                <w:szCs w:val="21"/>
                <w:lang w:eastAsia="zh-Hans"/>
              </w:rPr>
            </w:pPr>
            <w:r>
              <w:rPr>
                <w:rFonts w:hint="eastAsia" w:ascii="Times New Roman Regular" w:hAnsi="Times New Roman Regular" w:cs="Times New Roman Regular"/>
                <w:b/>
                <w:bCs/>
                <w:color w:val="000000"/>
                <w:kern w:val="0"/>
                <w:szCs w:val="21"/>
                <w:lang w:eastAsia="zh-Hans"/>
              </w:rPr>
              <w:t>（</w:t>
            </w:r>
            <w:r>
              <w:rPr>
                <w:rFonts w:hint="eastAsia" w:ascii="Times New Roman Regular" w:hAnsi="Times New Roman Regular" w:cs="Times New Roman Regular"/>
                <w:b/>
                <w:bCs/>
                <w:color w:val="000000"/>
                <w:kern w:val="0"/>
                <w:szCs w:val="21"/>
              </w:rPr>
              <w:t>不</w:t>
            </w:r>
            <w:r>
              <w:rPr>
                <w:rFonts w:hint="eastAsia" w:ascii="Times New Roman Regular" w:hAnsi="Times New Roman Regular" w:cs="Times New Roman Regular"/>
                <w:b/>
                <w:bCs/>
                <w:color w:val="000000"/>
                <w:kern w:val="0"/>
                <w:szCs w:val="21"/>
                <w:lang w:eastAsia="zh-Hans"/>
              </w:rPr>
              <w:t>含税）</w:t>
            </w:r>
          </w:p>
        </w:tc>
        <w:tc>
          <w:tcPr>
            <w:tcW w:w="800"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459791F1">
            <w:pPr>
              <w:widowControl/>
              <w:spacing w:afterLines="0" w:line="240" w:lineRule="auto"/>
              <w:jc w:val="center"/>
              <w:rPr>
                <w:rFonts w:ascii="Times New Roman Regular" w:hAnsi="Times New Roman Regular" w:cs="Times New Roman Regular"/>
                <w:b/>
                <w:bCs/>
                <w:color w:val="000000"/>
                <w:kern w:val="0"/>
                <w:szCs w:val="21"/>
              </w:rPr>
            </w:pPr>
            <w:r>
              <w:rPr>
                <w:rFonts w:hint="eastAsia" w:ascii="Times New Roman Regular" w:hAnsi="Times New Roman Regular" w:cs="Times New Roman Regular"/>
                <w:b/>
                <w:bCs/>
                <w:color w:val="000000"/>
                <w:kern w:val="0"/>
                <w:szCs w:val="21"/>
                <w:lang w:eastAsia="zh-Hans"/>
              </w:rPr>
              <w:t>（含税）</w:t>
            </w:r>
          </w:p>
        </w:tc>
        <w:tc>
          <w:tcPr>
            <w:tcW w:w="72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blHeader/>
          <w:jc w:val="center"/>
        </w:trPr>
        <w:tc>
          <w:tcPr>
            <w:tcW w:w="391"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0"/>
                <w:szCs w:val="20"/>
              </w:rPr>
            </w:pPr>
            <w:r>
              <w:rPr>
                <w:rFonts w:hint="eastAsia" w:ascii="宋体" w:hAnsi="宋体" w:cs="宋体" w:eastAsiaTheme="minorEastAsia"/>
                <w:spacing w:val="-8"/>
                <w:sz w:val="20"/>
                <w:szCs w:val="20"/>
              </w:rPr>
              <w:t>1</w:t>
            </w:r>
          </w:p>
        </w:tc>
        <w:tc>
          <w:tcPr>
            <w:tcW w:w="685"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2"/>
                <w:szCs w:val="22"/>
                <w:lang w:eastAsia="zh-CN"/>
              </w:rPr>
            </w:pPr>
            <w:r>
              <w:rPr>
                <w:rFonts w:hint="eastAsia" w:ascii="宋体" w:hAnsi="宋体" w:cs="宋体"/>
                <w:sz w:val="22"/>
                <w:szCs w:val="22"/>
                <w:lang w:eastAsia="zh-CN"/>
              </w:rPr>
              <w:t>固体氢氧化钠</w:t>
            </w:r>
          </w:p>
        </w:tc>
        <w:tc>
          <w:tcPr>
            <w:tcW w:w="1133"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default" w:ascii="宋体" w:hAnsi="宋体" w:eastAsia="宋体" w:cs="宋体"/>
                <w:b/>
                <w:bCs/>
                <w:color w:val="000000"/>
                <w:kern w:val="0"/>
                <w:sz w:val="22"/>
                <w:szCs w:val="22"/>
                <w:lang w:val="en-US" w:eastAsia="zh-CN"/>
              </w:rPr>
            </w:pPr>
            <w:r>
              <w:rPr>
                <w:rFonts w:hint="eastAsia" w:ascii="宋体" w:hAnsi="宋体" w:cs="宋体"/>
                <w:sz w:val="22"/>
                <w:szCs w:val="22"/>
                <w:lang w:val="en-US" w:eastAsia="zh-CN"/>
              </w:rPr>
              <w:t>片碱，</w:t>
            </w:r>
            <w:r>
              <w:rPr>
                <w:rFonts w:hint="eastAsia" w:ascii="宋体" w:hAnsi="宋体" w:eastAsia="宋体" w:cs="宋体"/>
                <w:sz w:val="22"/>
                <w:szCs w:val="22"/>
              </w:rPr>
              <w:t>氢氧化钠（NaOH）的质量分数≥98%</w:t>
            </w:r>
          </w:p>
        </w:tc>
        <w:tc>
          <w:tcPr>
            <w:tcW w:w="437"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2"/>
                <w:szCs w:val="22"/>
              </w:rPr>
            </w:pPr>
            <w:r>
              <w:rPr>
                <w:rFonts w:hint="eastAsia" w:ascii="宋体" w:hAnsi="宋体" w:cs="宋体"/>
                <w:color w:val="000000"/>
                <w:kern w:val="0"/>
                <w:sz w:val="22"/>
                <w:szCs w:val="22"/>
              </w:rPr>
              <w:t>吨</w:t>
            </w:r>
          </w:p>
        </w:tc>
        <w:tc>
          <w:tcPr>
            <w:tcW w:w="830"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0"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720" w:type="pct"/>
            <w:noWrap/>
            <w:vAlign w:val="center"/>
          </w:tcPr>
          <w:p w14:paraId="00EB7696">
            <w:pPr>
              <w:autoSpaceDE w:val="0"/>
              <w:autoSpaceDN w:val="0"/>
              <w:adjustRightInd w:val="0"/>
              <w:snapToGrid w:val="0"/>
              <w:spacing w:afterLines="0"/>
              <w:jc w:val="center"/>
              <w:rPr>
                <w:rFonts w:hint="eastAsia" w:ascii="宋体" w:hAnsi="宋体" w:eastAsia="宋体" w:cs="宋体"/>
                <w:b/>
                <w:bCs/>
                <w:color w:val="000000"/>
                <w:kern w:val="0"/>
                <w:sz w:val="24"/>
                <w:szCs w:val="24"/>
              </w:rPr>
            </w:pPr>
            <w:r>
              <w:rPr>
                <w:rFonts w:hint="eastAsia" w:ascii="宋体" w:hAnsi="宋体" w:eastAsia="宋体" w:cs="宋体"/>
                <w:b/>
                <w:bCs/>
                <w:sz w:val="24"/>
                <w:szCs w:val="24"/>
                <w:lang w:val="en-US" w:eastAsia="zh-CN"/>
              </w:rPr>
              <w:t>单次送货量＜10吨</w:t>
            </w:r>
          </w:p>
        </w:tc>
      </w:tr>
      <w:tr w14:paraId="52BB1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blHeader/>
          <w:jc w:val="center"/>
        </w:trPr>
        <w:tc>
          <w:tcPr>
            <w:tcW w:w="391" w:type="pct"/>
            <w:noWrap/>
            <w:vAlign w:val="center"/>
          </w:tcPr>
          <w:p w14:paraId="18CD61E4">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0"/>
                <w:szCs w:val="20"/>
                <w:lang w:val="en-US" w:eastAsia="zh-CN"/>
              </w:rPr>
            </w:pPr>
            <w:r>
              <w:rPr>
                <w:rFonts w:hint="eastAsia" w:ascii="宋体" w:hAnsi="宋体" w:cs="宋体" w:eastAsiaTheme="minorEastAsia"/>
                <w:spacing w:val="-8"/>
                <w:sz w:val="20"/>
                <w:szCs w:val="20"/>
                <w:lang w:val="en-US" w:eastAsia="zh-CN"/>
              </w:rPr>
              <w:t>2</w:t>
            </w:r>
          </w:p>
        </w:tc>
        <w:tc>
          <w:tcPr>
            <w:tcW w:w="685" w:type="pct"/>
            <w:shd w:val="clear" w:color="auto" w:fill="auto"/>
            <w:noWrap/>
            <w:vAlign w:val="center"/>
          </w:tcPr>
          <w:p w14:paraId="2D89EEB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2"/>
                <w:szCs w:val="22"/>
                <w:lang w:val="en-US" w:eastAsia="zh-CN" w:bidi="ar-SA"/>
              </w:rPr>
            </w:pPr>
            <w:r>
              <w:rPr>
                <w:rFonts w:hint="eastAsia" w:ascii="宋体" w:hAnsi="宋体" w:cs="宋体"/>
                <w:sz w:val="22"/>
                <w:szCs w:val="22"/>
                <w:lang w:eastAsia="zh-CN"/>
              </w:rPr>
              <w:t>固体氢氧化钠</w:t>
            </w:r>
          </w:p>
        </w:tc>
        <w:tc>
          <w:tcPr>
            <w:tcW w:w="1133" w:type="pct"/>
            <w:shd w:val="clear" w:color="auto" w:fill="auto"/>
            <w:noWrap/>
            <w:vAlign w:val="center"/>
          </w:tcPr>
          <w:p w14:paraId="0C603BBB">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2"/>
                <w:szCs w:val="22"/>
                <w:lang w:val="en-US" w:eastAsia="zh-CN" w:bidi="ar-SA"/>
              </w:rPr>
            </w:pPr>
            <w:r>
              <w:rPr>
                <w:rFonts w:hint="eastAsia" w:ascii="宋体" w:hAnsi="宋体" w:cs="宋体"/>
                <w:sz w:val="22"/>
                <w:szCs w:val="22"/>
                <w:lang w:val="en-US" w:eastAsia="zh-CN"/>
              </w:rPr>
              <w:t>片碱，</w:t>
            </w:r>
            <w:r>
              <w:rPr>
                <w:rFonts w:hint="eastAsia" w:ascii="宋体" w:hAnsi="宋体" w:eastAsia="宋体" w:cs="宋体"/>
                <w:sz w:val="22"/>
                <w:szCs w:val="22"/>
              </w:rPr>
              <w:t>氢氧化钠（NaOH）的质量分数≥98%</w:t>
            </w:r>
          </w:p>
        </w:tc>
        <w:tc>
          <w:tcPr>
            <w:tcW w:w="437" w:type="pct"/>
            <w:shd w:val="clear" w:color="auto" w:fill="auto"/>
            <w:noWrap/>
            <w:vAlign w:val="center"/>
          </w:tcPr>
          <w:p w14:paraId="33B718AE">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eastAsia="宋体" w:cs="宋体"/>
                <w:b/>
                <w:bCs/>
                <w:color w:val="000000"/>
                <w:kern w:val="0"/>
                <w:sz w:val="22"/>
                <w:szCs w:val="22"/>
                <w:lang w:val="en-US" w:eastAsia="zh-CN" w:bidi="ar-SA"/>
              </w:rPr>
            </w:pPr>
            <w:r>
              <w:rPr>
                <w:rFonts w:hint="eastAsia" w:ascii="宋体" w:hAnsi="宋体" w:cs="宋体"/>
                <w:color w:val="000000"/>
                <w:kern w:val="0"/>
                <w:sz w:val="22"/>
                <w:szCs w:val="22"/>
              </w:rPr>
              <w:t>吨</w:t>
            </w:r>
          </w:p>
        </w:tc>
        <w:tc>
          <w:tcPr>
            <w:tcW w:w="830" w:type="pct"/>
            <w:shd w:val="clear" w:color="auto" w:fill="auto"/>
            <w:noWrap/>
            <w:vAlign w:val="center"/>
          </w:tcPr>
          <w:p w14:paraId="542CC06B">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b/>
                <w:bCs/>
                <w:color w:val="000000"/>
                <w:kern w:val="0"/>
                <w:sz w:val="24"/>
              </w:rPr>
              <w:t>XX元</w:t>
            </w:r>
          </w:p>
        </w:tc>
        <w:tc>
          <w:tcPr>
            <w:tcW w:w="800" w:type="pct"/>
            <w:shd w:val="clear" w:color="auto" w:fill="auto"/>
            <w:noWrap/>
            <w:vAlign w:val="center"/>
          </w:tcPr>
          <w:p w14:paraId="022761D6">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b/>
                <w:bCs/>
                <w:color w:val="000000"/>
                <w:kern w:val="0"/>
                <w:sz w:val="24"/>
              </w:rPr>
              <w:t>XX元</w:t>
            </w:r>
          </w:p>
        </w:tc>
        <w:tc>
          <w:tcPr>
            <w:tcW w:w="720" w:type="pct"/>
            <w:noWrap/>
            <w:vAlign w:val="center"/>
          </w:tcPr>
          <w:p w14:paraId="4BDB19D8">
            <w:pPr>
              <w:autoSpaceDE w:val="0"/>
              <w:autoSpaceDN w:val="0"/>
              <w:adjustRightInd w:val="0"/>
              <w:snapToGrid w:val="0"/>
              <w:spacing w:afterLines="0"/>
              <w:jc w:val="center"/>
              <w:rPr>
                <w:rFonts w:hint="eastAsia" w:ascii="宋体" w:hAnsi="宋体" w:eastAsia="宋体" w:cs="宋体"/>
                <w:b/>
                <w:bCs/>
                <w:color w:val="000000"/>
                <w:kern w:val="0"/>
                <w:sz w:val="24"/>
                <w:szCs w:val="24"/>
              </w:rPr>
            </w:pPr>
            <w:r>
              <w:rPr>
                <w:rFonts w:hint="eastAsia" w:ascii="宋体" w:hAnsi="宋体" w:eastAsia="宋体" w:cs="宋体"/>
                <w:b/>
                <w:bCs/>
                <w:sz w:val="24"/>
                <w:szCs w:val="24"/>
                <w:lang w:val="en-US" w:eastAsia="zh-CN"/>
              </w:rPr>
              <w:t>单次送货量≥10吨</w:t>
            </w:r>
          </w:p>
        </w:tc>
      </w:tr>
    </w:tbl>
    <w:p w14:paraId="00A98ADE">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72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72"/>
        <w:gridCol w:w="1924"/>
        <w:gridCol w:w="2761"/>
        <w:gridCol w:w="1800"/>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5" w:type="pct"/>
            <w:vAlign w:val="center"/>
          </w:tcPr>
          <w:p w14:paraId="2E9A744E">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药剂名称</w:t>
            </w:r>
          </w:p>
        </w:tc>
        <w:tc>
          <w:tcPr>
            <w:tcW w:w="1193" w:type="pct"/>
            <w:vAlign w:val="center"/>
          </w:tcPr>
          <w:p w14:paraId="766C97D8">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执行标准</w:t>
            </w:r>
          </w:p>
        </w:tc>
        <w:tc>
          <w:tcPr>
            <w:tcW w:w="1713" w:type="pct"/>
            <w:vAlign w:val="center"/>
          </w:tcPr>
          <w:p w14:paraId="3F0A2C8F">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主要规格参数要求</w:t>
            </w:r>
          </w:p>
        </w:tc>
        <w:tc>
          <w:tcPr>
            <w:tcW w:w="1117" w:type="pct"/>
            <w:vAlign w:val="center"/>
          </w:tcPr>
          <w:p w14:paraId="045C43CB">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其他规格要求</w:t>
            </w:r>
          </w:p>
          <w:p w14:paraId="62A16E0E">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975" w:type="pct"/>
            <w:vAlign w:val="center"/>
          </w:tcPr>
          <w:p w14:paraId="586E5E8B">
            <w:pPr>
              <w:keepNext w:val="0"/>
              <w:keepLines w:val="0"/>
              <w:pageBreakBefore w:val="0"/>
              <w:widowControl w:val="0"/>
              <w:tabs>
                <w:tab w:val="left" w:pos="426"/>
              </w:tabs>
              <w:kinsoku/>
              <w:wordWrap/>
              <w:overflowPunct/>
              <w:topLinePunct w:val="0"/>
              <w:bidi w:val="0"/>
              <w:spacing w:afterLines="0" w:line="240" w:lineRule="auto"/>
              <w:jc w:val="center"/>
              <w:textAlignment w:val="center"/>
              <w:rPr>
                <w:rFonts w:hint="eastAsia" w:ascii="宋体" w:hAnsi="宋体" w:eastAsia="宋体" w:cs="宋体"/>
                <w:b/>
                <w:bCs/>
                <w:szCs w:val="21"/>
                <w:lang w:eastAsia="zh-CN"/>
              </w:rPr>
            </w:pPr>
            <w:r>
              <w:rPr>
                <w:rFonts w:hint="eastAsia" w:ascii="宋体" w:hAnsi="宋体" w:cs="宋体"/>
                <w:b/>
                <w:bCs/>
                <w:color w:val="000000"/>
                <w:szCs w:val="21"/>
                <w:lang w:eastAsia="zh-CN" w:bidi="ar"/>
              </w:rPr>
              <w:t>固体氢氧化钠</w:t>
            </w:r>
          </w:p>
        </w:tc>
        <w:tc>
          <w:tcPr>
            <w:tcW w:w="1193" w:type="pct"/>
            <w:vAlign w:val="center"/>
          </w:tcPr>
          <w:p w14:paraId="1D2DEC9D">
            <w:pPr>
              <w:keepNext w:val="0"/>
              <w:keepLines w:val="0"/>
              <w:pageBreakBefore w:val="0"/>
              <w:widowControl w:val="0"/>
              <w:tabs>
                <w:tab w:val="left" w:pos="426"/>
              </w:tabs>
              <w:kinsoku/>
              <w:wordWrap/>
              <w:overflowPunct/>
              <w:topLinePunct w:val="0"/>
              <w:bidi w:val="0"/>
              <w:spacing w:afterLines="0" w:line="240" w:lineRule="auto"/>
              <w:jc w:val="center"/>
              <w:textAlignment w:val="auto"/>
              <w:rPr>
                <w:rFonts w:hint="eastAsia" w:ascii="宋体" w:hAnsi="宋体" w:eastAsia="宋体" w:cs="宋体"/>
                <w:b/>
                <w:bCs/>
                <w:sz w:val="22"/>
                <w:szCs w:val="22"/>
              </w:rPr>
            </w:pPr>
            <w:r>
              <w:rPr>
                <w:rFonts w:ascii="Times New Roman" w:cs="Times New Roman"/>
                <w:sz w:val="21"/>
                <w:szCs w:val="21"/>
              </w:rPr>
              <w:t>GB/T 209-2018</w:t>
            </w:r>
          </w:p>
        </w:tc>
        <w:tc>
          <w:tcPr>
            <w:tcW w:w="1713" w:type="pct"/>
            <w:vAlign w:val="center"/>
          </w:tcPr>
          <w:p w14:paraId="6E4E0191">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spacing w:val="-8"/>
                <w:sz w:val="22"/>
                <w:szCs w:val="22"/>
              </w:rPr>
            </w:pPr>
            <w:r>
              <w:rPr>
                <w:rFonts w:hint="eastAsia" w:ascii="宋体" w:hAnsi="宋体" w:cs="宋体"/>
                <w:sz w:val="22"/>
                <w:szCs w:val="22"/>
                <w:lang w:val="en-US" w:eastAsia="zh-CN"/>
              </w:rPr>
              <w:t>片碱，</w:t>
            </w:r>
            <w:r>
              <w:rPr>
                <w:rFonts w:hint="eastAsia" w:ascii="宋体" w:hAnsi="宋体" w:eastAsia="宋体" w:cs="宋体"/>
                <w:sz w:val="22"/>
                <w:szCs w:val="22"/>
              </w:rPr>
              <w:t>氢氧化钠（NaOH）的质量分数≥98%</w:t>
            </w:r>
          </w:p>
        </w:tc>
        <w:tc>
          <w:tcPr>
            <w:tcW w:w="1117" w:type="pct"/>
            <w:vAlign w:val="center"/>
          </w:tcPr>
          <w:p w14:paraId="3FDBC6F9">
            <w:pPr>
              <w:keepNext w:val="0"/>
              <w:keepLines w:val="0"/>
              <w:pageBreakBefore w:val="0"/>
              <w:widowControl w:val="0"/>
              <w:kinsoku/>
              <w:wordWrap/>
              <w:overflowPunct/>
              <w:topLinePunct w:val="0"/>
              <w:bidi w:val="0"/>
              <w:spacing w:afterLines="0" w:line="240" w:lineRule="auto"/>
              <w:jc w:val="center"/>
              <w:rPr>
                <w:rFonts w:hint="eastAsia" w:ascii="宋体" w:hAnsi="宋体" w:cs="宋体"/>
                <w:b/>
                <w:bCs/>
                <w:szCs w:val="21"/>
              </w:rPr>
            </w:pPr>
          </w:p>
        </w:tc>
      </w:tr>
    </w:tbl>
    <w:p w14:paraId="0C7DD678">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firstLine="0" w:firstLineChars="0"/>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07CB0537">
      <w:pPr>
        <w:spacing w:before="157" w:beforeLines="50" w:after="157" w:afterLines="50" w:line="360" w:lineRule="auto"/>
        <w:ind w:firstLine="0"/>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numPr>
          <w:ilvl w:val="0"/>
          <w:numId w:val="2"/>
        </w:numPr>
        <w:spacing w:after="78" w:line="579" w:lineRule="auto"/>
        <w:ind w:left="0" w:firstLine="0"/>
        <w:jc w:val="center"/>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95CCCD5">
      <w:pPr>
        <w:spacing w:after="78"/>
        <w:jc w:val="center"/>
      </w:pPr>
      <w:r>
        <w:rPr>
          <w:rFonts w:hint="eastAsia" w:ascii="Times New Roman" w:hAnsi="Times New Roman" w:eastAsia="长城小标宋体"/>
          <w:b/>
          <w:bCs/>
          <w:sz w:val="44"/>
          <w:szCs w:val="44"/>
          <w:lang w:eastAsia="zh-CN"/>
        </w:rPr>
        <w:t>江西区域固体氢氧化钠</w:t>
      </w:r>
      <w:r>
        <w:rPr>
          <w:rFonts w:hint="eastAsia" w:ascii="Times New Roman" w:hAnsi="Times New Roman" w:eastAsia="长城小标宋体"/>
          <w:b/>
          <w:bCs/>
          <w:sz w:val="44"/>
          <w:szCs w:val="44"/>
        </w:rPr>
        <w:t>采购项目</w:t>
      </w:r>
    </w:p>
    <w:p w14:paraId="182AD023">
      <w:pPr>
        <w:spacing w:after="78"/>
        <w:rPr>
          <w:b/>
          <w:bCs/>
          <w:sz w:val="40"/>
          <w:szCs w:val="40"/>
        </w:rPr>
      </w:pP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106D70A1">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33C86CD8">
      <w:pPr>
        <w:spacing w:afterLines="0" w:line="360" w:lineRule="auto"/>
        <w:ind w:left="420" w:leftChars="200" w:firstLine="640" w:firstLineChars="200"/>
        <w:rPr>
          <w:rFonts w:hint="eastAsia" w:ascii="仿宋" w:hAnsi="仿宋" w:eastAsia="仿宋"/>
          <w:b/>
          <w:bCs/>
          <w:kern w:val="0"/>
          <w:sz w:val="32"/>
          <w:szCs w:val="32"/>
        </w:rPr>
      </w:pPr>
      <w:r>
        <w:rPr>
          <w:rFonts w:hint="eastAsia"/>
          <w:sz w:val="32"/>
          <w:szCs w:val="32"/>
        </w:rPr>
        <w:t>日期：</w:t>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江西区域固体氢氧化钠</w:t>
      </w:r>
      <w:r>
        <w:rPr>
          <w:rFonts w:hint="eastAsia" w:ascii="仿宋" w:hAnsi="仿宋" w:eastAsia="仿宋"/>
          <w:b/>
          <w:color w:val="000000"/>
          <w:szCs w:val="21"/>
          <w:u w:val="single"/>
        </w:rPr>
        <w:t>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江西区域固体氢氧化钠</w:t>
      </w:r>
      <w:r>
        <w:rPr>
          <w:rFonts w:hint="eastAsia" w:ascii="仿宋" w:hAnsi="仿宋" w:eastAsia="仿宋"/>
          <w:b/>
          <w:color w:val="000000"/>
          <w:szCs w:val="21"/>
          <w:u w:val="single"/>
        </w:rPr>
        <w:t>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w:t>
      </w:r>
      <w:r>
        <w:rPr>
          <w:rFonts w:hint="eastAsia" w:ascii="仿宋" w:hAnsi="仿宋" w:eastAsia="仿宋"/>
          <w:szCs w:val="21"/>
          <w:lang w:val="en-US" w:eastAsia="zh-CN"/>
        </w:rPr>
        <w:t>10</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江西区域固体氢氧化钠</w:t>
      </w:r>
      <w:r>
        <w:rPr>
          <w:rFonts w:hint="eastAsia" w:ascii="仿宋" w:hAnsi="仿宋" w:eastAsia="仿宋"/>
          <w:b/>
          <w:color w:val="000000"/>
          <w:szCs w:val="21"/>
          <w:u w:val="single"/>
        </w:rPr>
        <w:t>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630" w:firstLineChars="3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79" w:beforeLines="25" w:after="79" w:afterLines="25" w:line="240" w:lineRule="auto"/>
        <w:ind w:left="0" w:leftChars="0" w:firstLine="0"/>
        <w:jc w:val="left"/>
        <w:rPr>
          <w:rFonts w:hint="eastAsia" w:ascii="仿宋" w:hAnsi="仿宋" w:eastAsia="仿宋" w:cs="宋体"/>
          <w:color w:val="000000"/>
          <w:sz w:val="24"/>
          <w:szCs w:val="21"/>
        </w:rPr>
      </w:pPr>
      <w:r>
        <w:rPr>
          <w:rFonts w:hint="eastAsia" w:ascii="仿宋" w:hAnsi="仿宋" w:eastAsia="仿宋" w:cs="宋体"/>
          <w:color w:val="000000"/>
          <w:sz w:val="24"/>
          <w:szCs w:val="21"/>
        </w:rPr>
        <w:t>营业执照</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2336" behindDoc="0" locked="0" layoutInCell="1" allowOverlap="1">
                <wp:simplePos x="0" y="0"/>
                <wp:positionH relativeFrom="column">
                  <wp:posOffset>-86995</wp:posOffset>
                </wp:positionH>
                <wp:positionV relativeFrom="paragraph">
                  <wp:posOffset>16510</wp:posOffset>
                </wp:positionV>
                <wp:extent cx="5445125" cy="3877310"/>
                <wp:effectExtent l="4445" t="4445" r="17780" b="23495"/>
                <wp:wrapNone/>
                <wp:docPr id="6" name="文本框 6"/>
                <wp:cNvGraphicFramePr/>
                <a:graphic xmlns:a="http://schemas.openxmlformats.org/drawingml/2006/main">
                  <a:graphicData uri="http://schemas.microsoft.com/office/word/2010/wordprocessingShape">
                    <wps:wsp>
                      <wps:cNvSpPr txBox="1"/>
                      <wps:spPr>
                        <a:xfrm>
                          <a:off x="1065530" y="5419725"/>
                          <a:ext cx="5445125" cy="3877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5pt;margin-top:1.3pt;height:305.3pt;width:428.75pt;z-index:251662336;mso-width-relative:page;mso-height-relative:page;" fillcolor="#FFFFFF [3201]" filled="t" stroked="t" coordsize="21600,21600" o:gfxdata="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KzXEOdYAAAAJAQAADwAAAAAAAAABACAAAAAiAAAAZHJzL2Rvd25yZXYueG1sUEsBAhQA&#10;FAAAAAgAh07iQGD/K1J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64DEF198">
      <w:pPr>
        <w:rPr>
          <w:rFonts w:hint="eastAsia" w:ascii="仿宋" w:hAnsi="仿宋" w:eastAsia="仿宋" w:cs="仿宋"/>
          <w:b/>
          <w:bCs/>
          <w:color w:val="000000"/>
          <w:sz w:val="24"/>
          <w:lang w:bidi="ar"/>
        </w:rPr>
      </w:pPr>
    </w:p>
    <w:p w14:paraId="0F2CED9A">
      <w:pPr>
        <w:pStyle w:val="4"/>
        <w:spacing w:before="79" w:beforeLines="25" w:after="79" w:line="240" w:lineRule="auto"/>
        <w:jc w:val="left"/>
        <w:rPr>
          <w:rFonts w:hint="eastAsia" w:ascii="仿宋" w:hAnsi="仿宋" w:eastAsia="仿宋" w:cs="宋体"/>
          <w:color w:val="000000"/>
          <w:sz w:val="24"/>
          <w:szCs w:val="21"/>
        </w:rPr>
      </w:pPr>
      <w:r>
        <w:rPr>
          <w:rFonts w:hint="eastAsia" w:ascii="仿宋" w:hAnsi="仿宋" w:eastAsia="仿宋" w:cs="宋体"/>
          <w:color w:val="000000"/>
          <w:sz w:val="24"/>
          <w:szCs w:val="21"/>
        </w:rPr>
        <w:t>危险化学品经营许可证</w:t>
      </w:r>
    </w:p>
    <w:p w14:paraId="4ECAC43B">
      <w:pPr>
        <w:rPr>
          <w:rFonts w:hint="eastAsia" w:ascii="仿宋" w:hAnsi="仿宋" w:eastAsia="仿宋"/>
          <w:b/>
          <w:bCs/>
          <w:kern w:val="0"/>
          <w:sz w:val="24"/>
        </w:rPr>
      </w:pPr>
      <w:r>
        <w:rPr>
          <w:sz w:val="24"/>
        </w:rPr>
        <mc:AlternateContent>
          <mc:Choice Requires="wps">
            <w:drawing>
              <wp:anchor distT="0" distB="0" distL="114300" distR="114300" simplePos="0" relativeHeight="251666432" behindDoc="0" locked="0" layoutInCell="1" allowOverlap="1">
                <wp:simplePos x="0" y="0"/>
                <wp:positionH relativeFrom="column">
                  <wp:posOffset>-67945</wp:posOffset>
                </wp:positionH>
                <wp:positionV relativeFrom="paragraph">
                  <wp:posOffset>1905</wp:posOffset>
                </wp:positionV>
                <wp:extent cx="5436235" cy="3999230"/>
                <wp:effectExtent l="4445" t="4445" r="7620" b="15875"/>
                <wp:wrapNone/>
                <wp:docPr id="3" name="文本框 3"/>
                <wp:cNvGraphicFramePr/>
                <a:graphic xmlns:a="http://schemas.openxmlformats.org/drawingml/2006/main">
                  <a:graphicData uri="http://schemas.microsoft.com/office/word/2010/wordprocessingShape">
                    <wps:wsp>
                      <wps:cNvSpPr txBox="1"/>
                      <wps:spPr>
                        <a:xfrm>
                          <a:off x="0" y="0"/>
                          <a:ext cx="5436235" cy="39992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F7D5584">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5pt;margin-top:0.15pt;height:314.9pt;width:428.05pt;z-index:251666432;mso-width-relative:page;mso-height-relative:page;" fillcolor="#FFFFFF [3201]" filled="t" stroked="t" coordsize="21600,21600" o:gfxdata="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ZcJs5&#10;1gAAAAgBAAAPAAAAAAAAAAEAIAAAACIAAABkcnMvZG93bnJldi54bWxQSwECFAAUAAAACACHTuJA&#10;X8RYoVwCAAC4BAAADgAAAAAAAAABACAAAAAlAQAAZHJzL2Uyb0RvYy54bWxQSwUGAAAAAAYABgBZ&#10;AQAA8wUAAAAA&#10;">
                <v:fill on="t" focussize="0,0"/>
                <v:stroke weight="0.5pt" color="#000000 [3204]" joinstyle="round"/>
                <v:imagedata o:title=""/>
                <o:lock v:ext="edit" aspectratio="f"/>
                <v:textbox>
                  <w:txbxContent>
                    <w:p w14:paraId="0F7D5584">
                      <w:pPr>
                        <w:spacing w:after="78"/>
                      </w:pPr>
                    </w:p>
                  </w:txbxContent>
                </v:textbox>
              </v:shape>
            </w:pict>
          </mc:Fallback>
        </mc:AlternateContent>
      </w: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江西区域固体氢氧化钠</w:t>
      </w:r>
      <w:r>
        <w:rPr>
          <w:rFonts w:hint="eastAsia" w:ascii="仿宋" w:hAnsi="仿宋" w:eastAsia="仿宋"/>
          <w:b/>
          <w:color w:val="000000"/>
          <w:sz w:val="24"/>
        </w:rPr>
        <w:t>采购项目</w:t>
      </w:r>
      <w:r>
        <w:rPr>
          <w:rFonts w:hint="eastAsia" w:ascii="仿宋" w:hAnsi="仿宋" w:eastAsia="仿宋"/>
          <w:b/>
          <w:bCs/>
          <w:kern w:val="0"/>
          <w:sz w:val="24"/>
        </w:rPr>
        <w:t>报价一览表</w:t>
      </w:r>
    </w:p>
    <w:tbl>
      <w:tblPr>
        <w:tblStyle w:val="22"/>
        <w:tblpPr w:leftFromText="180" w:rightFromText="180" w:vertAnchor="text" w:horzAnchor="page" w:tblpXSpec="center" w:tblpY="393"/>
        <w:tblOverlap w:val="never"/>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9"/>
        <w:gridCol w:w="1188"/>
        <w:gridCol w:w="1976"/>
        <w:gridCol w:w="968"/>
        <w:gridCol w:w="751"/>
        <w:gridCol w:w="1370"/>
        <w:gridCol w:w="1147"/>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57" w:type="pct"/>
            <w:vAlign w:val="center"/>
          </w:tcPr>
          <w:p w14:paraId="76AABA26">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342" w:type="pct"/>
            <w:gridSpan w:val="6"/>
            <w:vAlign w:val="center"/>
          </w:tcPr>
          <w:p w14:paraId="0EB445CF">
            <w:pPr>
              <w:spacing w:afterLines="0" w:line="300" w:lineRule="exact"/>
              <w:jc w:val="center"/>
              <w:rPr>
                <w:rFonts w:hint="eastAsia" w:ascii="仿宋" w:hAnsi="仿宋" w:eastAsia="仿宋"/>
                <w:bCs/>
                <w:szCs w:val="21"/>
              </w:rPr>
            </w:pPr>
            <w:r>
              <w:rPr>
                <w:rFonts w:hint="eastAsia" w:ascii="仿宋" w:hAnsi="仿宋" w:eastAsia="仿宋" w:cs="仿宋"/>
                <w:b/>
                <w:bCs/>
                <w:color w:val="000000"/>
                <w:szCs w:val="21"/>
                <w:lang w:eastAsia="zh-CN" w:bidi="ar"/>
              </w:rPr>
              <w:t>江西区域固体氢氧化钠</w:t>
            </w:r>
            <w:r>
              <w:rPr>
                <w:rFonts w:hint="eastAsia" w:ascii="仿宋" w:hAnsi="仿宋" w:eastAsia="仿宋"/>
                <w:b/>
                <w:szCs w:val="21"/>
              </w:rPr>
              <w:t>采购项目报价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7" w:type="pct"/>
            <w:vMerge w:val="restart"/>
            <w:vAlign w:val="center"/>
          </w:tcPr>
          <w:p w14:paraId="15AE39B2">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1857" w:type="pct"/>
            <w:gridSpan w:val="2"/>
            <w:vMerge w:val="restart"/>
            <w:vAlign w:val="center"/>
          </w:tcPr>
          <w:p w14:paraId="57E80E65">
            <w:pPr>
              <w:spacing w:afterLines="0" w:line="300" w:lineRule="exact"/>
              <w:jc w:val="center"/>
              <w:rPr>
                <w:rFonts w:hint="eastAsia" w:ascii="仿宋" w:hAnsi="仿宋" w:eastAsia="仿宋"/>
                <w:szCs w:val="21"/>
              </w:rPr>
            </w:pPr>
            <w:r>
              <w:rPr>
                <w:rFonts w:hint="eastAsia" w:ascii="仿宋" w:hAnsi="仿宋" w:eastAsia="仿宋"/>
                <w:szCs w:val="21"/>
              </w:rPr>
              <w:t>深圳市佳耀生态环保科技有限公司</w:t>
            </w:r>
          </w:p>
        </w:tc>
        <w:tc>
          <w:tcPr>
            <w:tcW w:w="568" w:type="pct"/>
            <w:vAlign w:val="center"/>
          </w:tcPr>
          <w:p w14:paraId="7C7D2363">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916" w:type="pct"/>
            <w:gridSpan w:val="3"/>
          </w:tcPr>
          <w:p w14:paraId="67C37FFA">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57" w:type="pct"/>
            <w:vMerge w:val="continue"/>
            <w:vAlign w:val="center"/>
          </w:tcPr>
          <w:p w14:paraId="074635C1">
            <w:pPr>
              <w:spacing w:afterLines="0" w:line="300" w:lineRule="exact"/>
              <w:jc w:val="center"/>
              <w:rPr>
                <w:rFonts w:hint="eastAsia" w:ascii="仿宋" w:hAnsi="仿宋" w:eastAsia="仿宋"/>
                <w:szCs w:val="21"/>
              </w:rPr>
            </w:pPr>
          </w:p>
        </w:tc>
        <w:tc>
          <w:tcPr>
            <w:tcW w:w="1857" w:type="pct"/>
            <w:gridSpan w:val="2"/>
            <w:vMerge w:val="continue"/>
            <w:vAlign w:val="center"/>
          </w:tcPr>
          <w:p w14:paraId="2B88DBA5">
            <w:pPr>
              <w:spacing w:afterLines="0" w:line="300" w:lineRule="exact"/>
              <w:jc w:val="center"/>
              <w:rPr>
                <w:rFonts w:hint="eastAsia" w:ascii="仿宋" w:hAnsi="仿宋" w:eastAsia="仿宋"/>
                <w:szCs w:val="21"/>
              </w:rPr>
            </w:pPr>
          </w:p>
        </w:tc>
        <w:tc>
          <w:tcPr>
            <w:tcW w:w="568" w:type="pct"/>
            <w:vAlign w:val="center"/>
          </w:tcPr>
          <w:p w14:paraId="3C5F1B10">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916" w:type="pct"/>
            <w:gridSpan w:val="3"/>
          </w:tcPr>
          <w:p w14:paraId="279E11A7">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57" w:type="pct"/>
            <w:vAlign w:val="center"/>
          </w:tcPr>
          <w:p w14:paraId="0E58E4A0">
            <w:pPr>
              <w:spacing w:afterLines="0" w:line="300" w:lineRule="exact"/>
              <w:jc w:val="center"/>
              <w:rPr>
                <w:rFonts w:hint="eastAsia" w:ascii="仿宋" w:hAnsi="仿宋" w:eastAsia="仿宋"/>
                <w:szCs w:val="21"/>
              </w:rPr>
            </w:pPr>
            <w:r>
              <w:rPr>
                <w:rFonts w:hint="eastAsia" w:ascii="仿宋" w:hAnsi="仿宋" w:eastAsia="仿宋"/>
                <w:szCs w:val="21"/>
              </w:rPr>
              <w:t>送货地址</w:t>
            </w:r>
          </w:p>
        </w:tc>
        <w:tc>
          <w:tcPr>
            <w:tcW w:w="1857" w:type="pct"/>
            <w:gridSpan w:val="2"/>
            <w:vAlign w:val="center"/>
          </w:tcPr>
          <w:p w14:paraId="0347850D">
            <w:pPr>
              <w:spacing w:afterLines="0" w:line="300" w:lineRule="exact"/>
              <w:jc w:val="center"/>
              <w:rPr>
                <w:rFonts w:hint="eastAsia" w:ascii="仿宋" w:hAnsi="仿宋" w:eastAsia="仿宋"/>
                <w:szCs w:val="21"/>
              </w:rPr>
            </w:pPr>
            <w:r>
              <w:rPr>
                <w:rFonts w:hint="eastAsia" w:ascii="仿宋" w:hAnsi="仿宋" w:eastAsia="仿宋" w:cs="仿宋"/>
                <w:szCs w:val="21"/>
                <w:lang w:val="en-US" w:eastAsia="zh-CN"/>
              </w:rPr>
              <w:t>江西</w:t>
            </w:r>
            <w:r>
              <w:rPr>
                <w:rFonts w:hint="eastAsia" w:ascii="仿宋" w:hAnsi="仿宋" w:eastAsia="仿宋" w:cs="仿宋"/>
                <w:szCs w:val="21"/>
              </w:rPr>
              <w:t>省</w:t>
            </w:r>
            <w:r>
              <w:rPr>
                <w:rFonts w:hint="eastAsia" w:ascii="仿宋" w:hAnsi="仿宋" w:eastAsia="仿宋" w:cs="仿宋"/>
                <w:szCs w:val="21"/>
                <w:lang w:val="en-US" w:eastAsia="zh-CN"/>
              </w:rPr>
              <w:t>龙南</w:t>
            </w:r>
            <w:r>
              <w:rPr>
                <w:rFonts w:hint="eastAsia" w:ascii="仿宋" w:hAnsi="仿宋" w:eastAsia="仿宋" w:cs="仿宋"/>
                <w:szCs w:val="21"/>
              </w:rPr>
              <w:t>市</w:t>
            </w:r>
          </w:p>
        </w:tc>
        <w:tc>
          <w:tcPr>
            <w:tcW w:w="568" w:type="pct"/>
            <w:vAlign w:val="center"/>
          </w:tcPr>
          <w:p w14:paraId="69C7FCA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916" w:type="pct"/>
            <w:gridSpan w:val="3"/>
          </w:tcPr>
          <w:p w14:paraId="383507C3">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657" w:type="pct"/>
            <w:vAlign w:val="center"/>
          </w:tcPr>
          <w:p w14:paraId="365C85A4">
            <w:pPr>
              <w:spacing w:afterLines="0" w:line="440" w:lineRule="exact"/>
              <w:jc w:val="center"/>
              <w:rPr>
                <w:rFonts w:hint="eastAsia" w:ascii="仿宋" w:hAnsi="仿宋" w:eastAsia="仿宋"/>
                <w:b/>
                <w:szCs w:val="21"/>
              </w:rPr>
            </w:pPr>
            <w:r>
              <w:rPr>
                <w:rFonts w:hint="eastAsia" w:ascii="仿宋" w:hAnsi="仿宋" w:eastAsia="仿宋"/>
                <w:b/>
                <w:szCs w:val="21"/>
              </w:rPr>
              <w:t>项次</w:t>
            </w:r>
          </w:p>
        </w:tc>
        <w:tc>
          <w:tcPr>
            <w:tcW w:w="697" w:type="pct"/>
            <w:vAlign w:val="center"/>
          </w:tcPr>
          <w:p w14:paraId="167FADC9">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159" w:type="pct"/>
            <w:vAlign w:val="center"/>
          </w:tcPr>
          <w:p w14:paraId="3B3ABD41">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规格型号</w:t>
            </w:r>
          </w:p>
        </w:tc>
        <w:tc>
          <w:tcPr>
            <w:tcW w:w="568" w:type="pct"/>
            <w:vAlign w:val="center"/>
          </w:tcPr>
          <w:p w14:paraId="577B3A28">
            <w:pPr>
              <w:spacing w:afterLines="0" w:line="440" w:lineRule="exact"/>
              <w:jc w:val="center"/>
              <w:rPr>
                <w:rFonts w:hint="eastAsia" w:ascii="仿宋" w:hAnsi="仿宋" w:eastAsia="仿宋"/>
                <w:b/>
                <w:szCs w:val="21"/>
              </w:rPr>
            </w:pPr>
            <w:r>
              <w:rPr>
                <w:rFonts w:ascii="仿宋" w:hAnsi="仿宋" w:eastAsia="仿宋"/>
                <w:b/>
                <w:szCs w:val="21"/>
              </w:rPr>
              <w:t>单位</w:t>
            </w:r>
          </w:p>
        </w:tc>
        <w:tc>
          <w:tcPr>
            <w:tcW w:w="441" w:type="pct"/>
            <w:vAlign w:val="center"/>
          </w:tcPr>
          <w:p w14:paraId="2D72FEAD">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804" w:type="pct"/>
            <w:vAlign w:val="center"/>
          </w:tcPr>
          <w:p w14:paraId="2FA10D23">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w:t>
            </w:r>
          </w:p>
        </w:tc>
        <w:tc>
          <w:tcPr>
            <w:tcW w:w="670" w:type="pct"/>
            <w:vAlign w:val="center"/>
          </w:tcPr>
          <w:p w14:paraId="5081CCD5">
            <w:pPr>
              <w:spacing w:afterLines="0" w:line="440" w:lineRule="exact"/>
              <w:jc w:val="center"/>
              <w:rPr>
                <w:rFonts w:hint="eastAsia" w:ascii="仿宋" w:hAnsi="仿宋" w:eastAsia="仿宋"/>
                <w:b/>
                <w:szCs w:val="21"/>
              </w:rPr>
            </w:pPr>
            <w:r>
              <w:rPr>
                <w:rFonts w:ascii="仿宋" w:hAnsi="仿宋" w:eastAsia="仿宋"/>
                <w:b/>
                <w:szCs w:val="21"/>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657"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1</w:t>
            </w:r>
          </w:p>
        </w:tc>
        <w:tc>
          <w:tcPr>
            <w:tcW w:w="697"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Cs w:val="21"/>
                <w:lang w:eastAsia="zh-CN" w:bidi="ar"/>
              </w:rPr>
            </w:pPr>
            <w:r>
              <w:rPr>
                <w:rFonts w:hint="eastAsia" w:ascii="仿宋" w:hAnsi="仿宋" w:eastAsia="仿宋" w:cs="仿宋"/>
                <w:szCs w:val="21"/>
                <w:lang w:eastAsia="zh-CN"/>
              </w:rPr>
              <w:t>固体氢氧化钠</w:t>
            </w:r>
          </w:p>
        </w:tc>
        <w:tc>
          <w:tcPr>
            <w:tcW w:w="1159"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default" w:ascii="仿宋" w:hAnsi="仿宋" w:eastAsia="仿宋" w:cs="仿宋"/>
                <w:color w:val="000000"/>
                <w:szCs w:val="21"/>
                <w:lang w:val="en-US" w:eastAsia="zh-CN" w:bidi="ar"/>
              </w:rPr>
            </w:pPr>
            <w:r>
              <w:rPr>
                <w:rFonts w:hint="eastAsia" w:ascii="仿宋" w:hAnsi="仿宋" w:eastAsia="仿宋" w:cs="仿宋"/>
                <w:sz w:val="21"/>
                <w:szCs w:val="21"/>
                <w:lang w:val="en-US" w:eastAsia="zh-CN"/>
              </w:rPr>
              <w:t>片碱，</w:t>
            </w:r>
            <w:r>
              <w:rPr>
                <w:rFonts w:hint="eastAsia" w:ascii="仿宋" w:hAnsi="仿宋" w:eastAsia="仿宋" w:cs="仿宋"/>
                <w:sz w:val="21"/>
                <w:szCs w:val="21"/>
                <w:lang w:eastAsia="zh-CN"/>
              </w:rPr>
              <w:t>固体氢氧化钠</w:t>
            </w:r>
            <w:r>
              <w:rPr>
                <w:rFonts w:hint="eastAsia" w:ascii="仿宋" w:hAnsi="仿宋" w:eastAsia="仿宋" w:cs="仿宋"/>
                <w:sz w:val="21"/>
                <w:szCs w:val="21"/>
              </w:rPr>
              <w:t>（NaOH）的质量分数≥98%</w:t>
            </w:r>
          </w:p>
        </w:tc>
        <w:tc>
          <w:tcPr>
            <w:tcW w:w="568" w:type="pct"/>
            <w:shd w:val="clear" w:color="auto" w:fill="auto"/>
            <w:vAlign w:val="center"/>
          </w:tcPr>
          <w:p w14:paraId="66C8C65C">
            <w:pPr>
              <w:spacing w:afterLines="0" w:line="240" w:lineRule="auto"/>
              <w:jc w:val="center"/>
              <w:rPr>
                <w:rFonts w:hint="eastAsia" w:ascii="仿宋" w:hAnsi="仿宋" w:eastAsia="仿宋"/>
                <w:szCs w:val="21"/>
              </w:rPr>
            </w:pPr>
            <w:r>
              <w:rPr>
                <w:rFonts w:hint="eastAsia" w:ascii="仿宋" w:hAnsi="仿宋" w:eastAsia="仿宋" w:cs="宋体"/>
                <w:kern w:val="0"/>
                <w:szCs w:val="21"/>
              </w:rPr>
              <w:t>吨</w:t>
            </w:r>
          </w:p>
        </w:tc>
        <w:tc>
          <w:tcPr>
            <w:tcW w:w="441" w:type="pct"/>
            <w:shd w:val="clear" w:color="auto" w:fill="auto"/>
            <w:vAlign w:val="center"/>
          </w:tcPr>
          <w:p w14:paraId="3F6E9562">
            <w:pPr>
              <w:spacing w:afterLines="0" w:line="240" w:lineRule="auto"/>
              <w:jc w:val="center"/>
              <w:rPr>
                <w:rFonts w:hint="eastAsia" w:ascii="仿宋" w:hAnsi="仿宋" w:eastAsia="仿宋"/>
                <w:szCs w:val="21"/>
                <w:lang w:val="en-US" w:eastAsia="zh-CN"/>
              </w:rPr>
            </w:pPr>
            <w:r>
              <w:rPr>
                <w:rFonts w:hint="eastAsia" w:ascii="仿宋" w:hAnsi="仿宋" w:eastAsia="仿宋"/>
                <w:szCs w:val="21"/>
              </w:rPr>
              <w:t>1</w:t>
            </w:r>
            <w:r>
              <w:rPr>
                <w:rFonts w:hint="eastAsia" w:ascii="仿宋" w:hAnsi="仿宋" w:eastAsia="仿宋"/>
                <w:szCs w:val="21"/>
                <w:lang w:val="en-US" w:eastAsia="zh-CN"/>
              </w:rPr>
              <w:t>0</w:t>
            </w:r>
          </w:p>
        </w:tc>
        <w:tc>
          <w:tcPr>
            <w:tcW w:w="804" w:type="pct"/>
            <w:shd w:val="clear" w:color="auto" w:fill="auto"/>
            <w:vAlign w:val="center"/>
          </w:tcPr>
          <w:p w14:paraId="1065A1E7">
            <w:pPr>
              <w:spacing w:afterLines="0" w:line="240" w:lineRule="auto"/>
              <w:jc w:val="center"/>
              <w:rPr>
                <w:rFonts w:hint="eastAsia" w:ascii="仿宋" w:hAnsi="仿宋" w:eastAsia="仿宋"/>
                <w:szCs w:val="21"/>
              </w:rPr>
            </w:pPr>
            <w:r>
              <w:rPr>
                <w:rFonts w:hint="eastAsia" w:ascii="仿宋" w:hAnsi="仿宋" w:eastAsia="仿宋"/>
                <w:b/>
                <w:bCs/>
                <w:color w:val="FF0000"/>
                <w:szCs w:val="21"/>
              </w:rPr>
              <w:t>（*必填项）</w:t>
            </w:r>
          </w:p>
        </w:tc>
        <w:tc>
          <w:tcPr>
            <w:tcW w:w="670" w:type="pct"/>
            <w:vAlign w:val="center"/>
          </w:tcPr>
          <w:p w14:paraId="2600D178">
            <w:pPr>
              <w:spacing w:afterLines="0" w:line="240" w:lineRule="auto"/>
              <w:jc w:val="left"/>
              <w:rPr>
                <w:rFonts w:hint="eastAsia" w:ascii="仿宋" w:hAnsi="仿宋" w:eastAsia="仿宋"/>
                <w:b/>
                <w:bCs/>
                <w:szCs w:val="21"/>
              </w:rPr>
            </w:pPr>
            <w:r>
              <w:rPr>
                <w:rFonts w:hint="eastAsia" w:ascii="仿宋" w:hAnsi="仿宋" w:eastAsia="仿宋"/>
                <w:b/>
                <w:bCs/>
                <w:szCs w:val="21"/>
              </w:rPr>
              <w:t>单次送货量＜10吨</w:t>
            </w:r>
          </w:p>
        </w:tc>
      </w:tr>
      <w:tr w14:paraId="60423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657" w:type="pct"/>
            <w:vAlign w:val="center"/>
          </w:tcPr>
          <w:p w14:paraId="2041BF8E">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lang w:eastAsia="zh-CN"/>
              </w:rPr>
            </w:pPr>
            <w:r>
              <w:rPr>
                <w:rFonts w:hint="eastAsia" w:ascii="仿宋" w:hAnsi="仿宋" w:eastAsia="仿宋" w:cs="仿宋"/>
                <w:spacing w:val="-8"/>
                <w:sz w:val="22"/>
                <w:szCs w:val="22"/>
                <w:lang w:val="en-US" w:eastAsia="zh-CN"/>
              </w:rPr>
              <w:t>2</w:t>
            </w:r>
          </w:p>
        </w:tc>
        <w:tc>
          <w:tcPr>
            <w:tcW w:w="697" w:type="pct"/>
            <w:vAlign w:val="center"/>
          </w:tcPr>
          <w:p w14:paraId="743C9C79">
            <w:pPr>
              <w:pStyle w:val="58"/>
              <w:autoSpaceDE w:val="0"/>
              <w:autoSpaceDN w:val="0"/>
              <w:adjustRightInd w:val="0"/>
              <w:snapToGrid w:val="0"/>
              <w:spacing w:afterLines="0" w:line="240" w:lineRule="auto"/>
              <w:ind w:firstLine="0" w:firstLineChars="0"/>
              <w:jc w:val="center"/>
              <w:rPr>
                <w:rFonts w:hint="eastAsia" w:ascii="仿宋" w:hAnsi="仿宋" w:eastAsia="仿宋" w:cs="仿宋"/>
                <w:szCs w:val="21"/>
                <w:lang w:eastAsia="zh-CN"/>
              </w:rPr>
            </w:pPr>
            <w:r>
              <w:rPr>
                <w:rFonts w:hint="eastAsia" w:ascii="仿宋" w:hAnsi="仿宋" w:eastAsia="仿宋" w:cs="仿宋"/>
                <w:szCs w:val="21"/>
                <w:lang w:eastAsia="zh-CN"/>
              </w:rPr>
              <w:t>固体氢氧化钠</w:t>
            </w:r>
          </w:p>
        </w:tc>
        <w:tc>
          <w:tcPr>
            <w:tcW w:w="1159" w:type="pct"/>
            <w:vAlign w:val="center"/>
          </w:tcPr>
          <w:p w14:paraId="57F25CE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片碱，</w:t>
            </w:r>
            <w:r>
              <w:rPr>
                <w:rFonts w:hint="eastAsia" w:ascii="仿宋" w:hAnsi="仿宋" w:eastAsia="仿宋" w:cs="仿宋"/>
                <w:sz w:val="21"/>
                <w:szCs w:val="21"/>
                <w:lang w:eastAsia="zh-CN"/>
              </w:rPr>
              <w:t>固体氢氧化钠</w:t>
            </w:r>
            <w:r>
              <w:rPr>
                <w:rFonts w:hint="eastAsia" w:ascii="仿宋" w:hAnsi="仿宋" w:eastAsia="仿宋" w:cs="仿宋"/>
                <w:sz w:val="21"/>
                <w:szCs w:val="21"/>
              </w:rPr>
              <w:t>（NaOH）的质量分数≥98%</w:t>
            </w:r>
          </w:p>
        </w:tc>
        <w:tc>
          <w:tcPr>
            <w:tcW w:w="568" w:type="pct"/>
            <w:shd w:val="clear" w:color="auto" w:fill="auto"/>
            <w:vAlign w:val="center"/>
          </w:tcPr>
          <w:p w14:paraId="1DB84352">
            <w:pPr>
              <w:spacing w:afterLines="0" w:line="240" w:lineRule="auto"/>
              <w:jc w:val="center"/>
              <w:rPr>
                <w:rFonts w:hint="eastAsia" w:ascii="仿宋" w:hAnsi="仿宋" w:eastAsia="仿宋" w:cs="宋体"/>
                <w:kern w:val="0"/>
                <w:szCs w:val="21"/>
              </w:rPr>
            </w:pPr>
            <w:r>
              <w:rPr>
                <w:rFonts w:hint="eastAsia" w:ascii="仿宋" w:hAnsi="仿宋" w:eastAsia="仿宋" w:cs="宋体"/>
                <w:kern w:val="0"/>
                <w:szCs w:val="21"/>
              </w:rPr>
              <w:t>吨</w:t>
            </w:r>
          </w:p>
        </w:tc>
        <w:tc>
          <w:tcPr>
            <w:tcW w:w="441" w:type="pct"/>
            <w:shd w:val="clear" w:color="auto" w:fill="auto"/>
            <w:vAlign w:val="center"/>
          </w:tcPr>
          <w:p w14:paraId="36CD4658">
            <w:pPr>
              <w:spacing w:afterLines="0" w:line="240" w:lineRule="auto"/>
              <w:jc w:val="center"/>
              <w:rPr>
                <w:rFonts w:hint="default" w:ascii="仿宋" w:hAnsi="仿宋" w:eastAsia="仿宋"/>
                <w:szCs w:val="21"/>
                <w:lang w:val="en-US" w:eastAsia="zh-CN"/>
              </w:rPr>
            </w:pPr>
            <w:r>
              <w:rPr>
                <w:rFonts w:hint="eastAsia" w:ascii="仿宋" w:hAnsi="仿宋" w:eastAsia="仿宋"/>
                <w:szCs w:val="21"/>
                <w:lang w:val="en-US" w:eastAsia="zh-CN"/>
              </w:rPr>
              <w:t>30</w:t>
            </w:r>
          </w:p>
        </w:tc>
        <w:tc>
          <w:tcPr>
            <w:tcW w:w="804" w:type="pct"/>
            <w:shd w:val="clear" w:color="auto" w:fill="auto"/>
            <w:vAlign w:val="center"/>
          </w:tcPr>
          <w:p w14:paraId="04326E8C">
            <w:pPr>
              <w:spacing w:afterLines="0" w:line="240" w:lineRule="auto"/>
              <w:jc w:val="center"/>
              <w:rPr>
                <w:rFonts w:hint="eastAsia" w:ascii="仿宋" w:hAnsi="仿宋" w:eastAsia="仿宋"/>
                <w:b/>
                <w:bCs/>
                <w:color w:val="FF0000"/>
                <w:szCs w:val="21"/>
              </w:rPr>
            </w:pPr>
            <w:r>
              <w:rPr>
                <w:rFonts w:hint="eastAsia" w:ascii="仿宋" w:hAnsi="仿宋" w:eastAsia="仿宋"/>
                <w:b/>
                <w:bCs/>
                <w:color w:val="FF0000"/>
                <w:szCs w:val="21"/>
              </w:rPr>
              <w:t>（*必填项）</w:t>
            </w:r>
          </w:p>
        </w:tc>
        <w:tc>
          <w:tcPr>
            <w:tcW w:w="670" w:type="pct"/>
            <w:vAlign w:val="center"/>
          </w:tcPr>
          <w:p w14:paraId="7CB7EE9A">
            <w:pPr>
              <w:spacing w:afterLines="0" w:line="240" w:lineRule="auto"/>
              <w:jc w:val="left"/>
              <w:rPr>
                <w:rFonts w:hint="eastAsia" w:ascii="仿宋" w:hAnsi="仿宋" w:eastAsia="仿宋"/>
                <w:b/>
                <w:bCs/>
                <w:szCs w:val="21"/>
              </w:rPr>
            </w:pPr>
            <w:r>
              <w:rPr>
                <w:rFonts w:hint="eastAsia" w:ascii="仿宋" w:hAnsi="仿宋" w:eastAsia="仿宋"/>
                <w:b/>
                <w:bCs/>
                <w:szCs w:val="21"/>
              </w:rPr>
              <w:t>单次送货量</w:t>
            </w:r>
            <w:r>
              <w:rPr>
                <w:rFonts w:hint="eastAsia" w:ascii="仿宋" w:hAnsi="仿宋" w:eastAsia="仿宋"/>
                <w:b/>
                <w:bCs/>
                <w:szCs w:val="21"/>
                <w:lang w:val="en-US" w:eastAsia="zh-CN"/>
              </w:rPr>
              <w:t>≥</w:t>
            </w:r>
            <w:r>
              <w:rPr>
                <w:rFonts w:hint="eastAsia" w:ascii="仿宋" w:hAnsi="仿宋" w:eastAsia="仿宋"/>
                <w:b/>
                <w:bCs/>
                <w:szCs w:val="21"/>
              </w:rPr>
              <w:t>10吨</w:t>
            </w:r>
          </w:p>
        </w:tc>
      </w:tr>
      <w:tr w14:paraId="2857B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657" w:type="pct"/>
            <w:vAlign w:val="center"/>
          </w:tcPr>
          <w:p w14:paraId="68B75ABC">
            <w:pPr>
              <w:pStyle w:val="58"/>
              <w:autoSpaceDE w:val="0"/>
              <w:autoSpaceDN w:val="0"/>
              <w:adjustRightInd w:val="0"/>
              <w:snapToGrid w:val="0"/>
              <w:spacing w:afterLines="0" w:line="240" w:lineRule="auto"/>
              <w:ind w:firstLine="0" w:firstLineChars="0"/>
              <w:jc w:val="center"/>
              <w:rPr>
                <w:rFonts w:hint="default" w:ascii="仿宋" w:hAnsi="仿宋" w:eastAsia="仿宋" w:cs="仿宋"/>
                <w:spacing w:val="-8"/>
                <w:sz w:val="22"/>
                <w:szCs w:val="22"/>
                <w:lang w:val="en-US" w:eastAsia="zh-CN"/>
              </w:rPr>
            </w:pPr>
            <w:r>
              <w:rPr>
                <w:rFonts w:hint="eastAsia" w:ascii="仿宋" w:hAnsi="仿宋" w:eastAsia="仿宋"/>
                <w:b/>
                <w:bCs/>
                <w:szCs w:val="21"/>
              </w:rPr>
              <w:t>*</w:t>
            </w:r>
            <w:r>
              <w:rPr>
                <w:rFonts w:hint="eastAsia" w:ascii="仿宋" w:hAnsi="仿宋" w:eastAsia="仿宋"/>
                <w:b/>
                <w:bCs/>
                <w:szCs w:val="21"/>
                <w:lang w:val="en-US" w:eastAsia="zh-CN"/>
              </w:rPr>
              <w:t>含税总价</w:t>
            </w:r>
            <w:r>
              <w:rPr>
                <w:rFonts w:hint="eastAsia" w:ascii="仿宋" w:hAnsi="仿宋" w:eastAsia="仿宋" w:cs="仿宋"/>
                <w:b/>
                <w:bCs/>
                <w:spacing w:val="-8"/>
                <w:sz w:val="22"/>
                <w:szCs w:val="22"/>
                <w:lang w:val="en-US" w:eastAsia="zh-CN"/>
              </w:rPr>
              <w:t>（元）</w:t>
            </w:r>
          </w:p>
        </w:tc>
        <w:tc>
          <w:tcPr>
            <w:tcW w:w="4342" w:type="pct"/>
            <w:gridSpan w:val="6"/>
            <w:vAlign w:val="center"/>
          </w:tcPr>
          <w:p w14:paraId="290DD716">
            <w:pPr>
              <w:spacing w:afterLines="0" w:line="240" w:lineRule="auto"/>
              <w:jc w:val="center"/>
              <w:rPr>
                <w:rFonts w:hint="eastAsia" w:ascii="仿宋" w:hAnsi="仿宋" w:eastAsia="仿宋"/>
                <w:b/>
                <w:bCs/>
                <w:szCs w:val="21"/>
              </w:rPr>
            </w:pPr>
            <w:r>
              <w:rPr>
                <w:rFonts w:hint="eastAsia" w:ascii="仿宋" w:hAnsi="仿宋" w:eastAsia="仿宋"/>
                <w:b/>
                <w:bCs/>
                <w:color w:val="FF0000"/>
                <w:szCs w:val="21"/>
              </w:rPr>
              <w:t>（*必填项）</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57" w:type="pct"/>
            <w:vAlign w:val="center"/>
          </w:tcPr>
          <w:p w14:paraId="647920B1">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1857" w:type="pct"/>
            <w:gridSpan w:val="2"/>
            <w:vAlign w:val="center"/>
          </w:tcPr>
          <w:p w14:paraId="15E803E4">
            <w:pPr>
              <w:spacing w:afterLines="0" w:line="300" w:lineRule="exact"/>
              <w:jc w:val="center"/>
              <w:rPr>
                <w:rFonts w:hint="eastAsia" w:ascii="仿宋" w:hAnsi="仿宋" w:eastAsia="仿宋"/>
                <w:szCs w:val="21"/>
              </w:rPr>
            </w:pPr>
            <w:r>
              <w:rPr>
                <w:rFonts w:hint="eastAsia" w:ascii="仿宋" w:hAnsi="仿宋" w:eastAsia="仿宋"/>
                <w:color w:val="auto"/>
                <w:szCs w:val="21"/>
              </w:rPr>
              <w:t>增值税专用发票</w:t>
            </w:r>
          </w:p>
        </w:tc>
        <w:tc>
          <w:tcPr>
            <w:tcW w:w="568" w:type="pct"/>
            <w:vAlign w:val="center"/>
          </w:tcPr>
          <w:p w14:paraId="00E9F04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916" w:type="pct"/>
            <w:gridSpan w:val="3"/>
            <w:vAlign w:val="center"/>
          </w:tcPr>
          <w:p w14:paraId="29B3EBAD">
            <w:pPr>
              <w:spacing w:afterLines="0" w:line="300" w:lineRule="exact"/>
              <w:jc w:val="center"/>
              <w:rPr>
                <w:rFonts w:hint="eastAsia" w:ascii="仿宋" w:hAnsi="仿宋" w:eastAsia="仿宋"/>
                <w:szCs w:val="21"/>
              </w:rPr>
            </w:pPr>
            <w:r>
              <w:rPr>
                <w:rFonts w:hint="eastAsia" w:ascii="仿宋" w:hAnsi="仿宋" w:eastAsia="仿宋"/>
                <w:b/>
                <w:bCs/>
                <w:color w:val="FF0000"/>
                <w:szCs w:val="21"/>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57" w:type="pct"/>
            <w:vAlign w:val="center"/>
          </w:tcPr>
          <w:p w14:paraId="1CB5040B">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342" w:type="pct"/>
            <w:gridSpan w:val="6"/>
            <w:vAlign w:val="center"/>
          </w:tcPr>
          <w:p w14:paraId="6768D3EA">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按月核对，</w:t>
            </w:r>
            <w:r>
              <w:rPr>
                <w:rFonts w:hint="eastAsia" w:ascii="仿宋" w:hAnsi="仿宋" w:eastAsia="仿宋" w:cs="仿宋"/>
                <w:szCs w:val="21"/>
              </w:rPr>
              <w:t>每月</w:t>
            </w:r>
            <w:r>
              <w:rPr>
                <w:rFonts w:hint="eastAsia" w:ascii="仿宋" w:hAnsi="仿宋" w:eastAsia="仿宋" w:cs="仿宋"/>
                <w:szCs w:val="21"/>
                <w:u w:val="single"/>
              </w:rPr>
              <w:t>25日</w:t>
            </w:r>
            <w:r>
              <w:rPr>
                <w:rFonts w:hint="eastAsia" w:ascii="仿宋" w:hAnsi="仿宋" w:eastAsia="仿宋" w:cs="仿宋"/>
                <w:szCs w:val="21"/>
              </w:rPr>
              <w:t>核对本月已经验收合格的产品采购数量及价款</w:t>
            </w:r>
            <w:r>
              <w:rPr>
                <w:rFonts w:hint="eastAsia" w:ascii="仿宋" w:hAnsi="仿宋" w:eastAsia="仿宋" w:cs="仿宋"/>
                <w:bCs/>
                <w:color w:val="000000"/>
                <w:szCs w:val="21"/>
              </w:rPr>
              <w:t>，中选人提供费用付款申请、经双方验收核对无误的证明文件及国家税务正式的 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57" w:type="pct"/>
            <w:vAlign w:val="center"/>
          </w:tcPr>
          <w:p w14:paraId="1CBEC87A">
            <w:pPr>
              <w:spacing w:afterLines="0" w:line="300" w:lineRule="exact"/>
              <w:jc w:val="center"/>
              <w:rPr>
                <w:rFonts w:hint="eastAsia" w:ascii="仿宋" w:hAnsi="仿宋" w:eastAsia="仿宋"/>
                <w:szCs w:val="21"/>
              </w:rPr>
            </w:pPr>
            <w:r>
              <w:rPr>
                <w:rFonts w:hint="eastAsia" w:ascii="仿宋" w:hAnsi="仿宋" w:eastAsia="仿宋"/>
                <w:szCs w:val="21"/>
              </w:rPr>
              <w:t>*供货期</w:t>
            </w:r>
          </w:p>
        </w:tc>
        <w:tc>
          <w:tcPr>
            <w:tcW w:w="1857" w:type="pct"/>
            <w:gridSpan w:val="2"/>
            <w:vAlign w:val="center"/>
          </w:tcPr>
          <w:p w14:paraId="5E1DB866">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成交供应商接到采购人通知后须24小时内送达，紧急情况下12小时内送达</w:t>
            </w:r>
          </w:p>
        </w:tc>
        <w:tc>
          <w:tcPr>
            <w:tcW w:w="568" w:type="pct"/>
            <w:vAlign w:val="center"/>
          </w:tcPr>
          <w:p w14:paraId="35381738">
            <w:pPr>
              <w:spacing w:afterLines="0" w:line="300" w:lineRule="exact"/>
              <w:jc w:val="left"/>
              <w:rPr>
                <w:rFonts w:hint="eastAsia" w:ascii="仿宋" w:hAnsi="仿宋" w:eastAsia="仿宋"/>
                <w:szCs w:val="21"/>
              </w:rPr>
            </w:pPr>
            <w:r>
              <w:rPr>
                <w:rFonts w:hint="eastAsia" w:ascii="仿宋" w:hAnsi="仿宋" w:eastAsia="仿宋"/>
                <w:szCs w:val="21"/>
              </w:rPr>
              <w:t>质保期</w:t>
            </w:r>
          </w:p>
        </w:tc>
        <w:tc>
          <w:tcPr>
            <w:tcW w:w="1916" w:type="pct"/>
            <w:gridSpan w:val="3"/>
            <w:vAlign w:val="center"/>
          </w:tcPr>
          <w:p w14:paraId="43DF83FA">
            <w:pPr>
              <w:spacing w:afterLines="0" w:line="300" w:lineRule="exact"/>
              <w:jc w:val="left"/>
              <w:rPr>
                <w:rFonts w:hint="eastAsia" w:ascii="仿宋" w:hAnsi="仿宋" w:eastAsia="仿宋"/>
                <w:szCs w:val="21"/>
              </w:rPr>
            </w:pPr>
            <w:r>
              <w:rPr>
                <w:rFonts w:hint="eastAsia" w:ascii="仿宋" w:hAnsi="仿宋" w:eastAsia="仿宋"/>
                <w:szCs w:val="21"/>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Cs w:val="21"/>
              </w:rPr>
            </w:pPr>
            <w:r>
              <w:rPr>
                <w:rFonts w:hint="eastAsia" w:ascii="仿宋" w:hAnsi="仿宋" w:eastAsia="仿宋"/>
                <w:szCs w:val="21"/>
              </w:rPr>
              <w:t>1、如使用本报价单模板，标“*”为必填项;</w:t>
            </w:r>
          </w:p>
          <w:p w14:paraId="4FDF6E69">
            <w:pPr>
              <w:spacing w:afterLines="0" w:line="300" w:lineRule="exact"/>
              <w:jc w:val="left"/>
              <w:rPr>
                <w:rFonts w:hint="eastAsia" w:ascii="仿宋" w:hAnsi="仿宋" w:eastAsia="仿宋"/>
                <w:szCs w:val="21"/>
              </w:rPr>
            </w:pPr>
            <w:r>
              <w:rPr>
                <w:rFonts w:hint="eastAsia" w:ascii="仿宋" w:hAnsi="仿宋" w:eastAsia="仿宋"/>
                <w:szCs w:val="21"/>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w:t>
            </w:r>
            <w:r>
              <w:rPr>
                <w:rFonts w:hint="eastAsia" w:ascii="仿宋" w:hAnsi="仿宋" w:eastAsia="仿宋"/>
                <w:b/>
                <w:bCs/>
                <w:szCs w:val="21"/>
                <w:lang w:val="en-US" w:eastAsia="zh-CN"/>
              </w:rPr>
              <w:t>总</w:t>
            </w:r>
            <w:r>
              <w:rPr>
                <w:rFonts w:hint="eastAsia" w:ascii="仿宋" w:hAnsi="仿宋" w:eastAsia="仿宋"/>
                <w:b/>
                <w:bCs/>
                <w:szCs w:val="21"/>
              </w:rPr>
              <w:t>价进行对比，参选单位需填报含税</w:t>
            </w:r>
            <w:r>
              <w:rPr>
                <w:rFonts w:hint="eastAsia" w:ascii="仿宋" w:hAnsi="仿宋" w:eastAsia="仿宋"/>
                <w:b/>
                <w:bCs/>
                <w:szCs w:val="21"/>
                <w:lang w:val="en-US" w:eastAsia="zh-CN"/>
              </w:rPr>
              <w:t>单</w:t>
            </w:r>
            <w:r>
              <w:rPr>
                <w:rFonts w:hint="eastAsia" w:ascii="仿宋" w:hAnsi="仿宋" w:eastAsia="仿宋"/>
                <w:b/>
                <w:bCs/>
                <w:szCs w:val="21"/>
              </w:rPr>
              <w:t>价</w:t>
            </w:r>
            <w:r>
              <w:rPr>
                <w:rFonts w:hint="eastAsia" w:ascii="仿宋" w:hAnsi="仿宋" w:eastAsia="仿宋"/>
                <w:b/>
                <w:bCs/>
                <w:szCs w:val="21"/>
                <w:lang w:eastAsia="zh-CN"/>
              </w:rPr>
              <w:t>、</w:t>
            </w:r>
            <w:r>
              <w:rPr>
                <w:rFonts w:hint="eastAsia" w:ascii="仿宋" w:hAnsi="仿宋" w:eastAsia="仿宋"/>
                <w:b/>
                <w:bCs/>
                <w:szCs w:val="21"/>
                <w:lang w:val="en-US" w:eastAsia="zh-CN"/>
              </w:rPr>
              <w:t>含税总价</w:t>
            </w:r>
            <w:r>
              <w:rPr>
                <w:rFonts w:hint="eastAsia" w:ascii="仿宋" w:hAnsi="仿宋" w:eastAsia="仿宋"/>
                <w:b/>
                <w:bCs/>
                <w:szCs w:val="21"/>
              </w:rPr>
              <w:t>及税率</w:t>
            </w:r>
            <w:r>
              <w:rPr>
                <w:rFonts w:hint="eastAsia" w:ascii="仿宋" w:hAnsi="仿宋" w:eastAsia="仿宋"/>
                <w:b/>
                <w:bCs/>
                <w:szCs w:val="21"/>
                <w:lang w:eastAsia="zh-CN"/>
              </w:rPr>
              <w:t>；</w:t>
            </w:r>
            <w:r>
              <w:rPr>
                <w:rFonts w:hint="eastAsia" w:ascii="仿宋" w:hAnsi="仿宋" w:eastAsia="仿宋"/>
                <w:b/>
                <w:bCs/>
                <w:szCs w:val="21"/>
                <w:lang w:val="en-US" w:eastAsia="zh-CN"/>
              </w:rPr>
              <w:t>报价不含税总价计算有误的，以不含税单价报价为准修正总价</w:t>
            </w:r>
            <w:r>
              <w:rPr>
                <w:rFonts w:hint="eastAsia" w:ascii="仿宋" w:hAnsi="仿宋" w:eastAsia="仿宋"/>
                <w:b/>
                <w:bCs/>
                <w:szCs w:val="21"/>
              </w:rPr>
              <w:t>。</w:t>
            </w:r>
          </w:p>
          <w:p w14:paraId="6E33C147">
            <w:pPr>
              <w:spacing w:afterLines="0" w:line="300" w:lineRule="exact"/>
              <w:jc w:val="left"/>
              <w:rPr>
                <w:rFonts w:hint="eastAsia" w:ascii="仿宋" w:hAnsi="仿宋" w:eastAsia="仿宋"/>
                <w:b/>
                <w:bCs/>
                <w:szCs w:val="21"/>
              </w:rPr>
            </w:pPr>
            <w:r>
              <w:rPr>
                <w:rFonts w:hint="eastAsia" w:ascii="仿宋" w:hAnsi="仿宋" w:eastAsia="仿宋"/>
                <w:b/>
                <w:bCs/>
                <w:szCs w:val="21"/>
              </w:rPr>
              <w:t>4、本次采购签订单价合同，据实结算；</w:t>
            </w:r>
          </w:p>
          <w:p w14:paraId="71CD8BAB">
            <w:pPr>
              <w:spacing w:afterLines="0" w:line="300" w:lineRule="exact"/>
              <w:jc w:val="left"/>
              <w:rPr>
                <w:rFonts w:hint="eastAsia" w:ascii="仿宋" w:hAnsi="仿宋" w:eastAsia="仿宋"/>
                <w:b/>
                <w:bCs/>
                <w:szCs w:val="21"/>
              </w:rPr>
            </w:pPr>
            <w:r>
              <w:rPr>
                <w:rFonts w:hint="eastAsia" w:ascii="仿宋" w:hAnsi="仿宋" w:eastAsia="仿宋"/>
                <w:b/>
                <w:bCs/>
                <w:szCs w:val="21"/>
              </w:rPr>
              <w:t>5.不含税价计算方式:不含税价=含税价/(1+税率)；</w:t>
            </w:r>
          </w:p>
          <w:p w14:paraId="528ABAC7">
            <w:pPr>
              <w:spacing w:afterLines="0" w:line="300" w:lineRule="exact"/>
              <w:ind w:left="0" w:leftChars="0" w:firstLine="0" w:firstLineChars="0"/>
              <w:jc w:val="left"/>
              <w:rPr>
                <w:rFonts w:hint="eastAsia" w:ascii="仿宋" w:hAnsi="仿宋" w:eastAsia="仿宋"/>
                <w:b/>
                <w:bCs/>
                <w:szCs w:val="21"/>
              </w:rPr>
            </w:pPr>
            <w:r>
              <w:rPr>
                <w:rFonts w:hint="eastAsia" w:ascii="仿宋" w:hAnsi="仿宋" w:eastAsia="仿宋"/>
                <w:b/>
                <w:bCs/>
                <w:szCs w:val="21"/>
              </w:rPr>
              <w:t>不含税总价计算方式：不含税总价=（项次1数量*项次1不含税单价）+（项次2数量*项次2不含税单价）；</w:t>
            </w:r>
          </w:p>
          <w:p w14:paraId="2F2C330B">
            <w:pPr>
              <w:spacing w:afterLines="0" w:line="300" w:lineRule="exact"/>
              <w:jc w:val="left"/>
              <w:rPr>
                <w:rFonts w:hint="eastAsia" w:ascii="仿宋" w:hAnsi="仿宋" w:eastAsia="仿宋"/>
                <w:szCs w:val="21"/>
              </w:rPr>
            </w:pPr>
            <w:r>
              <w:rPr>
                <w:rFonts w:hint="eastAsia" w:ascii="仿宋" w:hAnsi="仿宋" w:eastAsia="仿宋"/>
                <w:szCs w:val="21"/>
              </w:rPr>
              <w:t>6、以上报价为最终报价，无现场议价，报价人参与报价即视为已知悉并接受该情况。</w:t>
            </w:r>
          </w:p>
        </w:tc>
      </w:tr>
    </w:tbl>
    <w:p w14:paraId="4E1937C0">
      <w:pPr>
        <w:wordWrap w:val="0"/>
        <w:snapToGrid w:val="0"/>
        <w:spacing w:before="312" w:beforeLines="100"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387CA441">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5" w:type="first"/>
      <w:footerReference r:id="rId18" w:type="first"/>
      <w:headerReference r:id="rId13" w:type="default"/>
      <w:footerReference r:id="rId16" w:type="default"/>
      <w:headerReference r:id="rId14" w:type="even"/>
      <w:footerReference r:id="rId17"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60F1B0C4-C3C2-4691-A122-F4E048F57B1E}"/>
  </w:font>
  <w:font w:name="宋体">
    <w:panose1 w:val="02010600030101010101"/>
    <w:charset w:val="7A"/>
    <w:family w:val="auto"/>
    <w:pitch w:val="default"/>
    <w:sig w:usb0="00000203" w:usb1="288F0000" w:usb2="00000006" w:usb3="00000000" w:csb0="00040001" w:csb1="00000000"/>
    <w:embedRegular r:id="rId2" w:fontKey="{56C2092D-25B5-4DB5-84F4-3E8E54B5CAE8}"/>
  </w:font>
  <w:font w:name="Wingdings">
    <w:panose1 w:val="05000000000000000000"/>
    <w:charset w:val="02"/>
    <w:family w:val="auto"/>
    <w:pitch w:val="default"/>
    <w:sig w:usb0="00000000" w:usb1="00000000" w:usb2="00000000" w:usb3="00000000" w:csb0="80000000" w:csb1="00000000"/>
    <w:embedRegular r:id="rId3" w:fontKey="{8B7083AC-C936-4023-A8FD-A2FB9EB120F7}"/>
  </w:font>
  <w:font w:name="Arial">
    <w:panose1 w:val="020B0604020202020204"/>
    <w:charset w:val="01"/>
    <w:family w:val="swiss"/>
    <w:pitch w:val="default"/>
    <w:sig w:usb0="E0002EFF" w:usb1="C000785B" w:usb2="00000009" w:usb3="00000000" w:csb0="400001FF" w:csb1="FFFF0000"/>
    <w:embedRegular r:id="rId4" w:fontKey="{04D27352-C764-43DD-AD07-09332E1492AA}"/>
  </w:font>
  <w:font w:name="黑体">
    <w:panose1 w:val="02010609060101010101"/>
    <w:charset w:val="86"/>
    <w:family w:val="auto"/>
    <w:pitch w:val="default"/>
    <w:sig w:usb0="800002BF" w:usb1="38CF7CFA" w:usb2="00000016" w:usb3="00000000" w:csb0="00040001" w:csb1="00000000"/>
    <w:embedRegular r:id="rId5" w:fontKey="{079490C1-1BD9-42C0-B34E-8EC7849BE24E}"/>
  </w:font>
  <w:font w:name="Courier New">
    <w:panose1 w:val="02070309020205020404"/>
    <w:charset w:val="01"/>
    <w:family w:val="modern"/>
    <w:pitch w:val="default"/>
    <w:sig w:usb0="E0002EFF" w:usb1="C0007843" w:usb2="00000009" w:usb3="00000000" w:csb0="400001FF" w:csb1="FFFF0000"/>
    <w:embedRegular r:id="rId6" w:fontKey="{DFF25FD1-9E32-45B0-B0CA-54E5ECB5CFDC}"/>
  </w:font>
  <w:font w:name="Symbol">
    <w:panose1 w:val="05050102010706020507"/>
    <w:charset w:val="02"/>
    <w:family w:val="roman"/>
    <w:pitch w:val="default"/>
    <w:sig w:usb0="00000000" w:usb1="00000000" w:usb2="00000000" w:usb3="00000000" w:csb0="80000000" w:csb1="00000000"/>
    <w:embedRegular r:id="rId7" w:fontKey="{BF6EBEDE-A997-4AFE-B2CE-C6F8D0365D88}"/>
  </w:font>
  <w:font w:name="Calibri">
    <w:panose1 w:val="020F0502020204030204"/>
    <w:charset w:val="00"/>
    <w:family w:val="swiss"/>
    <w:pitch w:val="default"/>
    <w:sig w:usb0="E4002EFF" w:usb1="C200247B" w:usb2="00000009" w:usb3="00000000" w:csb0="200001FF" w:csb1="00000000"/>
    <w:embedRegular r:id="rId8" w:fontKey="{6274DC08-B10E-4B14-9F18-0F1944AFA234}"/>
  </w:font>
  <w:font w:name="Calibri Light">
    <w:panose1 w:val="020F0302020204030204"/>
    <w:charset w:val="00"/>
    <w:family w:val="swiss"/>
    <w:pitch w:val="default"/>
    <w:sig w:usb0="E4002EFF" w:usb1="C200247B" w:usb2="00000009" w:usb3="00000000" w:csb0="200001FF" w:csb1="00000000"/>
    <w:embedRegular r:id="rId9" w:fontKey="{2C35ACC1-BF45-49DC-8C0F-2D9F87CFAA85}"/>
  </w:font>
  <w:font w:name="Cambria">
    <w:panose1 w:val="02040503050406030204"/>
    <w:charset w:val="00"/>
    <w:family w:val="roman"/>
    <w:pitch w:val="default"/>
    <w:sig w:usb0="E00006FF" w:usb1="420024FF" w:usb2="02000000" w:usb3="00000000" w:csb0="2000019F" w:csb1="00000000"/>
    <w:embedRegular r:id="rId10" w:fontKey="{F296269D-0C07-4976-99BE-73A19F2F2BC9}"/>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97F55D46-D58A-4E99-BCDD-F637886FC561}"/>
  </w:font>
  <w:font w:name="方正小标宋简体">
    <w:panose1 w:val="02010600010101010101"/>
    <w:charset w:val="86"/>
    <w:family w:val="auto"/>
    <w:pitch w:val="default"/>
    <w:sig w:usb0="00000001" w:usb1="080E0000" w:usb2="00000000" w:usb3="00000000" w:csb0="00040000" w:csb1="00000000"/>
    <w:embedRegular r:id="rId12" w:fontKey="{26E0BDEF-7952-4474-99F6-65B98279FD13}"/>
  </w:font>
  <w:font w:name="长城小">
    <w:altName w:val="宋体"/>
    <w:panose1 w:val="00000000000000000000"/>
    <w:charset w:val="86"/>
    <w:family w:val="modern"/>
    <w:pitch w:val="default"/>
    <w:sig w:usb0="00000000" w:usb1="00000000" w:usb2="00000000" w:usb3="00000000" w:csb0="00040001" w:csb1="00000000"/>
    <w:embedRegular r:id="rId13" w:fontKey="{CD1A36D4-466E-4980-8A28-F9F585BCDFFB}"/>
  </w:font>
  <w:font w:name="长城小标宋体">
    <w:altName w:val="宋体"/>
    <w:panose1 w:val="00000000000000000000"/>
    <w:charset w:val="86"/>
    <w:family w:val="auto"/>
    <w:pitch w:val="default"/>
    <w:sig w:usb0="00000000" w:usb1="00000000" w:usb2="00000000" w:usb3="00000000" w:csb0="00000000" w:csb1="00000000"/>
    <w:embedRegular r:id="rId14" w:fontKey="{F3D31A38-CC76-438E-B78E-DB24BFC1C9B8}"/>
  </w:font>
  <w:font w:name="仿宋">
    <w:panose1 w:val="02010609060101010101"/>
    <w:charset w:val="86"/>
    <w:family w:val="modern"/>
    <w:pitch w:val="default"/>
    <w:sig w:usb0="800002BF" w:usb1="38CF7CFA" w:usb2="00000016" w:usb3="00000000" w:csb0="00040001" w:csb1="00000000"/>
    <w:embedRegular r:id="rId15" w:fontKey="{F354AAAD-1268-411D-B97A-B0F4E9848FA8}"/>
  </w:font>
  <w:font w:name="微软雅黑">
    <w:panose1 w:val="020B0503020204020204"/>
    <w:charset w:val="86"/>
    <w:family w:val="swiss"/>
    <w:pitch w:val="default"/>
    <w:sig w:usb0="80000287" w:usb1="2ACF3C50" w:usb2="00000016" w:usb3="00000000" w:csb0="0004001F" w:csb1="00000000"/>
    <w:embedRegular r:id="rId16" w:fontKey="{D3189245-FE1A-432B-9B80-432CF3B4C377}"/>
  </w:font>
  <w:font w:name="Times New Roman Regular">
    <w:altName w:val="Times New Roman"/>
    <w:panose1 w:val="00000000000000000000"/>
    <w:charset w:val="00"/>
    <w:family w:val="auto"/>
    <w:pitch w:val="default"/>
    <w:sig w:usb0="00000000" w:usb1="00000000" w:usb2="00000009" w:usb3="00000000" w:csb0="400001FF" w:csb1="FFFF0000"/>
    <w:embedRegular r:id="rId17" w:fontKey="{985A5741-07BF-4BF3-B4E1-43D0C41D9C3B}"/>
  </w:font>
  <w:font w:name="Wingdings 2">
    <w:panose1 w:val="05020102010507070707"/>
    <w:charset w:val="02"/>
    <w:family w:val="roman"/>
    <w:pitch w:val="default"/>
    <w:sig w:usb0="00000000" w:usb1="00000000" w:usb2="00000000" w:usb3="00000000" w:csb0="80000000" w:csb1="00000000"/>
    <w:embedRegular r:id="rId18" w:fontKey="{0594FE77-D940-481C-8E9E-EFA302C6FF70}"/>
  </w:font>
  <w:font w:name="WPSEMBED1">
    <w:panose1 w:val="02010609030101010101"/>
    <w:charset w:val="86"/>
    <w:family w:val="auto"/>
    <w:pitch w:val="default"/>
    <w:sig w:usb0="00000001" w:usb1="080E0000" w:usb2="00000000" w:usb3="00000000" w:csb0="00040000" w:csb1="00000000"/>
  </w:font>
  <w:font w:name="WPSEMBED2">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CBA7D">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AFEA05">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78AFEA05">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FBA88F">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278595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0278595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E7CF2"/>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C2C5A"/>
    <w:rsid w:val="02185A90"/>
    <w:rsid w:val="03795884"/>
    <w:rsid w:val="03966FA9"/>
    <w:rsid w:val="03D9246C"/>
    <w:rsid w:val="04A20595"/>
    <w:rsid w:val="05754E07"/>
    <w:rsid w:val="06467AD6"/>
    <w:rsid w:val="06596A24"/>
    <w:rsid w:val="06710406"/>
    <w:rsid w:val="06A51204"/>
    <w:rsid w:val="06D473AA"/>
    <w:rsid w:val="06F9F432"/>
    <w:rsid w:val="079756C5"/>
    <w:rsid w:val="079E06FB"/>
    <w:rsid w:val="08244108"/>
    <w:rsid w:val="08420CAE"/>
    <w:rsid w:val="0A363213"/>
    <w:rsid w:val="0A886720"/>
    <w:rsid w:val="0AA1428C"/>
    <w:rsid w:val="0AD251DE"/>
    <w:rsid w:val="0B0E30C9"/>
    <w:rsid w:val="0CD00C0D"/>
    <w:rsid w:val="0D7F8C1E"/>
    <w:rsid w:val="0D970DF6"/>
    <w:rsid w:val="0D9E3895"/>
    <w:rsid w:val="0DAFDDD2"/>
    <w:rsid w:val="0E4211FE"/>
    <w:rsid w:val="0EE17277"/>
    <w:rsid w:val="0FD61205"/>
    <w:rsid w:val="10C42B13"/>
    <w:rsid w:val="10DD77C5"/>
    <w:rsid w:val="10E7084B"/>
    <w:rsid w:val="10F22522"/>
    <w:rsid w:val="11C42C96"/>
    <w:rsid w:val="12855EB3"/>
    <w:rsid w:val="12B03F39"/>
    <w:rsid w:val="134E717A"/>
    <w:rsid w:val="135D7FEE"/>
    <w:rsid w:val="13AFEC81"/>
    <w:rsid w:val="15DB44F0"/>
    <w:rsid w:val="166564D0"/>
    <w:rsid w:val="16D57CE5"/>
    <w:rsid w:val="172377DF"/>
    <w:rsid w:val="185C5D2A"/>
    <w:rsid w:val="18AC73A6"/>
    <w:rsid w:val="18CD7911"/>
    <w:rsid w:val="196910DF"/>
    <w:rsid w:val="199164D0"/>
    <w:rsid w:val="1A044DDE"/>
    <w:rsid w:val="1B3E617D"/>
    <w:rsid w:val="1B3FC108"/>
    <w:rsid w:val="1B4A37C8"/>
    <w:rsid w:val="1BBF5AD0"/>
    <w:rsid w:val="1BEB3248"/>
    <w:rsid w:val="1BFB4A9B"/>
    <w:rsid w:val="1BFE3282"/>
    <w:rsid w:val="1CE758FD"/>
    <w:rsid w:val="1CFC7B12"/>
    <w:rsid w:val="1E870D13"/>
    <w:rsid w:val="1EC75BA1"/>
    <w:rsid w:val="1F0329CF"/>
    <w:rsid w:val="1F0F1A56"/>
    <w:rsid w:val="1F7F9C30"/>
    <w:rsid w:val="1FA372AD"/>
    <w:rsid w:val="1FB39FF7"/>
    <w:rsid w:val="1FB54372"/>
    <w:rsid w:val="1FEC089C"/>
    <w:rsid w:val="1FFF4E3F"/>
    <w:rsid w:val="20077A2D"/>
    <w:rsid w:val="2089134F"/>
    <w:rsid w:val="208923CA"/>
    <w:rsid w:val="212271A1"/>
    <w:rsid w:val="218755AB"/>
    <w:rsid w:val="23884315"/>
    <w:rsid w:val="23935A5B"/>
    <w:rsid w:val="247022A7"/>
    <w:rsid w:val="24B95082"/>
    <w:rsid w:val="24C1046C"/>
    <w:rsid w:val="252E7B8D"/>
    <w:rsid w:val="257FF5EF"/>
    <w:rsid w:val="26DC0652"/>
    <w:rsid w:val="27BED872"/>
    <w:rsid w:val="27C81105"/>
    <w:rsid w:val="28AF13DB"/>
    <w:rsid w:val="296A3A6F"/>
    <w:rsid w:val="29E9B391"/>
    <w:rsid w:val="2AFDB16C"/>
    <w:rsid w:val="2B7D8E96"/>
    <w:rsid w:val="2B93647B"/>
    <w:rsid w:val="2B9B7C50"/>
    <w:rsid w:val="2C87EFA4"/>
    <w:rsid w:val="2C9B569A"/>
    <w:rsid w:val="2CB37F14"/>
    <w:rsid w:val="2CBC077F"/>
    <w:rsid w:val="2CBF0577"/>
    <w:rsid w:val="2CEFA2BD"/>
    <w:rsid w:val="2D9E346A"/>
    <w:rsid w:val="2DCA5054"/>
    <w:rsid w:val="2DFD3BC0"/>
    <w:rsid w:val="2E4E7069"/>
    <w:rsid w:val="2EFF028F"/>
    <w:rsid w:val="2EFF0385"/>
    <w:rsid w:val="2F177DFE"/>
    <w:rsid w:val="2FC41EBA"/>
    <w:rsid w:val="2FDFB298"/>
    <w:rsid w:val="2FEBB001"/>
    <w:rsid w:val="30333B81"/>
    <w:rsid w:val="30BF60A9"/>
    <w:rsid w:val="30EE09A0"/>
    <w:rsid w:val="31875FCE"/>
    <w:rsid w:val="32806E68"/>
    <w:rsid w:val="32AA74CF"/>
    <w:rsid w:val="335E6B36"/>
    <w:rsid w:val="33923FE8"/>
    <w:rsid w:val="340239A8"/>
    <w:rsid w:val="340E3EBE"/>
    <w:rsid w:val="346B2113"/>
    <w:rsid w:val="35B91CC2"/>
    <w:rsid w:val="35FF7EAC"/>
    <w:rsid w:val="363F59A9"/>
    <w:rsid w:val="36B91E0A"/>
    <w:rsid w:val="373A6320"/>
    <w:rsid w:val="377B856B"/>
    <w:rsid w:val="377C4D93"/>
    <w:rsid w:val="37FEEEDA"/>
    <w:rsid w:val="380C2D0A"/>
    <w:rsid w:val="382611A3"/>
    <w:rsid w:val="387A052E"/>
    <w:rsid w:val="387C5D6A"/>
    <w:rsid w:val="391FB7C6"/>
    <w:rsid w:val="3956852C"/>
    <w:rsid w:val="397D4866"/>
    <w:rsid w:val="39A6786D"/>
    <w:rsid w:val="39DE4D7B"/>
    <w:rsid w:val="3A3B0BB3"/>
    <w:rsid w:val="3A51BFC5"/>
    <w:rsid w:val="3A7647DA"/>
    <w:rsid w:val="3AFD93B8"/>
    <w:rsid w:val="3B1F391F"/>
    <w:rsid w:val="3B459C86"/>
    <w:rsid w:val="3B5F884B"/>
    <w:rsid w:val="3B7D4680"/>
    <w:rsid w:val="3B8A6E28"/>
    <w:rsid w:val="3B95BADD"/>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470DF8"/>
    <w:rsid w:val="417EEE12"/>
    <w:rsid w:val="418D0AFC"/>
    <w:rsid w:val="421D078B"/>
    <w:rsid w:val="423A5D78"/>
    <w:rsid w:val="42652233"/>
    <w:rsid w:val="44131682"/>
    <w:rsid w:val="44292F68"/>
    <w:rsid w:val="44916958"/>
    <w:rsid w:val="450D2D56"/>
    <w:rsid w:val="46D81C53"/>
    <w:rsid w:val="477F8B44"/>
    <w:rsid w:val="48290A2B"/>
    <w:rsid w:val="4851744E"/>
    <w:rsid w:val="48D84455"/>
    <w:rsid w:val="49973E4D"/>
    <w:rsid w:val="499B1895"/>
    <w:rsid w:val="49C317F9"/>
    <w:rsid w:val="4ACDDF1D"/>
    <w:rsid w:val="4AFC0007"/>
    <w:rsid w:val="4B5E27AD"/>
    <w:rsid w:val="4B7C0820"/>
    <w:rsid w:val="4BBA3990"/>
    <w:rsid w:val="4BBE0EDA"/>
    <w:rsid w:val="4BF003C7"/>
    <w:rsid w:val="4BFC5307"/>
    <w:rsid w:val="4C8F4F48"/>
    <w:rsid w:val="4CAE4DEE"/>
    <w:rsid w:val="4DD91081"/>
    <w:rsid w:val="4DFF1032"/>
    <w:rsid w:val="4EFDA9D6"/>
    <w:rsid w:val="4EFF30A2"/>
    <w:rsid w:val="4F10078B"/>
    <w:rsid w:val="4F155DA1"/>
    <w:rsid w:val="4F4F0D8E"/>
    <w:rsid w:val="4F520E7C"/>
    <w:rsid w:val="4FF9BA94"/>
    <w:rsid w:val="4FFC2348"/>
    <w:rsid w:val="50167464"/>
    <w:rsid w:val="504B2AA6"/>
    <w:rsid w:val="51EF0DBA"/>
    <w:rsid w:val="52321448"/>
    <w:rsid w:val="52FF1484"/>
    <w:rsid w:val="53164D13"/>
    <w:rsid w:val="53F36D01"/>
    <w:rsid w:val="53FD523A"/>
    <w:rsid w:val="545C420A"/>
    <w:rsid w:val="54DE7F5F"/>
    <w:rsid w:val="54EA33D7"/>
    <w:rsid w:val="55214149"/>
    <w:rsid w:val="557F0F30"/>
    <w:rsid w:val="559E5CE3"/>
    <w:rsid w:val="56725AB1"/>
    <w:rsid w:val="56B12911"/>
    <w:rsid w:val="56DD8954"/>
    <w:rsid w:val="57AFC3C2"/>
    <w:rsid w:val="57CC5C5D"/>
    <w:rsid w:val="584D6CAB"/>
    <w:rsid w:val="58B21AB7"/>
    <w:rsid w:val="59632793"/>
    <w:rsid w:val="599107AF"/>
    <w:rsid w:val="59B3044E"/>
    <w:rsid w:val="59FF3A15"/>
    <w:rsid w:val="5AFFC0B6"/>
    <w:rsid w:val="5BFAA3C6"/>
    <w:rsid w:val="5C163B75"/>
    <w:rsid w:val="5D69DE7E"/>
    <w:rsid w:val="5D7BEC1C"/>
    <w:rsid w:val="5DD142E6"/>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33C8FA8"/>
    <w:rsid w:val="633F0871"/>
    <w:rsid w:val="637FE448"/>
    <w:rsid w:val="63BC1BB4"/>
    <w:rsid w:val="63BD36A8"/>
    <w:rsid w:val="63F06F1A"/>
    <w:rsid w:val="649D52EE"/>
    <w:rsid w:val="653465C2"/>
    <w:rsid w:val="654FD8A0"/>
    <w:rsid w:val="65682C49"/>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D350F65"/>
    <w:rsid w:val="6D36FBAA"/>
    <w:rsid w:val="6DE7364E"/>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D3FAB0"/>
    <w:rsid w:val="72303D87"/>
    <w:rsid w:val="736234E5"/>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130B57"/>
    <w:rsid w:val="787BD127"/>
    <w:rsid w:val="78DFF50A"/>
    <w:rsid w:val="79BB9841"/>
    <w:rsid w:val="79DF1FD7"/>
    <w:rsid w:val="7A20571A"/>
    <w:rsid w:val="7A5F0597"/>
    <w:rsid w:val="7A801888"/>
    <w:rsid w:val="7ABF0B18"/>
    <w:rsid w:val="7ADFE466"/>
    <w:rsid w:val="7B6EDD4B"/>
    <w:rsid w:val="7B737D6F"/>
    <w:rsid w:val="7BBD36C3"/>
    <w:rsid w:val="7BC6D504"/>
    <w:rsid w:val="7BD75F15"/>
    <w:rsid w:val="7BF51143"/>
    <w:rsid w:val="7BF813C9"/>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10890</Words>
  <Characters>11361</Characters>
  <Lines>12</Lines>
  <Paragraphs>23</Paragraphs>
  <TotalTime>28</TotalTime>
  <ScaleCrop>false</ScaleCrop>
  <LinksUpToDate>false</LinksUpToDate>
  <CharactersWithSpaces>11955</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2025-10-24T06:35:06Z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B05DC8C69E884B949458EE84B707C360_13</vt:lpwstr>
  </property>
  <property fmtid="{D5CDD505-2E9C-101B-9397-08002B2CF9AE}" pid="4" name="KSOTemplateDocerSaveRecord">
    <vt:lpwstr>eyJoZGlkIjoiZjFlMWRlZmI5YTI2MDdiYmVhNmZjZDM3NGIwOTU2ZmIiLCJ1c2VySWQiOiI0MDU5ODg2MzMifQ==</vt:lpwstr>
  </property>
</Properties>
</file>