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val="en-US" w:eastAsia="zh-CN"/>
        </w:rPr>
        <w:t>除氟剂</w:t>
      </w:r>
      <w:r>
        <w:rPr>
          <w:rFonts w:hint="eastAsia" w:ascii="Times New Roman" w:hAnsi="Times New Roman" w:eastAsia="长城小标宋体"/>
          <w:b/>
          <w:bCs/>
          <w:sz w:val="44"/>
          <w:szCs w:val="44"/>
        </w:rPr>
        <w:t>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val="en-US" w:eastAsia="zh-CN"/>
        </w:rPr>
        <w:t>除氟剂</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166"/>
        <w:gridCol w:w="2206"/>
        <w:gridCol w:w="778"/>
        <w:gridCol w:w="1284"/>
        <w:gridCol w:w="1245"/>
        <w:gridCol w:w="1252"/>
      </w:tblGrid>
      <w:tr w14:paraId="31D1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431" w:type="pct"/>
            <w:noWrap w:val="0"/>
            <w:vAlign w:val="center"/>
          </w:tcPr>
          <w:p w14:paraId="429650F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b/>
                <w:bCs/>
                <w:sz w:val="24"/>
                <w:szCs w:val="24"/>
              </w:rPr>
            </w:pPr>
            <w:bookmarkStart w:id="0" w:name="_Hlk191890472"/>
            <w:r>
              <w:rPr>
                <w:rFonts w:hint="eastAsia" w:asciiTheme="minorEastAsia" w:hAnsiTheme="minorEastAsia" w:eastAsiaTheme="minorEastAsia" w:cstheme="minorEastAsia"/>
                <w:b/>
                <w:bCs/>
                <w:sz w:val="24"/>
                <w:szCs w:val="24"/>
              </w:rPr>
              <w:t>序号</w:t>
            </w:r>
          </w:p>
        </w:tc>
        <w:tc>
          <w:tcPr>
            <w:tcW w:w="671" w:type="pct"/>
            <w:noWrap w:val="0"/>
            <w:vAlign w:val="center"/>
          </w:tcPr>
          <w:p w14:paraId="0011E573">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名称</w:t>
            </w:r>
          </w:p>
        </w:tc>
        <w:tc>
          <w:tcPr>
            <w:tcW w:w="1270" w:type="pct"/>
            <w:noWrap w:val="0"/>
            <w:vAlign w:val="center"/>
          </w:tcPr>
          <w:p w14:paraId="324E2A19">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规格</w:t>
            </w:r>
          </w:p>
        </w:tc>
        <w:tc>
          <w:tcPr>
            <w:tcW w:w="448" w:type="pct"/>
            <w:noWrap w:val="0"/>
            <w:vAlign w:val="center"/>
          </w:tcPr>
          <w:p w14:paraId="16C6610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b/>
                <w:bCs/>
                <w:sz w:val="24"/>
                <w:szCs w:val="24"/>
              </w:rPr>
              <w:t>单位</w:t>
            </w:r>
          </w:p>
        </w:tc>
        <w:tc>
          <w:tcPr>
            <w:tcW w:w="739" w:type="pct"/>
            <w:noWrap w:val="0"/>
            <w:vAlign w:val="center"/>
          </w:tcPr>
          <w:p w14:paraId="58798FF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b/>
                <w:bCs/>
                <w:sz w:val="24"/>
                <w:szCs w:val="24"/>
              </w:rPr>
              <w:t>预估数量</w:t>
            </w:r>
          </w:p>
        </w:tc>
        <w:tc>
          <w:tcPr>
            <w:tcW w:w="717" w:type="pct"/>
            <w:noWrap w:val="0"/>
            <w:vAlign w:val="center"/>
          </w:tcPr>
          <w:p w14:paraId="54471D58">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送货地点</w:t>
            </w:r>
          </w:p>
        </w:tc>
        <w:tc>
          <w:tcPr>
            <w:tcW w:w="721" w:type="pct"/>
            <w:noWrap w:val="0"/>
            <w:vAlign w:val="center"/>
          </w:tcPr>
          <w:p w14:paraId="51D03F8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备注</w:t>
            </w:r>
          </w:p>
        </w:tc>
      </w:tr>
      <w:tr w14:paraId="397A5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431" w:type="pct"/>
            <w:noWrap w:val="0"/>
            <w:vAlign w:val="center"/>
          </w:tcPr>
          <w:p w14:paraId="2780F7F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spacing w:val="-8"/>
                <w:sz w:val="24"/>
                <w:szCs w:val="24"/>
              </w:rPr>
            </w:pPr>
            <w:r>
              <w:rPr>
                <w:rFonts w:hint="eastAsia" w:asciiTheme="minorEastAsia" w:hAnsiTheme="minorEastAsia" w:eastAsiaTheme="minorEastAsia" w:cstheme="minorEastAsia"/>
                <w:spacing w:val="-8"/>
                <w:sz w:val="24"/>
                <w:szCs w:val="24"/>
              </w:rPr>
              <w:t>1</w:t>
            </w:r>
          </w:p>
        </w:tc>
        <w:tc>
          <w:tcPr>
            <w:tcW w:w="671" w:type="pct"/>
            <w:noWrap w:val="0"/>
            <w:vAlign w:val="center"/>
          </w:tcPr>
          <w:p w14:paraId="278484E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除氟剂</w:t>
            </w:r>
          </w:p>
        </w:tc>
        <w:tc>
          <w:tcPr>
            <w:tcW w:w="1270" w:type="pct"/>
            <w:noWrap w:val="0"/>
            <w:vAlign w:val="center"/>
          </w:tcPr>
          <w:p w14:paraId="564A361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有效成分含量≥9%，水不溶物含量≤0.4%</w:t>
            </w:r>
          </w:p>
        </w:tc>
        <w:tc>
          <w:tcPr>
            <w:tcW w:w="448" w:type="pct"/>
            <w:noWrap w:val="0"/>
            <w:vAlign w:val="center"/>
          </w:tcPr>
          <w:p w14:paraId="4191DD1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Theme="minorEastAsia" w:hAnsiTheme="minorEastAsia" w:eastAsiaTheme="minorEastAsia" w:cstheme="minorEastAsia"/>
                <w:color w:val="000000"/>
                <w:kern w:val="0"/>
                <w:sz w:val="24"/>
                <w:szCs w:val="24"/>
              </w:rPr>
            </w:pPr>
            <w:r>
              <w:rPr>
                <w:rFonts w:hint="eastAsia" w:asciiTheme="minorEastAsia" w:hAnsiTheme="minorEastAsia" w:eastAsiaTheme="minorEastAsia" w:cstheme="minorEastAsia"/>
                <w:color w:val="000000"/>
                <w:kern w:val="0"/>
                <w:sz w:val="24"/>
                <w:szCs w:val="24"/>
              </w:rPr>
              <w:t>吨</w:t>
            </w:r>
          </w:p>
        </w:tc>
        <w:tc>
          <w:tcPr>
            <w:tcW w:w="739" w:type="pct"/>
            <w:noWrap w:val="0"/>
            <w:vAlign w:val="center"/>
          </w:tcPr>
          <w:p w14:paraId="78CF98B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Theme="minorEastAsia" w:hAnsiTheme="minorEastAsia" w:eastAsiaTheme="minorEastAsia" w:cstheme="minorEastAsia"/>
                <w:color w:val="000000"/>
                <w:kern w:val="0"/>
                <w:sz w:val="24"/>
                <w:szCs w:val="24"/>
                <w:lang w:val="en-US" w:eastAsia="zh-CN"/>
              </w:rPr>
            </w:pPr>
            <w:r>
              <w:rPr>
                <w:rFonts w:hint="eastAsia" w:asciiTheme="minorEastAsia" w:hAnsiTheme="minorEastAsia" w:eastAsiaTheme="minorEastAsia" w:cstheme="minorEastAsia"/>
                <w:color w:val="000000"/>
                <w:kern w:val="0"/>
                <w:sz w:val="24"/>
                <w:szCs w:val="24"/>
                <w:lang w:val="en-US" w:eastAsia="zh-CN"/>
              </w:rPr>
              <w:t>32</w:t>
            </w:r>
          </w:p>
        </w:tc>
        <w:tc>
          <w:tcPr>
            <w:tcW w:w="717" w:type="pct"/>
            <w:noWrap w:val="0"/>
            <w:vAlign w:val="center"/>
          </w:tcPr>
          <w:p w14:paraId="7A5A6989">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广东</w:t>
            </w:r>
            <w:r>
              <w:rPr>
                <w:rFonts w:hint="eastAsia" w:asciiTheme="minorEastAsia" w:hAnsiTheme="minorEastAsia" w:eastAsiaTheme="minorEastAsia" w:cstheme="minorEastAsia"/>
                <w:sz w:val="24"/>
                <w:szCs w:val="24"/>
              </w:rPr>
              <w:t>省</w:t>
            </w:r>
          </w:p>
          <w:p w14:paraId="458FDA2B">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广州</w:t>
            </w:r>
            <w:r>
              <w:rPr>
                <w:rFonts w:hint="eastAsia" w:asciiTheme="minorEastAsia" w:hAnsiTheme="minorEastAsia" w:eastAsiaTheme="minorEastAsia" w:cstheme="minorEastAsia"/>
                <w:sz w:val="24"/>
                <w:szCs w:val="24"/>
              </w:rPr>
              <w:t>市</w:t>
            </w:r>
          </w:p>
        </w:tc>
        <w:tc>
          <w:tcPr>
            <w:tcW w:w="721" w:type="pct"/>
            <w:noWrap w:val="0"/>
            <w:vAlign w:val="center"/>
          </w:tcPr>
          <w:p w14:paraId="09AFF1E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单次送货量32吨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widowControl/>
        <w:spacing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0952914C">
      <w:pPr>
        <w:widowControl/>
        <w:spacing w:after="78"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（四）质保要求：</w:t>
      </w:r>
      <w:r>
        <w:rPr>
          <w:rFonts w:hint="eastAsia" w:ascii="仿宋_GB2312" w:hAnsi="仿宋_GB2312" w:eastAsia="仿宋_GB2312" w:cs="仿宋_GB2312"/>
          <w:sz w:val="28"/>
          <w:szCs w:val="28"/>
        </w:rPr>
        <w:t>采购人有权不定期抽查中选单位所提交货物的质量或送检相关货物至具有资质的检测单位，中选单位须配合采购人对产品的抽查及送检工作，因送检所产生的费用由中选单位负责，如该批次1件或以上检验结果与要求不符，采购人有权将该批次全部产品退货并根据合同提出索赔，并可根据情况调减该中标单位的供货量，情节严重者采购人有权提前终止合同。</w:t>
      </w:r>
      <w:r>
        <w:rPr>
          <w:rFonts w:hint="eastAsia" w:ascii="仿宋_GB2312" w:hAnsi="仿宋_GB2312" w:eastAsia="仿宋_GB2312" w:cs="仿宋_GB2312"/>
          <w:bCs/>
          <w:color w:val="000000"/>
          <w:sz w:val="28"/>
          <w:szCs w:val="28"/>
        </w:rPr>
        <w:tab/>
      </w:r>
    </w:p>
    <w:p w14:paraId="0FCF9113">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lang w:val="en-US" w:eastAsia="zh-CN"/>
        </w:rPr>
        <w:t>五</w:t>
      </w:r>
      <w:r>
        <w:rPr>
          <w:rFonts w:hint="eastAsia" w:ascii="仿宋_GB2312" w:hAnsi="仿宋_GB2312" w:eastAsia="仿宋_GB2312" w:cs="仿宋_GB2312"/>
          <w:bCs/>
          <w:color w:val="000000"/>
          <w:sz w:val="28"/>
          <w:szCs w:val="28"/>
        </w:rPr>
        <w:t>）</w:t>
      </w:r>
      <w:r>
        <w:rPr>
          <w:rFonts w:hint="eastAsia" w:ascii="Times New Roman" w:hAnsi="Times New Roman" w:eastAsia="仿宋_GB2312"/>
          <w:bCs/>
          <w:color w:val="000000"/>
          <w:sz w:val="28"/>
          <w:szCs w:val="28"/>
        </w:rPr>
        <w:t>参选样品小试实验要求：为了验证参选单位供货产品质量，更好地满足采购人生产需求，本项目评审前需进行小试实验。参选单位需于2025年</w:t>
      </w:r>
      <w:r>
        <w:rPr>
          <w:rFonts w:hint="eastAsia" w:ascii="Times New Roman" w:hAnsi="Times New Roman" w:eastAsia="仿宋_GB2312"/>
          <w:bCs/>
          <w:color w:val="000000"/>
          <w:sz w:val="28"/>
          <w:szCs w:val="28"/>
          <w:lang w:val="en-US" w:eastAsia="zh-CN"/>
        </w:rPr>
        <w:t>10</w:t>
      </w:r>
      <w:r>
        <w:rPr>
          <w:rFonts w:hint="eastAsia"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28</w:t>
      </w:r>
      <w:r>
        <w:rPr>
          <w:rFonts w:hint="eastAsia" w:ascii="Times New Roman" w:hAnsi="Times New Roman" w:eastAsia="仿宋_GB2312"/>
          <w:bCs/>
          <w:color w:val="000000"/>
          <w:sz w:val="28"/>
          <w:szCs w:val="28"/>
        </w:rPr>
        <w:t>日18:00前邮寄提交500g样品至采购人处（邮寄地址：深圳市宝安区松岗街道松岗水质净化厂二期研发实验室</w:t>
      </w:r>
      <w:r>
        <w:rPr>
          <w:rFonts w:hint="eastAsia" w:ascii="Times New Roman" w:hAnsi="Times New Roman" w:eastAsia="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吴工，15889553918</w:t>
      </w:r>
      <w:r>
        <w:rPr>
          <w:rFonts w:hint="eastAsia" w:ascii="Times New Roman" w:hAnsi="Times New Roman" w:eastAsia="仿宋_GB2312"/>
          <w:bCs/>
          <w:color w:val="000000"/>
          <w:sz w:val="28"/>
          <w:szCs w:val="28"/>
        </w:rPr>
        <w:t>），由采购人完成小试实验后，实验结果作为评选标准，</w:t>
      </w:r>
      <w:r>
        <w:rPr>
          <w:rFonts w:hint="eastAsia" w:ascii="仿宋_GB2312" w:hAnsi="仿宋_GB2312" w:eastAsia="仿宋_GB2312" w:cs="仿宋_GB2312"/>
          <w:bCs/>
          <w:color w:val="000000"/>
          <w:sz w:val="28"/>
          <w:szCs w:val="28"/>
        </w:rPr>
        <w:t>小试实验结果不达标，中标单位顺延。</w:t>
      </w:r>
      <w:r>
        <w:rPr>
          <w:rFonts w:hint="eastAsia" w:ascii="Times New Roman" w:hAnsi="Times New Roman" w:eastAsia="仿宋_GB2312"/>
          <w:bCs/>
          <w:color w:val="000000"/>
          <w:sz w:val="28"/>
          <w:szCs w:val="28"/>
        </w:rPr>
        <w:t>若参选单位未按要求寄送参选样品，则视为弃标。</w:t>
      </w:r>
    </w:p>
    <w:p w14:paraId="7E015DD7">
      <w:pPr>
        <w:widowControl/>
        <w:spacing w:after="78" w:line="640" w:lineRule="exact"/>
        <w:ind w:firstLine="562"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
          <w:color w:val="000000"/>
          <w:sz w:val="28"/>
          <w:szCs w:val="28"/>
        </w:rPr>
        <w:t>注：第一</w:t>
      </w:r>
      <w:r>
        <w:rPr>
          <w:rFonts w:hint="eastAsia" w:ascii="仿宋_GB2312" w:hAnsi="仿宋_GB2312" w:eastAsia="仿宋_GB2312" w:cs="仿宋_GB2312"/>
          <w:b/>
          <w:color w:val="000000"/>
          <w:sz w:val="28"/>
          <w:szCs w:val="28"/>
        </w:rPr>
        <w:t>中标单位需在中标后需免费提供250kg样品进行上机试验。</w:t>
      </w:r>
    </w:p>
    <w:p w14:paraId="284DA56D">
      <w:pPr>
        <w:widowControl/>
        <w:spacing w:line="560" w:lineRule="exact"/>
        <w:ind w:firstLine="560" w:firstLineChars="200"/>
        <w:jc w:val="left"/>
        <w:rPr>
          <w:rFonts w:hint="eastAsia" w:ascii="仿宋_GB2312" w:hAnsi="仿宋_GB2312" w:eastAsia="仿宋_GB2312" w:cs="仿宋_GB2312"/>
          <w:bCs/>
          <w:color w:val="000000"/>
          <w:sz w:val="28"/>
          <w:szCs w:val="28"/>
        </w:rPr>
      </w:pP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val="en-US" w:eastAsia="zh-CN"/>
        </w:rPr>
        <w:t>除氟剂</w:t>
      </w:r>
      <w:r>
        <w:rPr>
          <w:rFonts w:hint="eastAsia" w:ascii="仿宋_GB2312" w:hAnsi="仿宋_GB2312" w:eastAsia="仿宋_GB2312" w:cs="仿宋_GB2312"/>
          <w:kern w:val="0"/>
          <w:sz w:val="28"/>
          <w:szCs w:val="28"/>
        </w:rPr>
        <w:t>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highlight w:val="yellow"/>
        </w:rPr>
      </w:pPr>
      <w:r>
        <w:rPr>
          <w:rFonts w:hint="eastAsia" w:ascii="仿宋_GB2312" w:hAnsi="仿宋_GB2312" w:eastAsia="仿宋_GB2312" w:cs="仿宋_GB2312"/>
          <w:color w:val="000000"/>
          <w:sz w:val="28"/>
          <w:szCs w:val="28"/>
        </w:rPr>
        <w:t>（一）</w:t>
      </w:r>
      <w:r>
        <w:rPr>
          <w:rFonts w:hint="eastAsia" w:ascii="仿宋_GB2312" w:hAnsi="仿宋_GB2312" w:eastAsia="仿宋_GB2312" w:cs="仿宋_GB2312"/>
          <w:color w:val="000000"/>
          <w:sz w:val="28"/>
          <w:szCs w:val="28"/>
          <w:highlight w:val="none"/>
        </w:rPr>
        <w:t>响应文件递交截止时间为</w:t>
      </w:r>
      <w:r>
        <w:rPr>
          <w:rFonts w:hint="eastAsia" w:ascii="仿宋_GB2312" w:hAnsi="仿宋_GB2312" w:eastAsia="仿宋_GB2312" w:cs="仿宋_GB2312"/>
          <w:bCs/>
          <w:color w:val="000000"/>
          <w:sz w:val="28"/>
          <w:szCs w:val="28"/>
          <w:highlight w:val="none"/>
        </w:rPr>
        <w:t>2025年</w:t>
      </w:r>
      <w:r>
        <w:rPr>
          <w:rFonts w:hint="eastAsia" w:ascii="仿宋_GB2312" w:hAnsi="仿宋_GB2312" w:eastAsia="仿宋_GB2312" w:cs="仿宋_GB2312"/>
          <w:bCs/>
          <w:color w:val="000000"/>
          <w:sz w:val="28"/>
          <w:szCs w:val="28"/>
          <w:highlight w:val="none"/>
          <w:lang w:val="en-US" w:eastAsia="zh-CN"/>
        </w:rPr>
        <w:t>10</w:t>
      </w:r>
      <w:r>
        <w:rPr>
          <w:rFonts w:hint="eastAsia" w:ascii="仿宋_GB2312" w:hAnsi="仿宋_GB2312" w:eastAsia="仿宋_GB2312" w:cs="仿宋_GB2312"/>
          <w:bCs/>
          <w:color w:val="000000"/>
          <w:sz w:val="28"/>
          <w:szCs w:val="28"/>
          <w:highlight w:val="none"/>
        </w:rPr>
        <w:t>月</w:t>
      </w:r>
      <w:r>
        <w:rPr>
          <w:rFonts w:hint="eastAsia" w:ascii="仿宋_GB2312" w:hAnsi="仿宋_GB2312" w:eastAsia="仿宋_GB2312" w:cs="仿宋_GB2312"/>
          <w:bCs/>
          <w:color w:val="000000"/>
          <w:sz w:val="28"/>
          <w:szCs w:val="28"/>
          <w:highlight w:val="none"/>
          <w:lang w:val="en-US" w:eastAsia="zh-CN"/>
        </w:rPr>
        <w:t>28</w:t>
      </w:r>
      <w:r>
        <w:rPr>
          <w:rFonts w:hint="eastAsia" w:ascii="仿宋_GB2312" w:hAnsi="仿宋_GB2312" w:eastAsia="仿宋_GB2312" w:cs="仿宋_GB2312"/>
          <w:bCs/>
          <w:color w:val="000000"/>
          <w:sz w:val="28"/>
          <w:szCs w:val="28"/>
          <w:highlight w:val="none"/>
        </w:rPr>
        <w:t>日18</w:t>
      </w:r>
      <w:r>
        <w:rPr>
          <w:rFonts w:hint="eastAsia" w:ascii="仿宋_GB2312" w:hAnsi="仿宋_GB2312" w:eastAsia="仿宋_GB2312" w:cs="仿宋_GB2312"/>
          <w:color w:val="000000"/>
          <w:sz w:val="28"/>
          <w:szCs w:val="28"/>
          <w:highlight w:val="none"/>
        </w:rPr>
        <w:t>时</w:t>
      </w:r>
      <w:r>
        <w:rPr>
          <w:rFonts w:hint="eastAsia" w:ascii="仿宋_GB2312" w:hAnsi="仿宋_GB2312" w:eastAsia="仿宋_GB2312" w:cs="仿宋_GB2312"/>
          <w:bCs/>
          <w:color w:val="000000"/>
          <w:sz w:val="28"/>
          <w:szCs w:val="28"/>
          <w:highlight w:val="none"/>
        </w:rPr>
        <w:t>00</w:t>
      </w:r>
      <w:r>
        <w:rPr>
          <w:rFonts w:hint="eastAsia" w:ascii="仿宋_GB2312" w:hAnsi="仿宋_GB2312" w:eastAsia="仿宋_GB2312" w:cs="仿宋_GB2312"/>
          <w:color w:val="000000"/>
          <w:sz w:val="28"/>
          <w:szCs w:val="28"/>
          <w:highlight w:val="none"/>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1500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w:t>
      </w:r>
      <w:r>
        <w:rPr>
          <w:rFonts w:hint="eastAsia" w:ascii="仿宋_GB2312" w:hAnsi="仿宋_GB2312" w:eastAsia="仿宋_GB2312" w:cs="仿宋_GB2312"/>
          <w:color w:val="000000"/>
          <w:sz w:val="28"/>
          <w:szCs w:val="28"/>
          <w:highlight w:val="none"/>
        </w:rPr>
        <w:t>（截止时间</w:t>
      </w:r>
      <w:r>
        <w:rPr>
          <w:rFonts w:hint="eastAsia" w:ascii="仿宋_GB2312" w:hAnsi="仿宋_GB2312" w:eastAsia="仿宋_GB2312" w:cs="仿宋_GB2312"/>
          <w:bCs/>
          <w:color w:val="000000"/>
          <w:sz w:val="28"/>
          <w:szCs w:val="28"/>
          <w:highlight w:val="none"/>
        </w:rPr>
        <w:t>2025年</w:t>
      </w:r>
      <w:r>
        <w:rPr>
          <w:rFonts w:hint="eastAsia" w:ascii="仿宋_GB2312" w:hAnsi="仿宋_GB2312" w:eastAsia="仿宋_GB2312" w:cs="仿宋_GB2312"/>
          <w:bCs/>
          <w:color w:val="000000"/>
          <w:sz w:val="28"/>
          <w:szCs w:val="28"/>
          <w:highlight w:val="none"/>
          <w:lang w:val="en-US" w:eastAsia="zh-CN"/>
        </w:rPr>
        <w:t>10</w:t>
      </w:r>
      <w:r>
        <w:rPr>
          <w:rFonts w:hint="eastAsia" w:ascii="仿宋_GB2312" w:hAnsi="仿宋_GB2312" w:eastAsia="仿宋_GB2312" w:cs="仿宋_GB2312"/>
          <w:bCs/>
          <w:color w:val="000000"/>
          <w:sz w:val="28"/>
          <w:szCs w:val="28"/>
          <w:highlight w:val="none"/>
        </w:rPr>
        <w:t>月</w:t>
      </w:r>
      <w:r>
        <w:rPr>
          <w:rFonts w:hint="eastAsia" w:ascii="仿宋_GB2312" w:hAnsi="仿宋_GB2312" w:eastAsia="仿宋_GB2312" w:cs="仿宋_GB2312"/>
          <w:bCs/>
          <w:color w:val="000000"/>
          <w:sz w:val="28"/>
          <w:szCs w:val="28"/>
          <w:highlight w:val="none"/>
          <w:lang w:val="en-US" w:eastAsia="zh-CN"/>
        </w:rPr>
        <w:t>28</w:t>
      </w:r>
      <w:r>
        <w:rPr>
          <w:rFonts w:hint="eastAsia" w:ascii="仿宋_GB2312" w:hAnsi="仿宋_GB2312" w:eastAsia="仿宋_GB2312" w:cs="仿宋_GB2312"/>
          <w:bCs/>
          <w:color w:val="000000"/>
          <w:sz w:val="28"/>
          <w:szCs w:val="28"/>
          <w:highlight w:val="none"/>
        </w:rPr>
        <w:t>日18</w:t>
      </w:r>
      <w:r>
        <w:rPr>
          <w:rFonts w:hint="eastAsia" w:ascii="仿宋_GB2312" w:hAnsi="仿宋_GB2312" w:eastAsia="仿宋_GB2312" w:cs="仿宋_GB2312"/>
          <w:color w:val="000000"/>
          <w:sz w:val="28"/>
          <w:szCs w:val="28"/>
          <w:highlight w:val="none"/>
        </w:rPr>
        <w:t>时）</w:t>
      </w:r>
      <w:r>
        <w:rPr>
          <w:rFonts w:hint="eastAsia" w:ascii="仿宋_GB2312" w:hAnsi="仿宋_GB2312" w:eastAsia="仿宋_GB2312" w:cs="仿宋_GB2312"/>
          <w:color w:val="000000"/>
          <w:sz w:val="28"/>
          <w:szCs w:val="28"/>
        </w:rPr>
        <w:t>，但采购人可决定是否采纳申请事项。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rPr>
        <w:t xml:space="preserve"> </w:t>
      </w:r>
      <w:r>
        <w:rPr>
          <w:rFonts w:hint="eastAsia" w:ascii="宋体" w:hAnsi="宋体" w:cs="宋体"/>
          <w:b/>
          <w:sz w:val="56"/>
          <w:szCs w:val="56"/>
          <w:u w:val="single"/>
          <w:lang w:val="en-US" w:eastAsia="zh-CN"/>
        </w:rPr>
        <w:t xml:space="preserve">除氟剂 </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除氟剂</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 xml:space="preserve"> 除氟剂 </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3728"/>
      <w:bookmarkStart w:id="12" w:name="_Toc201743099"/>
      <w:bookmarkStart w:id="13" w:name="_Toc201719103"/>
      <w:bookmarkStart w:id="14" w:name="_Toc201401643"/>
      <w:bookmarkStart w:id="15" w:name="_Toc201742844"/>
      <w:bookmarkStart w:id="16" w:name="_Toc199215931"/>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2500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rPr>
        <w:t xml:space="preserve"> </w:t>
      </w:r>
      <w:r>
        <w:rPr>
          <w:rFonts w:hint="eastAsia"/>
          <w:u w:val="single"/>
          <w:lang w:val="en-US" w:eastAsia="zh-CN"/>
        </w:rPr>
        <w:t xml:space="preserve">除氟剂 </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eastAsia="zh-CN"/>
              </w:rPr>
            </w:pPr>
            <w:r>
              <w:rPr>
                <w:rFonts w:hint="eastAsia" w:ascii="宋体" w:hAnsi="宋体" w:cs="宋体"/>
                <w:sz w:val="22"/>
                <w:szCs w:val="22"/>
                <w:lang w:val="en-US" w:eastAsia="zh-CN"/>
              </w:rPr>
              <w:t>除氟剂</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2"/>
                <w:szCs w:val="22"/>
              </w:rPr>
            </w:pPr>
            <w:r>
              <w:rPr>
                <w:rFonts w:hint="eastAsia" w:ascii="宋体" w:hAnsi="宋体" w:eastAsia="宋体" w:cs="宋体"/>
                <w:color w:val="000000" w:themeColor="text1"/>
                <w:kern w:val="0"/>
                <w:sz w:val="24"/>
                <w14:textFill>
                  <w14:solidFill>
                    <w14:schemeClr w14:val="tx1"/>
                  </w14:solidFill>
                </w14:textFill>
              </w:rPr>
              <w:t>有效成分含量≥9%，水不溶物含量≤0.4%</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default" w:ascii="宋体" w:hAnsi="宋体" w:eastAsia="宋体" w:cs="宋体"/>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SA"/>
                <w14:textFill>
                  <w14:solidFill>
                    <w14:schemeClr w14:val="tx1"/>
                  </w14:solidFill>
                </w14:textFill>
              </w:rPr>
              <w:t>除氟剂</w:t>
            </w:r>
          </w:p>
        </w:tc>
        <w:tc>
          <w:tcPr>
            <w:tcW w:w="1207"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textAlignment w:val="auto"/>
              <w:rPr>
                <w:rFonts w:hint="default" w:ascii="宋体" w:hAnsi="宋体" w:eastAsia="宋体" w:cs="宋体"/>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SA"/>
                <w14:textFill>
                  <w14:solidFill>
                    <w14:schemeClr w14:val="tx1"/>
                  </w14:solidFill>
                </w14:textFill>
              </w:rPr>
              <w:t>/</w:t>
            </w:r>
          </w:p>
        </w:tc>
        <w:tc>
          <w:tcPr>
            <w:tcW w:w="1731" w:type="pct"/>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spacing w:val="-8"/>
                <w:sz w:val="22"/>
                <w:szCs w:val="22"/>
              </w:rPr>
            </w:pPr>
            <w:r>
              <w:rPr>
                <w:rFonts w:hint="eastAsia" w:ascii="宋体" w:hAnsi="宋体" w:eastAsia="宋体" w:cs="宋体"/>
                <w:color w:val="000000" w:themeColor="text1"/>
                <w:kern w:val="0"/>
                <w:sz w:val="24"/>
                <w14:textFill>
                  <w14:solidFill>
                    <w14:schemeClr w14:val="tx1"/>
                  </w14:solidFill>
                </w14:textFill>
              </w:rPr>
              <w:t>有效成分含量≥9%，水不溶物含量≤0.4%</w:t>
            </w:r>
          </w:p>
        </w:tc>
        <w:tc>
          <w:tcPr>
            <w:tcW w:w="1129"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val="en-US" w:eastAsia="zh-CN"/>
        </w:rPr>
        <w:t>除氟剂</w:t>
      </w:r>
      <w:r>
        <w:rPr>
          <w:rFonts w:hint="eastAsia" w:ascii="Times New Roman" w:hAnsi="Times New Roman" w:eastAsia="长城小标宋体"/>
          <w:b/>
          <w:bCs/>
          <w:sz w:val="44"/>
          <w:szCs w:val="44"/>
        </w:rPr>
        <w:t>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val="en-US" w:eastAsia="zh-CN" w:bidi="ar"/>
        </w:rPr>
        <w:t>除氟剂</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val="en-US" w:eastAsia="zh-CN" w:bidi="ar"/>
        </w:rPr>
        <w:t>除氟剂</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val="en-US" w:eastAsia="zh-CN" w:bidi="ar"/>
        </w:rPr>
        <w:t>除氟剂</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val="en-US" w:eastAsia="zh-CN" w:bidi="ar"/>
        </w:rPr>
        <w:t>除氟剂</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1314"/>
        <w:gridCol w:w="1787"/>
        <w:gridCol w:w="987"/>
        <w:gridCol w:w="767"/>
        <w:gridCol w:w="1436"/>
        <w:gridCol w:w="1104"/>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0"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9"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val="en-US" w:eastAsia="zh-CN" w:bidi="ar"/>
              </w:rPr>
              <w:t>除氟剂</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820"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79"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39"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0" w:type="pct"/>
            <w:vMerge w:val="continue"/>
            <w:vAlign w:val="center"/>
          </w:tcPr>
          <w:p w14:paraId="074635C1">
            <w:pPr>
              <w:spacing w:afterLines="0" w:line="300" w:lineRule="exact"/>
              <w:jc w:val="center"/>
              <w:rPr>
                <w:rFonts w:hint="eastAsia" w:ascii="仿宋" w:hAnsi="仿宋" w:eastAsia="仿宋"/>
                <w:szCs w:val="21"/>
              </w:rPr>
            </w:pPr>
          </w:p>
        </w:tc>
        <w:tc>
          <w:tcPr>
            <w:tcW w:w="1820" w:type="pct"/>
            <w:gridSpan w:val="2"/>
            <w:vMerge w:val="continue"/>
            <w:vAlign w:val="center"/>
          </w:tcPr>
          <w:p w14:paraId="2B88DBA5">
            <w:pPr>
              <w:spacing w:afterLines="0" w:line="300" w:lineRule="exact"/>
              <w:jc w:val="center"/>
              <w:rPr>
                <w:rFonts w:hint="eastAsia" w:ascii="仿宋" w:hAnsi="仿宋" w:eastAsia="仿宋"/>
                <w:szCs w:val="21"/>
              </w:rPr>
            </w:pPr>
          </w:p>
        </w:tc>
        <w:tc>
          <w:tcPr>
            <w:tcW w:w="579"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39"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0"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820" w:type="pct"/>
            <w:gridSpan w:val="2"/>
            <w:vAlign w:val="center"/>
          </w:tcPr>
          <w:p w14:paraId="0347850D">
            <w:pPr>
              <w:spacing w:afterLines="0" w:line="300" w:lineRule="exact"/>
              <w:jc w:val="center"/>
              <w:rPr>
                <w:rFonts w:hint="eastAsia" w:ascii="仿宋" w:hAnsi="仿宋" w:eastAsia="仿宋"/>
                <w:szCs w:val="21"/>
              </w:rPr>
            </w:pPr>
            <w:r>
              <w:rPr>
                <w:rFonts w:hint="eastAsia" w:ascii="仿宋" w:hAnsi="仿宋" w:eastAsia="仿宋" w:cs="仿宋"/>
                <w:szCs w:val="21"/>
                <w:lang w:val="en-US" w:eastAsia="zh-CN"/>
              </w:rPr>
              <w:t>广东</w:t>
            </w:r>
            <w:r>
              <w:rPr>
                <w:rFonts w:hint="eastAsia" w:ascii="仿宋" w:hAnsi="仿宋" w:eastAsia="仿宋" w:cs="仿宋"/>
                <w:szCs w:val="21"/>
              </w:rPr>
              <w:t>省</w:t>
            </w:r>
            <w:r>
              <w:rPr>
                <w:rFonts w:hint="eastAsia" w:ascii="仿宋" w:hAnsi="仿宋" w:eastAsia="仿宋" w:cs="仿宋"/>
                <w:szCs w:val="21"/>
                <w:lang w:val="en-US" w:eastAsia="zh-CN"/>
              </w:rPr>
              <w:t>广州</w:t>
            </w:r>
            <w:r>
              <w:rPr>
                <w:rFonts w:hint="eastAsia" w:ascii="仿宋" w:hAnsi="仿宋" w:eastAsia="仿宋" w:cs="仿宋"/>
                <w:szCs w:val="21"/>
              </w:rPr>
              <w:t>市</w:t>
            </w:r>
          </w:p>
        </w:tc>
        <w:tc>
          <w:tcPr>
            <w:tcW w:w="579"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39"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0"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048"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79"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50"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43"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645"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0"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64AF8699">
            <w:pPr>
              <w:pStyle w:val="58"/>
              <w:autoSpaceDE w:val="0"/>
              <w:autoSpaceDN w:val="0"/>
              <w:adjustRightInd w:val="0"/>
              <w:snapToGrid w:val="0"/>
              <w:spacing w:afterLines="0" w:line="240" w:lineRule="auto"/>
              <w:ind w:firstLine="0" w:firstLineChars="0"/>
              <w:jc w:val="center"/>
              <w:rPr>
                <w:rFonts w:hint="default" w:ascii="仿宋" w:hAnsi="仿宋" w:eastAsia="仿宋" w:cs="仿宋"/>
                <w:color w:val="000000"/>
                <w:szCs w:val="21"/>
                <w:lang w:val="en-US" w:eastAsia="zh-CN" w:bidi="ar"/>
              </w:rPr>
            </w:pPr>
            <w:r>
              <w:rPr>
                <w:rFonts w:hint="eastAsia" w:ascii="仿宋" w:hAnsi="仿宋" w:eastAsia="仿宋" w:cs="仿宋"/>
                <w:color w:val="000000"/>
                <w:szCs w:val="21"/>
                <w:lang w:val="en-US" w:eastAsia="zh-CN" w:bidi="ar"/>
              </w:rPr>
              <w:t>除氟剂</w:t>
            </w:r>
          </w:p>
        </w:tc>
        <w:tc>
          <w:tcPr>
            <w:tcW w:w="1048" w:type="pct"/>
            <w:vAlign w:val="center"/>
          </w:tcPr>
          <w:p w14:paraId="2B345FA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color w:val="000000"/>
                <w:szCs w:val="21"/>
                <w:lang w:val="en-US" w:eastAsia="zh-CN" w:bidi="ar"/>
              </w:rPr>
              <w:t>有效成分含量≥9%，水不溶物含量≤0.4%</w:t>
            </w:r>
          </w:p>
        </w:tc>
        <w:tc>
          <w:tcPr>
            <w:tcW w:w="579"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50" w:type="pct"/>
            <w:shd w:val="clear" w:color="auto" w:fill="auto"/>
            <w:vAlign w:val="center"/>
          </w:tcPr>
          <w:p w14:paraId="3F6E9562">
            <w:pPr>
              <w:spacing w:afterLines="0" w:line="240" w:lineRule="auto"/>
              <w:jc w:val="center"/>
              <w:rPr>
                <w:rFonts w:hint="default" w:ascii="仿宋" w:hAnsi="仿宋" w:eastAsia="仿宋"/>
                <w:szCs w:val="21"/>
                <w:lang w:val="en-US" w:eastAsia="zh-CN"/>
              </w:rPr>
            </w:pPr>
            <w:r>
              <w:rPr>
                <w:rFonts w:hint="eastAsia" w:ascii="仿宋" w:hAnsi="仿宋" w:eastAsia="仿宋"/>
                <w:szCs w:val="21"/>
                <w:lang w:val="en-US" w:eastAsia="zh-CN"/>
              </w:rPr>
              <w:t>32</w:t>
            </w:r>
          </w:p>
        </w:tc>
        <w:tc>
          <w:tcPr>
            <w:tcW w:w="843"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645" w:type="pct"/>
            <w:vAlign w:val="center"/>
          </w:tcPr>
          <w:p w14:paraId="2600D178">
            <w:pPr>
              <w:spacing w:afterLines="0" w:line="240" w:lineRule="auto"/>
              <w:jc w:val="center"/>
              <w:rPr>
                <w:rFonts w:hint="eastAsia" w:ascii="仿宋" w:hAnsi="仿宋" w:eastAsia="仿宋"/>
                <w:szCs w:val="21"/>
              </w:rPr>
            </w:pPr>
            <w:r>
              <w:rPr>
                <w:rFonts w:hint="eastAsia" w:ascii="仿宋" w:hAnsi="仿宋" w:eastAsia="仿宋"/>
                <w:szCs w:val="21"/>
              </w:rPr>
              <w:t>单次送货量</w:t>
            </w:r>
            <w:r>
              <w:rPr>
                <w:rFonts w:hint="eastAsia" w:ascii="仿宋" w:hAnsi="仿宋" w:eastAsia="仿宋"/>
                <w:szCs w:val="21"/>
                <w:lang w:val="en-US" w:eastAsia="zh-CN"/>
              </w:rPr>
              <w:t>32</w:t>
            </w:r>
            <w:r>
              <w:rPr>
                <w:rFonts w:hint="eastAsia" w:ascii="仿宋" w:hAnsi="仿宋" w:eastAsia="仿宋"/>
                <w:szCs w:val="21"/>
              </w:rPr>
              <w:t>吨</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0"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820"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79"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39"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0"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9"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0"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820"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79"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939"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28ABAC7">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A0B9138E-BBBD-4EC7-BDAF-E90F6240EE67}"/>
  </w:font>
  <w:font w:name="宋体">
    <w:panose1 w:val="02010600030101010101"/>
    <w:charset w:val="7A"/>
    <w:family w:val="auto"/>
    <w:pitch w:val="default"/>
    <w:sig w:usb0="00000203" w:usb1="288F0000" w:usb2="00000006" w:usb3="00000000" w:csb0="00040001" w:csb1="00000000"/>
    <w:embedRegular r:id="rId2" w:fontKey="{6C33E453-2656-4493-922E-53C8682F3E1F}"/>
  </w:font>
  <w:font w:name="Wingdings">
    <w:panose1 w:val="05000000000000000000"/>
    <w:charset w:val="02"/>
    <w:family w:val="auto"/>
    <w:pitch w:val="default"/>
    <w:sig w:usb0="00000000" w:usb1="00000000" w:usb2="00000000" w:usb3="00000000" w:csb0="80000000" w:csb1="00000000"/>
    <w:embedRegular r:id="rId3" w:fontKey="{598B476A-611D-4C43-A758-53D5420266DA}"/>
  </w:font>
  <w:font w:name="Arial">
    <w:panose1 w:val="020B0604020202020204"/>
    <w:charset w:val="01"/>
    <w:family w:val="swiss"/>
    <w:pitch w:val="default"/>
    <w:sig w:usb0="E0002EFF" w:usb1="C000785B" w:usb2="00000009" w:usb3="00000000" w:csb0="400001FF" w:csb1="FFFF0000"/>
    <w:embedRegular r:id="rId4" w:fontKey="{8CD30022-721F-4B5C-8CDF-3B92BC67B5DB}"/>
  </w:font>
  <w:font w:name="黑体">
    <w:panose1 w:val="02010609060101010101"/>
    <w:charset w:val="86"/>
    <w:family w:val="auto"/>
    <w:pitch w:val="default"/>
    <w:sig w:usb0="800002BF" w:usb1="38CF7CFA" w:usb2="00000016" w:usb3="00000000" w:csb0="00040001" w:csb1="00000000"/>
    <w:embedRegular r:id="rId5" w:fontKey="{2BE2E39E-38DB-4F65-83CC-A7CD12612E64}"/>
  </w:font>
  <w:font w:name="Courier New">
    <w:panose1 w:val="02070309020205020404"/>
    <w:charset w:val="01"/>
    <w:family w:val="modern"/>
    <w:pitch w:val="default"/>
    <w:sig w:usb0="E0002EFF" w:usb1="C0007843" w:usb2="00000009" w:usb3="00000000" w:csb0="400001FF" w:csb1="FFFF0000"/>
    <w:embedRegular r:id="rId6" w:fontKey="{C65E12E1-E0C3-4E5D-ABE1-CD345ADBB78F}"/>
  </w:font>
  <w:font w:name="Symbol">
    <w:panose1 w:val="05050102010706020507"/>
    <w:charset w:val="02"/>
    <w:family w:val="roman"/>
    <w:pitch w:val="default"/>
    <w:sig w:usb0="00000000" w:usb1="00000000" w:usb2="00000000" w:usb3="00000000" w:csb0="80000000" w:csb1="00000000"/>
    <w:embedRegular r:id="rId7" w:fontKey="{98C686CA-EF42-40A3-865F-64AFBFC5BEA0}"/>
  </w:font>
  <w:font w:name="Calibri">
    <w:panose1 w:val="020F0502020204030204"/>
    <w:charset w:val="00"/>
    <w:family w:val="swiss"/>
    <w:pitch w:val="default"/>
    <w:sig w:usb0="E4002EFF" w:usb1="C000247B" w:usb2="00000009" w:usb3="00000000" w:csb0="200001FF" w:csb1="00000000"/>
    <w:embedRegular r:id="rId8" w:fontKey="{539551F0-7D73-4D85-99D4-140AED8091AE}"/>
  </w:font>
  <w:font w:name="Calibri Light">
    <w:panose1 w:val="020F0302020204030204"/>
    <w:charset w:val="00"/>
    <w:family w:val="swiss"/>
    <w:pitch w:val="default"/>
    <w:sig w:usb0="E4002EFF" w:usb1="C000247B" w:usb2="00000009" w:usb3="00000000" w:csb0="200001FF" w:csb1="00000000"/>
    <w:embedRegular r:id="rId9" w:fontKey="{9CDC874B-042F-4CFC-823F-424D76853D5E}"/>
  </w:font>
  <w:font w:name="Cambria">
    <w:panose1 w:val="02040503050406030204"/>
    <w:charset w:val="00"/>
    <w:family w:val="roman"/>
    <w:pitch w:val="default"/>
    <w:sig w:usb0="E00006FF" w:usb1="420024FF" w:usb2="02000000" w:usb3="00000000" w:csb0="2000019F" w:csb1="00000000"/>
    <w:embedRegular r:id="rId10" w:fontKey="{F31AF316-13D2-40F4-9965-C453869482EF}"/>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D5958478-8477-435C-85E1-26FA656334BC}"/>
  </w:font>
  <w:font w:name="方正小标宋简体">
    <w:panose1 w:val="02010600010101010101"/>
    <w:charset w:val="86"/>
    <w:family w:val="auto"/>
    <w:pitch w:val="default"/>
    <w:sig w:usb0="00000001" w:usb1="080E0000" w:usb2="00000000" w:usb3="00000000" w:csb0="00040000" w:csb1="00000000"/>
    <w:embedRegular r:id="rId12" w:fontKey="{6B6CD0A7-B3D9-46C9-B436-06E60CCCE5AE}"/>
  </w:font>
  <w:font w:name="长城小">
    <w:altName w:val="宋体"/>
    <w:panose1 w:val="00000000000000000000"/>
    <w:charset w:val="86"/>
    <w:family w:val="modern"/>
    <w:pitch w:val="default"/>
    <w:sig w:usb0="00000000" w:usb1="00000000" w:usb2="00000000" w:usb3="00000000" w:csb0="00040001" w:csb1="00000000"/>
    <w:embedRegular r:id="rId13" w:fontKey="{0442A690-2A1B-4C7F-8539-1FB5E3BB5109}"/>
  </w:font>
  <w:font w:name="长城小标宋体">
    <w:altName w:val="宋体"/>
    <w:panose1 w:val="00000000000000000000"/>
    <w:charset w:val="86"/>
    <w:family w:val="auto"/>
    <w:pitch w:val="default"/>
    <w:sig w:usb0="00000000" w:usb1="00000000" w:usb2="00000000" w:usb3="00000000" w:csb0="00000000" w:csb1="00000000"/>
    <w:embedRegular r:id="rId14" w:fontKey="{59F43031-A29A-488D-A938-8259E0F276F3}"/>
  </w:font>
  <w:font w:name="仿宋">
    <w:panose1 w:val="02010609060101010101"/>
    <w:charset w:val="86"/>
    <w:family w:val="modern"/>
    <w:pitch w:val="default"/>
    <w:sig w:usb0="800002BF" w:usb1="38CF7CFA" w:usb2="00000016" w:usb3="00000000" w:csb0="00040001" w:csb1="00000000"/>
    <w:embedRegular r:id="rId15" w:fontKey="{8102C447-1EAB-4288-B6AB-1F5690B09D4D}"/>
  </w:font>
  <w:font w:name="微软雅黑">
    <w:panose1 w:val="020B0503020204020204"/>
    <w:charset w:val="86"/>
    <w:family w:val="swiss"/>
    <w:pitch w:val="default"/>
    <w:sig w:usb0="80000287" w:usb1="2ACF3C50" w:usb2="00000016" w:usb3="00000000" w:csb0="0004001F" w:csb1="00000000"/>
    <w:embedRegular r:id="rId16" w:fontKey="{4E367E22-3A9E-4B67-B543-64394A03603D}"/>
  </w:font>
  <w:font w:name="Times New Roman Regular">
    <w:altName w:val="Times New Roman"/>
    <w:panose1 w:val="00000000000000000000"/>
    <w:charset w:val="00"/>
    <w:family w:val="auto"/>
    <w:pitch w:val="default"/>
    <w:sig w:usb0="00000000" w:usb1="00000000" w:usb2="00000009" w:usb3="00000000" w:csb0="400001FF" w:csb1="FFFF0000"/>
    <w:embedRegular r:id="rId17" w:fontKey="{5BE22BA3-F86E-4B07-A027-A7C42DE09DF7}"/>
  </w:font>
  <w:font w:name="Wingdings 2">
    <w:panose1 w:val="05020102010507070707"/>
    <w:charset w:val="02"/>
    <w:family w:val="roman"/>
    <w:pitch w:val="default"/>
    <w:sig w:usb0="00000000" w:usb1="00000000" w:usb2="00000000" w:usb3="00000000" w:csb0="80000000" w:csb1="00000000"/>
    <w:embedRegular r:id="rId18" w:fontKey="{5844D0B8-B7B8-40A0-8DD4-87BE84A30750}"/>
  </w:font>
  <w:font w:name="WPSEMBED1">
    <w:panose1 w:val="05020102010507070707"/>
    <w:charset w:val="00"/>
    <w:family w:val="auto"/>
    <w:pitch w:val="default"/>
    <w:sig w:usb0="00000000" w:usb1="00000000" w:usb2="00000000" w:usb3="00000000" w:csb0="80000000" w:csb1="00000000"/>
    <w:embedRegular r:id="rId19" w:fontKey="{88FBD5D6-CBA4-4FE2-AD77-AF65361F73E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8"/>
  <w:embedTrueTypeFonts/>
  <w:embedSystemFonts/>
  <w:bordersDoNotSurroundHeader w:val="1"/>
  <w:bordersDoNotSurroundFooter w:val="1"/>
  <w:revisionView w:markup="0"/>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4A3564"/>
    <w:rsid w:val="03795884"/>
    <w:rsid w:val="03966FA9"/>
    <w:rsid w:val="03D9246C"/>
    <w:rsid w:val="04A20595"/>
    <w:rsid w:val="05754E07"/>
    <w:rsid w:val="06710406"/>
    <w:rsid w:val="06A51204"/>
    <w:rsid w:val="06D473AA"/>
    <w:rsid w:val="06F9F432"/>
    <w:rsid w:val="079756C5"/>
    <w:rsid w:val="08244108"/>
    <w:rsid w:val="08420CAE"/>
    <w:rsid w:val="08E85CA6"/>
    <w:rsid w:val="0A363213"/>
    <w:rsid w:val="0A886720"/>
    <w:rsid w:val="0AA1428C"/>
    <w:rsid w:val="0AD251DE"/>
    <w:rsid w:val="0B0E30C9"/>
    <w:rsid w:val="0CD00C0D"/>
    <w:rsid w:val="0D7F8C1E"/>
    <w:rsid w:val="0D970DF6"/>
    <w:rsid w:val="0D9E3895"/>
    <w:rsid w:val="0DAFDDD2"/>
    <w:rsid w:val="0E4211FE"/>
    <w:rsid w:val="0EC01870"/>
    <w:rsid w:val="0EE17277"/>
    <w:rsid w:val="0FD61205"/>
    <w:rsid w:val="1097590F"/>
    <w:rsid w:val="10C42B13"/>
    <w:rsid w:val="10DD77C5"/>
    <w:rsid w:val="10E7084B"/>
    <w:rsid w:val="10F22522"/>
    <w:rsid w:val="11C42C96"/>
    <w:rsid w:val="12855EB3"/>
    <w:rsid w:val="134E717A"/>
    <w:rsid w:val="135D7FEE"/>
    <w:rsid w:val="13AFEC81"/>
    <w:rsid w:val="15701A90"/>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C17887"/>
    <w:rsid w:val="1CE758FD"/>
    <w:rsid w:val="1CFC7B12"/>
    <w:rsid w:val="1E870D13"/>
    <w:rsid w:val="1EC75BA1"/>
    <w:rsid w:val="1F0329CF"/>
    <w:rsid w:val="1F0F1A56"/>
    <w:rsid w:val="1F7F9C30"/>
    <w:rsid w:val="1FA372AD"/>
    <w:rsid w:val="1FB39FF7"/>
    <w:rsid w:val="1FB54372"/>
    <w:rsid w:val="1FEC089C"/>
    <w:rsid w:val="1FFF4E3F"/>
    <w:rsid w:val="20077A2D"/>
    <w:rsid w:val="206D0492"/>
    <w:rsid w:val="2089134F"/>
    <w:rsid w:val="208923CA"/>
    <w:rsid w:val="212271A1"/>
    <w:rsid w:val="23884315"/>
    <w:rsid w:val="247022A7"/>
    <w:rsid w:val="24B95082"/>
    <w:rsid w:val="24C1046C"/>
    <w:rsid w:val="257FF5EF"/>
    <w:rsid w:val="26DC0652"/>
    <w:rsid w:val="27BED872"/>
    <w:rsid w:val="27C81105"/>
    <w:rsid w:val="28AF13DB"/>
    <w:rsid w:val="29447493"/>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6F56F4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8F4F48"/>
    <w:rsid w:val="4D0A5610"/>
    <w:rsid w:val="4DD91081"/>
    <w:rsid w:val="4DFF1032"/>
    <w:rsid w:val="4EFDA9D6"/>
    <w:rsid w:val="4EFF30A2"/>
    <w:rsid w:val="4F10078B"/>
    <w:rsid w:val="4F155DA1"/>
    <w:rsid w:val="4F4F0D8E"/>
    <w:rsid w:val="4F520E7C"/>
    <w:rsid w:val="4FF9BA94"/>
    <w:rsid w:val="4FFC2348"/>
    <w:rsid w:val="50167464"/>
    <w:rsid w:val="504B2AA6"/>
    <w:rsid w:val="52F03F8E"/>
    <w:rsid w:val="52FF1484"/>
    <w:rsid w:val="53164D13"/>
    <w:rsid w:val="53F36D01"/>
    <w:rsid w:val="53FD523A"/>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8236DC"/>
    <w:rsid w:val="5AFFC0B6"/>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14147D4"/>
    <w:rsid w:val="625B4295"/>
    <w:rsid w:val="633C8FA8"/>
    <w:rsid w:val="633F0871"/>
    <w:rsid w:val="637FE448"/>
    <w:rsid w:val="63BC1BB4"/>
    <w:rsid w:val="63BD36A8"/>
    <w:rsid w:val="63F06F1A"/>
    <w:rsid w:val="649D52EE"/>
    <w:rsid w:val="653465C2"/>
    <w:rsid w:val="654FD8A0"/>
    <w:rsid w:val="65682C49"/>
    <w:rsid w:val="658B3FB6"/>
    <w:rsid w:val="67194FDD"/>
    <w:rsid w:val="67275C56"/>
    <w:rsid w:val="6775E9D8"/>
    <w:rsid w:val="67F565AC"/>
    <w:rsid w:val="67F73327"/>
    <w:rsid w:val="68FA8082"/>
    <w:rsid w:val="69BF38A2"/>
    <w:rsid w:val="69DF3E6C"/>
    <w:rsid w:val="69EF10CC"/>
    <w:rsid w:val="69EFC425"/>
    <w:rsid w:val="6A276E0A"/>
    <w:rsid w:val="6A375CF4"/>
    <w:rsid w:val="6ACFA4E7"/>
    <w:rsid w:val="6B86ABFC"/>
    <w:rsid w:val="6BA92576"/>
    <w:rsid w:val="6BBD76DF"/>
    <w:rsid w:val="6BDA34B9"/>
    <w:rsid w:val="6BEF6F0A"/>
    <w:rsid w:val="6BF6364D"/>
    <w:rsid w:val="6C44004F"/>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1107D7"/>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10794</Words>
  <Characters>11275</Characters>
  <Lines>12</Lines>
  <Paragraphs>23</Paragraphs>
  <TotalTime>3</TotalTime>
  <ScaleCrop>false</ScaleCrop>
  <LinksUpToDate>false</LinksUpToDate>
  <CharactersWithSpaces>11840</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2025-09-08T11:03:00Z</cp:lastPrinted>
  <dcterms:modified xsi:type="dcterms:W3CDTF">2025-10-24T04:00:37Z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