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江西区域固体氢氧化钠</w:t>
      </w:r>
      <w:r>
        <w:rPr>
          <w:rFonts w:hint="eastAsia" w:ascii="Times New Roman" w:hAnsi="Times New Roman" w:eastAsia="长城小标宋体"/>
          <w:b/>
          <w:bCs/>
          <w:sz w:val="44"/>
          <w:szCs w:val="44"/>
        </w:rPr>
        <w:t>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江西区域固体氢氧化钠</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6"/>
        <w:gridCol w:w="1835"/>
        <w:gridCol w:w="900"/>
        <w:gridCol w:w="1274"/>
        <w:gridCol w:w="1690"/>
        <w:gridCol w:w="1196"/>
      </w:tblGrid>
      <w:tr w14:paraId="3465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663EE24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57AACBC">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025" w:type="pct"/>
            <w:vAlign w:val="center"/>
          </w:tcPr>
          <w:p w14:paraId="1E4168F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503" w:type="pct"/>
            <w:vAlign w:val="center"/>
          </w:tcPr>
          <w:p w14:paraId="4E6475D7">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712" w:type="pct"/>
            <w:vAlign w:val="center"/>
          </w:tcPr>
          <w:p w14:paraId="7F099617">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DCFDA28">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944" w:type="pct"/>
            <w:vAlign w:val="center"/>
          </w:tcPr>
          <w:p w14:paraId="19F0F64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C2552D8">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4EE7F9C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5707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C48885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45A448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lang w:eastAsia="zh-CN"/>
              </w:rPr>
            </w:pPr>
            <w:r>
              <w:rPr>
                <w:rFonts w:hint="eastAsia" w:ascii="仿宋" w:hAnsi="仿宋" w:eastAsia="仿宋" w:cs="仿宋"/>
                <w:sz w:val="24"/>
                <w:lang w:eastAsia="zh-CN"/>
              </w:rPr>
              <w:t>固体氢氧化钠</w:t>
            </w:r>
          </w:p>
        </w:tc>
        <w:tc>
          <w:tcPr>
            <w:tcW w:w="1025" w:type="pct"/>
            <w:vAlign w:val="center"/>
          </w:tcPr>
          <w:p w14:paraId="3532620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仿宋" w:hAnsi="仿宋" w:eastAsia="仿宋" w:cs="仿宋"/>
                <w:spacing w:val="-8"/>
                <w:sz w:val="24"/>
                <w:lang w:val="en-US" w:eastAsia="zh-CN"/>
              </w:rPr>
            </w:pPr>
            <w:r>
              <w:rPr>
                <w:rFonts w:hint="eastAsia" w:ascii="仿宋" w:hAnsi="仿宋" w:eastAsia="仿宋" w:cs="仿宋"/>
                <w:sz w:val="24"/>
                <w:szCs w:val="24"/>
                <w:lang w:val="en-US" w:eastAsia="zh-CN"/>
              </w:rPr>
              <w:t>片碱，</w:t>
            </w:r>
            <w:r>
              <w:rPr>
                <w:rFonts w:hint="eastAsia" w:ascii="仿宋" w:hAnsi="仿宋" w:eastAsia="仿宋" w:cs="仿宋"/>
                <w:sz w:val="24"/>
                <w:szCs w:val="24"/>
                <w:lang w:eastAsia="zh-CN"/>
              </w:rPr>
              <w:t>固体氢氧化钠</w:t>
            </w:r>
            <w:r>
              <w:rPr>
                <w:rFonts w:hint="eastAsia" w:ascii="仿宋" w:hAnsi="仿宋" w:eastAsia="仿宋" w:cs="仿宋"/>
                <w:sz w:val="24"/>
                <w:szCs w:val="24"/>
              </w:rPr>
              <w:t>（NaOH）的质量分数≥98%</w:t>
            </w:r>
          </w:p>
        </w:tc>
        <w:tc>
          <w:tcPr>
            <w:tcW w:w="503" w:type="pct"/>
            <w:vAlign w:val="center"/>
          </w:tcPr>
          <w:p w14:paraId="2F0050CF">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712" w:type="pct"/>
            <w:vAlign w:val="center"/>
          </w:tcPr>
          <w:p w14:paraId="3A28E05A">
            <w:pPr>
              <w:autoSpaceDE w:val="0"/>
              <w:autoSpaceDN w:val="0"/>
              <w:adjustRightInd w:val="0"/>
              <w:snapToGrid w:val="0"/>
              <w:spacing w:afterLines="0" w:line="240" w:lineRule="auto"/>
              <w:jc w:val="center"/>
              <w:rPr>
                <w:rFonts w:hint="default" w:ascii="仿宋" w:hAnsi="仿宋" w:eastAsia="仿宋" w:cs="仿宋"/>
                <w:color w:val="000000"/>
                <w:kern w:val="0"/>
                <w:sz w:val="24"/>
                <w:lang w:val="en-US" w:eastAsia="zh-CN"/>
              </w:rPr>
            </w:pPr>
            <w:r>
              <w:rPr>
                <w:rFonts w:hint="eastAsia" w:ascii="仿宋" w:hAnsi="仿宋" w:eastAsia="仿宋" w:cs="仿宋"/>
                <w:color w:val="000000"/>
                <w:kern w:val="0"/>
                <w:sz w:val="24"/>
                <w:lang w:val="en-US" w:eastAsia="zh-CN"/>
              </w:rPr>
              <w:t>10</w:t>
            </w:r>
          </w:p>
        </w:tc>
        <w:tc>
          <w:tcPr>
            <w:tcW w:w="944" w:type="pct"/>
            <w:vAlign w:val="center"/>
          </w:tcPr>
          <w:p w14:paraId="4D33BDA7">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4300</w:t>
            </w:r>
            <w:r>
              <w:rPr>
                <w:rFonts w:hint="eastAsia" w:ascii="仿宋" w:hAnsi="仿宋" w:eastAsia="仿宋" w:cs="仿宋"/>
                <w:sz w:val="24"/>
              </w:rPr>
              <w:t>元/吨</w:t>
            </w:r>
          </w:p>
        </w:tc>
        <w:tc>
          <w:tcPr>
            <w:tcW w:w="668" w:type="pct"/>
            <w:vAlign w:val="center"/>
          </w:tcPr>
          <w:p w14:paraId="54FF8B2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lang w:val="en-US" w:eastAsia="zh-CN"/>
              </w:rPr>
              <w:t>江西</w:t>
            </w:r>
            <w:r>
              <w:rPr>
                <w:rFonts w:hint="eastAsia" w:ascii="仿宋" w:hAnsi="仿宋" w:eastAsia="仿宋" w:cs="仿宋"/>
                <w:sz w:val="24"/>
              </w:rPr>
              <w:t>省</w:t>
            </w:r>
          </w:p>
          <w:p w14:paraId="6A8A4F0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龙南</w:t>
            </w:r>
            <w:r>
              <w:rPr>
                <w:rFonts w:hint="eastAsia" w:ascii="仿宋" w:hAnsi="仿宋" w:eastAsia="仿宋" w:cs="仿宋"/>
                <w:sz w:val="24"/>
              </w:rPr>
              <w:t>市</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317003C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05DF311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证明材料:提供危险化学品经营许可证复印件并加盖参选单位公章</w:t>
      </w:r>
      <w:r>
        <w:rPr>
          <w:rFonts w:hint="eastAsia" w:ascii="仿宋_GB2312" w:hAnsi="仿宋_GB2312" w:eastAsia="仿宋_GB2312" w:cs="仿宋_GB2312"/>
          <w:bCs/>
          <w:color w:val="000000"/>
          <w:sz w:val="28"/>
          <w:szCs w:val="28"/>
        </w:rPr>
        <w:t>、业务章或合同章（三选一）</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sz w:val="28"/>
          <w:szCs w:val="28"/>
        </w:rPr>
        <w:t>危险化学品经营许可</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江西区域固体氢氧化钠</w:t>
      </w:r>
      <w:r>
        <w:rPr>
          <w:rFonts w:hint="eastAsia" w:ascii="仿宋_GB2312" w:hAnsi="仿宋_GB2312" w:eastAsia="仿宋_GB2312" w:cs="仿宋_GB2312"/>
          <w:kern w:val="0"/>
          <w:sz w:val="28"/>
          <w:szCs w:val="28"/>
        </w:rPr>
        <w:t>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4300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w:t>
      </w:r>
      <w:r>
        <w:rPr>
          <w:rFonts w:hint="eastAsia" w:ascii="宋体" w:hAnsi="宋体" w:cs="宋体"/>
          <w:b/>
          <w:sz w:val="56"/>
          <w:szCs w:val="56"/>
          <w:u w:val="single"/>
          <w:lang w:val="en-US" w:eastAsia="zh-CN"/>
        </w:rPr>
        <w:t>域氢氧化钠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江西区域氢氧化钠</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江西区域氢氧化钠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201401643"/>
      <w:bookmarkStart w:id="12" w:name="_Toc201743099"/>
      <w:bookmarkStart w:id="13" w:name="_Toc199215763"/>
      <w:bookmarkStart w:id="14" w:name="_Toc201719103"/>
      <w:bookmarkStart w:id="15" w:name="_Toc199213728"/>
      <w:bookmarkStart w:id="16" w:name="_Toc199215931"/>
      <w:bookmarkStart w:id="17"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【2500】元。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【2000】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【5000】元，并赔偿因此给甲方造成的损失。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w:t>
      </w:r>
      <w:r>
        <w:rPr>
          <w:rFonts w:hint="eastAsia" w:ascii="宋体" w:hAnsi="宋体" w:cs="宋体"/>
          <w:color w:val="000000"/>
          <w:sz w:val="24"/>
          <w:lang w:val="en-US" w:eastAsia="zh-CN" w:bidi="ar"/>
        </w:rPr>
        <w:t xml:space="preserve"> 1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rPr>
        <w:t>江西区域氢氧化钠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eastAsia="zh-CN"/>
              </w:rPr>
            </w:pPr>
            <w:r>
              <w:rPr>
                <w:rFonts w:hint="eastAsia" w:ascii="宋体" w:hAnsi="宋体" w:cs="宋体"/>
                <w:sz w:val="22"/>
                <w:szCs w:val="22"/>
                <w:lang w:eastAsia="zh-CN"/>
              </w:rPr>
              <w:t>固体氢氧化钠</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宋体" w:hAnsi="宋体" w:eastAsia="宋体" w:cs="宋体"/>
                <w:b/>
                <w:bCs/>
                <w:color w:val="000000"/>
                <w:kern w:val="0"/>
                <w:sz w:val="22"/>
                <w:szCs w:val="22"/>
                <w:lang w:val="en-US" w:eastAsia="zh-CN"/>
              </w:rPr>
            </w:pPr>
            <w:r>
              <w:rPr>
                <w:rFonts w:hint="eastAsia" w:ascii="宋体" w:hAnsi="宋体" w:cs="宋体"/>
                <w:sz w:val="22"/>
                <w:szCs w:val="22"/>
                <w:lang w:val="en-US" w:eastAsia="zh-CN"/>
              </w:rPr>
              <w:t>片碱，</w:t>
            </w:r>
            <w:r>
              <w:rPr>
                <w:rFonts w:hint="eastAsia" w:ascii="宋体" w:hAnsi="宋体" w:eastAsia="宋体" w:cs="宋体"/>
                <w:sz w:val="22"/>
                <w:szCs w:val="22"/>
              </w:rPr>
              <w:t>氢氧化钠（NaOH）的质量分数≥98%</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eastAsia" w:ascii="宋体" w:hAnsi="宋体" w:eastAsia="宋体" w:cs="宋体"/>
                <w:b/>
                <w:bCs/>
                <w:szCs w:val="21"/>
                <w:lang w:eastAsia="zh-CN"/>
              </w:rPr>
            </w:pPr>
            <w:r>
              <w:rPr>
                <w:rFonts w:hint="eastAsia" w:ascii="宋体" w:hAnsi="宋体" w:cs="宋体"/>
                <w:b/>
                <w:bCs/>
                <w:color w:val="000000"/>
                <w:szCs w:val="21"/>
                <w:lang w:eastAsia="zh-CN" w:bidi="ar"/>
              </w:rPr>
              <w:t>固体氢氧化钠</w:t>
            </w:r>
          </w:p>
        </w:tc>
        <w:tc>
          <w:tcPr>
            <w:tcW w:w="1207"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textAlignment w:val="auto"/>
              <w:rPr>
                <w:rFonts w:hint="eastAsia" w:ascii="宋体" w:hAnsi="宋体" w:eastAsia="宋体" w:cs="宋体"/>
                <w:b/>
                <w:bCs/>
                <w:sz w:val="22"/>
                <w:szCs w:val="22"/>
              </w:rPr>
            </w:pPr>
            <w:r>
              <w:rPr>
                <w:rFonts w:ascii="Times New Roman" w:cs="Times New Roman"/>
                <w:sz w:val="20"/>
                <w:szCs w:val="20"/>
              </w:rPr>
              <w:t>GB/T 209-2018</w:t>
            </w:r>
          </w:p>
        </w:tc>
        <w:tc>
          <w:tcPr>
            <w:tcW w:w="1731" w:type="pct"/>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spacing w:val="-8"/>
                <w:sz w:val="22"/>
                <w:szCs w:val="22"/>
              </w:rPr>
            </w:pPr>
            <w:r>
              <w:rPr>
                <w:rFonts w:hint="eastAsia" w:ascii="宋体" w:hAnsi="宋体" w:cs="宋体"/>
                <w:sz w:val="22"/>
                <w:szCs w:val="22"/>
                <w:lang w:val="en-US" w:eastAsia="zh-CN"/>
              </w:rPr>
              <w:t>片碱，</w:t>
            </w:r>
            <w:r>
              <w:rPr>
                <w:rFonts w:hint="eastAsia" w:ascii="宋体" w:hAnsi="宋体" w:eastAsia="宋体" w:cs="宋体"/>
                <w:sz w:val="22"/>
                <w:szCs w:val="22"/>
              </w:rPr>
              <w:t>氢氧化钠（NaOH）的质量分数≥98%</w:t>
            </w:r>
          </w:p>
        </w:tc>
        <w:tc>
          <w:tcPr>
            <w:tcW w:w="1129"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年     月   日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江西区域固体氢氧化钠</w:t>
      </w:r>
      <w:r>
        <w:rPr>
          <w:rFonts w:hint="eastAsia" w:ascii="Times New Roman" w:hAnsi="Times New Roman" w:eastAsia="长城小标宋体"/>
          <w:b/>
          <w:bCs/>
          <w:sz w:val="44"/>
          <w:szCs w:val="44"/>
        </w:rPr>
        <w:t>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江西区域固体氢氧化钠</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64DEF198">
      <w:pPr>
        <w:rPr>
          <w:rFonts w:hint="eastAsia" w:ascii="仿宋" w:hAnsi="仿宋" w:eastAsia="仿宋" w:cs="仿宋"/>
          <w:b/>
          <w:bCs/>
          <w:color w:val="000000"/>
          <w:sz w:val="24"/>
          <w:lang w:bidi="ar"/>
        </w:rPr>
      </w:pPr>
    </w:p>
    <w:p w14:paraId="0F2CED9A">
      <w:pPr>
        <w:rPr>
          <w:rFonts w:hint="eastAsia" w:ascii="仿宋" w:hAnsi="仿宋" w:eastAsia="仿宋" w:cs="仿宋"/>
          <w:sz w:val="24"/>
          <w:szCs w:val="24"/>
        </w:rPr>
      </w:pPr>
      <w:r>
        <w:rPr>
          <w:rFonts w:hint="eastAsia" w:ascii="仿宋" w:hAnsi="仿宋" w:eastAsia="仿宋" w:cs="仿宋"/>
          <w:sz w:val="24"/>
          <w:szCs w:val="24"/>
        </w:rPr>
        <w:t>危险化学品经营许可证</w:t>
      </w:r>
    </w:p>
    <w:p w14:paraId="4ECAC43B">
      <w:pPr>
        <w:rPr>
          <w:rFonts w:hint="eastAsia" w:ascii="仿宋" w:hAnsi="仿宋" w:eastAsia="仿宋"/>
          <w:b/>
          <w:bCs/>
          <w:kern w:val="0"/>
          <w:sz w:val="24"/>
        </w:rPr>
      </w:pPr>
      <w:r>
        <w:rPr>
          <w:sz w:val="24"/>
        </w:rPr>
        <mc:AlternateContent>
          <mc:Choice Requires="wps">
            <w:drawing>
              <wp:anchor distT="0" distB="0" distL="114300" distR="114300" simplePos="0" relativeHeight="251666432" behindDoc="0" locked="0" layoutInCell="1" allowOverlap="1">
                <wp:simplePos x="0" y="0"/>
                <wp:positionH relativeFrom="column">
                  <wp:posOffset>-67945</wp:posOffset>
                </wp:positionH>
                <wp:positionV relativeFrom="paragraph">
                  <wp:posOffset>-64770</wp:posOffset>
                </wp:positionV>
                <wp:extent cx="5436235" cy="3999230"/>
                <wp:effectExtent l="4445" t="4445" r="7620" b="15875"/>
                <wp:wrapNone/>
                <wp:docPr id="3" name="文本框 3"/>
                <wp:cNvGraphicFramePr/>
                <a:graphic xmlns:a="http://schemas.openxmlformats.org/drawingml/2006/main">
                  <a:graphicData uri="http://schemas.microsoft.com/office/word/2010/wordprocessingShape">
                    <wps:wsp>
                      <wps:cNvSpPr txBox="1"/>
                      <wps:spPr>
                        <a:xfrm>
                          <a:off x="0" y="0"/>
                          <a:ext cx="5436235" cy="3999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7D558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pt;margin-top:-5.1pt;height:314.9pt;width:428.05pt;z-index:251666432;mso-width-relative:page;mso-height-relative:page;" fillcolor="#FFFFFF [3201]" filled="t" stroked="t" coordsize="21600,21600" o:gfxdata="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d9&#10;N1bYAAAACwEAAA8AAAAAAAAAAQAgAAAAIgAAAGRycy9kb3ducmV2LnhtbFBLAQIUABQAAAAIAIdO&#10;4kBfxFihXAIAALgEAAAOAAAAAAAAAAEAIAAAACcBAABkcnMvZTJvRG9jLnhtbFBLBQYAAAAABgAG&#10;AFkBAAD1BQAAAAA=&#10;">
                <v:fill on="t" focussize="0,0"/>
                <v:stroke weight="0.5pt" color="#000000 [3204]" joinstyle="round"/>
                <v:imagedata o:title=""/>
                <o:lock v:ext="edit" aspectratio="f"/>
                <v:textbox>
                  <w:txbxContent>
                    <w:p w14:paraId="0F7D5584">
                      <w:pPr>
                        <w:spacing w:after="78"/>
                      </w:pPr>
                    </w:p>
                  </w:txbxContent>
                </v:textbox>
              </v:shape>
            </w:pict>
          </mc:Fallback>
        </mc:AlternateConten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江西区域固体氢氧化钠</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eastAsia="zh-CN" w:bidi="ar"/>
              </w:rPr>
              <w:t>江西区域固体氢氧化钠</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074635C1">
            <w:pPr>
              <w:spacing w:afterLines="0" w:line="300" w:lineRule="exact"/>
              <w:jc w:val="center"/>
              <w:rPr>
                <w:rFonts w:hint="eastAsia" w:ascii="仿宋" w:hAnsi="仿宋" w:eastAsia="仿宋"/>
                <w:szCs w:val="21"/>
              </w:rPr>
            </w:pPr>
          </w:p>
        </w:tc>
        <w:tc>
          <w:tcPr>
            <w:tcW w:w="1958" w:type="pct"/>
            <w:gridSpan w:val="2"/>
            <w:vMerge w:val="continue"/>
            <w:vAlign w:val="center"/>
          </w:tcPr>
          <w:p w14:paraId="2B88DBA5">
            <w:pPr>
              <w:spacing w:afterLines="0" w:line="300" w:lineRule="exact"/>
              <w:jc w:val="center"/>
              <w:rPr>
                <w:rFonts w:hint="eastAsia" w:ascii="仿宋" w:hAnsi="仿宋" w:eastAsia="仿宋"/>
                <w:szCs w:val="21"/>
              </w:rPr>
            </w:pPr>
          </w:p>
        </w:tc>
        <w:tc>
          <w:tcPr>
            <w:tcW w:w="562"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0347850D">
            <w:pPr>
              <w:spacing w:afterLines="0" w:line="300" w:lineRule="exact"/>
              <w:jc w:val="center"/>
              <w:rPr>
                <w:rFonts w:hint="eastAsia" w:ascii="仿宋" w:hAnsi="仿宋" w:eastAsia="仿宋"/>
                <w:szCs w:val="21"/>
              </w:rPr>
            </w:pPr>
            <w:r>
              <w:rPr>
                <w:rFonts w:hint="eastAsia" w:ascii="仿宋" w:hAnsi="仿宋" w:eastAsia="仿宋" w:cs="仿宋"/>
                <w:szCs w:val="21"/>
                <w:lang w:val="en-US" w:eastAsia="zh-CN"/>
              </w:rPr>
              <w:t>江西</w:t>
            </w:r>
            <w:r>
              <w:rPr>
                <w:rFonts w:hint="eastAsia" w:ascii="仿宋" w:hAnsi="仿宋" w:eastAsia="仿宋" w:cs="仿宋"/>
                <w:szCs w:val="21"/>
              </w:rPr>
              <w:t>省</w:t>
            </w:r>
            <w:r>
              <w:rPr>
                <w:rFonts w:hint="eastAsia" w:ascii="仿宋" w:hAnsi="仿宋" w:eastAsia="仿宋" w:cs="仿宋"/>
                <w:szCs w:val="21"/>
                <w:lang w:val="en-US" w:eastAsia="zh-CN"/>
              </w:rPr>
              <w:t>龙南</w:t>
            </w:r>
            <w:r>
              <w:rPr>
                <w:rFonts w:hint="eastAsia" w:ascii="仿宋" w:hAnsi="仿宋" w:eastAsia="仿宋" w:cs="仿宋"/>
                <w:szCs w:val="21"/>
              </w:rPr>
              <w:t>市</w:t>
            </w:r>
          </w:p>
        </w:tc>
        <w:tc>
          <w:tcPr>
            <w:tcW w:w="562"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eastAsia="zh-CN" w:bidi="ar"/>
              </w:rPr>
            </w:pPr>
            <w:r>
              <w:rPr>
                <w:rFonts w:hint="eastAsia" w:ascii="仿宋" w:hAnsi="仿宋" w:eastAsia="仿宋" w:cs="仿宋"/>
                <w:szCs w:val="21"/>
                <w:lang w:eastAsia="zh-CN"/>
              </w:rPr>
              <w:t>固体氢氧化钠</w:t>
            </w:r>
          </w:p>
        </w:tc>
        <w:tc>
          <w:tcPr>
            <w:tcW w:w="1187"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仿宋" w:hAnsi="仿宋" w:eastAsia="仿宋" w:cs="仿宋"/>
                <w:color w:val="000000"/>
                <w:szCs w:val="21"/>
                <w:lang w:val="en-US" w:eastAsia="zh-CN" w:bidi="ar"/>
              </w:rPr>
            </w:pPr>
            <w:r>
              <w:rPr>
                <w:rFonts w:hint="eastAsia" w:ascii="仿宋" w:hAnsi="仿宋" w:eastAsia="仿宋" w:cs="仿宋"/>
                <w:sz w:val="21"/>
                <w:szCs w:val="21"/>
                <w:lang w:val="en-US" w:eastAsia="zh-CN"/>
              </w:rPr>
              <w:t>片碱，</w:t>
            </w:r>
            <w:r>
              <w:rPr>
                <w:rFonts w:hint="eastAsia" w:ascii="仿宋" w:hAnsi="仿宋" w:eastAsia="仿宋" w:cs="仿宋"/>
                <w:sz w:val="21"/>
                <w:szCs w:val="21"/>
                <w:lang w:eastAsia="zh-CN"/>
              </w:rPr>
              <w:t>固体氢氧化钠</w:t>
            </w:r>
            <w:r>
              <w:rPr>
                <w:rFonts w:hint="eastAsia" w:ascii="仿宋" w:hAnsi="仿宋" w:eastAsia="仿宋" w:cs="仿宋"/>
                <w:sz w:val="21"/>
                <w:szCs w:val="21"/>
              </w:rPr>
              <w:t>（NaOH）的质量分数≥98%</w:t>
            </w:r>
          </w:p>
        </w:tc>
        <w:tc>
          <w:tcPr>
            <w:tcW w:w="562"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shd w:val="clear" w:color="auto" w:fill="auto"/>
            <w:vAlign w:val="center"/>
          </w:tcPr>
          <w:p w14:paraId="3F6E9562">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2600D178">
            <w:pPr>
              <w:spacing w:afterLines="0" w:line="240" w:lineRule="auto"/>
              <w:jc w:val="left"/>
              <w:rPr>
                <w:rFonts w:hint="eastAsia" w:ascii="仿宋" w:hAnsi="仿宋" w:eastAsia="仿宋"/>
                <w:szCs w:val="21"/>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62"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28ABAC7">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bookmarkStart w:id="22" w:name="_GoBack"/>
      <w:bookmarkEnd w:id="22"/>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1F4A832-E5C5-473C-A0E8-FBBDF9C6DC26}"/>
  </w:font>
  <w:font w:name="宋体">
    <w:panose1 w:val="02010600030101010101"/>
    <w:charset w:val="7A"/>
    <w:family w:val="auto"/>
    <w:pitch w:val="default"/>
    <w:sig w:usb0="00000203" w:usb1="288F0000" w:usb2="00000006" w:usb3="00000000" w:csb0="00040001" w:csb1="00000000"/>
    <w:embedRegular r:id="rId2" w:fontKey="{01B28298-900B-452B-BD75-5043EC0BDCF9}"/>
  </w:font>
  <w:font w:name="Wingdings">
    <w:panose1 w:val="05000000000000000000"/>
    <w:charset w:val="02"/>
    <w:family w:val="auto"/>
    <w:pitch w:val="default"/>
    <w:sig w:usb0="00000000" w:usb1="00000000" w:usb2="00000000" w:usb3="00000000" w:csb0="80000000" w:csb1="00000000"/>
    <w:embedRegular r:id="rId3" w:fontKey="{8D54B2EA-7168-471F-93CA-230768AAB9AE}"/>
  </w:font>
  <w:font w:name="Arial">
    <w:panose1 w:val="020B0604020202020204"/>
    <w:charset w:val="01"/>
    <w:family w:val="swiss"/>
    <w:pitch w:val="default"/>
    <w:sig w:usb0="E0002EFF" w:usb1="C000785B" w:usb2="00000009" w:usb3="00000000" w:csb0="400001FF" w:csb1="FFFF0000"/>
    <w:embedRegular r:id="rId4" w:fontKey="{E7CD58AF-2B67-4813-B763-3E4BE3F107D3}"/>
  </w:font>
  <w:font w:name="黑体">
    <w:panose1 w:val="02010609060101010101"/>
    <w:charset w:val="86"/>
    <w:family w:val="auto"/>
    <w:pitch w:val="default"/>
    <w:sig w:usb0="800002BF" w:usb1="38CF7CFA" w:usb2="00000016" w:usb3="00000000" w:csb0="00040001" w:csb1="00000000"/>
    <w:embedRegular r:id="rId5" w:fontKey="{34DC609C-F71E-4D49-A332-0CBB8DEF9984}"/>
  </w:font>
  <w:font w:name="Courier New">
    <w:panose1 w:val="02070309020205020404"/>
    <w:charset w:val="01"/>
    <w:family w:val="modern"/>
    <w:pitch w:val="default"/>
    <w:sig w:usb0="E0002EFF" w:usb1="C0007843" w:usb2="00000009" w:usb3="00000000" w:csb0="400001FF" w:csb1="FFFF0000"/>
    <w:embedRegular r:id="rId6" w:fontKey="{D67079B8-06FA-46C5-AEB9-235507373694}"/>
  </w:font>
  <w:font w:name="Symbol">
    <w:panose1 w:val="05050102010706020507"/>
    <w:charset w:val="02"/>
    <w:family w:val="roman"/>
    <w:pitch w:val="default"/>
    <w:sig w:usb0="00000000" w:usb1="00000000" w:usb2="00000000" w:usb3="00000000" w:csb0="80000000" w:csb1="00000000"/>
    <w:embedRegular r:id="rId7" w:fontKey="{61CF7563-00E6-48C1-B13F-BE93D284A369}"/>
  </w:font>
  <w:font w:name="Calibri">
    <w:panose1 w:val="020F0502020204030204"/>
    <w:charset w:val="00"/>
    <w:family w:val="swiss"/>
    <w:pitch w:val="default"/>
    <w:sig w:usb0="E4002EFF" w:usb1="C200247B" w:usb2="00000009" w:usb3="00000000" w:csb0="200001FF" w:csb1="00000000"/>
    <w:embedRegular r:id="rId8" w:fontKey="{B4AB21BC-BED0-4663-A9B2-F2122E5F4F57}"/>
  </w:font>
  <w:font w:name="Calibri Light">
    <w:panose1 w:val="020F0302020204030204"/>
    <w:charset w:val="00"/>
    <w:family w:val="swiss"/>
    <w:pitch w:val="default"/>
    <w:sig w:usb0="E4002EFF" w:usb1="C200247B" w:usb2="00000009" w:usb3="00000000" w:csb0="200001FF" w:csb1="00000000"/>
    <w:embedRegular r:id="rId9" w:fontKey="{6F06B8E4-52AE-442C-ABE4-B9E2289BB1F3}"/>
  </w:font>
  <w:font w:name="Cambria">
    <w:panose1 w:val="02040503050406030204"/>
    <w:charset w:val="00"/>
    <w:family w:val="roman"/>
    <w:pitch w:val="default"/>
    <w:sig w:usb0="E00006FF" w:usb1="420024FF" w:usb2="02000000" w:usb3="00000000" w:csb0="2000019F" w:csb1="00000000"/>
    <w:embedRegular r:id="rId10" w:fontKey="{92308078-2C84-45FB-9BA5-B2D2EE6E8F3D}"/>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95A2A7D-4CF5-49D6-816A-BB65764B0956}"/>
  </w:font>
  <w:font w:name="方正小标宋简体">
    <w:panose1 w:val="02010600010101010101"/>
    <w:charset w:val="86"/>
    <w:family w:val="auto"/>
    <w:pitch w:val="default"/>
    <w:sig w:usb0="00000001" w:usb1="080E0000" w:usb2="00000000" w:usb3="00000000" w:csb0="00040000" w:csb1="00000000"/>
    <w:embedRegular r:id="rId12" w:fontKey="{4B493383-CB44-47C7-8DA6-75B6F3DBB877}"/>
  </w:font>
  <w:font w:name="长城小">
    <w:altName w:val="宋体"/>
    <w:panose1 w:val="00000000000000000000"/>
    <w:charset w:val="86"/>
    <w:family w:val="modern"/>
    <w:pitch w:val="default"/>
    <w:sig w:usb0="00000000" w:usb1="00000000" w:usb2="00000000" w:usb3="00000000" w:csb0="00040001" w:csb1="00000000"/>
    <w:embedRegular r:id="rId13" w:fontKey="{DD7C2C6D-EE1B-4D10-9EA5-FB729E53958B}"/>
  </w:font>
  <w:font w:name="长城小标宋体">
    <w:altName w:val="宋体"/>
    <w:panose1 w:val="00000000000000000000"/>
    <w:charset w:val="86"/>
    <w:family w:val="auto"/>
    <w:pitch w:val="default"/>
    <w:sig w:usb0="00000000" w:usb1="00000000" w:usb2="00000000" w:usb3="00000000" w:csb0="00000000" w:csb1="00000000"/>
    <w:embedRegular r:id="rId14" w:fontKey="{93E0DA85-5F45-4B2A-A477-E59FDCEBE858}"/>
  </w:font>
  <w:font w:name="仿宋">
    <w:panose1 w:val="02010609060101010101"/>
    <w:charset w:val="86"/>
    <w:family w:val="modern"/>
    <w:pitch w:val="default"/>
    <w:sig w:usb0="800002BF" w:usb1="38CF7CFA" w:usb2="00000016" w:usb3="00000000" w:csb0="00040001" w:csb1="00000000"/>
    <w:embedRegular r:id="rId15" w:fontKey="{2C157658-E0A8-4B9E-A198-97CFE4891159}"/>
  </w:font>
  <w:font w:name="微软雅黑">
    <w:panose1 w:val="020B0503020204020204"/>
    <w:charset w:val="86"/>
    <w:family w:val="swiss"/>
    <w:pitch w:val="default"/>
    <w:sig w:usb0="80000287" w:usb1="2ACF3C50" w:usb2="00000016" w:usb3="00000000" w:csb0="0004001F" w:csb1="00000000"/>
    <w:embedRegular r:id="rId16" w:fontKey="{79D57CD2-A158-4006-902D-9D122D0EB536}"/>
  </w:font>
  <w:font w:name="Times New Roman Regular">
    <w:altName w:val="Times New Roman"/>
    <w:panose1 w:val="00000000000000000000"/>
    <w:charset w:val="00"/>
    <w:family w:val="auto"/>
    <w:pitch w:val="default"/>
    <w:sig w:usb0="00000000" w:usb1="00000000" w:usb2="00000009" w:usb3="00000000" w:csb0="400001FF" w:csb1="FFFF0000"/>
    <w:embedRegular r:id="rId17" w:fontKey="{AD8FF88D-D6CF-4D5C-8816-6B8338D98236}"/>
  </w:font>
  <w:font w:name="Wingdings 2">
    <w:panose1 w:val="05020102010507070707"/>
    <w:charset w:val="02"/>
    <w:family w:val="roman"/>
    <w:pitch w:val="default"/>
    <w:sig w:usb0="00000000" w:usb1="00000000" w:usb2="00000000" w:usb3="00000000" w:csb0="80000000" w:csb1="00000000"/>
    <w:embedRegular r:id="rId18" w:fontKey="{7E016140-A0FF-47B4-8388-BF227EF0E6C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467AD6"/>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2B03F39"/>
    <w:rsid w:val="134E717A"/>
    <w:rsid w:val="135D7FEE"/>
    <w:rsid w:val="13AFEC81"/>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3935A5B"/>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B91CC2"/>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321448"/>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10601</Words>
  <Characters>11063</Characters>
  <Lines>12</Lines>
  <Paragraphs>23</Paragraphs>
  <TotalTime>2</TotalTime>
  <ScaleCrop>false</ScaleCrop>
  <LinksUpToDate>false</LinksUpToDate>
  <CharactersWithSpaces>11617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2025-10-14T08:33:50Z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