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04DB4">
      <w:pPr>
        <w:spacing w:after="78"/>
        <w:jc w:val="center"/>
        <w:rPr>
          <w:rFonts w:ascii="Times New Roman" w:hAnsi="Times New Roman" w:eastAsia="方正小标宋简体"/>
          <w:bCs/>
          <w:sz w:val="32"/>
          <w:szCs w:val="32"/>
        </w:rPr>
      </w:pPr>
    </w:p>
    <w:p w14:paraId="2371B47B">
      <w:pPr>
        <w:pStyle w:val="64"/>
        <w:spacing w:after="78"/>
        <w:rPr>
          <w:rFonts w:ascii="Times New Roman" w:hAnsi="Times New Roman" w:eastAsia="方正小标宋简体"/>
          <w:bCs/>
          <w:sz w:val="32"/>
          <w:szCs w:val="32"/>
        </w:rPr>
      </w:pPr>
    </w:p>
    <w:p w14:paraId="5C258E1A">
      <w:pPr>
        <w:pStyle w:val="64"/>
        <w:spacing w:after="78"/>
        <w:rPr>
          <w:rFonts w:ascii="Times New Roman" w:hAnsi="Times New Roman" w:eastAsia="方正小标宋简体"/>
          <w:bCs/>
          <w:sz w:val="32"/>
          <w:szCs w:val="32"/>
        </w:rPr>
      </w:pPr>
    </w:p>
    <w:p w14:paraId="27C956DC">
      <w:pPr>
        <w:spacing w:after="78"/>
        <w:jc w:val="center"/>
        <w:rPr>
          <w:rFonts w:ascii="Times New Roman" w:hAnsi="Times New Roman" w:eastAsia="长城小"/>
          <w:b/>
          <w:sz w:val="44"/>
          <w:szCs w:val="44"/>
        </w:rPr>
      </w:pPr>
    </w:p>
    <w:p w14:paraId="72160079">
      <w:pPr>
        <w:spacing w:after="78"/>
        <w:jc w:val="center"/>
        <w:rPr>
          <w:rFonts w:ascii="Times New Roman" w:hAnsi="Times New Roman" w:eastAsia="长城小"/>
          <w:b/>
          <w:sz w:val="44"/>
          <w:szCs w:val="44"/>
        </w:rPr>
      </w:pPr>
    </w:p>
    <w:p w14:paraId="511D17E5">
      <w:pPr>
        <w:spacing w:after="78"/>
        <w:jc w:val="center"/>
        <w:rPr>
          <w:rFonts w:ascii="Times New Roman" w:hAnsi="Times New Roman" w:eastAsia="长城小"/>
          <w:b/>
          <w:sz w:val="44"/>
          <w:szCs w:val="44"/>
        </w:rPr>
      </w:pPr>
    </w:p>
    <w:p w14:paraId="642A826F">
      <w:pPr>
        <w:spacing w:after="78"/>
        <w:rPr>
          <w:rFonts w:ascii="Times New Roman" w:hAnsi="Times New Roman" w:eastAsia="长城小"/>
          <w:b/>
          <w:sz w:val="44"/>
          <w:szCs w:val="44"/>
        </w:rPr>
      </w:pPr>
    </w:p>
    <w:p w14:paraId="4DDAB8C9">
      <w:pPr>
        <w:spacing w:after="78"/>
        <w:jc w:val="center"/>
        <w:rPr>
          <w:rFonts w:ascii="Times New Roman" w:hAnsi="Times New Roman" w:eastAsia="长城小"/>
          <w:b/>
          <w:sz w:val="44"/>
          <w:szCs w:val="44"/>
        </w:rPr>
      </w:pPr>
    </w:p>
    <w:p w14:paraId="5AEFD667">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w:t>
      </w:r>
      <w:r>
        <w:rPr>
          <w:rFonts w:ascii="Times New Roman" w:hAnsi="Times New Roman" w:eastAsia="长城小标宋体"/>
          <w:b/>
          <w:bCs/>
          <w:sz w:val="44"/>
          <w:szCs w:val="44"/>
        </w:rPr>
        <w:t>公司</w:t>
      </w:r>
    </w:p>
    <w:p w14:paraId="3E011006">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危险废物（液）处理处置服务采购项目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9D09184">
      <w:pPr>
        <w:spacing w:after="78"/>
        <w:rPr>
          <w:rFonts w:ascii="Times New Roman" w:hAnsi="Times New Roman" w:eastAsia="方正小标宋简体"/>
          <w:sz w:val="32"/>
          <w:szCs w:val="32"/>
        </w:rPr>
      </w:pPr>
    </w:p>
    <w:p w14:paraId="616B5EE6">
      <w:pPr>
        <w:spacing w:after="78"/>
        <w:rPr>
          <w:rFonts w:ascii="Times New Roman" w:hAnsi="Times New Roman" w:eastAsia="方正小标宋简体"/>
          <w:sz w:val="32"/>
          <w:szCs w:val="32"/>
        </w:rPr>
      </w:pPr>
    </w:p>
    <w:p w14:paraId="6F24979C">
      <w:pPr>
        <w:spacing w:after="78"/>
        <w:rPr>
          <w:rFonts w:ascii="Times New Roman" w:hAnsi="Times New Roman" w:eastAsia="方正小标宋简体"/>
          <w:sz w:val="32"/>
          <w:szCs w:val="32"/>
        </w:rPr>
      </w:pPr>
    </w:p>
    <w:p w14:paraId="69D937C0">
      <w:pPr>
        <w:spacing w:after="78"/>
      </w:pPr>
    </w:p>
    <w:p w14:paraId="4D3CB929">
      <w:pPr>
        <w:spacing w:after="78"/>
        <w:rPr>
          <w:rFonts w:ascii="Times New Roman" w:hAnsi="Times New Roman" w:eastAsia="方正小标宋简体"/>
          <w:sz w:val="32"/>
          <w:szCs w:val="32"/>
        </w:rPr>
      </w:pPr>
    </w:p>
    <w:p w14:paraId="2D982FC4">
      <w:pPr>
        <w:spacing w:after="78"/>
        <w:rPr>
          <w:rFonts w:ascii="Times New Roman" w:hAnsi="Times New Roman" w:eastAsia="方正小标宋简体"/>
          <w:sz w:val="32"/>
          <w:szCs w:val="32"/>
        </w:rPr>
      </w:pPr>
    </w:p>
    <w:p w14:paraId="426D2BD3">
      <w:pPr>
        <w:pStyle w:val="10"/>
        <w:rPr>
          <w:rFonts w:ascii="Times New Roman" w:hAnsi="Times New Roman" w:eastAsia="方正小标宋简体"/>
          <w:sz w:val="32"/>
          <w:szCs w:val="32"/>
        </w:rPr>
      </w:pPr>
    </w:p>
    <w:p w14:paraId="71370B46">
      <w:pPr>
        <w:spacing w:after="78"/>
      </w:pPr>
    </w:p>
    <w:p w14:paraId="67B88386">
      <w:pPr>
        <w:pStyle w:val="10"/>
      </w:pPr>
    </w:p>
    <w:p w14:paraId="2C9A98B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1E0EFE2">
      <w:pPr>
        <w:spacing w:after="78"/>
        <w:rPr>
          <w:rFonts w:ascii="Times New Roman" w:hAnsi="Times New Roman" w:eastAsia="仿宋"/>
        </w:rPr>
      </w:pPr>
    </w:p>
    <w:p w14:paraId="6D5F774F">
      <w:pPr>
        <w:pStyle w:val="4"/>
        <w:spacing w:after="78"/>
      </w:pPr>
      <w:r>
        <w:rPr>
          <w:rFonts w:hint="eastAsia"/>
        </w:rPr>
        <w:t>一、</w:t>
      </w:r>
      <w:r>
        <w:t>服务内容</w:t>
      </w:r>
    </w:p>
    <w:p w14:paraId="0270F31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危险废物（液）处理处置服务采购项目</w:t>
      </w:r>
      <w:r>
        <w:rPr>
          <w:rFonts w:hint="eastAsia" w:ascii="Times New Roman" w:hAnsi="Times New Roman" w:eastAsia="仿宋"/>
          <w:bCs/>
          <w:color w:val="000000"/>
          <w:sz w:val="32"/>
          <w:szCs w:val="32"/>
        </w:rPr>
        <w:t>。</w:t>
      </w:r>
    </w:p>
    <w:p w14:paraId="422B31BE">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138" w:type="pct"/>
        <w:jc w:val="center"/>
        <w:tblLayout w:type="fixed"/>
        <w:tblCellMar>
          <w:top w:w="0" w:type="dxa"/>
          <w:left w:w="108" w:type="dxa"/>
          <w:bottom w:w="0" w:type="dxa"/>
          <w:right w:w="108" w:type="dxa"/>
        </w:tblCellMar>
      </w:tblPr>
      <w:tblGrid>
        <w:gridCol w:w="814"/>
        <w:gridCol w:w="2590"/>
        <w:gridCol w:w="2480"/>
        <w:gridCol w:w="1369"/>
        <w:gridCol w:w="1503"/>
      </w:tblGrid>
      <w:tr w14:paraId="1428C2DF">
        <w:tblPrEx>
          <w:tblCellMar>
            <w:top w:w="0" w:type="dxa"/>
            <w:left w:w="108" w:type="dxa"/>
            <w:bottom w:w="0" w:type="dxa"/>
            <w:right w:w="108" w:type="dxa"/>
          </w:tblCellMar>
        </w:tblPrEx>
        <w:trPr>
          <w:trHeight w:val="63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EA6FC89">
            <w:pPr>
              <w:widowControl/>
              <w:spacing w:after="78"/>
              <w:jc w:val="center"/>
              <w:rPr>
                <w:rFonts w:hint="eastAsia" w:ascii="Times New Roman" w:hAnsi="Times New Roman" w:eastAsia="仿宋"/>
                <w:b/>
                <w:bCs/>
                <w:kern w:val="0"/>
                <w:sz w:val="28"/>
                <w:szCs w:val="28"/>
                <w:lang w:eastAsia="zh-CN"/>
              </w:rPr>
            </w:pPr>
            <w:bookmarkStart w:id="0" w:name="_Hlk178340510"/>
            <w:r>
              <w:rPr>
                <w:rFonts w:hint="eastAsia" w:ascii="Times New Roman" w:hAnsi="Times New Roman" w:eastAsia="仿宋"/>
                <w:b/>
                <w:bCs/>
                <w:kern w:val="0"/>
                <w:sz w:val="28"/>
                <w:szCs w:val="28"/>
                <w:lang w:val="en-US" w:eastAsia="zh-CN"/>
              </w:rPr>
              <w:t>深圳市深水水务咨询有限公司</w:t>
            </w:r>
          </w:p>
        </w:tc>
      </w:tr>
      <w:tr w14:paraId="6D2A40E9">
        <w:tblPrEx>
          <w:tblCellMar>
            <w:top w:w="0" w:type="dxa"/>
            <w:left w:w="108" w:type="dxa"/>
            <w:bottom w:w="0" w:type="dxa"/>
            <w:right w:w="108" w:type="dxa"/>
          </w:tblCellMar>
        </w:tblPrEx>
        <w:trPr>
          <w:trHeight w:val="630"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05C89F0F">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478" w:type="pct"/>
            <w:tcBorders>
              <w:top w:val="single" w:color="auto" w:sz="4" w:space="0"/>
              <w:left w:val="nil"/>
              <w:bottom w:val="single" w:color="auto" w:sz="4" w:space="0"/>
              <w:right w:val="single" w:color="auto" w:sz="4" w:space="0"/>
            </w:tcBorders>
            <w:noWrap w:val="0"/>
            <w:vAlign w:val="center"/>
          </w:tcPr>
          <w:p w14:paraId="7D34FAB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416" w:type="pct"/>
            <w:tcBorders>
              <w:top w:val="single" w:color="auto" w:sz="4" w:space="0"/>
              <w:left w:val="nil"/>
              <w:bottom w:val="single" w:color="auto" w:sz="4" w:space="0"/>
              <w:right w:val="single" w:color="auto" w:sz="4" w:space="0"/>
            </w:tcBorders>
            <w:noWrap w:val="0"/>
            <w:vAlign w:val="center"/>
          </w:tcPr>
          <w:p w14:paraId="43525AD8">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废物（液）代码</w:t>
            </w:r>
          </w:p>
        </w:tc>
        <w:tc>
          <w:tcPr>
            <w:tcW w:w="781" w:type="pct"/>
            <w:tcBorders>
              <w:top w:val="single" w:color="auto" w:sz="4" w:space="0"/>
              <w:left w:val="nil"/>
              <w:bottom w:val="single" w:color="auto" w:sz="4" w:space="0"/>
              <w:right w:val="single" w:color="auto" w:sz="4" w:space="0"/>
            </w:tcBorders>
            <w:noWrap w:val="0"/>
            <w:vAlign w:val="center"/>
          </w:tcPr>
          <w:p w14:paraId="477DD7FB">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预估数量</w:t>
            </w:r>
          </w:p>
        </w:tc>
        <w:tc>
          <w:tcPr>
            <w:tcW w:w="858" w:type="pct"/>
            <w:tcBorders>
              <w:top w:val="single" w:color="auto" w:sz="4" w:space="0"/>
              <w:left w:val="nil"/>
              <w:bottom w:val="single" w:color="auto" w:sz="4" w:space="0"/>
              <w:right w:val="single" w:color="auto" w:sz="4" w:space="0"/>
            </w:tcBorders>
            <w:noWrap w:val="0"/>
            <w:vAlign w:val="center"/>
          </w:tcPr>
          <w:p w14:paraId="761C9EBE">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单价限价（含税）</w:t>
            </w:r>
          </w:p>
        </w:tc>
      </w:tr>
      <w:tr w14:paraId="48D343C2">
        <w:tblPrEx>
          <w:tblCellMar>
            <w:top w:w="0" w:type="dxa"/>
            <w:left w:w="108" w:type="dxa"/>
            <w:bottom w:w="0" w:type="dxa"/>
            <w:right w:w="108" w:type="dxa"/>
          </w:tblCellMar>
        </w:tblPrEx>
        <w:trPr>
          <w:trHeight w:val="630"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66E79A37">
            <w:pPr>
              <w:widowControl/>
              <w:spacing w:after="78"/>
              <w:jc w:val="center"/>
              <w:textAlignment w:val="center"/>
              <w:rPr>
                <w:rFonts w:ascii="Times New Roman" w:hAnsi="Times New Roman" w:eastAsia="仿宋"/>
                <w:b/>
                <w:bCs/>
                <w:kern w:val="0"/>
                <w:sz w:val="28"/>
                <w:szCs w:val="28"/>
              </w:rPr>
            </w:pPr>
            <w:r>
              <w:rPr>
                <w:rFonts w:hint="eastAsia" w:ascii="Times New Roman" w:hAnsi="Times New Roman"/>
                <w:color w:val="000000"/>
                <w:kern w:val="0"/>
                <w:sz w:val="28"/>
                <w:szCs w:val="28"/>
                <w:lang w:bidi="ar"/>
              </w:rPr>
              <w:t>1</w:t>
            </w:r>
          </w:p>
        </w:tc>
        <w:tc>
          <w:tcPr>
            <w:tcW w:w="1478" w:type="pct"/>
            <w:tcBorders>
              <w:top w:val="single" w:color="auto" w:sz="4" w:space="0"/>
              <w:left w:val="nil"/>
              <w:bottom w:val="single" w:color="auto" w:sz="4" w:space="0"/>
              <w:right w:val="single" w:color="auto" w:sz="4" w:space="0"/>
            </w:tcBorders>
            <w:noWrap w:val="0"/>
            <w:vAlign w:val="center"/>
          </w:tcPr>
          <w:p w14:paraId="1A615233">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废矿物油与含矿物油废物（废机油）</w:t>
            </w:r>
          </w:p>
        </w:tc>
        <w:tc>
          <w:tcPr>
            <w:tcW w:w="1416" w:type="pct"/>
            <w:tcBorders>
              <w:top w:val="single" w:color="auto" w:sz="4" w:space="0"/>
              <w:left w:val="nil"/>
              <w:bottom w:val="single" w:color="auto" w:sz="4" w:space="0"/>
              <w:right w:val="single" w:color="auto" w:sz="4" w:space="0"/>
            </w:tcBorders>
            <w:noWrap w:val="0"/>
            <w:vAlign w:val="center"/>
          </w:tcPr>
          <w:p w14:paraId="78ECEE81">
            <w:pPr>
              <w:widowControl/>
              <w:spacing w:after="78"/>
              <w:jc w:val="center"/>
              <w:textAlignment w:val="center"/>
              <w:rPr>
                <w:rFonts w:hint="eastAsia" w:ascii="Times New Roman" w:hAnsi="Times New Roman" w:eastAsia="宋体"/>
                <w:color w:val="000000"/>
                <w:kern w:val="0"/>
                <w:sz w:val="28"/>
                <w:szCs w:val="28"/>
                <w:lang w:eastAsia="zh-CN" w:bidi="ar"/>
              </w:rPr>
            </w:pPr>
            <w:r>
              <w:rPr>
                <w:rFonts w:hint="eastAsia" w:ascii="Times New Roman" w:hAnsi="Times New Roman"/>
                <w:color w:val="000000"/>
                <w:kern w:val="0"/>
                <w:sz w:val="28"/>
                <w:szCs w:val="28"/>
                <w:lang w:bidi="ar"/>
              </w:rPr>
              <w:t>HW08(900-249-08</w:t>
            </w:r>
            <w:r>
              <w:rPr>
                <w:rFonts w:hint="eastAsia" w:ascii="Times New Roman" w:hAnsi="Times New Roman"/>
                <w:color w:val="000000"/>
                <w:kern w:val="0"/>
                <w:sz w:val="28"/>
                <w:szCs w:val="28"/>
                <w:lang w:val="en-US" w:eastAsia="zh-CN" w:bidi="ar"/>
              </w:rPr>
              <w:t>)</w:t>
            </w:r>
          </w:p>
        </w:tc>
        <w:tc>
          <w:tcPr>
            <w:tcW w:w="781" w:type="pct"/>
            <w:tcBorders>
              <w:top w:val="single" w:color="auto" w:sz="4" w:space="0"/>
              <w:left w:val="nil"/>
              <w:bottom w:val="single" w:color="auto" w:sz="4" w:space="0"/>
              <w:right w:val="single" w:color="auto" w:sz="4" w:space="0"/>
            </w:tcBorders>
            <w:noWrap w:val="0"/>
            <w:vAlign w:val="center"/>
          </w:tcPr>
          <w:p w14:paraId="70C732AC">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w:t>
            </w:r>
            <w:r>
              <w:rPr>
                <w:rFonts w:hint="eastAsia" w:ascii="Times New Roman" w:hAnsi="Times New Roman"/>
                <w:color w:val="000000"/>
                <w:kern w:val="0"/>
                <w:sz w:val="28"/>
                <w:szCs w:val="28"/>
                <w:lang w:val="en-US" w:eastAsia="zh-CN" w:bidi="ar"/>
              </w:rPr>
              <w:t>5</w:t>
            </w:r>
            <w:r>
              <w:rPr>
                <w:rFonts w:hint="eastAsia" w:ascii="Times New Roman" w:hAnsi="Times New Roman"/>
                <w:color w:val="000000"/>
                <w:kern w:val="0"/>
                <w:sz w:val="28"/>
                <w:szCs w:val="28"/>
                <w:lang w:bidi="ar"/>
              </w:rPr>
              <w:t>吨</w:t>
            </w:r>
          </w:p>
        </w:tc>
        <w:tc>
          <w:tcPr>
            <w:tcW w:w="858" w:type="pct"/>
            <w:tcBorders>
              <w:top w:val="single" w:color="auto" w:sz="4" w:space="0"/>
              <w:left w:val="nil"/>
              <w:bottom w:val="single" w:color="auto" w:sz="4" w:space="0"/>
              <w:right w:val="single" w:color="auto" w:sz="4" w:space="0"/>
            </w:tcBorders>
            <w:noWrap w:val="0"/>
            <w:vAlign w:val="center"/>
          </w:tcPr>
          <w:p w14:paraId="4F644B1D">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665E98DE">
        <w:tblPrEx>
          <w:tblCellMar>
            <w:top w:w="0" w:type="dxa"/>
            <w:left w:w="108" w:type="dxa"/>
            <w:bottom w:w="0" w:type="dxa"/>
            <w:right w:w="108" w:type="dxa"/>
          </w:tblCellMar>
        </w:tblPrEx>
        <w:trPr>
          <w:trHeight w:val="90"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7E08218A">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2</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1CED8584">
            <w:pPr>
              <w:widowControl/>
              <w:spacing w:after="78"/>
              <w:jc w:val="center"/>
              <w:textAlignment w:val="center"/>
              <w:rPr>
                <w:rFonts w:eastAsia="仿宋" w:cs="仿宋"/>
                <w:sz w:val="28"/>
                <w:szCs w:val="28"/>
              </w:rPr>
            </w:pPr>
            <w:r>
              <w:rPr>
                <w:rFonts w:hint="eastAsia" w:ascii="宋体" w:hAnsi="宋体" w:cs="宋体"/>
                <w:color w:val="000000"/>
                <w:kern w:val="0"/>
                <w:sz w:val="28"/>
                <w:szCs w:val="28"/>
                <w:lang w:bidi="ar"/>
              </w:rPr>
              <w:t>废酸</w:t>
            </w:r>
          </w:p>
        </w:tc>
        <w:tc>
          <w:tcPr>
            <w:tcW w:w="1416" w:type="pct"/>
            <w:tcBorders>
              <w:top w:val="single" w:color="auto" w:sz="4" w:space="0"/>
              <w:left w:val="single" w:color="auto" w:sz="4" w:space="0"/>
              <w:bottom w:val="single" w:color="auto" w:sz="4" w:space="0"/>
              <w:right w:val="single" w:color="auto" w:sz="4" w:space="0"/>
            </w:tcBorders>
            <w:noWrap w:val="0"/>
            <w:vAlign w:val="center"/>
          </w:tcPr>
          <w:p w14:paraId="3159E619">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HW34(900-349-34</w:t>
            </w:r>
            <w:r>
              <w:rPr>
                <w:rFonts w:hint="eastAsia" w:ascii="Times New Roman" w:hAnsi="Times New Roman"/>
                <w:color w:val="000000"/>
                <w:kern w:val="0"/>
                <w:sz w:val="28"/>
                <w:szCs w:val="28"/>
                <w:lang w:bidi="ar"/>
              </w:rPr>
              <w:t>)</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57C5EA84">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w:t>
            </w:r>
            <w:r>
              <w:rPr>
                <w:rFonts w:hint="eastAsia" w:ascii="Times New Roman" w:hAnsi="Times New Roman"/>
                <w:color w:val="000000"/>
                <w:kern w:val="0"/>
                <w:sz w:val="28"/>
                <w:szCs w:val="28"/>
                <w:lang w:val="en-US" w:eastAsia="zh-CN" w:bidi="ar"/>
              </w:rPr>
              <w:t>8</w:t>
            </w:r>
            <w:r>
              <w:rPr>
                <w:rFonts w:hint="eastAsia" w:ascii="Times New Roman" w:hAnsi="Times New Roman"/>
                <w:color w:val="000000"/>
                <w:kern w:val="0"/>
                <w:sz w:val="28"/>
                <w:szCs w:val="28"/>
                <w:lang w:bidi="ar"/>
              </w:rPr>
              <w:t>吨</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3022F3CE">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6A72BD3B">
        <w:tblPrEx>
          <w:tblCellMar>
            <w:top w:w="0" w:type="dxa"/>
            <w:left w:w="108" w:type="dxa"/>
            <w:bottom w:w="0" w:type="dxa"/>
            <w:right w:w="108" w:type="dxa"/>
          </w:tblCellMar>
        </w:tblPrEx>
        <w:trPr>
          <w:trHeight w:val="345"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7CA20CF8">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3</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5CB10B3F">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废碱</w:t>
            </w:r>
          </w:p>
        </w:tc>
        <w:tc>
          <w:tcPr>
            <w:tcW w:w="1416" w:type="pct"/>
            <w:tcBorders>
              <w:top w:val="single" w:color="auto" w:sz="4" w:space="0"/>
              <w:left w:val="single" w:color="auto" w:sz="4" w:space="0"/>
              <w:bottom w:val="single" w:color="auto" w:sz="4" w:space="0"/>
              <w:right w:val="single" w:color="auto" w:sz="4" w:space="0"/>
            </w:tcBorders>
            <w:noWrap w:val="0"/>
            <w:vAlign w:val="center"/>
          </w:tcPr>
          <w:p w14:paraId="70E06C2A">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HW35(900-356-35</w:t>
            </w:r>
            <w:r>
              <w:rPr>
                <w:rFonts w:hint="eastAsia" w:ascii="Times New Roman" w:hAnsi="Times New Roman"/>
                <w:color w:val="000000"/>
                <w:kern w:val="0"/>
                <w:sz w:val="28"/>
                <w:szCs w:val="28"/>
                <w:lang w:bidi="ar"/>
              </w:rPr>
              <w:t>)</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4F0A0319">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w:t>
            </w:r>
            <w:r>
              <w:rPr>
                <w:rFonts w:hint="eastAsia" w:ascii="Times New Roman" w:hAnsi="Times New Roman"/>
                <w:color w:val="000000"/>
                <w:kern w:val="0"/>
                <w:sz w:val="28"/>
                <w:szCs w:val="28"/>
                <w:lang w:val="en-US" w:eastAsia="zh-CN" w:bidi="ar"/>
              </w:rPr>
              <w:t>6</w:t>
            </w:r>
            <w:r>
              <w:rPr>
                <w:rFonts w:hint="eastAsia" w:ascii="Times New Roman" w:hAnsi="Times New Roman"/>
                <w:color w:val="000000"/>
                <w:kern w:val="0"/>
                <w:sz w:val="28"/>
                <w:szCs w:val="28"/>
                <w:lang w:bidi="ar"/>
              </w:rPr>
              <w:t>吨</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132BB3FA">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2F3D931F">
        <w:tblPrEx>
          <w:tblCellMar>
            <w:top w:w="0" w:type="dxa"/>
            <w:left w:w="108" w:type="dxa"/>
            <w:bottom w:w="0" w:type="dxa"/>
            <w:right w:w="108" w:type="dxa"/>
          </w:tblCellMar>
        </w:tblPrEx>
        <w:trPr>
          <w:trHeight w:val="141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CFB5560">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报价需含</w:t>
            </w:r>
            <w:r>
              <w:rPr>
                <w:rFonts w:hint="eastAsia" w:eastAsia="仿宋"/>
                <w:color w:val="000000"/>
                <w:kern w:val="0"/>
                <w:sz w:val="28"/>
                <w:szCs w:val="28"/>
                <w:lang w:val="en-US" w:eastAsia="zh-CN"/>
              </w:rPr>
              <w:t>1</w:t>
            </w:r>
            <w:r>
              <w:rPr>
                <w:rFonts w:hint="eastAsia" w:eastAsia="仿宋"/>
                <w:color w:val="000000"/>
                <w:kern w:val="0"/>
                <w:sz w:val="28"/>
                <w:szCs w:val="28"/>
              </w:rPr>
              <w:t>次</w:t>
            </w:r>
            <w:r>
              <w:rPr>
                <w:rFonts w:hint="eastAsia" w:eastAsia="仿宋"/>
                <w:color w:val="000000"/>
                <w:kern w:val="0"/>
                <w:sz w:val="28"/>
                <w:szCs w:val="28"/>
                <w:lang w:val="en-US" w:eastAsia="zh-CN"/>
              </w:rPr>
              <w:t>服务订单内所有服务内容的</w:t>
            </w:r>
            <w:r>
              <w:rPr>
                <w:rFonts w:hint="eastAsia" w:eastAsia="仿宋"/>
                <w:color w:val="000000"/>
                <w:kern w:val="0"/>
                <w:sz w:val="28"/>
                <w:szCs w:val="28"/>
              </w:rPr>
              <w:t>免费收运服务。</w:t>
            </w:r>
          </w:p>
          <w:p w14:paraId="5EB6F1E5">
            <w:pPr>
              <w:pStyle w:val="41"/>
              <w:spacing w:after="78" w:line="640" w:lineRule="exact"/>
              <w:ind w:firstLine="0" w:firstLineChars="0"/>
              <w:rPr>
                <w:rFonts w:hint="eastAsia" w:eastAsia="仿宋"/>
                <w:color w:val="000000"/>
                <w:kern w:val="0"/>
                <w:sz w:val="28"/>
                <w:szCs w:val="28"/>
              </w:rPr>
            </w:pPr>
            <w:r>
              <w:rPr>
                <w:rFonts w:hint="eastAsia" w:eastAsia="仿宋"/>
                <w:color w:val="000000"/>
                <w:kern w:val="0"/>
                <w:sz w:val="28"/>
                <w:szCs w:val="28"/>
              </w:rPr>
              <w:t>收运地址：深圳市龙岗区吉华街道郁环路郁南环境园污水处理二厂</w:t>
            </w:r>
          </w:p>
          <w:p w14:paraId="379BA598">
            <w:pPr>
              <w:pStyle w:val="41"/>
              <w:spacing w:after="78" w:line="640" w:lineRule="exact"/>
              <w:ind w:firstLine="0" w:firstLineChars="0"/>
              <w:rPr>
                <w:rFonts w:hint="eastAsia" w:eastAsia="仿宋"/>
                <w:color w:val="000000"/>
                <w:kern w:val="0"/>
                <w:sz w:val="28"/>
                <w:szCs w:val="28"/>
              </w:rPr>
            </w:pPr>
            <w:r>
              <w:rPr>
                <w:rFonts w:hint="eastAsia" w:eastAsia="仿宋"/>
                <w:color w:val="000000"/>
                <w:kern w:val="0"/>
                <w:sz w:val="28"/>
                <w:szCs w:val="28"/>
              </w:rPr>
              <w:t>危废平台账号</w:t>
            </w:r>
            <w:r>
              <w:rPr>
                <w:rFonts w:hint="eastAsia" w:eastAsia="仿宋"/>
                <w:color w:val="000000"/>
                <w:kern w:val="0"/>
                <w:sz w:val="28"/>
                <w:szCs w:val="28"/>
                <w:lang w:val="en-US" w:eastAsia="zh-CN"/>
              </w:rPr>
              <w:t>名称为：</w:t>
            </w:r>
            <w:r>
              <w:rPr>
                <w:rFonts w:hint="eastAsia" w:eastAsia="仿宋"/>
                <w:color w:val="000000"/>
                <w:kern w:val="0"/>
                <w:sz w:val="28"/>
                <w:szCs w:val="28"/>
              </w:rPr>
              <w:t>深圳市下坪环境园(郁南片区)</w:t>
            </w:r>
          </w:p>
        </w:tc>
      </w:tr>
      <w:bookmarkEnd w:id="0"/>
    </w:tbl>
    <w:p w14:paraId="2F8A41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采购人不对服务期限内授予中选单位的采购份额、采购合同总额进行承诺，上表所列预估量仅供供应商参考使用，不作为采购人对实际采购量的承诺或保证。采购人的实际需求数量以采购人每批次的服务通知为准，在服务期内参选单位不得因采购单位实际采购数量的减少或增加而要求提供任何形式的补偿或赔偿或要求采购人按暂定数量采购相应服务。</w:t>
      </w:r>
    </w:p>
    <w:p w14:paraId="6604B78B">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供应商报价应包括但不限于运输服务费、装卸及包装费、转移联单及行政手续费、处理处置费等与本合同全部工作内容有关的一切费用。</w:t>
      </w:r>
    </w:p>
    <w:p w14:paraId="5E024B93">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（三）限价要求：</w:t>
      </w:r>
      <w:bookmarkStart w:id="1" w:name="_Hlk186470047"/>
      <w:r>
        <w:rPr>
          <w:rFonts w:hint="eastAsia" w:ascii="Times New Roman" w:hAnsi="Times New Roman" w:eastAsia="仿宋"/>
          <w:bCs/>
          <w:color w:val="000000"/>
          <w:sz w:val="32"/>
          <w:szCs w:val="32"/>
        </w:rPr>
        <w:t>见上表。各分项报价均不得超过对应限价要求，否则做无效报价。</w:t>
      </w:r>
      <w:bookmarkEnd w:id="1"/>
    </w:p>
    <w:p w14:paraId="191A3ED1">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（四）采购期限：本项目合同期为1年，在收到甲方的转运通知后7日内安排收运。本项目为长期服务项目，采购人可以视合同履约情况和需求决定</w:t>
      </w:r>
      <w:bookmarkStart w:id="15" w:name="_GoBack"/>
      <w:bookmarkEnd w:id="15"/>
      <w:r>
        <w:rPr>
          <w:rFonts w:hint="eastAsia" w:ascii="Times New Roman" w:hAnsi="Times New Roman" w:eastAsia="仿宋"/>
          <w:bCs/>
          <w:color w:val="000000"/>
          <w:sz w:val="32"/>
          <w:szCs w:val="32"/>
        </w:rPr>
        <w:t>是否续签，原则上一年一签，连续履行期限最长不得超过三年。任一合同期内，采购人有权随时终止合同，中选单位不得因合同终止或未能续签向采购主张责任或要求赔偿预期利益等损失。</w:t>
      </w:r>
    </w:p>
    <w:p w14:paraId="1EE8876F">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五）付款方式：据实支付，每次服务结束后，根据危废运输联单上不同种类危废的数量，计算各项数量与其对应单价的乘积之和，为当次的服务费用。采购人在收到中标单位开具的等额发票之后，支付当次服务费。（计重方式：在甲方厂区内或者附近过磅称重，由甲方提供计重工具或在甲方人员陪同下使用乙方提供的计重工具进行计重）</w:t>
      </w:r>
    </w:p>
    <w:p w14:paraId="59A066F1">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六）合同有效期内，乙方免费提供1次订单的工业废物（液）收运服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p>
    <w:p w14:paraId="799A1F89">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七）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个工作日内向乙方支付超出部分的处置费用。以上价格为含税价，乙方应依法向甲方开具增值税专用发票。</w:t>
      </w:r>
    </w:p>
    <w:p w14:paraId="5557F84E">
      <w:pPr>
        <w:pStyle w:val="4"/>
        <w:spacing w:after="78"/>
        <w:rPr>
          <w:rFonts w:ascii="Times New Roman" w:hAnsi="Times New Roman" w:eastAsia="仿宋" w:cs="黑体"/>
          <w:bCs w:val="0"/>
          <w:color w:val="000000"/>
          <w:kern w:val="0"/>
        </w:rPr>
      </w:pPr>
      <w:r>
        <w:rPr>
          <w:rFonts w:hint="eastAsia" w:ascii="Times New Roman" w:hAnsi="Times New Roman" w:eastAsia="仿宋" w:cs="黑体"/>
          <w:color w:val="000000"/>
          <w:kern w:val="0"/>
        </w:rPr>
        <w:t>二、资格要求及证明材料</w:t>
      </w:r>
    </w:p>
    <w:p w14:paraId="2ADDAD31">
      <w:pPr>
        <w:pStyle w:val="21"/>
        <w:spacing w:after="78"/>
        <w:ind w:left="0" w:leftChars="0" w:firstLine="640"/>
        <w:rPr>
          <w:rFonts w:ascii="Times New Roman" w:hAnsi="Times New Roman" w:eastAsia="仿宋"/>
          <w:bCs/>
          <w:color w:val="000000"/>
          <w:sz w:val="32"/>
          <w:szCs w:val="32"/>
        </w:rPr>
      </w:pPr>
      <w:bookmarkStart w:id="2" w:name="_Hlk173241672"/>
      <w:r>
        <w:rPr>
          <w:rFonts w:hint="eastAsia" w:ascii="Times New Roman" w:hAnsi="Times New Roman" w:eastAsia="仿宋"/>
          <w:bCs/>
          <w:color w:val="000000"/>
          <w:sz w:val="32"/>
          <w:szCs w:val="32"/>
        </w:rPr>
        <w:t>（一）须在中华人民共和国境内注册，具备独立承担民事责任的能力；</w:t>
      </w:r>
    </w:p>
    <w:p w14:paraId="1549F703">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（二）具有良好的商业信誉、未被列入工商系统经营异常名录或严重违法失信企业名单，未被列入人民法院公布的失信被执行人名单（由供应商在《承诺函》中作出声明）；</w:t>
      </w:r>
    </w:p>
    <w:p w14:paraId="5195E922">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7F1D9C48">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（三）财务状况要求：近一年内或成立至今（成立不足一年的单位）财务状况无亏损或净资产大于0（由供应商在《承诺函》中作出声明）；</w:t>
      </w:r>
    </w:p>
    <w:p w14:paraId="2E017BAE">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（四）近两年内（2023年</w:t>
      </w:r>
      <w:r>
        <w:rPr>
          <w:rFonts w:hint="eastAsia" w:ascii="Times New Roman" w:hAnsi="Times New Roman" w:eastAsia="仿宋"/>
          <w:bCs/>
          <w:color w:val="000000"/>
          <w:sz w:val="32"/>
          <w:szCs w:val="32"/>
          <w:lang w:val="en-US" w:eastAsia="zh-CN"/>
        </w:rPr>
        <w:t>9</w:t>
      </w:r>
      <w:r>
        <w:rPr>
          <w:rFonts w:hint="eastAsia" w:ascii="Times New Roman" w:hAnsi="Times New Roman" w:eastAsia="仿宋"/>
          <w:bCs/>
          <w:color w:val="000000"/>
          <w:sz w:val="32"/>
          <w:szCs w:val="32"/>
        </w:rPr>
        <w:t>月至今）或成立至今（成立不足两年的单位）至少具备一项正在实施或已完成的类似业绩（由供应商在《承诺函》中作出声明）；</w:t>
      </w:r>
    </w:p>
    <w:p w14:paraId="09F29011">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（五）单位负责人为同一人或者存在直接控股、管理关系的不同供应商，不得参加同一合同项下的采购活动（由供应商在《承诺函》中作出声明）；</w:t>
      </w:r>
    </w:p>
    <w:p w14:paraId="398D8516">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（六）不接受联合体参选（由供应商在《承诺函》中作出声明）；</w:t>
      </w:r>
    </w:p>
    <w:p w14:paraId="05377D94">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七）投标人须具备由人民政府环境保护主管部门颁发的有效期内的危险废物经营许可证或危险废物收集许可证，核准经营内容须包含:HW08(900-249-08)废矿物油与含矿物油废物（废机油）；HW34(900-349-34)废酸；HW35(900-356-35)废碱；(可提供危废经营许可证或提供危险废物收集许可证+相应处置单位的经营许可证、营业执照及与其签订的处置合同关键页)。</w:t>
      </w:r>
    </w:p>
    <w:bookmarkEnd w:id="2"/>
    <w:p w14:paraId="3CD94F69">
      <w:pPr>
        <w:pStyle w:val="4"/>
        <w:spacing w:after="78"/>
        <w:rPr>
          <w:rFonts w:ascii="Times New Roman" w:hAnsi="Times New Roman" w:eastAsia="仿宋" w:cs="黑体"/>
          <w:bCs w:val="0"/>
          <w:color w:val="000000"/>
          <w:kern w:val="0"/>
        </w:rPr>
      </w:pPr>
      <w:r>
        <w:rPr>
          <w:rFonts w:hint="eastAsia" w:ascii="Times New Roman" w:hAnsi="Times New Roman" w:eastAsia="仿宋" w:cs="黑体"/>
          <w:color w:val="000000"/>
          <w:kern w:val="0"/>
        </w:rPr>
        <w:t>三、参选文件要求</w:t>
      </w:r>
    </w:p>
    <w:p w14:paraId="77C85545">
      <w:pPr>
        <w:widowControl/>
        <w:tabs>
          <w:tab w:val="left" w:pos="7665"/>
        </w:tabs>
        <w:spacing w:after="78" w:line="640" w:lineRule="exact"/>
        <w:ind w:firstLine="640" w:firstLineChars="200"/>
        <w:rPr>
          <w:rFonts w:ascii="Times New Roman" w:hAnsi="Times New Roman" w:eastAsia="仿宋" w:cs="仿宋"/>
          <w:kern w:val="0"/>
          <w:sz w:val="32"/>
          <w:szCs w:val="32"/>
        </w:rPr>
      </w:pPr>
      <w:bookmarkStart w:id="3" w:name="_Hlk183095083"/>
      <w:bookmarkStart w:id="4" w:name="_Hlk173242120"/>
      <w:r>
        <w:rPr>
          <w:rFonts w:hint="eastAsia" w:ascii="Times New Roman" w:hAnsi="Times New Roman" w:eastAsia="仿宋" w:cs="仿宋"/>
          <w:kern w:val="0"/>
          <w:sz w:val="32"/>
          <w:szCs w:val="32"/>
        </w:rPr>
        <w:t>参选单位应就本次选聘报送相关参选文件，包括：</w:t>
      </w:r>
      <w:bookmarkEnd w:id="3"/>
    </w:p>
    <w:p w14:paraId="5B7C2802">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1.供应商基本情况表；</w:t>
      </w:r>
    </w:p>
    <w:p w14:paraId="4517BCF4">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2.资质文件（承诺函、营业执照、</w:t>
      </w:r>
      <w:r>
        <w:rPr>
          <w:rFonts w:hint="eastAsia" w:ascii="Times New Roman" w:hAnsi="Times New Roman" w:eastAsia="仿宋"/>
          <w:bCs/>
          <w:color w:val="000000"/>
          <w:sz w:val="32"/>
          <w:szCs w:val="32"/>
        </w:rPr>
        <w:t>危险废物经营</w:t>
      </w:r>
      <w:r>
        <w:rPr>
          <w:rFonts w:hint="eastAsia" w:ascii="Times New Roman" w:hAnsi="Times New Roman" w:eastAsia="仿宋"/>
          <w:bCs/>
          <w:sz w:val="32"/>
          <w:szCs w:val="32"/>
        </w:rPr>
        <w:t>许可证或危险废物收集许可证+相应处置单位的经营许可证、营业执照及与其签订的处置合同关键页</w:t>
      </w:r>
      <w:r>
        <w:rPr>
          <w:rFonts w:hint="eastAsia" w:ascii="Times New Roman" w:hAnsi="Times New Roman" w:eastAsia="仿宋" w:cs="仿宋"/>
          <w:kern w:val="0"/>
          <w:sz w:val="32"/>
          <w:szCs w:val="32"/>
        </w:rPr>
        <w:t>等）；</w:t>
      </w:r>
    </w:p>
    <w:p w14:paraId="3AB8A985">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94C14BA">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cs="仿宋"/>
          <w:kern w:val="0"/>
          <w:sz w:val="32"/>
          <w:szCs w:val="32"/>
        </w:rPr>
        <w:t>以上格式可参考第三章 报价文件格式，以上资料均需加盖公章、业务章或合同章（三选一），否则报价无效，并在截止时间前完成报价</w:t>
      </w:r>
      <w:r>
        <w:rPr>
          <w:rFonts w:hint="eastAsia" w:ascii="Times New Roman" w:hAnsi="Times New Roman" w:eastAsia="仿宋"/>
          <w:bCs/>
          <w:color w:val="000000"/>
          <w:sz w:val="32"/>
          <w:szCs w:val="32"/>
        </w:rPr>
        <w:t>。</w:t>
      </w:r>
    </w:p>
    <w:p w14:paraId="56C4135D">
      <w:pPr>
        <w:pStyle w:val="4"/>
        <w:spacing w:after="78"/>
      </w:pPr>
      <w:r>
        <w:rPr>
          <w:rFonts w:hint="eastAsia"/>
        </w:rPr>
        <w:t>四、选聘程序</w:t>
      </w:r>
    </w:p>
    <w:p w14:paraId="3B27B0E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（一）在截止报价时间前，各参选单位以邮件形式递交报价文件至询价公告指定邮箱（邮件标题：公司名称+</w:t>
      </w:r>
      <w:r>
        <w:rPr>
          <w:rFonts w:hint="eastAsia" w:ascii="Times New Roman" w:hAnsi="Times New Roman" w:eastAsia="仿宋"/>
          <w:sz w:val="32"/>
          <w:szCs w:val="32"/>
          <w:lang w:eastAsia="zh-CN"/>
        </w:rPr>
        <w:t>危险废物（液）处理处置服务采购项目</w:t>
      </w:r>
      <w:r>
        <w:rPr>
          <w:rFonts w:hint="eastAsia" w:ascii="Times New Roman" w:hAnsi="Times New Roman" w:eastAsia="仿宋"/>
          <w:sz w:val="32"/>
          <w:szCs w:val="32"/>
        </w:rPr>
        <w:t>）；</w:t>
      </w:r>
    </w:p>
    <w:p w14:paraId="7CBB3B47">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（二）评审委员会对参选单位进行资格</w:t>
      </w:r>
      <w:r>
        <w:rPr>
          <w:rFonts w:hint="eastAsia" w:ascii="Times New Roman" w:hAnsi="Times New Roman" w:eastAsia="仿宋"/>
          <w:sz w:val="32"/>
          <w:szCs w:val="32"/>
          <w:lang w:val="en-US" w:eastAsia="zh-CN"/>
        </w:rPr>
        <w:t>性、符合性</w:t>
      </w:r>
      <w:r>
        <w:rPr>
          <w:rFonts w:hint="eastAsia" w:ascii="Times New Roman" w:hAnsi="Times New Roman" w:eastAsia="仿宋"/>
          <w:sz w:val="32"/>
          <w:szCs w:val="32"/>
        </w:rPr>
        <w:t>审查，如存在审核未通过的单位，则记录原因并通知未通过的单位；</w:t>
      </w:r>
    </w:p>
    <w:p w14:paraId="35DE0210">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（三）评审委员会根据询价规则形成询价报告，确定候选人排名；</w:t>
      </w:r>
    </w:p>
    <w:p w14:paraId="2101EF9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（四）询价结束后，采购人将询价结果报公司内部决策，通过后将结果通知中选单位，双方择日签订正式协议。</w:t>
      </w:r>
    </w:p>
    <w:p w14:paraId="62521EAB">
      <w:pPr>
        <w:pStyle w:val="4"/>
        <w:spacing w:after="78"/>
        <w:rPr>
          <w:rFonts w:cs="黑体"/>
          <w:kern w:val="0"/>
        </w:rPr>
      </w:pPr>
      <w:r>
        <w:rPr>
          <w:rFonts w:hint="eastAsia"/>
        </w:rPr>
        <w:t>五、选聘材料提交</w:t>
      </w:r>
    </w:p>
    <w:p w14:paraId="036F6EA6">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（一）响应文件递交截止时间为2025年</w:t>
      </w:r>
      <w:r>
        <w:rPr>
          <w:rFonts w:hint="eastAsia" w:ascii="Times New Roman" w:hAnsi="Times New Roman" w:eastAsia="仿宋"/>
          <w:sz w:val="32"/>
          <w:szCs w:val="32"/>
          <w:lang w:val="en-US" w:eastAsia="zh-CN"/>
        </w:rPr>
        <w:t>9</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8</w:t>
      </w:r>
      <w:r>
        <w:rPr>
          <w:rFonts w:hint="eastAsia" w:ascii="Times New Roman" w:hAnsi="Times New Roman" w:eastAsia="仿宋"/>
          <w:sz w:val="32"/>
          <w:szCs w:val="32"/>
        </w:rPr>
        <w:t>日18时00分（北京时间）；</w:t>
      </w:r>
    </w:p>
    <w:p w14:paraId="64F498B0">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（二）响应文件递交方式</w:t>
      </w:r>
    </w:p>
    <w:p w14:paraId="16929598">
      <w:pPr>
        <w:widowControl/>
        <w:spacing w:after="78"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
          <w:bCs/>
          <w:sz w:val="32"/>
          <w:szCs w:val="32"/>
        </w:rPr>
        <w:t>。</w:t>
      </w:r>
    </w:p>
    <w:p w14:paraId="1081B326">
      <w:pPr>
        <w:pStyle w:val="4"/>
        <w:spacing w:after="78"/>
      </w:pPr>
      <w:r>
        <w:rPr>
          <w:rFonts w:hint="eastAsia"/>
        </w:rPr>
        <w:t>六、评审规则</w:t>
      </w:r>
    </w:p>
    <w:p w14:paraId="23DD3B19">
      <w:pPr>
        <w:pStyle w:val="72"/>
        <w:spacing w:after="78"/>
        <w:rPr>
          <w:rFonts w:hint="default"/>
        </w:rPr>
      </w:pPr>
      <w:r>
        <w:t>本次评审设一轮报价，采用最低投标价法。采购人对所有参选供应商进行资格审查，资格审查合格的供应商报价成立，根据最低价法确定中选人。</w:t>
      </w:r>
    </w:p>
    <w:p w14:paraId="7930FFC0">
      <w:pPr>
        <w:pStyle w:val="72"/>
        <w:spacing w:after="78"/>
        <w:rPr>
          <w:rFonts w:hint="default"/>
        </w:rPr>
      </w:pPr>
      <w:r>
        <w:t>本采购项目以不含税价进行对比，供应商需填报含税价、税率；不含税价计算方式：不含税价=含税价/（1+税率）。</w:t>
      </w:r>
    </w:p>
    <w:p w14:paraId="67D06880">
      <w:pPr>
        <w:pStyle w:val="72"/>
        <w:spacing w:after="78"/>
        <w:rPr>
          <w:rFonts w:hint="default"/>
        </w:rPr>
      </w:pPr>
      <w:r>
        <w:t>如出现并列最低报价，以报价文件递交时间在先者优先中选。若中选供应商放弃资格，则按报价由低到高顺序依次递补。</w:t>
      </w:r>
    </w:p>
    <w:p w14:paraId="5DB67E61">
      <w:pPr>
        <w:pStyle w:val="4"/>
        <w:spacing w:after="78"/>
      </w:pPr>
      <w:r>
        <w:rPr>
          <w:rFonts w:hint="eastAsia"/>
        </w:rPr>
        <w:t>七、限价要求</w:t>
      </w:r>
    </w:p>
    <w:p w14:paraId="3D1B36DD">
      <w:pPr>
        <w:pStyle w:val="12"/>
        <w:tabs>
          <w:tab w:val="left" w:pos="0"/>
        </w:tabs>
        <w:snapToGrid w:val="0"/>
        <w:spacing w:line="640" w:lineRule="exact"/>
        <w:ind w:firstLine="640" w:firstLineChars="200"/>
        <w:rPr>
          <w:rFonts w:ascii="Times New Roman" w:hAnsi="Times New Roman" w:eastAsia="仿宋"/>
          <w:kern w:val="0"/>
          <w:sz w:val="32"/>
          <w:szCs w:val="32"/>
        </w:rPr>
      </w:pPr>
      <w:r>
        <w:rPr>
          <w:rFonts w:hint="eastAsia" w:ascii="Times New Roman" w:hAnsi="Times New Roman" w:eastAsia="仿宋"/>
          <w:sz w:val="32"/>
          <w:szCs w:val="32"/>
        </w:rPr>
        <w:t>单价合同，含税单价限价见采购需求表，各分项报价均不得超过对应限价要求，否则做无效报价。</w:t>
      </w:r>
    </w:p>
    <w:p w14:paraId="58149E24">
      <w:pPr>
        <w:pStyle w:val="4"/>
        <w:spacing w:after="78"/>
      </w:pPr>
      <w:r>
        <w:rPr>
          <w:rFonts w:hint="eastAsia"/>
        </w:rPr>
        <w:t>八、澄清及修改</w:t>
      </w:r>
    </w:p>
    <w:p w14:paraId="2A03AD76">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1、采购人如需对已发出的询价文件进行澄清或修改的，将</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发布更正公告，该澄清或修改内容为询价文件的组成部分。</w:t>
      </w:r>
    </w:p>
    <w:p w14:paraId="6A224E4C">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2、询价申请人认为需要对询价文件进行澄清的，可以邮件形式向采购人提出申请（截止时间</w:t>
      </w:r>
      <w:r>
        <w:rPr>
          <w:rFonts w:hint="eastAsia" w:ascii="Times New Roman" w:hAnsi="Times New Roman" w:eastAsia="仿宋"/>
          <w:bCs/>
          <w:sz w:val="32"/>
          <w:szCs w:val="32"/>
        </w:rPr>
        <w:t>2025</w:t>
      </w:r>
      <w:r>
        <w:rPr>
          <w:rFonts w:ascii="Times New Roman" w:hAnsi="Times New Roman" w:eastAsia="仿宋"/>
          <w:bCs/>
          <w:sz w:val="32"/>
          <w:szCs w:val="32"/>
        </w:rPr>
        <w:t>年</w:t>
      </w:r>
      <w:r>
        <w:rPr>
          <w:rFonts w:hint="eastAsia" w:ascii="Times New Roman" w:hAnsi="Times New Roman" w:eastAsia="仿宋"/>
          <w:bCs/>
          <w:sz w:val="32"/>
          <w:szCs w:val="32"/>
          <w:lang w:val="en-US" w:eastAsia="zh-CN"/>
        </w:rPr>
        <w:t>9</w:t>
      </w:r>
      <w:r>
        <w:rPr>
          <w:rFonts w:ascii="Times New Roman" w:hAnsi="Times New Roman" w:eastAsia="仿宋"/>
          <w:bCs/>
          <w:sz w:val="32"/>
          <w:szCs w:val="32"/>
        </w:rPr>
        <w:t>月</w:t>
      </w:r>
      <w:r>
        <w:rPr>
          <w:rFonts w:hint="eastAsia" w:ascii="Times New Roman" w:hAnsi="Times New Roman" w:eastAsia="仿宋"/>
          <w:bCs/>
          <w:sz w:val="32"/>
          <w:szCs w:val="32"/>
          <w:lang w:val="en-US" w:eastAsia="zh-CN"/>
        </w:rPr>
        <w:t>8</w:t>
      </w:r>
      <w:r>
        <w:rPr>
          <w:rFonts w:ascii="Times New Roman" w:hAnsi="Times New Roman" w:eastAsia="仿宋"/>
          <w:bCs/>
          <w:sz w:val="32"/>
          <w:szCs w:val="32"/>
        </w:rPr>
        <w:t>日</w:t>
      </w:r>
      <w:r>
        <w:rPr>
          <w:rFonts w:hint="eastAsia" w:ascii="Times New Roman" w:hAnsi="Times New Roman" w:eastAsia="仿宋"/>
          <w:bCs/>
          <w:sz w:val="32"/>
          <w:szCs w:val="32"/>
        </w:rPr>
        <w:t>18</w:t>
      </w:r>
      <w:r>
        <w:rPr>
          <w:rFonts w:hint="eastAsia" w:ascii="Times New Roman" w:hAnsi="Times New Roman" w:eastAsia="仿宋"/>
          <w:sz w:val="32"/>
          <w:szCs w:val="32"/>
        </w:rPr>
        <w:t>时），但采购人可决定是否采纳申请事项。</w:t>
      </w:r>
    </w:p>
    <w:p w14:paraId="4122AFEC">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3、询价申请人应于响应文件递交截止时间之前，自行查看</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查询本项目的更正公告，因未查阅公告造成的后果由申请人自行承担。</w:t>
      </w:r>
    </w:p>
    <w:p w14:paraId="6AC3C34E">
      <w:pPr>
        <w:pStyle w:val="4"/>
        <w:spacing w:after="78"/>
      </w:pPr>
      <w:r>
        <w:rPr>
          <w:rFonts w:hint="eastAsia"/>
        </w:rPr>
        <w:t>九、其他</w:t>
      </w:r>
    </w:p>
    <w:p w14:paraId="7328679E">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1、中选人应在结果公告期满后尽快与采购人签订采购合同。因中选人原因造成逾期未与采购人签订采购合同的，视为自动放弃。</w:t>
      </w:r>
    </w:p>
    <w:p w14:paraId="701C01E5">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2、中选人因不可抗力原因不能履行采购合同或放弃成交的，采购人可依序与其他中选候选人签订采购合同，也可以重新组织采购。</w:t>
      </w:r>
    </w:p>
    <w:p w14:paraId="7D81A4C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19C3AFD">
      <w:pPr>
        <w:pStyle w:val="4"/>
        <w:spacing w:after="78"/>
      </w:pPr>
      <w:r>
        <w:rPr>
          <w:rFonts w:hint="eastAsia"/>
        </w:rPr>
        <w:t>十、联系方式</w:t>
      </w:r>
    </w:p>
    <w:bookmarkEnd w:id="4"/>
    <w:p w14:paraId="118FF91E">
      <w:pPr>
        <w:spacing w:after="78" w:line="640" w:lineRule="exact"/>
        <w:ind w:firstLine="640" w:firstLineChars="200"/>
        <w:rPr>
          <w:rFonts w:ascii="Times New Roman" w:hAnsi="Times New Roman" w:eastAsia="仿宋"/>
          <w:color w:val="000000"/>
          <w:kern w:val="0"/>
          <w:sz w:val="32"/>
          <w:szCs w:val="32"/>
        </w:rPr>
      </w:pPr>
      <w:bookmarkStart w:id="5" w:name="_Hlk173242662"/>
      <w:r>
        <w:rPr>
          <w:rFonts w:hint="eastAsia" w:ascii="Times New Roman" w:hAnsi="Times New Roman" w:eastAsia="仿宋"/>
          <w:color w:val="000000"/>
          <w:kern w:val="0"/>
          <w:sz w:val="32"/>
          <w:szCs w:val="32"/>
        </w:rPr>
        <w:t>联系人：涂工</w:t>
      </w:r>
    </w:p>
    <w:p w14:paraId="5B54BB74">
      <w:pPr>
        <w:spacing w:after="78" w:line="640" w:lineRule="exact"/>
        <w:ind w:firstLine="640" w:firstLineChars="200"/>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5CA83CE3">
      <w:pPr>
        <w:spacing w:after="78" w:line="640" w:lineRule="exact"/>
        <w:ind w:firstLine="640" w:firstLineChars="200"/>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邮  箱：</w:t>
      </w:r>
      <w:r>
        <w:rPr>
          <w:rFonts w:ascii="Times New Roman" w:hAnsi="Times New Roman" w:eastAsia="仿宋"/>
          <w:color w:val="000000"/>
          <w:kern w:val="0"/>
          <w:sz w:val="32"/>
          <w:szCs w:val="32"/>
        </w:rPr>
        <w:t>sszxhjcaigou@163.com</w:t>
      </w:r>
    </w:p>
    <w:bookmarkEnd w:id="5"/>
    <w:p w14:paraId="3D34B1F2">
      <w:pPr>
        <w:pStyle w:val="10"/>
        <w:wordWrap w:val="0"/>
        <w:spacing w:line="640" w:lineRule="exact"/>
        <w:ind w:left="2176" w:leftChars="1036"/>
        <w:jc w:val="right"/>
        <w:rPr>
          <w:rFonts w:ascii="Times New Roman" w:hAnsi="Times New Roman" w:eastAsia="仿宋"/>
          <w:bCs/>
          <w:color w:val="000000"/>
          <w:sz w:val="32"/>
          <w:szCs w:val="32"/>
        </w:rPr>
      </w:pPr>
      <w:r>
        <w:rPr>
          <w:rFonts w:hint="eastAsia" w:ascii="Times New Roman" w:hAnsi="Times New Roman" w:eastAsia="仿宋" w:cs="宋体"/>
          <w:color w:val="000000"/>
          <w:kern w:val="0"/>
          <w:sz w:val="32"/>
          <w:szCs w:val="32"/>
        </w:rPr>
        <w:t xml:space="preserve">           </w:t>
      </w:r>
    </w:p>
    <w:p w14:paraId="299B76D1">
      <w:pPr>
        <w:pStyle w:val="10"/>
        <w:wordWrap w:val="0"/>
        <w:spacing w:line="640" w:lineRule="exact"/>
        <w:ind w:left="2176" w:leftChars="1036"/>
        <w:jc w:val="right"/>
        <w:rPr>
          <w:rFonts w:ascii="Times New Roman" w:hAnsi="Times New Roman" w:eastAsia="仿宋"/>
        </w:rPr>
      </w:pPr>
      <w:r>
        <w:rPr>
          <w:rFonts w:hint="eastAsia" w:ascii="Times New Roman" w:hAnsi="Times New Roman" w:eastAsia="仿宋"/>
          <w:bCs/>
          <w:color w:val="000000"/>
          <w:sz w:val="32"/>
          <w:szCs w:val="32"/>
        </w:rPr>
        <w:t>深圳市深水水务咨询有限公司</w:t>
      </w:r>
    </w:p>
    <w:p w14:paraId="4C2A0AF7">
      <w:pPr>
        <w:spacing w:after="78" w:line="640" w:lineRule="exact"/>
        <w:ind w:left="6079" w:leftChars="152" w:hanging="5760" w:hangingChars="1800"/>
        <w:jc w:val="left"/>
        <w:rPr>
          <w:rFonts w:ascii="Times New Roman" w:hAnsi="Times New Roman" w:eastAsia="仿宋"/>
          <w:color w:val="000000"/>
          <w:sz w:val="32"/>
          <w:szCs w:val="32"/>
        </w:rPr>
      </w:pPr>
      <w:r>
        <w:rPr>
          <w:rFonts w:hint="eastAsia" w:ascii="Times New Roman" w:hAnsi="Times New Roman" w:eastAsia="仿宋"/>
          <w:color w:val="000000"/>
          <w:kern w:val="0"/>
          <w:sz w:val="32"/>
          <w:szCs w:val="32"/>
        </w:rPr>
        <w:t xml:space="preserve">                              </w:t>
      </w:r>
      <w:bookmarkStart w:id="7" w:name="_Hlk173242679"/>
      <w:r>
        <w:rPr>
          <w:rFonts w:hint="eastAsia" w:ascii="Times New Roman" w:hAnsi="Times New Roman" w:eastAsia="仿宋"/>
          <w:bCs/>
          <w:color w:val="000000"/>
          <w:sz w:val="32"/>
          <w:szCs w:val="32"/>
        </w:rPr>
        <w:t>2025</w:t>
      </w:r>
      <w:r>
        <w:rPr>
          <w:rFonts w:ascii="Times New Roman" w:hAnsi="Times New Roman" w:eastAsia="仿宋"/>
          <w:bCs/>
          <w:color w:val="000000"/>
          <w:sz w:val="32"/>
          <w:szCs w:val="32"/>
        </w:rPr>
        <w:t>年</w:t>
      </w:r>
      <w:r>
        <w:rPr>
          <w:rFonts w:hint="eastAsia" w:ascii="Times New Roman" w:hAnsi="Times New Roman" w:eastAsia="仿宋"/>
          <w:bCs/>
          <w:color w:val="000000"/>
          <w:sz w:val="32"/>
          <w:szCs w:val="32"/>
          <w:lang w:val="en-US" w:eastAsia="zh-CN"/>
        </w:rPr>
        <w:t>9</w:t>
      </w:r>
      <w:r>
        <w:rPr>
          <w:rFonts w:ascii="Times New Roman" w:hAnsi="Times New Roman" w:eastAsia="仿宋"/>
          <w:bCs/>
          <w:color w:val="000000"/>
          <w:sz w:val="32"/>
          <w:szCs w:val="32"/>
        </w:rPr>
        <w:t>月</w:t>
      </w:r>
      <w:r>
        <w:rPr>
          <w:rFonts w:hint="eastAsia" w:ascii="Times New Roman" w:hAnsi="Times New Roman" w:eastAsia="仿宋"/>
          <w:bCs/>
          <w:color w:val="000000"/>
          <w:sz w:val="32"/>
          <w:szCs w:val="32"/>
          <w:lang w:val="en-US" w:eastAsia="zh-CN"/>
        </w:rPr>
        <w:t>4</w:t>
      </w:r>
      <w:r>
        <w:rPr>
          <w:rFonts w:ascii="Times New Roman" w:hAnsi="Times New Roman" w:eastAsia="仿宋"/>
          <w:bCs/>
          <w:color w:val="000000"/>
          <w:sz w:val="32"/>
          <w:szCs w:val="32"/>
        </w:rPr>
        <w:t>日</w:t>
      </w:r>
      <w:bookmarkEnd w:id="7"/>
    </w:p>
    <w:p w14:paraId="03F373CF">
      <w:pPr>
        <w:spacing w:before="312" w:beforeLines="100" w:after="312" w:afterLines="100" w:line="360" w:lineRule="auto"/>
        <w:jc w:val="center"/>
        <w:rPr>
          <w:rFonts w:ascii="Times New Roman" w:hAnsi="Times New Roman" w:eastAsia="仿宋"/>
        </w:rPr>
      </w:pPr>
      <w:r>
        <w:rPr>
          <w:rFonts w:hint="eastAsia" w:ascii="Times New Roman" w:hAnsi="Times New Roman" w:eastAsia="仿宋"/>
        </w:rPr>
        <w:br w:type="page"/>
      </w:r>
      <w:bookmarkStart w:id="8" w:name="OLE_LINK5"/>
      <w:bookmarkStart w:id="9" w:name="OLE_LINK6"/>
    </w:p>
    <w:p w14:paraId="2DAE8A0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1BF18FAD">
      <w:pPr>
        <w:spacing w:before="312" w:beforeLines="100" w:after="312" w:afterLines="100" w:line="360" w:lineRule="auto"/>
        <w:jc w:val="center"/>
        <w:rPr>
          <w:rFonts w:ascii="Times New Roman" w:hAnsi="Times New Roman" w:eastAsia="仿宋" w:cs="仿宋"/>
          <w:b/>
          <w:bCs/>
          <w:sz w:val="28"/>
          <w:szCs w:val="28"/>
        </w:rPr>
      </w:pPr>
    </w:p>
    <w:p w14:paraId="1D21999F">
      <w:pPr>
        <w:spacing w:before="312" w:beforeLines="100" w:after="312" w:afterLines="100" w:line="360" w:lineRule="auto"/>
        <w:jc w:val="center"/>
        <w:rPr>
          <w:rFonts w:ascii="Times New Roman" w:hAnsi="Times New Roman" w:eastAsia="仿宋"/>
          <w:b/>
          <w:bCs/>
          <w:sz w:val="28"/>
          <w:szCs w:val="28"/>
        </w:rPr>
      </w:pPr>
      <w:r>
        <w:rPr>
          <w:rFonts w:hint="eastAsia" w:ascii="Times New Roman" w:hAnsi="Times New Roman" w:eastAsia="仿宋" w:cs="仿宋"/>
          <w:b/>
          <w:bCs/>
          <w:sz w:val="28"/>
          <w:szCs w:val="28"/>
        </w:rPr>
        <w:t>废物（液）处理处置及工业服务合同</w:t>
      </w:r>
    </w:p>
    <w:bookmarkEnd w:id="8"/>
    <w:bookmarkEnd w:id="9"/>
    <w:p w14:paraId="2D0F1DF6">
      <w:pPr>
        <w:spacing w:after="78" w:line="360" w:lineRule="auto"/>
        <w:ind w:right="420"/>
        <w:rPr>
          <w:rFonts w:ascii="Times New Roman" w:hAnsi="Times New Roman" w:eastAsia="仿宋"/>
          <w:sz w:val="24"/>
        </w:rPr>
      </w:pPr>
      <w:r>
        <w:rPr>
          <w:rFonts w:hint="eastAsia" w:ascii="Times New Roman" w:hAnsi="Times New Roman" w:eastAsia="仿宋"/>
          <w:b/>
          <w:bCs/>
          <w:sz w:val="24"/>
        </w:rPr>
        <w:t xml:space="preserve">           </w:t>
      </w:r>
      <w:r>
        <w:rPr>
          <w:rFonts w:hint="eastAsia" w:ascii="Times New Roman" w:hAnsi="Times New Roman" w:eastAsia="仿宋"/>
          <w:b/>
          <w:iCs/>
          <w:sz w:val="24"/>
        </w:rPr>
        <w:t xml:space="preserve">                      </w:t>
      </w:r>
      <w:r>
        <w:rPr>
          <w:rFonts w:hint="eastAsia" w:ascii="Times New Roman" w:hAnsi="Times New Roman" w:eastAsia="仿宋"/>
          <w:sz w:val="24"/>
        </w:rPr>
        <w:t>签订时间：   年     月     日</w:t>
      </w:r>
    </w:p>
    <w:p w14:paraId="37FD3EDC">
      <w:pPr>
        <w:spacing w:after="78" w:line="360" w:lineRule="auto"/>
        <w:ind w:right="420"/>
        <w:rPr>
          <w:rFonts w:ascii="Times New Roman" w:hAnsi="Times New Roman" w:eastAsia="仿宋"/>
          <w:b/>
          <w:sz w:val="24"/>
        </w:rPr>
      </w:pPr>
      <w:r>
        <w:rPr>
          <w:rFonts w:hint="eastAsia" w:ascii="Times New Roman" w:hAnsi="Times New Roman" w:eastAsia="仿宋"/>
          <w:sz w:val="24"/>
        </w:rPr>
        <w:t xml:space="preserve">                                      合同编号：</w:t>
      </w:r>
    </w:p>
    <w:p w14:paraId="09614542">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甲方：【 】</w:t>
      </w:r>
    </w:p>
    <w:p w14:paraId="73AAA574">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地址：</w:t>
      </w:r>
      <w:r>
        <w:rPr>
          <w:rFonts w:hint="eastAsia" w:ascii="Times New Roman" w:hAnsi="Times New Roman" w:eastAsia="仿宋"/>
          <w:sz w:val="24"/>
        </w:rPr>
        <w:t>【 】</w:t>
      </w:r>
    </w:p>
    <w:p w14:paraId="749A40FC">
      <w:pPr>
        <w:adjustRightInd w:val="0"/>
        <w:snapToGrid w:val="0"/>
        <w:spacing w:after="78"/>
        <w:jc w:val="left"/>
        <w:rPr>
          <w:rFonts w:ascii="Times New Roman" w:hAnsi="Times New Roman" w:eastAsia="仿宋"/>
          <w:sz w:val="24"/>
        </w:rPr>
      </w:pPr>
      <w:r>
        <w:rPr>
          <w:rFonts w:hint="eastAsia" w:ascii="Times New Roman" w:hAnsi="Times New Roman" w:eastAsia="仿宋"/>
          <w:b/>
          <w:bCs/>
          <w:sz w:val="24"/>
        </w:rPr>
        <w:t>收货地址：</w:t>
      </w:r>
      <w:r>
        <w:rPr>
          <w:rFonts w:hint="eastAsia" w:ascii="Times New Roman" w:hAnsi="Times New Roman" w:eastAsia="仿宋"/>
          <w:bCs/>
          <w:sz w:val="24"/>
        </w:rPr>
        <w:t>【</w:t>
      </w:r>
      <w:r>
        <w:rPr>
          <w:rFonts w:hint="eastAsia" w:ascii="Times New Roman" w:hAnsi="Times New Roman" w:eastAsia="仿宋"/>
          <w:sz w:val="24"/>
        </w:rPr>
        <w:t xml:space="preserve"> 】</w:t>
      </w:r>
    </w:p>
    <w:p w14:paraId="5CBBE879">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统一社会信用代码：</w:t>
      </w:r>
    </w:p>
    <w:p w14:paraId="2FD25D93">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联系人：</w:t>
      </w:r>
    </w:p>
    <w:p w14:paraId="345C8E4B">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联系电话：</w:t>
      </w:r>
    </w:p>
    <w:p w14:paraId="5DCBAE6F">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电子邮箱：    /</w:t>
      </w:r>
    </w:p>
    <w:p w14:paraId="69EFB455">
      <w:pPr>
        <w:adjustRightInd w:val="0"/>
        <w:snapToGrid w:val="0"/>
        <w:spacing w:after="78"/>
        <w:rPr>
          <w:rFonts w:ascii="Times New Roman" w:hAnsi="Times New Roman" w:eastAsia="仿宋"/>
          <w:b/>
          <w:sz w:val="24"/>
        </w:rPr>
      </w:pPr>
    </w:p>
    <w:p w14:paraId="2BE6232E">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乙方：【                   】</w:t>
      </w:r>
    </w:p>
    <w:p w14:paraId="36E070AE">
      <w:pPr>
        <w:adjustRightInd w:val="0"/>
        <w:snapToGrid w:val="0"/>
        <w:spacing w:after="78"/>
        <w:rPr>
          <w:rFonts w:ascii="Times New Roman" w:hAnsi="Times New Roman" w:eastAsia="仿宋" w:cs="微软雅黑"/>
          <w:color w:val="000000"/>
          <w:szCs w:val="21"/>
        </w:rPr>
      </w:pPr>
      <w:r>
        <w:rPr>
          <w:rFonts w:hint="eastAsia" w:ascii="Times New Roman" w:hAnsi="Times New Roman" w:eastAsia="仿宋"/>
          <w:b/>
          <w:sz w:val="24"/>
        </w:rPr>
        <w:t>地址：</w:t>
      </w:r>
      <w:r>
        <w:rPr>
          <w:rFonts w:hint="eastAsia" w:ascii="Times New Roman" w:hAnsi="Times New Roman" w:eastAsia="仿宋"/>
          <w:sz w:val="24"/>
        </w:rPr>
        <w:t>【                   】</w:t>
      </w:r>
    </w:p>
    <w:p w14:paraId="5B4F9C4D">
      <w:pPr>
        <w:adjustRightInd w:val="0"/>
        <w:snapToGrid w:val="0"/>
        <w:spacing w:after="78"/>
        <w:rPr>
          <w:rFonts w:ascii="Times New Roman" w:hAnsi="Times New Roman" w:eastAsia="仿宋"/>
          <w:sz w:val="24"/>
        </w:rPr>
      </w:pPr>
      <w:r>
        <w:rPr>
          <w:rFonts w:hint="eastAsia" w:ascii="Times New Roman" w:hAnsi="Times New Roman" w:eastAsia="仿宋"/>
          <w:b/>
          <w:sz w:val="24"/>
        </w:rPr>
        <w:t>统一社会信用代码：</w:t>
      </w:r>
    </w:p>
    <w:p w14:paraId="182C0EB1">
      <w:pPr>
        <w:adjustRightInd w:val="0"/>
        <w:snapToGrid w:val="0"/>
        <w:spacing w:after="78"/>
        <w:rPr>
          <w:rFonts w:ascii="Times New Roman" w:hAnsi="Times New Roman" w:eastAsia="仿宋"/>
          <w:b/>
          <w:sz w:val="24"/>
        </w:rPr>
      </w:pPr>
      <w:r>
        <w:rPr>
          <w:rFonts w:hint="eastAsia" w:ascii="Times New Roman" w:hAnsi="Times New Roman" w:eastAsia="仿宋"/>
          <w:b/>
          <w:sz w:val="24"/>
        </w:rPr>
        <w:t>联系人：</w:t>
      </w:r>
    </w:p>
    <w:p w14:paraId="6D3C522C">
      <w:pPr>
        <w:adjustRightInd w:val="0"/>
        <w:snapToGrid w:val="0"/>
        <w:spacing w:after="78"/>
        <w:rPr>
          <w:rFonts w:ascii="Times New Roman" w:hAnsi="Times New Roman" w:eastAsia="仿宋"/>
          <w:b/>
          <w:sz w:val="24"/>
        </w:rPr>
      </w:pPr>
      <w:r>
        <w:rPr>
          <w:rFonts w:hint="eastAsia" w:ascii="Times New Roman" w:hAnsi="Times New Roman" w:eastAsia="仿宋"/>
          <w:b/>
          <w:sz w:val="24"/>
        </w:rPr>
        <w:t>联系电话：</w:t>
      </w:r>
    </w:p>
    <w:p w14:paraId="3E2952D4">
      <w:pPr>
        <w:adjustRightInd w:val="0"/>
        <w:snapToGrid w:val="0"/>
        <w:spacing w:after="78"/>
        <w:rPr>
          <w:rFonts w:ascii="Times New Roman" w:hAnsi="Times New Roman" w:eastAsia="仿宋"/>
          <w:b/>
          <w:sz w:val="24"/>
        </w:rPr>
      </w:pPr>
      <w:r>
        <w:rPr>
          <w:rFonts w:hint="eastAsia" w:ascii="Times New Roman" w:hAnsi="Times New Roman" w:eastAsia="仿宋"/>
          <w:b/>
          <w:sz w:val="24"/>
        </w:rPr>
        <w:t>电子邮箱：</w:t>
      </w:r>
    </w:p>
    <w:p w14:paraId="525B57C5">
      <w:pPr>
        <w:spacing w:after="78" w:line="360" w:lineRule="auto"/>
        <w:ind w:right="420" w:firstLine="480" w:firstLineChars="200"/>
        <w:rPr>
          <w:rFonts w:ascii="Times New Roman" w:hAnsi="Times New Roman" w:eastAsia="仿宋" w:cs="仿宋"/>
          <w:sz w:val="24"/>
        </w:rPr>
      </w:pPr>
      <w:r>
        <w:rPr>
          <w:rFonts w:hint="eastAsia" w:ascii="Times New Roman" w:hAnsi="Times New Roman" w:eastAsia="仿宋" w:cs="仿宋"/>
          <w:sz w:val="24"/>
        </w:rPr>
        <w:t>根据《中华人民共和国环境保护法》以及相关环境保护法律、法规规定，甲方在生产过程中形成的工业废物（液）</w:t>
      </w:r>
      <w:r>
        <w:rPr>
          <w:rFonts w:hint="eastAsia" w:ascii="Times New Roman" w:hAnsi="Times New Roman" w:eastAsia="仿宋" w:cs="仿宋"/>
          <w:b/>
          <w:bCs/>
          <w:sz w:val="24"/>
        </w:rPr>
        <w:t>【详见废物处理处置报价单】</w:t>
      </w:r>
      <w:r>
        <w:rPr>
          <w:rFonts w:hint="eastAsia" w:ascii="Times New Roman" w:hAnsi="Times New Roman" w:eastAsia="仿宋" w:cs="仿宋"/>
          <w:sz w:val="24"/>
        </w:rPr>
        <w:t>，不得随意排放、弃置或者转移，应当依法集中处理。乙方作为一家具有处理工业废物（液）资质的合法企业，甲方同意由乙方处理其全部工业废物（液），甲乙双方现就上述工业废物（液）处理处置事宜，根据《中华人民共和国民法典》及相关法律法规，经友好协商，自愿达成如下条款，以兹共同遵照执行：</w:t>
      </w:r>
    </w:p>
    <w:p w14:paraId="154308B8">
      <w:pPr>
        <w:pStyle w:val="4"/>
        <w:spacing w:after="78"/>
      </w:pPr>
      <w:r>
        <w:rPr>
          <w:rFonts w:hint="eastAsia"/>
        </w:rPr>
        <w:t>一、甲方合同义务</w:t>
      </w:r>
    </w:p>
    <w:p w14:paraId="47B240C0">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1、甲方应将本合同约定下生产过程中所形成的工业废物（液）连同包装物交予乙方处理。乙方向甲方提供</w:t>
      </w:r>
      <w:r>
        <w:rPr>
          <w:rFonts w:hint="eastAsia" w:ascii="Times New Roman" w:hAnsi="Times New Roman" w:eastAsia="仿宋" w:cs="仿宋"/>
          <w:b/>
          <w:bCs/>
          <w:sz w:val="24"/>
        </w:rPr>
        <w:t>预约式</w:t>
      </w:r>
      <w:r>
        <w:rPr>
          <w:rFonts w:hint="eastAsia" w:ascii="Times New Roman" w:hAnsi="Times New Roman" w:eastAsia="仿宋" w:cs="仿宋"/>
          <w:sz w:val="24"/>
        </w:rPr>
        <w:t>工业废物（液）处理处置服务，甲方应在每次有工业废物（液）处理需要前，提前【15】日通知乙方具体的收运时间、地点及收运工业废物（液）的具体数量和包装方式等，乙方应在收到甲方通知后【3】日内告知甲方是否可以提供相应的处理处置服务。</w:t>
      </w:r>
    </w:p>
    <w:p w14:paraId="1C6AF1A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甲方应将各类工业废物（液）分类存储，做好标记标识，不可混入其他杂物，以方便乙方处理及保障操作安全。对袋装、桶装的工业废物（液）应按照工业废物（液）包装、标识及贮存技术规范要求贴上标签。</w:t>
      </w:r>
    </w:p>
    <w:p w14:paraId="4DC5365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3、甲方应将待处理的工业废物（液）集中摆放，并为乙方上门收运提供必要的条件，包括进场道路、作业场地、装车所需的装载机械（叉车等），以便于乙方装运。</w:t>
      </w:r>
    </w:p>
    <w:p w14:paraId="21C3451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4、甲方提供给乙方的工业废物（液）不出现下列异常情况：</w:t>
      </w:r>
    </w:p>
    <w:p w14:paraId="5B3E126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1）标识不规范或者错误；包装破损或者密封不严；</w:t>
      </w:r>
    </w:p>
    <w:p w14:paraId="775559E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2）违反工业废物（液）运输包装的国家标准、地方标准、行业标准及通用技术条件的其他异常情况。</w:t>
      </w:r>
    </w:p>
    <w:p w14:paraId="2066D441">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5、甲方应按照本合同约定方式、时间，准时、足额向乙方支付费用。</w:t>
      </w:r>
    </w:p>
    <w:p w14:paraId="23E9734B">
      <w:pPr>
        <w:pStyle w:val="4"/>
        <w:spacing w:after="78"/>
      </w:pPr>
      <w:r>
        <w:rPr>
          <w:rFonts w:hint="eastAsia"/>
        </w:rPr>
        <w:t>二、乙方合同义务</w:t>
      </w:r>
    </w:p>
    <w:p w14:paraId="4DF8C821">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1、在合同有效期内，乙方应具备处理工业废物（液）所需的资质、条件和设施，并保证所持有许可证、营业执照等相关证件合法有效。</w:t>
      </w:r>
    </w:p>
    <w:p w14:paraId="5C22898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自备运输车辆和装卸人员，按双方商议的计划到甲方收取工业废物（液）。乙方在接到甲方收运通知后，若无法接受甲方预约按计划处理工业废物（液）的，应及时告知甲方，甲方有权选择其他替代方法处理工业废物（液）。</w:t>
      </w:r>
    </w:p>
    <w:p w14:paraId="3403F82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3、乙方收运车辆以及司机与装卸员工，应当在甲方厂区内文明作业，作业完毕后将其作业范围清理干净，并遵守甲方的相关环境以及安全管理规定。</w:t>
      </w:r>
    </w:p>
    <w:p w14:paraId="37A309A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4、乙方接收待处理危险废物时，必须认真填写《危险废物转移联单》的各项内容，该联单作为合同双方核对危险废物种类、数量以及收费的凭证，及时根据要求报送至环保监管部门存档。</w:t>
      </w:r>
    </w:p>
    <w:p w14:paraId="44D7A4E3">
      <w:pPr>
        <w:spacing w:after="78" w:line="360" w:lineRule="auto"/>
        <w:ind w:firstLine="480" w:firstLineChars="200"/>
        <w:rPr>
          <w:rFonts w:hint="default" w:eastAsia="仿宋"/>
          <w:lang w:val="en-US" w:eastAsia="zh-CN"/>
        </w:rPr>
      </w:pPr>
      <w:r>
        <w:rPr>
          <w:rFonts w:hint="eastAsia" w:ascii="Times New Roman" w:hAnsi="Times New Roman" w:eastAsia="仿宋" w:cs="仿宋"/>
          <w:sz w:val="24"/>
        </w:rPr>
        <w:t>4、</w:t>
      </w:r>
      <w:r>
        <w:rPr>
          <w:rFonts w:hint="eastAsia" w:ascii="Times New Roman" w:hAnsi="Times New Roman" w:eastAsia="仿宋" w:cs="仿宋"/>
          <w:sz w:val="24"/>
          <w:lang w:val="en-US" w:eastAsia="zh-CN"/>
        </w:rPr>
        <w:t>乙方应明确在本合同服务内容中，甲方提供对接的危废平台账户为甲方的业主单位：深圳市下坪环境园(郁南片区)，服务过程中不得因账户名称和签订合同单位不一致而拒绝提供服务。</w:t>
      </w:r>
    </w:p>
    <w:p w14:paraId="3185F98B">
      <w:pPr>
        <w:pStyle w:val="4"/>
        <w:spacing w:after="78"/>
      </w:pPr>
      <w:r>
        <w:rPr>
          <w:rFonts w:hint="eastAsia"/>
        </w:rPr>
        <w:t xml:space="preserve">三、工业废物（液）的计重  </w:t>
      </w:r>
    </w:p>
    <w:p w14:paraId="7BC323C8">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工业废物（液）的计重应按下列方式【1】进行：</w:t>
      </w:r>
    </w:p>
    <w:p w14:paraId="0840AB2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1、在甲方厂区内或者附近过磅称重，由甲方提供计重工具或在甲方人员陪同下使用乙方提供的计重工具进行计重；</w:t>
      </w:r>
    </w:p>
    <w:p w14:paraId="33F244B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2、用乙方地磅免费称重；</w:t>
      </w:r>
    </w:p>
    <w:p w14:paraId="7043FD7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3、若工业废物（液）不宜采用地磅称重，则按照</w:t>
      </w:r>
      <w:r>
        <w:rPr>
          <w:rFonts w:hint="eastAsia" w:ascii="Times New Roman" w:hAnsi="Times New Roman" w:eastAsia="仿宋" w:cs="仿宋"/>
          <w:sz w:val="24"/>
          <w:u w:val="single"/>
        </w:rPr>
        <w:t xml:space="preserve">    估重   </w:t>
      </w:r>
      <w:r>
        <w:rPr>
          <w:rFonts w:hint="eastAsia" w:ascii="Times New Roman" w:hAnsi="Times New Roman" w:eastAsia="仿宋" w:cs="仿宋"/>
          <w:sz w:val="24"/>
        </w:rPr>
        <w:t>方式计重。</w:t>
      </w:r>
    </w:p>
    <w:p w14:paraId="7B60CE1F">
      <w:pPr>
        <w:pStyle w:val="4"/>
        <w:spacing w:after="78"/>
      </w:pPr>
      <w:r>
        <w:rPr>
          <w:rFonts w:hint="eastAsia"/>
        </w:rPr>
        <w:t>四、工业废物（液）种类、数量以及收费凭证及转接责任</w:t>
      </w:r>
    </w:p>
    <w:p w14:paraId="4BD0652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1、甲、乙双方交接待处理工业废物（液）时，必须认真填写《危险废物转移联单》的各项内容，该联单作为合同双方核对工业废物（液）种类、数量以及收费的凭证。</w:t>
      </w:r>
    </w:p>
    <w:p w14:paraId="14C4BC85">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若发生意外或者事故，甲方将待处理工业废物（液）交乙方签收且离开甲方厂区之前，责任由甲方自行承担；甲方将待处理工业废物（液）交乙方签收且离开甲方厂区之后，责任由乙方自行承担，但法律法规另有规定或本合同另有约定的除外。</w:t>
      </w:r>
    </w:p>
    <w:p w14:paraId="5A80F4C2">
      <w:pPr>
        <w:pStyle w:val="4"/>
        <w:spacing w:after="78"/>
      </w:pPr>
      <w:r>
        <w:rPr>
          <w:rFonts w:hint="eastAsia"/>
        </w:rPr>
        <w:t xml:space="preserve">五、费用结算和价格更新 </w:t>
      </w:r>
    </w:p>
    <w:p w14:paraId="203AAA65">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1、费用结算：</w:t>
      </w:r>
    </w:p>
    <w:p w14:paraId="05A7981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根据本合同附件《工业废物（液）处理处置报价单》中约定的方式进行结算。</w:t>
      </w:r>
    </w:p>
    <w:p w14:paraId="09829B6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 xml:space="preserve">2、结算账户： </w:t>
      </w:r>
    </w:p>
    <w:p w14:paraId="72915BB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1）乙方收款单位名称：【                         】</w:t>
      </w:r>
    </w:p>
    <w:p w14:paraId="4D797C3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2）乙方收款开户银行名称：【                              】</w:t>
      </w:r>
    </w:p>
    <w:p w14:paraId="489FFF8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3）乙方收款银行账号：【                     】</w:t>
      </w:r>
    </w:p>
    <w:p w14:paraId="3D1A05C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甲方将合同款项付至上述指定结算账户进行支付后方可确定甲方履行了本合同付款义务，否则视为甲方未履行付款义务，甲方应承担由此造成的一切损失。</w:t>
      </w:r>
    </w:p>
    <w:p w14:paraId="2A5C7E2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3、价格更新</w:t>
      </w:r>
    </w:p>
    <w:p w14:paraId="3961913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本合同附件《工业废物（液）处理处置报价单》中列明的收费标准应根据市场行情及时更新。在合同有效期内，若价格浮动超过5%，乙方有权要求对收费标准进行调整，经双方协商后，应重新签订补充协议确定调整后的收费标准。</w:t>
      </w:r>
    </w:p>
    <w:p w14:paraId="6F0CB109">
      <w:pPr>
        <w:pStyle w:val="4"/>
        <w:spacing w:after="78"/>
      </w:pPr>
      <w:r>
        <w:rPr>
          <w:rFonts w:hint="eastAsia"/>
        </w:rPr>
        <w:t>六、不可抗力</w:t>
      </w:r>
    </w:p>
    <w:p w14:paraId="54F0A01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在合同有效期内，因发生不可抗力事件（是指合同订立时不能预见、不能避免并不能克服的客观情况，包括自然灾害、如台风、地震、洪水、冰雹；政府行为，如征收、征用；社会异常事件，如罢工、骚乱、疫情等方面）导致本合同不能履行时，受到不可抗力影响的一方应在不可抗力事件发生之后三日内，向对方书面通知不能履行或者需要延期履行、部分履行的理由，并</w:t>
      </w:r>
      <w:bookmarkStart w:id="10" w:name="_Hlk6318873"/>
      <w:r>
        <w:rPr>
          <w:rFonts w:hint="eastAsia" w:ascii="Times New Roman" w:hAnsi="Times New Roman" w:eastAsia="仿宋" w:cs="仿宋"/>
          <w:sz w:val="24"/>
        </w:rPr>
        <w:t>提供有关证明</w:t>
      </w:r>
      <w:bookmarkEnd w:id="10"/>
      <w:r>
        <w:rPr>
          <w:rFonts w:hint="eastAsia" w:ascii="Times New Roman" w:hAnsi="Times New Roman" w:eastAsia="仿宋" w:cs="仿宋"/>
          <w:sz w:val="24"/>
        </w:rPr>
        <w:t>。在取得相关证明之后，主张受到不可抗力影响的一方可以不履行或者延期履行、部分履行本合同，并免予承担违约责任。</w:t>
      </w:r>
    </w:p>
    <w:p w14:paraId="2E3AECC6">
      <w:pPr>
        <w:pStyle w:val="4"/>
        <w:spacing w:after="78"/>
      </w:pPr>
      <w:r>
        <w:rPr>
          <w:rFonts w:hint="eastAsia"/>
        </w:rPr>
        <w:t>七、法律适用及争议解决</w:t>
      </w:r>
    </w:p>
    <w:p w14:paraId="259A2DEA">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1、</w:t>
      </w:r>
      <w:r>
        <w:rPr>
          <w:rFonts w:hint="eastAsia" w:ascii="Times New Roman" w:hAnsi="Times New Roman" w:eastAsia="仿宋" w:cs="仿宋"/>
          <w:color w:val="000000"/>
          <w:kern w:val="0"/>
          <w:sz w:val="24"/>
        </w:rPr>
        <w:t>本合同的订立、效力、解释、履行和争议的解决均适用中华人民共和国大陆地区法律。</w:t>
      </w:r>
    </w:p>
    <w:p w14:paraId="26E03683">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2、就本合同履行发生的任何争议，甲、乙双方先应友好协商解决；协商不成时，任何一方可向有管辖权的人民法院起诉，争议败诉方承担与争议有关的诉讼费、调查费、公证费、律师费及守约方实现债权的其它费用等,除非人民法院另有判决。</w:t>
      </w:r>
    </w:p>
    <w:p w14:paraId="02980487">
      <w:pPr>
        <w:pStyle w:val="4"/>
        <w:spacing w:after="78"/>
      </w:pPr>
      <w:r>
        <w:rPr>
          <w:rFonts w:hint="eastAsia"/>
        </w:rPr>
        <w:t>八、保密条款</w:t>
      </w:r>
    </w:p>
    <w:p w14:paraId="1CF266B8">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合同双方在工业废物（液）处理过程中所知悉的技术秘密以及商业秘密有义务进行保密，非因法律法规另有规定、监管部门另有要求或履行本合同项需要，任何一方不得向任何第三方泄漏。如有违反，违约方应承担相应的违约责任。</w:t>
      </w:r>
    </w:p>
    <w:p w14:paraId="1A5B52C0">
      <w:pPr>
        <w:pStyle w:val="4"/>
        <w:spacing w:after="78"/>
      </w:pPr>
      <w:r>
        <w:rPr>
          <w:rFonts w:hint="eastAsia"/>
        </w:rPr>
        <w:t>九、违约责任</w:t>
      </w:r>
    </w:p>
    <w:p w14:paraId="3C82592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合同任一方违反本合同的规定，守约方有权要求违约方停止并纠正违约行为，经守约方提出纠正后在10日内仍未予以改正的，守约方有权单方解除本合同，造成守约方经济以及其他方面损失的，违约方应予以全面、足额、及时、有效的赔偿。</w:t>
      </w:r>
    </w:p>
    <w:p w14:paraId="6FA413D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2、合同任一方无正当理由撤销或者解除合同，造成合同对方损失的，违约方应赔偿守约方由此造成的所有损失。</w:t>
      </w:r>
    </w:p>
    <w:p w14:paraId="049A596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3、如乙方无法按计划收运且不及时告知甲方，甲方有权另行委派处置单位进行处置，乙方应按应付本合同总金额的20%向甲方支付违约金，如因危废处置延期造成的经济损失由乙方负责。</w:t>
      </w:r>
    </w:p>
    <w:p w14:paraId="3063A74B">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4、乙方在货物运输、装卸等各个环节中产生的安全事故、环境责任事故等一切意外事故，包括不可抗拒力因素造成的事故，造成的后果概由乙方负责。</w:t>
      </w:r>
    </w:p>
    <w:p w14:paraId="7A15C5E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5、乙方在无法律依据或合同依据的情况下单方解除本合同，应当按照合同金额的30%向甲方支付违约金，并赔偿因此给甲方造成的损失。</w:t>
      </w:r>
    </w:p>
    <w:p w14:paraId="3056311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6、一方因追究违约方法律责任而支付的案件受理费、保全费、执行费、公告费、律师费、保全担保费/保险费、公证费等合理费用，由违约方承担。</w:t>
      </w:r>
    </w:p>
    <w:p w14:paraId="75A546A5">
      <w:pPr>
        <w:pStyle w:val="4"/>
        <w:spacing w:after="78"/>
      </w:pPr>
      <w:r>
        <w:rPr>
          <w:rFonts w:hint="eastAsia"/>
        </w:rPr>
        <w:t>十、合同其他事宜</w:t>
      </w:r>
    </w:p>
    <w:p w14:paraId="6094103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1、本合同有效期从【    】年【    】月【   】日起至【    】年【    】月【   】日止。</w:t>
      </w:r>
    </w:p>
    <w:p w14:paraId="2B3FEE5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w:t>
      </w:r>
      <w:bookmarkStart w:id="11" w:name="_Hlk6318910"/>
      <w:r>
        <w:rPr>
          <w:rFonts w:hint="eastAsia" w:ascii="Times New Roman" w:hAnsi="Times New Roman" w:eastAsia="仿宋" w:cs="仿宋"/>
          <w:sz w:val="24"/>
        </w:rPr>
        <w:t>本合同未尽事宜，由双方协商解决或另行签订书面补充协议，补充协议与本合同具有同等法律效力，补充协议与本合同约定不一致的，以补充协议的约定为准。</w:t>
      </w:r>
      <w:bookmarkEnd w:id="11"/>
    </w:p>
    <w:p w14:paraId="4EA86FC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3、甲、乙双方就本合同发生纠纷时（包括纠纷进入诉讼或仲裁程序后的各阶段）相关文件或法律文书的送达地址和法律后果作如下约定：</w:t>
      </w:r>
    </w:p>
    <w:p w14:paraId="2ED5FBA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甲方确认其有效的送达地址为【深圳市罗湖区清水河街道清水河社区清水河一路112号罗湖投资控股大厦裙楼401】，收件人为【   】，联系电话为【       】；</w:t>
      </w:r>
    </w:p>
    <w:p w14:paraId="6223993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乙方确认其有效的送达地址为【                                】，收件人为【      】，联系电话为【                】。</w:t>
      </w:r>
    </w:p>
    <w:p w14:paraId="0AB8EC1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7346929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4、本合同一式肆份，甲方持贰份，乙方持贰份。</w:t>
      </w:r>
    </w:p>
    <w:p w14:paraId="757268F8">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5、本合同经甲、乙双方加盖各自公章或业务专用章之日起正式生效。</w:t>
      </w:r>
    </w:p>
    <w:p w14:paraId="4131E24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本合同附件《工业废物（液）处理处置服务报价单》、《供应商廉洁协议书》、《安全生产协议书》，为本合同有效组成部分，与本合同具同等法律效力。本合同附件与本合同约定不一致的，以附件约定为准。</w:t>
      </w:r>
    </w:p>
    <w:p w14:paraId="31C1FB08">
      <w:pPr>
        <w:spacing w:after="78" w:line="360" w:lineRule="auto"/>
        <w:ind w:firstLine="480" w:firstLineChars="200"/>
        <w:rPr>
          <w:rFonts w:ascii="Times New Roman" w:hAnsi="Times New Roman" w:eastAsia="仿宋" w:cs="仿宋"/>
          <w:sz w:val="24"/>
        </w:rPr>
      </w:pPr>
    </w:p>
    <w:p w14:paraId="79C841D0">
      <w:pPr>
        <w:spacing w:after="78" w:line="360" w:lineRule="auto"/>
        <w:ind w:right="420"/>
        <w:rPr>
          <w:rFonts w:ascii="Times New Roman" w:hAnsi="Times New Roman" w:eastAsia="仿宋" w:cs="仿宋"/>
          <w:b/>
          <w:sz w:val="24"/>
        </w:rPr>
      </w:pPr>
      <w:r>
        <w:rPr>
          <w:rFonts w:hint="eastAsia" w:ascii="Times New Roman" w:hAnsi="Times New Roman" w:eastAsia="仿宋" w:cs="仿宋"/>
          <w:b/>
          <w:sz w:val="24"/>
        </w:rPr>
        <w:t>【以下无正文】</w:t>
      </w:r>
    </w:p>
    <w:tbl>
      <w:tblPr>
        <w:tblStyle w:val="22"/>
        <w:tblpPr w:leftFromText="180" w:rightFromText="180" w:vertAnchor="text" w:horzAnchor="margin" w:tblpXSpec="center" w:tblpY="254"/>
        <w:tblW w:w="9095" w:type="dxa"/>
        <w:tblInd w:w="0" w:type="dxa"/>
        <w:tblLayout w:type="fixed"/>
        <w:tblCellMar>
          <w:top w:w="0" w:type="dxa"/>
          <w:left w:w="108" w:type="dxa"/>
          <w:bottom w:w="0" w:type="dxa"/>
          <w:right w:w="108" w:type="dxa"/>
        </w:tblCellMar>
      </w:tblPr>
      <w:tblGrid>
        <w:gridCol w:w="4604"/>
        <w:gridCol w:w="4491"/>
      </w:tblGrid>
      <w:tr w14:paraId="5C8F4135">
        <w:tblPrEx>
          <w:tblCellMar>
            <w:top w:w="0" w:type="dxa"/>
            <w:left w:w="108" w:type="dxa"/>
            <w:bottom w:w="0" w:type="dxa"/>
            <w:right w:w="108" w:type="dxa"/>
          </w:tblCellMar>
        </w:tblPrEx>
        <w:trPr>
          <w:trHeight w:val="4385" w:hRule="atLeast"/>
        </w:trPr>
        <w:tc>
          <w:tcPr>
            <w:tcW w:w="4604" w:type="dxa"/>
          </w:tcPr>
          <w:p w14:paraId="1291B596">
            <w:pPr>
              <w:spacing w:after="78" w:line="360" w:lineRule="auto"/>
              <w:ind w:left="1440" w:hanging="1440" w:hangingChars="600"/>
              <w:rPr>
                <w:rFonts w:ascii="Times New Roman" w:hAnsi="Times New Roman" w:eastAsia="仿宋"/>
                <w:sz w:val="24"/>
              </w:rPr>
            </w:pPr>
            <w:r>
              <w:rPr>
                <w:rFonts w:hint="eastAsia" w:ascii="Times New Roman" w:hAnsi="Times New Roman" w:eastAsia="仿宋" w:cs="宋体"/>
                <w:sz w:val="24"/>
              </w:rPr>
              <w:t>甲方（盖章）：</w:t>
            </w:r>
          </w:p>
          <w:p w14:paraId="7AEFFA0E">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6358DEA0">
            <w:pPr>
              <w:spacing w:after="78" w:line="360" w:lineRule="auto"/>
              <w:rPr>
                <w:rFonts w:ascii="Times New Roman" w:hAnsi="Times New Roman" w:eastAsia="仿宋" w:cs="宋体"/>
                <w:sz w:val="24"/>
              </w:rPr>
            </w:pPr>
            <w:r>
              <w:rPr>
                <w:rFonts w:hint="eastAsia" w:ascii="Times New Roman" w:hAnsi="Times New Roman" w:eastAsia="仿宋" w:cs="宋体"/>
                <w:sz w:val="24"/>
              </w:rPr>
              <w:t>业务联系人：</w:t>
            </w:r>
          </w:p>
          <w:p w14:paraId="63617D8F">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2E1AC432">
            <w:pPr>
              <w:spacing w:after="78" w:line="360" w:lineRule="auto"/>
              <w:rPr>
                <w:rFonts w:ascii="Times New Roman" w:hAnsi="Times New Roman" w:eastAsia="仿宋" w:cs="仿宋"/>
                <w:sz w:val="24"/>
              </w:rPr>
            </w:pPr>
            <w:r>
              <w:rPr>
                <w:rFonts w:hint="eastAsia" w:ascii="Times New Roman" w:hAnsi="Times New Roman" w:eastAsia="仿宋" w:cs="宋体"/>
                <w:sz w:val="24"/>
              </w:rPr>
              <w:t>电话：</w:t>
            </w:r>
          </w:p>
          <w:p w14:paraId="53E5858F">
            <w:pPr>
              <w:spacing w:after="78" w:line="360" w:lineRule="auto"/>
              <w:rPr>
                <w:rFonts w:ascii="Times New Roman" w:hAnsi="Times New Roman" w:eastAsia="仿宋" w:cs="宋体"/>
                <w:sz w:val="24"/>
              </w:rPr>
            </w:pPr>
            <w:r>
              <w:rPr>
                <w:rFonts w:hint="eastAsia" w:ascii="Times New Roman" w:hAnsi="Times New Roman" w:eastAsia="仿宋" w:cs="宋体"/>
                <w:sz w:val="24"/>
              </w:rPr>
              <w:t xml:space="preserve">传真：       </w:t>
            </w:r>
            <w:r>
              <w:rPr>
                <w:rFonts w:ascii="Times New Roman" w:hAnsi="Times New Roman" w:eastAsia="仿宋" w:cs="宋体"/>
                <w:sz w:val="24"/>
              </w:rPr>
              <w:t>/</w:t>
            </w:r>
          </w:p>
          <w:p w14:paraId="27419F29">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    /</w:t>
            </w:r>
          </w:p>
          <w:p w14:paraId="1B83A411">
            <w:pPr>
              <w:spacing w:after="78" w:line="360" w:lineRule="auto"/>
              <w:rPr>
                <w:rFonts w:ascii="Times New Roman" w:hAnsi="Times New Roman" w:eastAsia="仿宋"/>
                <w:sz w:val="24"/>
              </w:rPr>
            </w:pPr>
            <w:r>
              <w:rPr>
                <w:rFonts w:hint="eastAsia" w:ascii="Times New Roman" w:hAnsi="Times New Roman" w:eastAsia="仿宋" w:cs="宋体"/>
                <w:sz w:val="24"/>
              </w:rPr>
              <w:t>账号：         /</w:t>
            </w:r>
          </w:p>
        </w:tc>
        <w:tc>
          <w:tcPr>
            <w:tcW w:w="4491" w:type="dxa"/>
          </w:tcPr>
          <w:p w14:paraId="2439CE2F">
            <w:pPr>
              <w:spacing w:after="78" w:line="360" w:lineRule="auto"/>
              <w:rPr>
                <w:rFonts w:ascii="Times New Roman" w:hAnsi="Times New Roman" w:eastAsia="仿宋" w:cs="宋体"/>
                <w:sz w:val="24"/>
              </w:rPr>
            </w:pPr>
            <w:r>
              <w:rPr>
                <w:rFonts w:hint="eastAsia" w:ascii="Times New Roman" w:hAnsi="Times New Roman" w:eastAsia="仿宋" w:cs="宋体"/>
                <w:sz w:val="24"/>
              </w:rPr>
              <w:t>乙方（盖章）：</w:t>
            </w:r>
          </w:p>
          <w:p w14:paraId="58A7A8C8">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3302D3FA">
            <w:pPr>
              <w:spacing w:after="78" w:line="360" w:lineRule="auto"/>
              <w:ind w:right="420"/>
              <w:rPr>
                <w:rFonts w:ascii="Times New Roman" w:hAnsi="Times New Roman" w:eastAsia="仿宋" w:cs="宋体"/>
                <w:sz w:val="24"/>
              </w:rPr>
            </w:pPr>
            <w:r>
              <w:rPr>
                <w:rFonts w:hint="eastAsia" w:ascii="Times New Roman" w:hAnsi="Times New Roman" w:eastAsia="仿宋" w:cs="宋体"/>
                <w:sz w:val="24"/>
              </w:rPr>
              <w:t>业务联系人:</w:t>
            </w:r>
          </w:p>
          <w:p w14:paraId="0E8AF710">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0434E11B">
            <w:pPr>
              <w:spacing w:after="78" w:line="360" w:lineRule="auto"/>
              <w:rPr>
                <w:rFonts w:ascii="Times New Roman" w:hAnsi="Times New Roman" w:eastAsia="仿宋" w:cs="宋体"/>
                <w:sz w:val="24"/>
              </w:rPr>
            </w:pPr>
            <w:r>
              <w:rPr>
                <w:rFonts w:hint="eastAsia" w:ascii="Times New Roman" w:hAnsi="Times New Roman" w:eastAsia="仿宋" w:cs="宋体"/>
                <w:sz w:val="24"/>
              </w:rPr>
              <w:t>电话：</w:t>
            </w:r>
          </w:p>
          <w:p w14:paraId="7BAC7670">
            <w:pPr>
              <w:spacing w:after="78" w:line="360" w:lineRule="auto"/>
              <w:rPr>
                <w:rFonts w:ascii="Times New Roman" w:hAnsi="Times New Roman" w:eastAsia="仿宋" w:cs="宋体"/>
                <w:sz w:val="24"/>
              </w:rPr>
            </w:pPr>
            <w:r>
              <w:rPr>
                <w:rFonts w:hint="eastAsia" w:ascii="Times New Roman" w:hAnsi="Times New Roman" w:eastAsia="仿宋" w:cs="宋体"/>
                <w:sz w:val="24"/>
              </w:rPr>
              <w:t>传真：</w:t>
            </w:r>
          </w:p>
          <w:p w14:paraId="22489848">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w:t>
            </w:r>
          </w:p>
          <w:p w14:paraId="5606C3B8">
            <w:pPr>
              <w:spacing w:after="78" w:line="360" w:lineRule="auto"/>
              <w:rPr>
                <w:rFonts w:ascii="Times New Roman" w:hAnsi="Times New Roman" w:eastAsia="仿宋"/>
                <w:sz w:val="24"/>
              </w:rPr>
            </w:pPr>
            <w:r>
              <w:rPr>
                <w:rFonts w:hint="eastAsia" w:ascii="Times New Roman" w:hAnsi="Times New Roman" w:eastAsia="仿宋" w:cs="宋体"/>
                <w:sz w:val="24"/>
              </w:rPr>
              <w:t>账号：</w:t>
            </w:r>
          </w:p>
        </w:tc>
      </w:tr>
    </w:tbl>
    <w:p w14:paraId="7EC58683">
      <w:pPr>
        <w:spacing w:after="78" w:line="320" w:lineRule="atLeast"/>
        <w:jc w:val="center"/>
        <w:rPr>
          <w:rFonts w:ascii="Times New Roman" w:hAnsi="Times New Roman" w:eastAsia="仿宋"/>
        </w:rPr>
      </w:pPr>
      <w:r>
        <w:rPr>
          <w:rFonts w:ascii="Times New Roman" w:hAnsi="Times New Roman" w:eastAsia="仿宋"/>
        </w:rPr>
        <w:br w:type="page"/>
      </w:r>
    </w:p>
    <w:p w14:paraId="7AC63DE2">
      <w:pPr>
        <w:pStyle w:val="4"/>
        <w:spacing w:after="78"/>
        <w:rPr>
          <w:rFonts w:ascii="Times New Roman" w:hAnsi="Times New Roman" w:eastAsia="仿宋" w:cs="仿宋"/>
          <w:sz w:val="24"/>
        </w:rPr>
      </w:pPr>
      <w:r>
        <w:rPr>
          <w:rFonts w:hint="eastAsia" w:ascii="Times New Roman" w:hAnsi="Times New Roman" w:eastAsia="仿宋" w:cs="仿宋"/>
          <w:sz w:val="24"/>
        </w:rPr>
        <w:t>附件一</w:t>
      </w:r>
      <w:r>
        <w:rPr>
          <w:rFonts w:hint="eastAsia"/>
        </w:rPr>
        <w:t xml:space="preserve"> 供应商廉洁协议书</w:t>
      </w:r>
    </w:p>
    <w:p w14:paraId="2240EF54">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02A3678">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5E7861F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4B53792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5C5AC180">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20BE3587">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3C183058">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07037192">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2A289A19">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72AC836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合同已发生金额的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5F3ADE56">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70707F40">
      <w:pPr>
        <w:spacing w:after="78" w:line="360" w:lineRule="auto"/>
        <w:ind w:left="561" w:leftChars="267" w:firstLine="480" w:firstLineChars="200"/>
        <w:rPr>
          <w:rFonts w:hint="eastAsia" w:ascii="宋体" w:hAnsi="宋体"/>
          <w:sz w:val="24"/>
        </w:rPr>
      </w:pPr>
    </w:p>
    <w:p w14:paraId="26CEBDAD">
      <w:pPr>
        <w:spacing w:after="78" w:line="360" w:lineRule="auto"/>
        <w:ind w:left="561" w:leftChars="267" w:firstLine="480" w:firstLineChars="200"/>
        <w:rPr>
          <w:rFonts w:hint="eastAsia" w:ascii="宋体" w:hAnsi="宋体"/>
          <w:sz w:val="24"/>
        </w:rPr>
      </w:pPr>
    </w:p>
    <w:p w14:paraId="644F6066">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54321EFE">
      <w:pPr>
        <w:adjustRightInd w:val="0"/>
        <w:snapToGrid w:val="0"/>
        <w:spacing w:after="78" w:line="360" w:lineRule="auto"/>
        <w:jc w:val="left"/>
        <w:rPr>
          <w:rFonts w:ascii="Times New Roman" w:hAnsi="Times New Roman" w:eastAsia="仿宋"/>
        </w:rPr>
      </w:pPr>
      <w:r>
        <w:rPr>
          <w:rFonts w:hint="eastAsia" w:ascii="宋体" w:hAnsi="宋体"/>
          <w:sz w:val="24"/>
        </w:rPr>
        <w:t>年</w:t>
      </w:r>
      <w:r>
        <w:rPr>
          <w:rFonts w:ascii="宋体" w:hAnsi="宋体"/>
          <w:sz w:val="24"/>
        </w:rPr>
        <w:t xml:space="preserve">  月   日                                年     月   日</w:t>
      </w:r>
      <w:r>
        <w:rPr>
          <w:rFonts w:ascii="Times New Roman" w:hAnsi="Times New Roman" w:eastAsia="仿宋"/>
        </w:rPr>
        <w:br w:type="page"/>
      </w:r>
    </w:p>
    <w:p w14:paraId="21DBCC5E">
      <w:pPr>
        <w:pStyle w:val="4"/>
        <w:spacing w:after="78"/>
        <w:rPr>
          <w:rFonts w:ascii="Times New Roman" w:hAnsi="Times New Roman" w:eastAsia="仿宋" w:cs="仿宋"/>
          <w:sz w:val="24"/>
        </w:rPr>
      </w:pPr>
      <w:r>
        <w:rPr>
          <w:rFonts w:hint="eastAsia" w:ascii="Times New Roman" w:hAnsi="Times New Roman" w:eastAsia="仿宋" w:cs="仿宋"/>
          <w:sz w:val="24"/>
        </w:rPr>
        <w:t>附件二</w:t>
      </w:r>
      <w:r>
        <w:rPr>
          <w:rFonts w:hint="eastAsia"/>
        </w:rPr>
        <w:t xml:space="preserve"> 工业废物（液）处理处置报价单</w:t>
      </w:r>
    </w:p>
    <w:p w14:paraId="083C00AD">
      <w:pPr>
        <w:spacing w:after="78" w:line="360" w:lineRule="auto"/>
        <w:ind w:right="420"/>
        <w:rPr>
          <w:rFonts w:ascii="Times New Roman" w:hAnsi="Times New Roman" w:eastAsia="仿宋"/>
          <w:bCs/>
          <w:szCs w:val="21"/>
        </w:rPr>
      </w:pPr>
    </w:p>
    <w:p w14:paraId="00F2AE1D">
      <w:pPr>
        <w:spacing w:after="78" w:line="528" w:lineRule="atLeast"/>
        <w:jc w:val="center"/>
        <w:rPr>
          <w:rFonts w:ascii="Times New Roman" w:hAnsi="Times New Roman" w:eastAsia="仿宋"/>
          <w:sz w:val="30"/>
          <w:szCs w:val="30"/>
        </w:rPr>
      </w:pPr>
      <w:r>
        <w:rPr>
          <w:rFonts w:ascii="Times New Roman" w:hAnsi="Times New Roman" w:eastAsia="仿宋"/>
          <w:b/>
          <w:bCs/>
          <w:sz w:val="30"/>
          <w:szCs w:val="30"/>
        </w:rPr>
        <w:t>工业废物（液）处理处置报价单</w:t>
      </w:r>
    </w:p>
    <w:p w14:paraId="790E4A06">
      <w:pPr>
        <w:spacing w:after="78" w:line="528" w:lineRule="atLeast"/>
        <w:rPr>
          <w:rFonts w:ascii="Times New Roman" w:hAnsi="Times New Roman" w:eastAsia="仿宋"/>
          <w:sz w:val="22"/>
          <w:szCs w:val="22"/>
        </w:rPr>
      </w:pPr>
      <w:r>
        <w:rPr>
          <w:rFonts w:ascii="Times New Roman" w:hAnsi="Times New Roman" w:eastAsia="仿宋"/>
          <w:sz w:val="22"/>
          <w:szCs w:val="22"/>
        </w:rPr>
        <w:t>根据甲方提供的工业废物（液）种类，经综合考虑处理工艺技术成本，现乙方报价如下：</w:t>
      </w:r>
    </w:p>
    <w:tbl>
      <w:tblPr>
        <w:tblStyle w:val="22"/>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646"/>
        <w:gridCol w:w="1020"/>
        <w:gridCol w:w="1080"/>
        <w:gridCol w:w="705"/>
        <w:gridCol w:w="1463"/>
        <w:gridCol w:w="982"/>
        <w:gridCol w:w="982"/>
        <w:gridCol w:w="982"/>
        <w:gridCol w:w="982"/>
        <w:gridCol w:w="982"/>
        <w:gridCol w:w="982"/>
      </w:tblGrid>
      <w:tr w14:paraId="33388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43AD0ED">
            <w:pPr>
              <w:spacing w:after="78"/>
              <w:jc w:val="center"/>
              <w:rPr>
                <w:rFonts w:ascii="Times New Roman" w:hAnsi="Times New Roman" w:eastAsia="仿宋"/>
                <w:sz w:val="20"/>
                <w:szCs w:val="20"/>
              </w:rPr>
            </w:pPr>
            <w:r>
              <w:rPr>
                <w:rFonts w:ascii="Times New Roman" w:hAnsi="Times New Roman" w:eastAsia="仿宋"/>
                <w:b/>
                <w:bCs/>
                <w:sz w:val="20"/>
                <w:szCs w:val="20"/>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6DE625">
            <w:pPr>
              <w:spacing w:after="78"/>
              <w:jc w:val="center"/>
              <w:rPr>
                <w:rFonts w:ascii="Times New Roman" w:hAnsi="Times New Roman" w:eastAsia="仿宋"/>
                <w:sz w:val="20"/>
                <w:szCs w:val="20"/>
              </w:rPr>
            </w:pPr>
            <w:r>
              <w:rPr>
                <w:rFonts w:ascii="Times New Roman" w:hAnsi="Times New Roman" w:eastAsia="仿宋"/>
                <w:b/>
                <w:bCs/>
                <w:sz w:val="20"/>
                <w:szCs w:val="20"/>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622EF4F">
            <w:pPr>
              <w:spacing w:after="78"/>
              <w:jc w:val="center"/>
              <w:rPr>
                <w:rFonts w:ascii="Times New Roman" w:hAnsi="Times New Roman" w:eastAsia="仿宋"/>
                <w:sz w:val="20"/>
                <w:szCs w:val="20"/>
              </w:rPr>
            </w:pPr>
            <w:r>
              <w:rPr>
                <w:rFonts w:ascii="Times New Roman" w:hAnsi="Times New Roman" w:eastAsia="仿宋"/>
                <w:b/>
                <w:bCs/>
                <w:sz w:val="20"/>
                <w:szCs w:val="20"/>
              </w:rPr>
              <w:t>废物编号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54389AF">
            <w:pPr>
              <w:spacing w:after="78"/>
              <w:jc w:val="center"/>
              <w:rPr>
                <w:rFonts w:ascii="Times New Roman" w:hAnsi="Times New Roman" w:eastAsia="仿宋"/>
                <w:sz w:val="20"/>
                <w:szCs w:val="20"/>
              </w:rPr>
            </w:pPr>
            <w:r>
              <w:rPr>
                <w:rFonts w:ascii="Times New Roman" w:hAnsi="Times New Roman" w:eastAsia="仿宋"/>
                <w:b/>
                <w:bCs/>
                <w:sz w:val="20"/>
                <w:szCs w:val="20"/>
              </w:rPr>
              <w:t>规格</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B05CC33">
            <w:pPr>
              <w:spacing w:after="78"/>
              <w:jc w:val="center"/>
              <w:rPr>
                <w:rFonts w:ascii="Times New Roman" w:hAnsi="Times New Roman" w:eastAsia="仿宋"/>
                <w:sz w:val="20"/>
                <w:szCs w:val="20"/>
              </w:rPr>
            </w:pPr>
            <w:r>
              <w:rPr>
                <w:rFonts w:ascii="Times New Roman" w:hAnsi="Times New Roman" w:eastAsia="仿宋"/>
                <w:b/>
                <w:bCs/>
                <w:sz w:val="20"/>
                <w:szCs w:val="20"/>
              </w:rPr>
              <w:t>年预计量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877A143">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0724DEC">
            <w:pPr>
              <w:spacing w:after="78"/>
              <w:jc w:val="center"/>
              <w:rPr>
                <w:rFonts w:ascii="Times New Roman" w:hAnsi="Times New Roman" w:eastAsia="仿宋"/>
                <w:sz w:val="20"/>
                <w:szCs w:val="20"/>
              </w:rPr>
            </w:pPr>
            <w:r>
              <w:rPr>
                <w:rFonts w:ascii="Times New Roman" w:hAnsi="Times New Roman" w:eastAsia="仿宋"/>
                <w:b/>
                <w:bCs/>
                <w:sz w:val="20"/>
                <w:szCs w:val="20"/>
              </w:rPr>
              <w:t>包装方式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C24349F">
            <w:pPr>
              <w:spacing w:after="78"/>
              <w:jc w:val="center"/>
              <w:rPr>
                <w:rFonts w:ascii="Times New Roman" w:hAnsi="Times New Roman" w:eastAsia="仿宋"/>
                <w:sz w:val="20"/>
                <w:szCs w:val="20"/>
              </w:rPr>
            </w:pPr>
            <w:r>
              <w:rPr>
                <w:rFonts w:ascii="Times New Roman" w:hAnsi="Times New Roman" w:eastAsia="仿宋"/>
                <w:b/>
                <w:bCs/>
                <w:sz w:val="20"/>
                <w:szCs w:val="20"/>
              </w:rPr>
              <w:t>处理方式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4038217">
            <w:pPr>
              <w:spacing w:after="78"/>
              <w:jc w:val="center"/>
              <w:rPr>
                <w:rFonts w:ascii="Times New Roman" w:hAnsi="Times New Roman" w:eastAsia="仿宋"/>
                <w:sz w:val="20"/>
                <w:szCs w:val="20"/>
              </w:rPr>
            </w:pPr>
            <w:r>
              <w:rPr>
                <w:rFonts w:ascii="Times New Roman" w:hAnsi="Times New Roman" w:eastAsia="仿宋"/>
                <w:b/>
                <w:bCs/>
                <w:sz w:val="20"/>
                <w:szCs w:val="20"/>
              </w:rPr>
              <w:t>单价</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A28D64">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816F16C">
            <w:pPr>
              <w:spacing w:after="78"/>
              <w:jc w:val="center"/>
              <w:rPr>
                <w:rFonts w:ascii="Times New Roman" w:hAnsi="Times New Roman" w:eastAsia="仿宋"/>
                <w:sz w:val="20"/>
                <w:szCs w:val="20"/>
              </w:rPr>
            </w:pPr>
            <w:r>
              <w:rPr>
                <w:rFonts w:ascii="Times New Roman" w:hAnsi="Times New Roman" w:eastAsia="仿宋"/>
                <w:b/>
                <w:bCs/>
                <w:sz w:val="20"/>
                <w:szCs w:val="20"/>
              </w:rPr>
              <w:t>付款方</w:t>
            </w:r>
          </w:p>
        </w:tc>
      </w:tr>
      <w:tr w14:paraId="2992B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10806" w:type="dxa"/>
            <w:gridSpan w:val="11"/>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B04FE0B">
            <w:pPr>
              <w:spacing w:after="78"/>
              <w:jc w:val="center"/>
              <w:rPr>
                <w:rFonts w:ascii="Times New Roman" w:hAnsi="Times New Roman" w:eastAsia="仿宋"/>
                <w:sz w:val="20"/>
                <w:szCs w:val="20"/>
              </w:rPr>
            </w:pPr>
          </w:p>
        </w:tc>
      </w:tr>
      <w:tr w14:paraId="247CA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B4004F">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7CD1F4">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88F7633">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2B66667">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A83827D">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231E60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52749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95044E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76F9C7F">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FD37A6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0C433F">
            <w:pPr>
              <w:spacing w:after="78"/>
              <w:jc w:val="center"/>
              <w:rPr>
                <w:rFonts w:ascii="Times New Roman" w:hAnsi="Times New Roman" w:eastAsia="仿宋"/>
                <w:sz w:val="20"/>
                <w:szCs w:val="20"/>
              </w:rPr>
            </w:pPr>
          </w:p>
        </w:tc>
      </w:tr>
      <w:tr w14:paraId="30556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C7A8C8F">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46F3A7D">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A23C6DF">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9911D58">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F1FABF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15B56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4DD9FD0">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48D59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636D25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02FBD81">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285C14D">
            <w:pPr>
              <w:spacing w:after="78"/>
              <w:jc w:val="center"/>
              <w:rPr>
                <w:rFonts w:ascii="Times New Roman" w:hAnsi="Times New Roman" w:eastAsia="仿宋"/>
                <w:sz w:val="20"/>
                <w:szCs w:val="20"/>
              </w:rPr>
            </w:pPr>
          </w:p>
        </w:tc>
      </w:tr>
      <w:tr w14:paraId="49020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8391FE4">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289657E">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C074953">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E94B19F">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96EEAA3">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F2C732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74AE727">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F929549">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57614B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E05B2C7">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BA877A0">
            <w:pPr>
              <w:spacing w:after="78"/>
              <w:jc w:val="center"/>
              <w:rPr>
                <w:rFonts w:ascii="Times New Roman" w:hAnsi="Times New Roman" w:eastAsia="仿宋"/>
                <w:sz w:val="20"/>
                <w:szCs w:val="20"/>
              </w:rPr>
            </w:pPr>
          </w:p>
        </w:tc>
      </w:tr>
    </w:tbl>
    <w:p w14:paraId="6EEDEC6F">
      <w:pPr>
        <w:spacing w:after="78"/>
        <w:rPr>
          <w:rFonts w:ascii="Times New Roman" w:hAnsi="Times New Roman" w:eastAsia="仿宋"/>
        </w:rPr>
      </w:pPr>
    </w:p>
    <w:p w14:paraId="389458AF">
      <w:pPr>
        <w:spacing w:after="78"/>
        <w:rPr>
          <w:rFonts w:ascii="Times New Roman" w:hAnsi="Times New Roman" w:eastAsia="仿宋"/>
        </w:rPr>
      </w:pPr>
    </w:p>
    <w:p w14:paraId="2E1AFCE1">
      <w:pPr>
        <w:spacing w:after="78"/>
        <w:rPr>
          <w:rFonts w:ascii="Times New Roman" w:hAnsi="Times New Roman" w:eastAsia="仿宋"/>
        </w:rPr>
      </w:pPr>
    </w:p>
    <w:tbl>
      <w:tblPr>
        <w:tblStyle w:val="22"/>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0" w:type="dxa"/>
          <w:bottom w:w="0" w:type="dxa"/>
          <w:right w:w="100" w:type="dxa"/>
        </w:tblCellMar>
      </w:tblPr>
      <w:tblGrid>
        <w:gridCol w:w="10806"/>
      </w:tblGrid>
      <w:tr w14:paraId="4345B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0" w:type="dxa"/>
            <w:bottom w:w="0" w:type="dxa"/>
            <w:right w:w="100" w:type="dxa"/>
          </w:tblCellMar>
        </w:tblPrEx>
        <w:trPr>
          <w:jc w:val="center"/>
        </w:trPr>
        <w:tc>
          <w:tcPr>
            <w:tcW w:w="10806" w:type="dxa"/>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tcPr>
          <w:p w14:paraId="5C640C44">
            <w:pPr>
              <w:spacing w:after="78" w:line="528" w:lineRule="atLeast"/>
              <w:rPr>
                <w:rFonts w:ascii="Times New Roman" w:hAnsi="Times New Roman" w:eastAsia="仿宋"/>
                <w:sz w:val="22"/>
                <w:szCs w:val="22"/>
              </w:rPr>
            </w:pPr>
            <w:r>
              <w:rPr>
                <w:rFonts w:ascii="Times New Roman" w:hAnsi="Times New Roman" w:eastAsia="仿宋"/>
                <w:sz w:val="22"/>
                <w:szCs w:val="22"/>
              </w:rPr>
              <w:t>1、结算方式</w:t>
            </w:r>
          </w:p>
          <w:p w14:paraId="05378651">
            <w:pPr>
              <w:spacing w:after="78" w:line="528" w:lineRule="atLeast"/>
              <w:rPr>
                <w:rFonts w:ascii="Times New Roman" w:hAnsi="Times New Roman" w:eastAsia="仿宋"/>
                <w:sz w:val="22"/>
                <w:szCs w:val="22"/>
              </w:rPr>
            </w:pPr>
            <w:r>
              <w:rPr>
                <w:rFonts w:ascii="Times New Roman" w:hAnsi="Times New Roman" w:eastAsia="仿宋"/>
                <w:sz w:val="22"/>
                <w:szCs w:val="22"/>
              </w:rPr>
              <w:t>a、</w:t>
            </w:r>
            <w:r>
              <w:rPr>
                <w:rFonts w:hint="eastAsia" w:ascii="Times New Roman" w:hAnsi="Times New Roman" w:eastAsia="仿宋"/>
                <w:sz w:val="22"/>
                <w:szCs w:val="22"/>
              </w:rPr>
              <w:t>据实支付，根据上表所列单价，每次危险废物(液)运输后凭转移联单具体数量进行结算费用。每次付款前，乙方向甲方开具6%增值税专用发票，双方确认前述服务费系根据合同签订时的情况及单价确定。</w:t>
            </w:r>
          </w:p>
          <w:p w14:paraId="3E287D56">
            <w:pPr>
              <w:spacing w:after="78" w:line="528" w:lineRule="atLeast"/>
              <w:rPr>
                <w:rFonts w:ascii="Times New Roman" w:hAnsi="Times New Roman" w:eastAsia="仿宋"/>
                <w:sz w:val="22"/>
                <w:szCs w:val="22"/>
              </w:rPr>
            </w:pPr>
            <w:r>
              <w:rPr>
                <w:rFonts w:ascii="Times New Roman" w:hAnsi="Times New Roman" w:eastAsia="仿宋"/>
                <w:sz w:val="22"/>
                <w:szCs w:val="22"/>
              </w:rPr>
              <w:t>b、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w:t>
            </w:r>
            <w:r>
              <w:rPr>
                <w:rFonts w:hint="eastAsia" w:ascii="Times New Roman" w:hAnsi="Times New Roman" w:eastAsia="仿宋"/>
                <w:sz w:val="22"/>
                <w:szCs w:val="22"/>
              </w:rPr>
              <w:t>个工作</w:t>
            </w:r>
            <w:r>
              <w:rPr>
                <w:rFonts w:ascii="Times New Roman" w:hAnsi="Times New Roman" w:eastAsia="仿宋"/>
                <w:sz w:val="22"/>
                <w:szCs w:val="22"/>
              </w:rPr>
              <w:t>日内向乙方支付超出部分的处置费用。以上价格为含税价，乙方应依法向甲方开具增值税专用发票。</w:t>
            </w:r>
          </w:p>
          <w:p w14:paraId="325D10A7">
            <w:pPr>
              <w:spacing w:after="78" w:line="528" w:lineRule="atLeast"/>
              <w:rPr>
                <w:rFonts w:ascii="Times New Roman" w:hAnsi="Times New Roman" w:eastAsia="仿宋"/>
                <w:sz w:val="22"/>
                <w:szCs w:val="22"/>
              </w:rPr>
            </w:pPr>
            <w:r>
              <w:rPr>
                <w:rFonts w:ascii="Times New Roman" w:hAnsi="Times New Roman" w:eastAsia="仿宋"/>
                <w:sz w:val="22"/>
                <w:szCs w:val="22"/>
              </w:rPr>
              <w:t>c、本合同的工业服务费包含但不限于合同中各项工业废物（液）取样检测分析、工业废物（液）分类标签标示服务咨询、工业废物（液）处置方案提供等工业服务费。</w:t>
            </w:r>
          </w:p>
          <w:p w14:paraId="3754AA4A">
            <w:pPr>
              <w:spacing w:after="78" w:line="528" w:lineRule="atLeast"/>
              <w:rPr>
                <w:rFonts w:ascii="Times New Roman" w:hAnsi="Times New Roman" w:eastAsia="仿宋"/>
                <w:sz w:val="22"/>
                <w:szCs w:val="22"/>
              </w:rPr>
            </w:pPr>
            <w:r>
              <w:rPr>
                <w:rFonts w:ascii="Times New Roman" w:hAnsi="Times New Roman" w:eastAsia="仿宋"/>
                <w:sz w:val="22"/>
                <w:szCs w:val="22"/>
              </w:rPr>
              <w:t>2、运输条款</w:t>
            </w:r>
          </w:p>
          <w:p w14:paraId="47CCC805">
            <w:pPr>
              <w:spacing w:after="78" w:line="528" w:lineRule="atLeast"/>
              <w:rPr>
                <w:rFonts w:ascii="Times New Roman" w:hAnsi="Times New Roman" w:eastAsia="仿宋"/>
                <w:sz w:val="22"/>
                <w:szCs w:val="22"/>
              </w:rPr>
            </w:pPr>
            <w:r>
              <w:rPr>
                <w:rFonts w:hint="eastAsia" w:ascii="Times New Roman" w:hAnsi="Times New Roman" w:eastAsia="仿宋"/>
                <w:sz w:val="22"/>
                <w:szCs w:val="22"/>
              </w:rPr>
              <w:t>合同有效期内，乙方免费提供1次订单的工业废物（液）收运服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r>
              <w:rPr>
                <w:rFonts w:ascii="Times New Roman" w:hAnsi="Times New Roman" w:eastAsia="仿宋"/>
                <w:sz w:val="22"/>
                <w:szCs w:val="22"/>
              </w:rPr>
              <w:t>。</w:t>
            </w:r>
          </w:p>
          <w:p w14:paraId="16223D50">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3</w:t>
            </w:r>
            <w:r>
              <w:rPr>
                <w:rFonts w:ascii="Times New Roman" w:hAnsi="Times New Roman" w:eastAsia="仿宋"/>
                <w:sz w:val="22"/>
                <w:szCs w:val="22"/>
              </w:rPr>
              <w:t>、甲方将各类待处理工业废物（液）分开存放，如有桶装废液请贴上标签做好标识，并按照《废物（液）处理处置及工业服务合同》约定做好分类及标志等。</w:t>
            </w:r>
          </w:p>
          <w:p w14:paraId="3A96E334">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4</w:t>
            </w:r>
            <w:r>
              <w:rPr>
                <w:rFonts w:ascii="Times New Roman" w:hAnsi="Times New Roman" w:eastAsia="仿宋"/>
                <w:sz w:val="22"/>
                <w:szCs w:val="22"/>
              </w:rPr>
              <w:t>、本报价单包含甲、乙双方商业机密，仅限于内部存档，切勿对外提供或披露。</w:t>
            </w:r>
          </w:p>
          <w:p w14:paraId="4997241F">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5</w:t>
            </w:r>
            <w:r>
              <w:rPr>
                <w:rFonts w:ascii="Times New Roman" w:hAnsi="Times New Roman" w:eastAsia="仿宋"/>
                <w:sz w:val="22"/>
                <w:szCs w:val="22"/>
              </w:rPr>
              <w:t xml:space="preserve">、本报价单为甲、乙双方于 </w:t>
            </w:r>
            <w:r>
              <w:rPr>
                <w:rFonts w:hint="eastAsia" w:ascii="Times New Roman" w:hAnsi="Times New Roman" w:eastAsia="仿宋"/>
                <w:sz w:val="22"/>
                <w:szCs w:val="22"/>
              </w:rPr>
              <w:t xml:space="preserve">    </w:t>
            </w:r>
            <w:r>
              <w:rPr>
                <w:rFonts w:ascii="Times New Roman" w:hAnsi="Times New Roman" w:eastAsia="仿宋"/>
                <w:sz w:val="22"/>
                <w:szCs w:val="22"/>
              </w:rPr>
              <w:t xml:space="preserve">年 </w:t>
            </w:r>
            <w:r>
              <w:rPr>
                <w:rFonts w:hint="eastAsia" w:ascii="Times New Roman" w:hAnsi="Times New Roman" w:eastAsia="仿宋"/>
                <w:sz w:val="22"/>
                <w:szCs w:val="22"/>
              </w:rPr>
              <w:t xml:space="preserve">   </w:t>
            </w:r>
            <w:r>
              <w:rPr>
                <w:rFonts w:ascii="Times New Roman" w:hAnsi="Times New Roman" w:eastAsia="仿宋"/>
                <w:sz w:val="22"/>
                <w:szCs w:val="22"/>
              </w:rPr>
              <w:t xml:space="preserve">月 </w:t>
            </w:r>
            <w:r>
              <w:rPr>
                <w:rFonts w:hint="eastAsia" w:ascii="Times New Roman" w:hAnsi="Times New Roman" w:eastAsia="仿宋"/>
                <w:sz w:val="22"/>
                <w:szCs w:val="22"/>
              </w:rPr>
              <w:t xml:space="preserve">    </w:t>
            </w:r>
            <w:r>
              <w:rPr>
                <w:rFonts w:ascii="Times New Roman" w:hAnsi="Times New Roman" w:eastAsia="仿宋"/>
                <w:sz w:val="22"/>
                <w:szCs w:val="22"/>
              </w:rPr>
              <w:t>日签署的《废物（液）处理处置及工业服务合同》（合同编号：</w:t>
            </w:r>
            <w:r>
              <w:rPr>
                <w:rFonts w:hint="eastAsia" w:ascii="Times New Roman" w:hAnsi="Times New Roman" w:eastAsia="仿宋"/>
                <w:sz w:val="22"/>
                <w:szCs w:val="22"/>
              </w:rPr>
              <w:t xml:space="preserve">                </w:t>
            </w:r>
            <w:r>
              <w:rPr>
                <w:rFonts w:ascii="Times New Roman" w:hAnsi="Times New Roman" w:eastAsia="仿宋"/>
                <w:sz w:val="22"/>
                <w:szCs w:val="22"/>
              </w:rPr>
              <w:t>）的附件。本报价单与《废物（液）处理处置及工业服务合同》</w:t>
            </w:r>
            <w:r>
              <w:rPr>
                <w:rFonts w:hint="eastAsia" w:ascii="Times New Roman" w:hAnsi="Times New Roman" w:eastAsia="仿宋"/>
                <w:sz w:val="22"/>
                <w:szCs w:val="22"/>
              </w:rPr>
              <w:t>约定不一致的，以利于甲方的约定为准</w:t>
            </w:r>
            <w:r>
              <w:rPr>
                <w:rFonts w:ascii="Times New Roman" w:hAnsi="Times New Roman" w:eastAsia="仿宋"/>
                <w:sz w:val="22"/>
                <w:szCs w:val="22"/>
              </w:rPr>
              <w:t>。本报价单未涉及事宜，遵照双方签署的《废物（液）处理处置及工业服务合同》执行。</w:t>
            </w:r>
          </w:p>
          <w:p w14:paraId="4651981F">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6</w:t>
            </w:r>
            <w:r>
              <w:rPr>
                <w:rFonts w:ascii="Times New Roman" w:hAnsi="Times New Roman" w:eastAsia="仿宋"/>
                <w:sz w:val="22"/>
                <w:szCs w:val="22"/>
              </w:rPr>
              <w:t>、上述甲方为:</w:t>
            </w:r>
            <w:r>
              <w:rPr>
                <w:rFonts w:hint="eastAsia" w:ascii="Times New Roman" w:hAnsi="Times New Roman" w:eastAsia="仿宋"/>
                <w:sz w:val="22"/>
                <w:szCs w:val="22"/>
              </w:rPr>
              <w:t xml:space="preserve">                             </w:t>
            </w:r>
            <w:r>
              <w:rPr>
                <w:rFonts w:ascii="Times New Roman" w:hAnsi="Times New Roman" w:eastAsia="仿宋"/>
                <w:sz w:val="22"/>
                <w:szCs w:val="22"/>
              </w:rPr>
              <w:t>，乙方为:</w:t>
            </w:r>
            <w:r>
              <w:rPr>
                <w:rFonts w:hint="eastAsia" w:ascii="Times New Roman" w:hAnsi="Times New Roman" w:eastAsia="仿宋"/>
                <w:sz w:val="22"/>
                <w:szCs w:val="22"/>
              </w:rPr>
              <w:t xml:space="preserve">                        </w:t>
            </w:r>
            <w:r>
              <w:rPr>
                <w:rFonts w:ascii="Times New Roman" w:hAnsi="Times New Roman" w:eastAsia="仿宋"/>
                <w:sz w:val="22"/>
                <w:szCs w:val="22"/>
              </w:rPr>
              <w:t>。</w:t>
            </w:r>
          </w:p>
        </w:tc>
      </w:tr>
    </w:tbl>
    <w:p w14:paraId="644EF4F6">
      <w:pPr>
        <w:spacing w:after="78"/>
        <w:rPr>
          <w:rFonts w:ascii="Times New Roman" w:hAnsi="Times New Roman" w:eastAsia="仿宋"/>
          <w:sz w:val="22"/>
          <w:szCs w:val="22"/>
        </w:rPr>
      </w:pPr>
    </w:p>
    <w:p w14:paraId="441868B2">
      <w:pPr>
        <w:spacing w:after="78" w:line="360" w:lineRule="auto"/>
        <w:ind w:right="420"/>
        <w:jc w:val="center"/>
        <w:rPr>
          <w:rFonts w:ascii="Times New Roman" w:hAnsi="Times New Roman" w:eastAsia="仿宋"/>
          <w:szCs w:val="21"/>
        </w:rPr>
      </w:pPr>
    </w:p>
    <w:p w14:paraId="77753AA5">
      <w:pPr>
        <w:spacing w:after="78" w:line="360" w:lineRule="auto"/>
        <w:ind w:right="420"/>
        <w:jc w:val="center"/>
        <w:rPr>
          <w:rFonts w:ascii="Times New Roman" w:hAnsi="Times New Roman" w:eastAsia="仿宋"/>
          <w:szCs w:val="21"/>
        </w:rPr>
      </w:pPr>
    </w:p>
    <w:p w14:paraId="6757BECE">
      <w:pPr>
        <w:pStyle w:val="4"/>
        <w:spacing w:after="78"/>
        <w:rPr>
          <w:rFonts w:ascii="Times New Roman" w:hAnsi="Times New Roman" w:eastAsia="仿宋" w:cs="仿宋"/>
          <w:sz w:val="24"/>
          <w:szCs w:val="28"/>
        </w:rPr>
      </w:pPr>
      <w:r>
        <w:rPr>
          <w:rFonts w:hint="eastAsia" w:ascii="Times New Roman" w:hAnsi="Times New Roman" w:eastAsia="仿宋"/>
          <w:szCs w:val="21"/>
        </w:rPr>
        <w:br w:type="page"/>
      </w:r>
      <w:r>
        <w:rPr>
          <w:rFonts w:hint="eastAsia" w:ascii="Times New Roman" w:hAnsi="Times New Roman" w:eastAsia="仿宋" w:cs="仿宋"/>
          <w:sz w:val="24"/>
          <w:szCs w:val="28"/>
        </w:rPr>
        <w:t>附件</w:t>
      </w:r>
      <w:r>
        <w:rPr>
          <w:rFonts w:hint="eastAsia" w:ascii="Times New Roman" w:hAnsi="Times New Roman" w:eastAsia="仿宋" w:cs="仿宋"/>
          <w:sz w:val="24"/>
        </w:rPr>
        <w:t xml:space="preserve">三 </w:t>
      </w:r>
      <w:r>
        <w:rPr>
          <w:rFonts w:hint="eastAsia" w:ascii="宋体" w:hAnsi="宋体" w:cs="宋体"/>
          <w:sz w:val="28"/>
          <w:szCs w:val="28"/>
        </w:rPr>
        <w:t>安全生产协议书</w:t>
      </w:r>
    </w:p>
    <w:p w14:paraId="2C3FD036">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27236642">
      <w:pPr>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Hans"/>
        </w:rPr>
        <w:t>甲方：</w:t>
      </w:r>
      <w:r>
        <w:rPr>
          <w:rFonts w:hint="eastAsia" w:ascii="宋体" w:hAnsi="宋体" w:cs="宋体"/>
          <w:kern w:val="0"/>
          <w:sz w:val="24"/>
        </w:rPr>
        <w:t xml:space="preserve">                          </w:t>
      </w:r>
    </w:p>
    <w:p w14:paraId="1416C620">
      <w:pPr>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Hans"/>
        </w:rPr>
        <w:t>乙方：</w:t>
      </w:r>
      <w:r>
        <w:rPr>
          <w:rFonts w:hint="eastAsia" w:ascii="宋体" w:hAnsi="宋体" w:cs="宋体"/>
          <w:kern w:val="0"/>
          <w:sz w:val="24"/>
        </w:rPr>
        <w:t xml:space="preserve">                          </w:t>
      </w:r>
    </w:p>
    <w:p w14:paraId="48BB6C6D">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u w:val="single"/>
          <w:lang w:eastAsia="zh-Hans"/>
        </w:rPr>
        <w:t>《</w:t>
      </w:r>
      <w:r>
        <w:rPr>
          <w:rFonts w:hint="eastAsia" w:ascii="宋体" w:hAnsi="宋体" w:cs="宋体"/>
          <w:kern w:val="0"/>
          <w:sz w:val="24"/>
          <w:u w:val="single"/>
        </w:rPr>
        <w:t xml:space="preserve">              </w:t>
      </w:r>
      <w:r>
        <w:rPr>
          <w:rFonts w:hint="eastAsia" w:ascii="宋体" w:hAnsi="宋体" w:cs="宋体"/>
          <w:kern w:val="0"/>
          <w:sz w:val="24"/>
          <w:u w:val="single"/>
          <w:lang w:eastAsia="zh-Hans"/>
        </w:rPr>
        <w:t>》</w:t>
      </w:r>
      <w:r>
        <w:rPr>
          <w:rFonts w:hint="eastAsia" w:ascii="宋体" w:hAnsi="宋体" w:cs="宋体"/>
          <w:kern w:val="0"/>
          <w:sz w:val="24"/>
          <w:lang w:eastAsia="zh-Hans"/>
        </w:rPr>
        <w:t>（以下称主合同）的同时，签订本协议，并自觉遵守。</w:t>
      </w:r>
    </w:p>
    <w:p w14:paraId="593B714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一、双方应当遵循的基本原则</w:t>
      </w:r>
    </w:p>
    <w:p w14:paraId="5875AF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1.1双方安全生产监督管理人员应当坚持原则 ，忠于职守，严格按本协议的约定履行各自的权利、义务。</w:t>
      </w:r>
    </w:p>
    <w:p w14:paraId="35D1DB4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1.2双方应相互配合，支持安检工作的检查和落实。乙方不得拒绝、阻扰甲方安全监督检查工作。</w:t>
      </w:r>
    </w:p>
    <w:p w14:paraId="4ED6449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1.3乙方应牢固树立“安全第一”的指导思想，建立健全各项安全管理规章指导，制订并落实各项安全防护措施。</w:t>
      </w:r>
    </w:p>
    <w:p w14:paraId="0D12B3E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1.4双方必须严守商业秘密。</w:t>
      </w:r>
    </w:p>
    <w:p w14:paraId="218D0E6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二、甲方的权利、义务</w:t>
      </w:r>
    </w:p>
    <w:p w14:paraId="3B6E123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2.1进入现场工作之前，甲方将相关安全管理规章制度告知乙方。</w:t>
      </w:r>
    </w:p>
    <w:p w14:paraId="08BE3D9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2.2甲方安全监督管理部门对乙方进行安全检查时，有权向乙方询问有关安全措施落实情况，调阅有关安全措施资料等。</w:t>
      </w:r>
    </w:p>
    <w:p w14:paraId="054DDA1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2.3甲方对乙方工作中存在的重大安全隐患，有权责令乙方立即整改、排除。否则有权单方终止与乙方之间的主合同的履行。</w:t>
      </w:r>
    </w:p>
    <w:p w14:paraId="16B49773">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2.4甲方对乙方在本项目发生安全事故时，应尽量协助救护、保护事故现场、及时上报，并有权开展或参加对事故的调查处理。</w:t>
      </w:r>
    </w:p>
    <w:p w14:paraId="2922CA41">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2.5甲方指定部门为项目的现场安全监督管理负责人，代表甲方实施日常监督管理，并协助甲方安全管理部门的监督、考核工作。</w:t>
      </w:r>
    </w:p>
    <w:p w14:paraId="36B5F14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2.6甲方有权对乙方人员进行安全生产培训，乙方应当按照甲方要求组织所有相关工作人员参与。</w:t>
      </w:r>
    </w:p>
    <w:p w14:paraId="7CF656E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三、乙方的权利、义务</w:t>
      </w:r>
    </w:p>
    <w:p w14:paraId="1170F6D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3.1乙方严禁违背采购文件及合同要求将主合同项下的全部或部分工作转包或者违法分包。否则所发生安全事故，由乙方承担全部安全生产责任。</w:t>
      </w:r>
    </w:p>
    <w:p w14:paraId="35BB94C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3.2乙方人员应当遵守甲方规章制度，接受甲方安全检查、监督，对违反甲方有关安全管理制度及规定的行为，甲方有权责令乙方立即停止并给予处罚。</w:t>
      </w:r>
    </w:p>
    <w:p w14:paraId="7846EF2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3.3乙方应具有安全管理组织体制（对特种作业的项目乙方必须出具有效的资质证书），在甲方现场作业期间，乙方应指派专(兼)职安全人员，全面负责项目的安全、现场、消防等工作。</w:t>
      </w:r>
    </w:p>
    <w:p w14:paraId="545298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7FB4D3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72EAF2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3503184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52C842B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7B3A91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3.9乙方人员在作业现场不得擅自动用或操作甲方的设备和机具，否则按本协议约定视为违约，承担违约金，因此酿成的后果由乙方负责。</w:t>
      </w:r>
    </w:p>
    <w:p w14:paraId="726BA07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5F6DFE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3.11乙方在作业期间自备的设备必须符合安全要求。</w:t>
      </w:r>
    </w:p>
    <w:p w14:paraId="0AF8541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73BEF8E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005EB99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3.14配合做好甲方要求的其他安全生产措施。</w:t>
      </w:r>
    </w:p>
    <w:p w14:paraId="4D0388D6">
      <w:pPr>
        <w:widowControl/>
        <w:spacing w:after="78" w:line="360" w:lineRule="auto"/>
        <w:ind w:firstLine="480" w:firstLineChars="200"/>
      </w:pPr>
      <w:r>
        <w:rPr>
          <w:rFonts w:hint="eastAsia" w:ascii="宋体" w:hAnsi="宋体" w:cs="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1】人。（2）建立安全隐患的排查机制，定期对工作区域进行事故排查。（3）建立事故报告机制，要求工作人员在发现安全隐患、事故后，依法依约及时报告。</w:t>
      </w:r>
    </w:p>
    <w:p w14:paraId="1BA55A8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四、违约责任</w:t>
      </w:r>
    </w:p>
    <w:p w14:paraId="318FAF29">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与进场人员签订安全生产责任书的，每缺少一人签订，罚款【0.5】万元；未落实安全生产责任制开展三级安全教育，每发现一次罚款【0.5】万元；未配合甲方进行安全检查的，每发生一次罚款【0.5】万元；安全事故每发生一起，乙方承担合同已发生金额【5】%的违约金。</w:t>
      </w:r>
    </w:p>
    <w:p w14:paraId="703F8CDC">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4.2如乙方出现本条第（一）款以外的违约行为，每发生一次向甲方支付违约金【1】万元。</w:t>
      </w:r>
    </w:p>
    <w:p w14:paraId="510BD36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4DB8E2A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4.4因乙方违约而发生的违约金和赔偿金，甲方可在应付乙方的相关款中予以扣减。</w:t>
      </w:r>
    </w:p>
    <w:p w14:paraId="48DC76F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五、附则</w:t>
      </w:r>
    </w:p>
    <w:p w14:paraId="4CCCA816">
      <w:pPr>
        <w:widowControl/>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本协议与双方所签订的主合同具有同等法律效力。</w:t>
      </w:r>
    </w:p>
    <w:p w14:paraId="62594355">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六、其他</w:t>
      </w:r>
    </w:p>
    <w:p w14:paraId="157910F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6.1协议未尽事宜，由双方另行协商处理。</w:t>
      </w:r>
    </w:p>
    <w:p w14:paraId="608B80BB">
      <w:pPr>
        <w:adjustRightInd w:val="0"/>
        <w:snapToGrid w:val="0"/>
        <w:spacing w:after="78" w:line="360" w:lineRule="auto"/>
        <w:ind w:firstLine="480" w:firstLineChars="200"/>
        <w:rPr>
          <w:rFonts w:hint="eastAsia" w:ascii="宋体" w:hAnsi="宋体" w:cs="宋体"/>
          <w:sz w:val="24"/>
        </w:rPr>
      </w:pPr>
      <w:r>
        <w:rPr>
          <w:rFonts w:hint="eastAsia" w:ascii="宋体" w:hAnsi="宋体" w:cs="宋体"/>
          <w:kern w:val="0"/>
          <w:sz w:val="24"/>
        </w:rPr>
        <w:t>6.2本协议在履行过程中发生争议，由双方协商解决，协商不成的</w:t>
      </w:r>
      <w:r>
        <w:rPr>
          <w:rFonts w:hint="eastAsia" w:ascii="宋体" w:hAnsi="宋体" w:cs="宋体"/>
          <w:sz w:val="24"/>
        </w:rPr>
        <w:t>任何一方均可向工程所在地有管辖权的人民法院提起诉讼。</w:t>
      </w:r>
    </w:p>
    <w:p w14:paraId="62D672F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6.3本协议一式【肆】份，其中甲乙双方各执【贰】份，甲乙双方法定代表人或授权代表签字并加盖双方印章后生效。</w:t>
      </w:r>
    </w:p>
    <w:tbl>
      <w:tblPr>
        <w:tblStyle w:val="23"/>
        <w:tblpPr w:leftFromText="180" w:rightFromText="180" w:vertAnchor="text" w:horzAnchor="page" w:tblpXSpec="center" w:tblpY="1582"/>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3B1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804DF7E">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4DFED158">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1F31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E7887D0">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10FEEF5D">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1D77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45C10EF6">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1A67DC32">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7E62869E">
      <w:pPr>
        <w:pStyle w:val="7"/>
        <w:spacing w:after="78"/>
      </w:pPr>
    </w:p>
    <w:p w14:paraId="24D34E31">
      <w:pPr>
        <w:spacing w:after="78"/>
      </w:pPr>
      <w:r>
        <w:rPr>
          <w:rFonts w:hint="eastAsia"/>
        </w:rPr>
        <w:br w:type="page"/>
      </w:r>
    </w:p>
    <w:p w14:paraId="596B6BC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912205D">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97812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77041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48867660">
            <w:pPr>
              <w:widowControl/>
              <w:spacing w:after="78" w:line="360" w:lineRule="atLeast"/>
              <w:jc w:val="center"/>
              <w:rPr>
                <w:rFonts w:hint="eastAsia" w:ascii="仿宋" w:hAnsi="仿宋" w:eastAsia="仿宋" w:cs="仿宋"/>
                <w:sz w:val="24"/>
                <w:szCs w:val="20"/>
              </w:rPr>
            </w:pPr>
          </w:p>
        </w:tc>
      </w:tr>
      <w:tr w14:paraId="27CFCE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E63BEA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3954DCE">
            <w:pPr>
              <w:widowControl/>
              <w:spacing w:after="78" w:line="360" w:lineRule="atLeast"/>
              <w:jc w:val="center"/>
              <w:rPr>
                <w:rFonts w:hint="eastAsia" w:ascii="仿宋" w:hAnsi="仿宋" w:eastAsia="仿宋" w:cs="仿宋"/>
                <w:sz w:val="24"/>
                <w:szCs w:val="20"/>
              </w:rPr>
            </w:pPr>
          </w:p>
        </w:tc>
        <w:tc>
          <w:tcPr>
            <w:tcW w:w="1320" w:type="dxa"/>
            <w:vAlign w:val="center"/>
          </w:tcPr>
          <w:p w14:paraId="61D6A27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22385C7">
            <w:pPr>
              <w:widowControl/>
              <w:spacing w:after="78" w:line="360" w:lineRule="atLeast"/>
              <w:jc w:val="center"/>
              <w:rPr>
                <w:rFonts w:hint="eastAsia" w:ascii="仿宋" w:hAnsi="仿宋" w:eastAsia="仿宋" w:cs="仿宋"/>
                <w:sz w:val="24"/>
                <w:szCs w:val="20"/>
              </w:rPr>
            </w:pPr>
          </w:p>
        </w:tc>
      </w:tr>
      <w:tr w14:paraId="755787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A4142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4AD470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68AE874">
            <w:pPr>
              <w:widowControl/>
              <w:spacing w:after="78" w:line="360" w:lineRule="atLeast"/>
              <w:jc w:val="center"/>
              <w:rPr>
                <w:rFonts w:hint="eastAsia" w:ascii="仿宋" w:hAnsi="仿宋" w:eastAsia="仿宋" w:cs="仿宋"/>
                <w:sz w:val="24"/>
                <w:szCs w:val="20"/>
              </w:rPr>
            </w:pPr>
          </w:p>
        </w:tc>
        <w:tc>
          <w:tcPr>
            <w:tcW w:w="1320" w:type="dxa"/>
            <w:vAlign w:val="center"/>
          </w:tcPr>
          <w:p w14:paraId="7A048F3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BF73276">
            <w:pPr>
              <w:widowControl/>
              <w:spacing w:after="78" w:line="360" w:lineRule="atLeast"/>
              <w:jc w:val="center"/>
              <w:rPr>
                <w:rFonts w:hint="eastAsia" w:ascii="仿宋" w:hAnsi="仿宋" w:eastAsia="仿宋" w:cs="仿宋"/>
                <w:sz w:val="24"/>
                <w:szCs w:val="20"/>
              </w:rPr>
            </w:pPr>
          </w:p>
        </w:tc>
      </w:tr>
      <w:tr w14:paraId="71BDC3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9F7E5E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3C3D1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0016C16">
            <w:pPr>
              <w:widowControl/>
              <w:spacing w:after="78" w:line="360" w:lineRule="atLeast"/>
              <w:jc w:val="center"/>
              <w:rPr>
                <w:rFonts w:hint="eastAsia" w:ascii="仿宋" w:hAnsi="仿宋" w:eastAsia="仿宋" w:cs="仿宋"/>
                <w:sz w:val="24"/>
                <w:szCs w:val="20"/>
              </w:rPr>
            </w:pPr>
          </w:p>
        </w:tc>
        <w:tc>
          <w:tcPr>
            <w:tcW w:w="850" w:type="dxa"/>
            <w:vAlign w:val="center"/>
          </w:tcPr>
          <w:p w14:paraId="519C46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7357289B">
            <w:pPr>
              <w:widowControl/>
              <w:spacing w:after="78" w:line="360" w:lineRule="atLeast"/>
              <w:jc w:val="center"/>
              <w:rPr>
                <w:rFonts w:hint="eastAsia" w:ascii="仿宋" w:hAnsi="仿宋" w:eastAsia="仿宋" w:cs="仿宋"/>
                <w:sz w:val="24"/>
                <w:szCs w:val="20"/>
              </w:rPr>
            </w:pPr>
          </w:p>
        </w:tc>
      </w:tr>
      <w:tr w14:paraId="6D2B1C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7FB8B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836495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45A8860B">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C3D9A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9DE1B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48C615EB">
            <w:pPr>
              <w:spacing w:after="78" w:line="360" w:lineRule="atLeast"/>
              <w:jc w:val="center"/>
              <w:rPr>
                <w:rFonts w:hint="eastAsia" w:ascii="仿宋" w:hAnsi="仿宋" w:eastAsia="仿宋" w:cs="仿宋"/>
                <w:sz w:val="24"/>
                <w:szCs w:val="20"/>
              </w:rPr>
            </w:pPr>
          </w:p>
          <w:p w14:paraId="7243C085">
            <w:pPr>
              <w:widowControl/>
              <w:spacing w:after="78" w:line="360" w:lineRule="atLeast"/>
              <w:jc w:val="center"/>
              <w:rPr>
                <w:rFonts w:hint="eastAsia" w:ascii="仿宋" w:hAnsi="仿宋" w:eastAsia="仿宋" w:cs="仿宋"/>
                <w:sz w:val="24"/>
                <w:szCs w:val="20"/>
              </w:rPr>
            </w:pPr>
          </w:p>
        </w:tc>
      </w:tr>
      <w:tr w14:paraId="3B33D4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6058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52E9D41">
            <w:pPr>
              <w:spacing w:after="78" w:line="360" w:lineRule="atLeast"/>
              <w:jc w:val="center"/>
              <w:rPr>
                <w:rFonts w:hint="eastAsia" w:ascii="仿宋" w:hAnsi="仿宋" w:eastAsia="仿宋" w:cs="仿宋"/>
                <w:sz w:val="24"/>
                <w:szCs w:val="20"/>
              </w:rPr>
            </w:pPr>
          </w:p>
          <w:p w14:paraId="7853A026">
            <w:pPr>
              <w:widowControl/>
              <w:spacing w:after="78" w:line="360" w:lineRule="atLeast"/>
              <w:jc w:val="center"/>
              <w:rPr>
                <w:rFonts w:hint="eastAsia" w:ascii="仿宋" w:hAnsi="仿宋" w:eastAsia="仿宋" w:cs="仿宋"/>
                <w:sz w:val="24"/>
                <w:szCs w:val="20"/>
              </w:rPr>
            </w:pPr>
          </w:p>
        </w:tc>
      </w:tr>
      <w:tr w14:paraId="6CB26F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4E65848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79A7CCC">
            <w:pPr>
              <w:widowControl/>
              <w:spacing w:after="78" w:line="360" w:lineRule="atLeast"/>
              <w:jc w:val="center"/>
              <w:rPr>
                <w:rFonts w:hint="eastAsia" w:ascii="仿宋" w:hAnsi="仿宋" w:eastAsia="仿宋" w:cs="仿宋"/>
                <w:sz w:val="24"/>
                <w:szCs w:val="20"/>
              </w:rPr>
            </w:pPr>
          </w:p>
        </w:tc>
      </w:tr>
      <w:tr w14:paraId="39DDF5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74452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B8EA1B2">
            <w:pPr>
              <w:widowControl/>
              <w:spacing w:after="78" w:line="360" w:lineRule="atLeast"/>
              <w:jc w:val="center"/>
              <w:rPr>
                <w:rFonts w:hint="eastAsia" w:ascii="仿宋" w:hAnsi="仿宋" w:eastAsia="仿宋" w:cs="仿宋"/>
                <w:sz w:val="24"/>
                <w:szCs w:val="20"/>
              </w:rPr>
            </w:pPr>
          </w:p>
        </w:tc>
      </w:tr>
      <w:tr w14:paraId="5D0A9D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30E7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2CE4B543">
            <w:pPr>
              <w:widowControl/>
              <w:spacing w:after="78" w:line="360" w:lineRule="atLeast"/>
              <w:jc w:val="center"/>
              <w:rPr>
                <w:rFonts w:hint="eastAsia" w:ascii="仿宋" w:hAnsi="仿宋" w:eastAsia="仿宋" w:cs="仿宋"/>
                <w:sz w:val="24"/>
                <w:szCs w:val="20"/>
              </w:rPr>
            </w:pPr>
          </w:p>
        </w:tc>
      </w:tr>
      <w:tr w14:paraId="08BA52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B5BB3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80D7E7E">
            <w:pPr>
              <w:widowControl/>
              <w:spacing w:after="78" w:line="360" w:lineRule="atLeast"/>
              <w:jc w:val="center"/>
              <w:rPr>
                <w:rFonts w:hint="eastAsia" w:ascii="仿宋" w:hAnsi="仿宋" w:eastAsia="仿宋" w:cs="仿宋"/>
                <w:sz w:val="24"/>
                <w:szCs w:val="20"/>
              </w:rPr>
            </w:pPr>
          </w:p>
        </w:tc>
      </w:tr>
    </w:tbl>
    <w:p w14:paraId="6EECC7B2">
      <w:pPr>
        <w:tabs>
          <w:tab w:val="left" w:pos="630"/>
        </w:tabs>
        <w:spacing w:after="78" w:line="276" w:lineRule="auto"/>
        <w:rPr>
          <w:rFonts w:hint="eastAsia" w:ascii="仿宋" w:hAnsi="仿宋" w:eastAsia="仿宋"/>
          <w:kern w:val="0"/>
          <w:szCs w:val="21"/>
        </w:rPr>
      </w:pPr>
    </w:p>
    <w:p w14:paraId="0CB5FB77">
      <w:pPr>
        <w:spacing w:after="78"/>
        <w:rPr>
          <w:rFonts w:ascii="Times New Roman" w:hAnsi="Times New Roman" w:eastAsia="仿宋"/>
          <w:szCs w:val="21"/>
        </w:rPr>
      </w:pPr>
      <w:r>
        <w:rPr>
          <w:rFonts w:ascii="Times New Roman" w:hAnsi="Times New Roman" w:eastAsia="仿宋"/>
          <w:szCs w:val="21"/>
        </w:rPr>
        <w:br w:type="page"/>
      </w:r>
    </w:p>
    <w:p w14:paraId="3C7CCB30">
      <w:pPr>
        <w:snapToGrid w:val="0"/>
        <w:spacing w:afterLines="0" w:line="360" w:lineRule="auto"/>
        <w:ind w:firstLine="525" w:firstLineChars="250"/>
        <w:jc w:val="right"/>
        <w:rPr>
          <w:rFonts w:ascii="Times New Roman" w:hAnsi="Times New Roman" w:eastAsia="仿宋" w:cs="Arial"/>
        </w:rPr>
      </w:pPr>
    </w:p>
    <w:p w14:paraId="1A8BCACE">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7FEFF68E">
      <w:pPr>
        <w:pStyle w:val="5"/>
        <w:adjustRightInd w:val="0"/>
        <w:spacing w:before="156" w:beforeLines="50" w:after="156" w:afterLines="50" w:line="415" w:lineRule="auto"/>
        <w:ind w:left="900" w:hanging="900"/>
        <w:jc w:val="center"/>
        <w:rPr>
          <w:rFonts w:ascii="Times New Roman" w:hAnsi="Times New Roman" w:eastAsia="仿宋" w:cs="宋体"/>
          <w:b w:val="0"/>
          <w:color w:val="000000"/>
          <w:sz w:val="24"/>
          <w:szCs w:val="21"/>
        </w:rPr>
      </w:pPr>
      <w:r>
        <w:rPr>
          <w:rFonts w:hint="eastAsia" w:ascii="Times New Roman" w:hAnsi="Times New Roman" w:eastAsia="仿宋" w:cs="宋体"/>
          <w:b w:val="0"/>
          <w:color w:val="000000"/>
          <w:sz w:val="24"/>
          <w:szCs w:val="21"/>
        </w:rPr>
        <w:t>承诺函</w:t>
      </w:r>
    </w:p>
    <w:p w14:paraId="33D2AEDB">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rPr>
        <w:t>深圳市深水水务咨询有限公司</w:t>
      </w:r>
      <w:r>
        <w:rPr>
          <w:rFonts w:ascii="Times New Roman" w:hAnsi="Times New Roman" w:eastAsia="仿宋"/>
          <w:color w:val="000000"/>
          <w:szCs w:val="21"/>
        </w:rPr>
        <w:t>：</w:t>
      </w:r>
    </w:p>
    <w:p w14:paraId="348AD868">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color w:val="000000"/>
          <w:szCs w:val="21"/>
          <w:u w:val="single"/>
        </w:rPr>
        <w:t xml:space="preserve">   </w:t>
      </w:r>
      <w:r>
        <w:rPr>
          <w:rFonts w:hint="eastAsia" w:ascii="Times New Roman" w:hAnsi="Times New Roman" w:eastAsia="仿宋"/>
          <w:bCs/>
          <w:color w:val="000000"/>
          <w:szCs w:val="21"/>
          <w:u w:val="single"/>
          <w:lang w:eastAsia="zh-CN"/>
        </w:rPr>
        <w:t>危险废物（液）处理处置服务采购项目</w:t>
      </w:r>
      <w:r>
        <w:rPr>
          <w:rFonts w:hint="eastAsia" w:ascii="Times New Roman" w:hAnsi="Times New Roman" w:eastAsia="仿宋"/>
          <w:bCs/>
          <w:color w:val="000000"/>
          <w:szCs w:val="21"/>
          <w:u w:val="single"/>
        </w:rPr>
        <w:t xml:space="preserve">   </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color w:val="000000"/>
          <w:szCs w:val="21"/>
          <w:u w:val="single"/>
          <w:lang w:eastAsia="zh-CN"/>
        </w:rPr>
        <w:t>危险废物（液）处理处置服务采购项目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4D9CE73F">
      <w:pPr>
        <w:pStyle w:val="63"/>
        <w:numPr>
          <w:ilvl w:val="0"/>
          <w:numId w:val="4"/>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17603115">
      <w:pPr>
        <w:pStyle w:val="63"/>
        <w:spacing w:line="276" w:lineRule="auto"/>
        <w:ind w:firstLine="420" w:firstLineChars="200"/>
        <w:jc w:val="both"/>
        <w:rPr>
          <w:rFonts w:ascii="Times New Roman" w:hAnsi="Times New Roman" w:eastAsia="仿宋" w:cs="Times New Roman"/>
          <w:b w:val="0"/>
          <w:kern w:val="2"/>
          <w:sz w:val="21"/>
          <w:szCs w:val="21"/>
        </w:rPr>
      </w:pPr>
      <w:r>
        <w:rPr>
          <w:rFonts w:ascii="Times New Roman" w:hAnsi="Times New Roman" w:eastAsia="仿宋" w:cs="Times New Roman"/>
          <w:b w:val="0"/>
          <w:kern w:val="2"/>
          <w:sz w:val="21"/>
          <w:szCs w:val="21"/>
        </w:rPr>
        <w:t>1.提交的所有文件、资格、证明、陈述、数据均是真实的和准确的。若存在任何与提供的资料不符的情况，我公司愿为由此产生的一切后果负责。</w:t>
      </w:r>
    </w:p>
    <w:p w14:paraId="6047BA42">
      <w:pPr>
        <w:tabs>
          <w:tab w:val="left" w:pos="945"/>
          <w:tab w:val="left" w:pos="126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2.我公司完全满足</w:t>
      </w:r>
      <w:r>
        <w:rPr>
          <w:rFonts w:hint="eastAsia" w:ascii="Times New Roman" w:hAnsi="Times New Roman" w:eastAsia="仿宋"/>
          <w:color w:val="000000"/>
          <w:szCs w:val="21"/>
        </w:rPr>
        <w:t>询价公告</w:t>
      </w:r>
      <w:r>
        <w:rPr>
          <w:rFonts w:ascii="Times New Roman" w:hAnsi="Times New Roman" w:eastAsia="仿宋"/>
          <w:color w:val="000000"/>
          <w:szCs w:val="21"/>
        </w:rPr>
        <w:t>中全部实质性要求，响应贵司在</w:t>
      </w:r>
      <w:r>
        <w:rPr>
          <w:rFonts w:hint="eastAsia" w:ascii="Times New Roman" w:hAnsi="Times New Roman" w:eastAsia="仿宋"/>
          <w:color w:val="000000"/>
          <w:szCs w:val="21"/>
        </w:rPr>
        <w:t>询价</w:t>
      </w:r>
      <w:r>
        <w:rPr>
          <w:rFonts w:ascii="Times New Roman" w:hAnsi="Times New Roman" w:eastAsia="仿宋"/>
          <w:color w:val="000000"/>
          <w:szCs w:val="21"/>
        </w:rPr>
        <w:t>公告中提出的各项要求。</w:t>
      </w:r>
    </w:p>
    <w:p w14:paraId="3AC168B1">
      <w:pPr>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3.保证遵守</w:t>
      </w:r>
      <w:r>
        <w:rPr>
          <w:rFonts w:hint="eastAsia" w:ascii="Times New Roman" w:hAnsi="Times New Roman" w:eastAsia="仿宋"/>
          <w:color w:val="000000"/>
          <w:szCs w:val="21"/>
        </w:rPr>
        <w:t>询价</w:t>
      </w:r>
      <w:r>
        <w:rPr>
          <w:rFonts w:ascii="Times New Roman" w:hAnsi="Times New Roman" w:eastAsia="仿宋"/>
          <w:color w:val="000000"/>
          <w:szCs w:val="21"/>
        </w:rPr>
        <w:t>公告中的有关规定，保证忠实地执行双方所签署的经济合同，并承担合同规定的责任义务。</w:t>
      </w:r>
    </w:p>
    <w:p w14:paraId="28DA2BAA">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4.愿意向贵方提供任何与该项目报价有关的数据、情况和技术资料。</w:t>
      </w:r>
    </w:p>
    <w:p w14:paraId="54C9D8AC">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5.我们已详细审核全部</w:t>
      </w:r>
      <w:r>
        <w:rPr>
          <w:rFonts w:hint="eastAsia" w:ascii="Times New Roman" w:hAnsi="Times New Roman" w:eastAsia="仿宋"/>
          <w:color w:val="000000"/>
          <w:szCs w:val="21"/>
        </w:rPr>
        <w:t>询价</w:t>
      </w:r>
      <w:r>
        <w:rPr>
          <w:rFonts w:ascii="Times New Roman" w:hAnsi="Times New Roman" w:eastAsia="仿宋"/>
          <w:color w:val="000000"/>
          <w:szCs w:val="21"/>
        </w:rPr>
        <w:t>公告、</w:t>
      </w:r>
      <w:r>
        <w:rPr>
          <w:rFonts w:hint="eastAsia" w:ascii="Times New Roman" w:hAnsi="Times New Roman" w:eastAsia="仿宋"/>
          <w:color w:val="000000"/>
          <w:szCs w:val="21"/>
        </w:rPr>
        <w:t>报价文件</w:t>
      </w:r>
      <w:r>
        <w:rPr>
          <w:rFonts w:ascii="Times New Roman" w:hAnsi="Times New Roman" w:eastAsia="仿宋"/>
          <w:color w:val="000000"/>
          <w:szCs w:val="21"/>
        </w:rPr>
        <w:t>，我们知道必须放弃提出含糊不清或误解问题的权利。</w:t>
      </w:r>
    </w:p>
    <w:p w14:paraId="5E8A1600">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6.我们完全理解贵方不一定接受最低报价或收到的任何报价。</w:t>
      </w:r>
    </w:p>
    <w:p w14:paraId="727ADDD5">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7.我公司承诺不将本项目转包或分包给其他任何机构。</w:t>
      </w:r>
    </w:p>
    <w:p w14:paraId="6E9D1A6E">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8.我公司承诺符合以下要求：</w:t>
      </w:r>
      <w:r>
        <w:rPr>
          <w:rFonts w:hint="eastAsia" w:ascii="Times New Roman" w:hAnsi="Times New Roman" w:eastAsia="仿宋"/>
          <w:szCs w:val="21"/>
        </w:rPr>
        <w:t xml:space="preserve"> </w:t>
      </w:r>
    </w:p>
    <w:p w14:paraId="1C0BD716">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（1）具有良好的商业信誉、未被列入工商系统经营异常名录或严重违法失信企业名单，未被列入人民法院公布的失信被执行人名单；</w:t>
      </w:r>
    </w:p>
    <w:p w14:paraId="0D473AD7">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（2）近一年内或成立至今（成立不足一年的单位）财务状况无亏损或净资产大于0；</w:t>
      </w:r>
    </w:p>
    <w:p w14:paraId="00A90767">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（3）近两年内（2023年</w:t>
      </w:r>
      <w:r>
        <w:rPr>
          <w:rFonts w:hint="eastAsia" w:ascii="Times New Roman" w:hAnsi="Times New Roman" w:eastAsia="仿宋"/>
          <w:szCs w:val="21"/>
          <w:lang w:val="en-US" w:eastAsia="zh-CN"/>
        </w:rPr>
        <w:t>9</w:t>
      </w:r>
      <w:r>
        <w:rPr>
          <w:rFonts w:hint="eastAsia" w:ascii="Times New Roman" w:hAnsi="Times New Roman" w:eastAsia="仿宋"/>
          <w:szCs w:val="21"/>
        </w:rPr>
        <w:t>月至今）或成立至今（成立不足两年的单位）至少具备一项正在实施或已完成的类似业绩；</w:t>
      </w:r>
    </w:p>
    <w:p w14:paraId="6F8D9DDB">
      <w:pPr>
        <w:widowControl/>
        <w:tabs>
          <w:tab w:val="left" w:pos="1110"/>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（4）</w:t>
      </w:r>
      <w:r>
        <w:rPr>
          <w:rFonts w:ascii="Times New Roman" w:hAnsi="Times New Roman" w:eastAsia="仿宋"/>
          <w:szCs w:val="21"/>
        </w:rPr>
        <w:t>不存在与单位负责人为同一人或者存在直接控股、管理关系的其他供应商参与同一合同项下的采购活动的行为</w:t>
      </w:r>
      <w:r>
        <w:rPr>
          <w:rFonts w:hint="eastAsia" w:ascii="Times New Roman" w:hAnsi="Times New Roman" w:eastAsia="仿宋"/>
          <w:szCs w:val="21"/>
        </w:rPr>
        <w:t>。</w:t>
      </w:r>
    </w:p>
    <w:p w14:paraId="26EDD78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0D72AD9D">
      <w:pPr>
        <w:pStyle w:val="63"/>
        <w:numPr>
          <w:ilvl w:val="0"/>
          <w:numId w:val="4"/>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037B29C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Times New Roman" w:hAnsi="Times New Roman" w:eastAsia="仿宋"/>
          <w:color w:val="000000"/>
          <w:szCs w:val="21"/>
          <w:u w:val="single"/>
          <w:lang w:eastAsia="zh-CN"/>
        </w:rPr>
        <w:t>危险废物（液）处理处置服务采购项目</w:t>
      </w:r>
      <w:r>
        <w:rPr>
          <w:rFonts w:ascii="仿宋" w:hAnsi="仿宋" w:eastAsia="仿宋"/>
          <w:szCs w:val="21"/>
        </w:rPr>
        <w:t>选聘，特承诺如下：</w:t>
      </w:r>
    </w:p>
    <w:p w14:paraId="26FE13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C4C6F4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B55016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722CE5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D51B85D">
      <w:pPr>
        <w:tabs>
          <w:tab w:val="left" w:pos="1110"/>
        </w:tabs>
        <w:spacing w:after="78" w:line="276" w:lineRule="auto"/>
        <w:ind w:firstLine="420" w:firstLineChars="200"/>
        <w:rPr>
          <w:rFonts w:hint="eastAsia" w:ascii="仿宋" w:hAnsi="仿宋" w:eastAsia="仿宋"/>
          <w:color w:val="000000"/>
          <w:szCs w:val="21"/>
        </w:rPr>
      </w:pPr>
    </w:p>
    <w:p w14:paraId="431AB7CE">
      <w:pPr>
        <w:tabs>
          <w:tab w:val="left" w:pos="1110"/>
        </w:tabs>
        <w:spacing w:after="78" w:line="276" w:lineRule="auto"/>
        <w:ind w:firstLine="420" w:firstLineChars="200"/>
        <w:rPr>
          <w:rFonts w:ascii="Times New Roman" w:hAnsi="Times New Roman" w:eastAsia="仿宋"/>
          <w:color w:val="000000"/>
          <w:szCs w:val="21"/>
        </w:rPr>
      </w:pPr>
    </w:p>
    <w:p w14:paraId="730A2297">
      <w:pPr>
        <w:spacing w:after="78" w:line="276" w:lineRule="auto"/>
        <w:ind w:left="525"/>
        <w:rPr>
          <w:rFonts w:ascii="Times New Roman" w:hAnsi="Times New Roman" w:eastAsia="仿宋"/>
          <w:color w:val="000000"/>
          <w:szCs w:val="21"/>
        </w:rPr>
      </w:pPr>
      <w:r>
        <w:rPr>
          <w:rFonts w:ascii="Times New Roman" w:hAnsi="Times New Roman" w:eastAsia="仿宋"/>
          <w:color w:val="000000"/>
          <w:szCs w:val="21"/>
        </w:rPr>
        <w:t>参选单位：</w:t>
      </w:r>
      <w:r>
        <w:rPr>
          <w:rFonts w:ascii="Times New Roman" w:hAnsi="Times New Roman" w:eastAsia="仿宋"/>
          <w:szCs w:val="21"/>
          <w:u w:val="single"/>
        </w:rPr>
        <w:t>（盖</w:t>
      </w:r>
      <w:r>
        <w:rPr>
          <w:rFonts w:hint="eastAsia" w:ascii="Times New Roman" w:hAnsi="Times New Roman" w:eastAsia="仿宋"/>
          <w:szCs w:val="21"/>
          <w:u w:val="single"/>
        </w:rPr>
        <w:t>章</w:t>
      </w:r>
      <w:r>
        <w:rPr>
          <w:rFonts w:ascii="Times New Roman" w:hAnsi="Times New Roman" w:eastAsia="仿宋"/>
          <w:szCs w:val="21"/>
          <w:u w:val="single"/>
        </w:rPr>
        <w:t>）</w:t>
      </w:r>
    </w:p>
    <w:p w14:paraId="66DDE301">
      <w:pPr>
        <w:spacing w:after="78" w:line="276" w:lineRule="auto"/>
        <w:ind w:firstLine="630" w:firstLineChars="300"/>
        <w:rPr>
          <w:rFonts w:ascii="Times New Roman" w:hAnsi="Times New Roman" w:eastAsia="仿宋"/>
          <w:b/>
          <w:szCs w:val="21"/>
        </w:rPr>
      </w:pPr>
      <w:r>
        <w:rPr>
          <w:rFonts w:ascii="Times New Roman" w:hAnsi="Times New Roman" w:eastAsia="仿宋"/>
          <w:color w:val="000000"/>
          <w:szCs w:val="21"/>
        </w:rPr>
        <w:t>年    月    日</w:t>
      </w:r>
    </w:p>
    <w:p w14:paraId="695A89C8">
      <w:pPr>
        <w:spacing w:after="78" w:line="288" w:lineRule="auto"/>
        <w:rPr>
          <w:rFonts w:ascii="Times New Roman" w:hAnsi="Times New Roman" w:eastAsia="仿宋"/>
          <w:b/>
          <w:szCs w:val="21"/>
        </w:rPr>
      </w:pPr>
    </w:p>
    <w:p w14:paraId="5164B77D">
      <w:pPr>
        <w:spacing w:after="78" w:line="288" w:lineRule="auto"/>
        <w:rPr>
          <w:rFonts w:ascii="Times New Roman" w:hAnsi="Times New Roman" w:eastAsia="仿宋"/>
          <w:b/>
          <w:szCs w:val="21"/>
        </w:rPr>
      </w:pPr>
      <w:r>
        <w:rPr>
          <w:rFonts w:ascii="Times New Roman" w:hAnsi="Times New Roman" w:eastAsia="仿宋"/>
          <w:b/>
          <w:szCs w:val="21"/>
        </w:rPr>
        <w:br w:type="page"/>
      </w:r>
    </w:p>
    <w:p w14:paraId="1FE01D97">
      <w:pPr>
        <w:pStyle w:val="5"/>
        <w:adjustRightInd w:val="0"/>
        <w:spacing w:before="240" w:after="120" w:afterLines="0" w:line="400" w:lineRule="exact"/>
        <w:rPr>
          <w:rFonts w:ascii="Calibri" w:hAnsi="Calibri" w:eastAsia="仿宋"/>
          <w:sz w:val="24"/>
          <w:szCs w:val="22"/>
        </w:rPr>
      </w:pPr>
      <w:bookmarkStart w:id="12" w:name="_Hlk180658069"/>
      <w:r>
        <w:rPr>
          <w:rFonts w:hint="eastAsia" w:ascii="Calibri" w:hAnsi="Calibri" w:eastAsia="仿宋"/>
          <w:sz w:val="24"/>
          <w:szCs w:val="22"/>
        </w:rPr>
        <w:t>营业执照（需盖章）</w:t>
      </w:r>
    </w:p>
    <w:p w14:paraId="73DBE1E6">
      <w:pPr>
        <w:tabs>
          <w:tab w:val="left" w:pos="1110"/>
        </w:tabs>
        <w:spacing w:after="78" w:line="276" w:lineRule="auto"/>
        <w:ind w:firstLine="420" w:firstLineChars="200"/>
        <w:rPr>
          <w:rFonts w:ascii="Times New Roman" w:hAnsi="Times New Roman" w:eastAsia="仿宋" w:cs="宋体"/>
          <w:color w:val="000000"/>
          <w:sz w:val="24"/>
          <w:szCs w:val="21"/>
        </w:rPr>
      </w:pPr>
      <w:r>
        <w:rPr>
          <w:rFonts w:ascii="Times New Roman" w:hAnsi="Times New Roman" w:eastAsia="仿宋"/>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6BE1C9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06BE1C98">
                      <w:pPr>
                        <w:spacing w:after="78"/>
                      </w:pPr>
                    </w:p>
                  </w:txbxContent>
                </v:textbox>
              </v:shape>
            </w:pict>
          </mc:Fallback>
        </mc:AlternateContent>
      </w:r>
    </w:p>
    <w:p w14:paraId="55762FA9">
      <w:pPr>
        <w:tabs>
          <w:tab w:val="left" w:pos="1110"/>
        </w:tabs>
        <w:spacing w:after="78" w:line="276" w:lineRule="auto"/>
        <w:ind w:firstLine="480" w:firstLineChars="200"/>
        <w:rPr>
          <w:rFonts w:ascii="Times New Roman" w:hAnsi="Times New Roman" w:eastAsia="仿宋" w:cs="宋体"/>
          <w:color w:val="000000"/>
          <w:sz w:val="24"/>
          <w:szCs w:val="21"/>
        </w:rPr>
      </w:pPr>
    </w:p>
    <w:p w14:paraId="320F5105">
      <w:pPr>
        <w:tabs>
          <w:tab w:val="left" w:pos="1110"/>
        </w:tabs>
        <w:spacing w:after="78" w:line="276" w:lineRule="auto"/>
        <w:ind w:firstLine="480" w:firstLineChars="200"/>
        <w:rPr>
          <w:rFonts w:ascii="Times New Roman" w:hAnsi="Times New Roman" w:eastAsia="仿宋" w:cs="宋体"/>
          <w:color w:val="000000"/>
          <w:sz w:val="24"/>
          <w:szCs w:val="21"/>
        </w:rPr>
      </w:pPr>
    </w:p>
    <w:p w14:paraId="10A3F281">
      <w:pPr>
        <w:tabs>
          <w:tab w:val="left" w:pos="1110"/>
        </w:tabs>
        <w:spacing w:after="78" w:line="276" w:lineRule="auto"/>
        <w:ind w:firstLine="480" w:firstLineChars="200"/>
        <w:rPr>
          <w:rFonts w:ascii="Times New Roman" w:hAnsi="Times New Roman" w:eastAsia="仿宋" w:cs="宋体"/>
          <w:color w:val="000000"/>
          <w:sz w:val="24"/>
          <w:szCs w:val="21"/>
        </w:rPr>
      </w:pPr>
    </w:p>
    <w:p w14:paraId="7C9AEF7D">
      <w:pPr>
        <w:tabs>
          <w:tab w:val="left" w:pos="1110"/>
        </w:tabs>
        <w:spacing w:after="78" w:line="276" w:lineRule="auto"/>
        <w:ind w:firstLine="480" w:firstLineChars="200"/>
        <w:rPr>
          <w:rFonts w:ascii="Times New Roman" w:hAnsi="Times New Roman" w:eastAsia="仿宋" w:cs="宋体"/>
          <w:color w:val="000000"/>
          <w:sz w:val="24"/>
          <w:szCs w:val="21"/>
        </w:rPr>
      </w:pPr>
    </w:p>
    <w:p w14:paraId="5EE28A31">
      <w:pPr>
        <w:tabs>
          <w:tab w:val="left" w:pos="1110"/>
        </w:tabs>
        <w:spacing w:after="78" w:line="276" w:lineRule="auto"/>
        <w:ind w:firstLine="480" w:firstLineChars="200"/>
        <w:rPr>
          <w:rFonts w:ascii="Times New Roman" w:hAnsi="Times New Roman" w:eastAsia="仿宋" w:cs="宋体"/>
          <w:color w:val="000000"/>
          <w:sz w:val="24"/>
          <w:szCs w:val="21"/>
        </w:rPr>
      </w:pPr>
    </w:p>
    <w:p w14:paraId="33DC5657">
      <w:pPr>
        <w:tabs>
          <w:tab w:val="left" w:pos="1110"/>
        </w:tabs>
        <w:spacing w:after="78" w:line="276" w:lineRule="auto"/>
        <w:ind w:firstLine="480" w:firstLineChars="200"/>
        <w:rPr>
          <w:rFonts w:ascii="Times New Roman" w:hAnsi="Times New Roman" w:eastAsia="仿宋" w:cs="宋体"/>
          <w:color w:val="000000"/>
          <w:sz w:val="24"/>
          <w:szCs w:val="21"/>
        </w:rPr>
      </w:pPr>
    </w:p>
    <w:p w14:paraId="26E90799">
      <w:pPr>
        <w:tabs>
          <w:tab w:val="left" w:pos="1110"/>
        </w:tabs>
        <w:spacing w:after="78" w:line="276" w:lineRule="auto"/>
        <w:ind w:firstLine="480" w:firstLineChars="200"/>
        <w:rPr>
          <w:rFonts w:ascii="Times New Roman" w:hAnsi="Times New Roman" w:eastAsia="仿宋" w:cs="宋体"/>
          <w:color w:val="000000"/>
          <w:sz w:val="24"/>
          <w:szCs w:val="21"/>
        </w:rPr>
      </w:pPr>
    </w:p>
    <w:p w14:paraId="54D530B4">
      <w:pPr>
        <w:tabs>
          <w:tab w:val="left" w:pos="1110"/>
        </w:tabs>
        <w:spacing w:after="78" w:line="276" w:lineRule="auto"/>
        <w:ind w:firstLine="480" w:firstLineChars="200"/>
        <w:rPr>
          <w:rFonts w:ascii="Times New Roman" w:hAnsi="Times New Roman" w:eastAsia="仿宋" w:cs="宋体"/>
          <w:color w:val="000000"/>
          <w:sz w:val="24"/>
          <w:szCs w:val="21"/>
        </w:rPr>
      </w:pPr>
    </w:p>
    <w:p w14:paraId="11BA451B">
      <w:pPr>
        <w:tabs>
          <w:tab w:val="left" w:pos="1110"/>
        </w:tabs>
        <w:spacing w:after="78" w:line="276" w:lineRule="auto"/>
        <w:ind w:firstLine="480" w:firstLineChars="200"/>
        <w:rPr>
          <w:rFonts w:ascii="Times New Roman" w:hAnsi="Times New Roman" w:eastAsia="仿宋" w:cs="宋体"/>
          <w:color w:val="000000"/>
          <w:sz w:val="24"/>
          <w:szCs w:val="21"/>
        </w:rPr>
      </w:pPr>
    </w:p>
    <w:p w14:paraId="31F9DCE0">
      <w:pPr>
        <w:tabs>
          <w:tab w:val="left" w:pos="1110"/>
        </w:tabs>
        <w:spacing w:after="78" w:line="276" w:lineRule="auto"/>
        <w:ind w:firstLine="480" w:firstLineChars="200"/>
        <w:rPr>
          <w:rFonts w:ascii="Times New Roman" w:hAnsi="Times New Roman" w:eastAsia="仿宋" w:cs="宋体"/>
          <w:color w:val="000000"/>
          <w:sz w:val="24"/>
          <w:szCs w:val="21"/>
        </w:rPr>
      </w:pPr>
    </w:p>
    <w:p w14:paraId="599B3C77">
      <w:pPr>
        <w:tabs>
          <w:tab w:val="left" w:pos="1110"/>
        </w:tabs>
        <w:spacing w:after="78" w:line="276" w:lineRule="auto"/>
        <w:ind w:firstLine="480" w:firstLineChars="200"/>
        <w:rPr>
          <w:rFonts w:ascii="Times New Roman" w:hAnsi="Times New Roman" w:eastAsia="仿宋" w:cs="宋体"/>
          <w:color w:val="000000"/>
          <w:sz w:val="24"/>
          <w:szCs w:val="21"/>
        </w:rPr>
      </w:pPr>
    </w:p>
    <w:p w14:paraId="336B78D3">
      <w:pPr>
        <w:tabs>
          <w:tab w:val="left" w:pos="1110"/>
        </w:tabs>
        <w:spacing w:after="78" w:line="276" w:lineRule="auto"/>
        <w:ind w:firstLine="480" w:firstLineChars="200"/>
        <w:rPr>
          <w:rFonts w:ascii="Times New Roman" w:hAnsi="Times New Roman" w:eastAsia="仿宋" w:cs="宋体"/>
          <w:color w:val="000000"/>
          <w:sz w:val="24"/>
          <w:szCs w:val="21"/>
        </w:rPr>
      </w:pPr>
    </w:p>
    <w:bookmarkEnd w:id="12"/>
    <w:p w14:paraId="3D06F717">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350520</wp:posOffset>
                </wp:positionV>
                <wp:extent cx="5398135" cy="3700145"/>
                <wp:effectExtent l="4445" t="4445" r="7620" b="10160"/>
                <wp:wrapNone/>
                <wp:docPr id="7" name="文本框 7"/>
                <wp:cNvGraphicFramePr/>
                <a:graphic xmlns:a="http://schemas.openxmlformats.org/drawingml/2006/main">
                  <a:graphicData uri="http://schemas.microsoft.com/office/word/2010/wordprocessingShape">
                    <wps:wsp>
                      <wps:cNvSpPr txBox="1"/>
                      <wps:spPr>
                        <a:xfrm>
                          <a:off x="1153795" y="1264920"/>
                          <a:ext cx="5398135" cy="3700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08C40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27.6pt;height:291.35pt;width:425.05pt;z-index:251660288;mso-width-relative:page;mso-height-relative:page;" fillcolor="#FFFFFF [3201]" filled="t" stroked="t" coordsize="21600,21600" o:gfxdata="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HzyVNUAAAAIAQAADwAAAAAAAAABACAAAAAiAAAAZHJzL2Rvd25yZXYueG1sUEsBAhQAFAAA&#10;AAgAh07iQEpk59tkAgAAxAQAAA4AAAAAAAAAAQAgAAAAJAEAAGRycy9lMm9Eb2MueG1sUEsFBgAA&#10;AAAGAAYAWQEAAPoFAAAAAA==&#10;">
                <v:fill on="t" focussize="0,0"/>
                <v:stroke weight="0.5pt" color="#000000 [3204]" joinstyle="round"/>
                <v:imagedata o:title=""/>
                <o:lock v:ext="edit" aspectratio="f"/>
                <v:textbox>
                  <w:txbxContent>
                    <w:p w14:paraId="4308C401">
                      <w:pPr>
                        <w:spacing w:after="78"/>
                      </w:pPr>
                    </w:p>
                  </w:txbxContent>
                </v:textbox>
              </v:shape>
            </w:pict>
          </mc:Fallback>
        </mc:AlternateContent>
      </w:r>
      <w:r>
        <w:rPr>
          <w:rFonts w:hint="eastAsia" w:ascii="Calibri" w:hAnsi="Calibri" w:eastAsia="仿宋"/>
          <w:sz w:val="24"/>
          <w:szCs w:val="22"/>
        </w:rPr>
        <w:t>危险废物经营许可证（需盖章）</w:t>
      </w:r>
    </w:p>
    <w:p w14:paraId="4F420F49">
      <w:pPr>
        <w:spacing w:after="78"/>
        <w:rPr>
          <w:rFonts w:ascii="Times New Roman" w:hAnsi="Times New Roman" w:eastAsia="仿宋"/>
        </w:rPr>
      </w:pPr>
      <w:r>
        <w:rPr>
          <w:rFonts w:ascii="Times New Roman" w:hAnsi="Times New Roman" w:eastAsia="仿宋"/>
        </w:rPr>
        <w:br w:type="page"/>
      </w:r>
    </w:p>
    <w:p w14:paraId="290FCC59">
      <w:pPr>
        <w:pStyle w:val="5"/>
        <w:adjustRightInd w:val="0"/>
        <w:spacing w:before="240" w:after="120" w:afterLines="0" w:line="400" w:lineRule="exact"/>
        <w:rPr>
          <w:rFonts w:ascii="Calibri" w:hAnsi="Calibri" w:eastAsia="仿宋"/>
          <w:sz w:val="24"/>
          <w:szCs w:val="22"/>
        </w:rPr>
      </w:pPr>
      <w:bookmarkStart w:id="13" w:name="_Toc133335897"/>
      <w:bookmarkStart w:id="14" w:name="_Toc116850266"/>
      <w:r>
        <w:rPr>
          <w:rFonts w:hint="eastAsia" w:ascii="Calibri" w:hAnsi="Calibri" w:eastAsia="仿宋"/>
          <w:sz w:val="24"/>
          <w:szCs w:val="22"/>
        </w:rPr>
        <w:t>危废处置单位处置合同</w:t>
      </w:r>
      <w:r>
        <w:rPr>
          <w:rFonts w:hint="eastAsia" w:ascii="Calibri" w:hAnsi="Calibri" w:eastAsia="仿宋"/>
          <w:sz w:val="24"/>
          <w:szCs w:val="22"/>
          <w:lang w:val="en-US" w:eastAsia="zh-CN"/>
        </w:rPr>
        <w:t>封面、服务内容页、签章页</w:t>
      </w:r>
      <w:r>
        <w:rPr>
          <w:rFonts w:hint="eastAsia" w:ascii="Calibri" w:hAnsi="Calibri" w:eastAsia="仿宋"/>
          <w:sz w:val="24"/>
          <w:szCs w:val="22"/>
        </w:rPr>
        <w:t>（仅未能自行处置的危废种类需补充）（需盖章）</w:t>
      </w:r>
    </w:p>
    <w:p w14:paraId="06D46434">
      <w:pPr>
        <w:spacing w:after="78"/>
        <w:rPr>
          <w:rFonts w:ascii="Times New Roman" w:hAnsi="Times New Roman" w:eastAsia="仿宋"/>
          <w:b/>
          <w:bCs/>
          <w:kern w:val="0"/>
          <w:sz w:val="24"/>
        </w:rPr>
      </w:pPr>
      <w:r>
        <w:rPr>
          <w:rFonts w:ascii="Calibri" w:hAnsi="Calibri" w:eastAsia="仿宋"/>
          <w:sz w:val="24"/>
          <w:szCs w:val="22"/>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245745</wp:posOffset>
                </wp:positionV>
                <wp:extent cx="5151120" cy="3499485"/>
                <wp:effectExtent l="4445" t="4445" r="6985" b="20320"/>
                <wp:wrapNone/>
                <wp:docPr id="3" name="文本框 3"/>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4FCD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19.35pt;height:275.55pt;width:405.6pt;z-index:251661312;mso-width-relative:page;mso-height-relative:page;" fillcolor="#FFFFFF [3201]" filled="t" stroked="t" coordsize="21600,21600" o:gfxdata="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jAf6rVAAAA&#10;CAEAAA8AAAAAAAAAAQAgAAAAIgAAAGRycy9kb3ducmV2LnhtbFBLAQIUABQAAAAIAIdO4kAIbrKj&#10;WQIAALgEAAAOAAAAAAAAAAEAIAAAACQBAABkcnMvZTJvRG9jLnhtbFBLBQYAAAAABgAGAFkBAADv&#10;BQAAAAA=&#10;">
                <v:fill on="t" focussize="0,0"/>
                <v:stroke weight="0.5pt" color="#000000 [3204]" joinstyle="round"/>
                <v:imagedata o:title=""/>
                <o:lock v:ext="edit" aspectratio="f"/>
                <v:textbox>
                  <w:txbxContent>
                    <w:p w14:paraId="584FCD49">
                      <w:pPr>
                        <w:spacing w:after="78"/>
                      </w:pPr>
                    </w:p>
                  </w:txbxContent>
                </v:textbox>
              </v:shape>
            </w:pict>
          </mc:Fallback>
        </mc:AlternateContent>
      </w:r>
      <w:r>
        <w:rPr>
          <w:rFonts w:hint="eastAsia" w:ascii="Calibri" w:hAnsi="Calibri" w:eastAsia="仿宋"/>
          <w:sz w:val="24"/>
          <w:szCs w:val="2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3816350</wp:posOffset>
                </wp:positionV>
                <wp:extent cx="5151120" cy="3499485"/>
                <wp:effectExtent l="4445" t="4445" r="6985" b="20320"/>
                <wp:wrapNone/>
                <wp:docPr id="4" name="文本框 4"/>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B5722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300.5pt;height:275.55pt;width:405.6pt;z-index:251662336;mso-width-relative:page;mso-height-relative:page;" fillcolor="#FFFFFF [3201]" filled="t" stroked="t" coordsize="21600,21600" o:gfxdata="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TQG33VAAAA&#10;CgEAAA8AAAAAAAAAAQAgAAAAIgAAAGRycy9kb3ducmV2LnhtbFBLAQIUABQAAAAIAIdO4kC3b6Ur&#10;WQIAALgEAAAOAAAAAAAAAAEAIAAAACQBAABkcnMvZTJvRG9jLnhtbFBLBQYAAAAABgAGAFkBAADv&#10;BQAAAAA=&#10;">
                <v:fill on="t" focussize="0,0"/>
                <v:stroke weight="0.5pt" color="#000000 [3204]" joinstyle="round"/>
                <v:imagedata o:title=""/>
                <o:lock v:ext="edit" aspectratio="f"/>
                <v:textbox>
                  <w:txbxContent>
                    <w:p w14:paraId="2AB57225">
                      <w:pPr>
                        <w:spacing w:after="78"/>
                      </w:pPr>
                    </w:p>
                  </w:txbxContent>
                </v:textbox>
              </v:shape>
            </w:pict>
          </mc:Fallback>
        </mc:AlternateContent>
      </w:r>
      <w:r>
        <w:rPr>
          <w:rFonts w:hint="eastAsia" w:ascii="Times New Roman" w:hAnsi="Times New Roman" w:eastAsia="仿宋"/>
          <w:b/>
          <w:bCs/>
          <w:kern w:val="0"/>
          <w:sz w:val="24"/>
        </w:rPr>
        <w:br w:type="page"/>
      </w:r>
    </w:p>
    <w:p w14:paraId="7F6B39CB">
      <w:pPr>
        <w:spacing w:after="78"/>
        <w:rPr>
          <w:rFonts w:hint="eastAsia" w:ascii="Times New Roman" w:hAnsi="Times New Roman" w:eastAsia="仿宋"/>
          <w:b/>
          <w:bCs/>
          <w:kern w:val="0"/>
          <w:sz w:val="24"/>
        </w:rPr>
      </w:pPr>
      <w:r>
        <w:rPr>
          <w:rFonts w:ascii="Calibri" w:hAnsi="Calibri" w:eastAsia="仿宋"/>
          <w:sz w:val="24"/>
          <w:szCs w:val="22"/>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3175</wp:posOffset>
                </wp:positionV>
                <wp:extent cx="5151120" cy="3499485"/>
                <wp:effectExtent l="4445" t="4445" r="6985" b="20320"/>
                <wp:wrapNone/>
                <wp:docPr id="5" name="文本框 5"/>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0CEA4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25pt;height:275.55pt;width:405.6pt;z-index:251663360;mso-width-relative:page;mso-height-relative:page;" fillcolor="#FFFFFF [3201]" filled="t" stroked="t" coordsize="21600,21600" o:gfxdata="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lQU69IAAAAG&#10;AQAADwAAAAAAAAABACAAAAAiAAAAZHJzL2Rvd25yZXYueG1sUEsBAhQAFAAAAAgAh07iQCUDBFtb&#10;AgAAuAQAAA4AAAAAAAAAAQAgAAAAIQEAAGRycy9lMm9Eb2MueG1sUEsFBgAAAAAGAAYAWQEAAO4F&#10;AAAAAA==&#10;">
                <v:fill on="t" focussize="0,0"/>
                <v:stroke weight="0.5pt" color="#000000 [3204]" joinstyle="round"/>
                <v:imagedata o:title=""/>
                <o:lock v:ext="edit" aspectratio="f"/>
                <v:textbox>
                  <w:txbxContent>
                    <w:p w14:paraId="6E0CEA44">
                      <w:pPr>
                        <w:spacing w:after="78"/>
                      </w:pPr>
                    </w:p>
                  </w:txbxContent>
                </v:textbox>
              </v:shape>
            </w:pict>
          </mc:Fallback>
        </mc:AlternateContent>
      </w:r>
    </w:p>
    <w:p w14:paraId="66EE5BA1">
      <w:pPr>
        <w:spacing w:after="78"/>
        <w:rPr>
          <w:rFonts w:hint="eastAsia" w:ascii="Times New Roman" w:hAnsi="Times New Roman" w:eastAsia="仿宋"/>
          <w:b/>
          <w:bCs/>
          <w:kern w:val="0"/>
          <w:sz w:val="24"/>
        </w:rPr>
      </w:pPr>
    </w:p>
    <w:p w14:paraId="0547D8A0">
      <w:pPr>
        <w:spacing w:after="78"/>
        <w:rPr>
          <w:rFonts w:hint="eastAsia" w:ascii="Times New Roman" w:hAnsi="Times New Roman" w:eastAsia="仿宋"/>
          <w:b/>
          <w:bCs/>
          <w:kern w:val="0"/>
          <w:sz w:val="24"/>
        </w:rPr>
      </w:pPr>
    </w:p>
    <w:p w14:paraId="46DC38C6">
      <w:pPr>
        <w:spacing w:after="78"/>
        <w:rPr>
          <w:rFonts w:hint="eastAsia" w:ascii="Times New Roman" w:hAnsi="Times New Roman" w:eastAsia="仿宋"/>
          <w:b/>
          <w:bCs/>
          <w:kern w:val="0"/>
          <w:sz w:val="24"/>
        </w:rPr>
      </w:pPr>
    </w:p>
    <w:p w14:paraId="763466E3">
      <w:pPr>
        <w:spacing w:after="78"/>
        <w:rPr>
          <w:rFonts w:hint="eastAsia" w:ascii="Times New Roman" w:hAnsi="Times New Roman" w:eastAsia="仿宋"/>
          <w:b/>
          <w:bCs/>
          <w:kern w:val="0"/>
          <w:sz w:val="24"/>
        </w:rPr>
      </w:pPr>
    </w:p>
    <w:p w14:paraId="198781BD">
      <w:pPr>
        <w:spacing w:after="78"/>
        <w:rPr>
          <w:rFonts w:hint="eastAsia" w:ascii="Times New Roman" w:hAnsi="Times New Roman" w:eastAsia="仿宋"/>
          <w:b/>
          <w:bCs/>
          <w:kern w:val="0"/>
          <w:sz w:val="24"/>
        </w:rPr>
      </w:pPr>
    </w:p>
    <w:p w14:paraId="3FF2818D">
      <w:pPr>
        <w:spacing w:after="78"/>
        <w:rPr>
          <w:rFonts w:hint="eastAsia" w:ascii="Times New Roman" w:hAnsi="Times New Roman" w:eastAsia="仿宋"/>
          <w:b/>
          <w:bCs/>
          <w:kern w:val="0"/>
          <w:sz w:val="24"/>
        </w:rPr>
      </w:pPr>
    </w:p>
    <w:p w14:paraId="00D37A75">
      <w:pPr>
        <w:spacing w:after="78"/>
        <w:rPr>
          <w:rFonts w:hint="eastAsia" w:ascii="Times New Roman" w:hAnsi="Times New Roman" w:eastAsia="仿宋"/>
          <w:b/>
          <w:bCs/>
          <w:kern w:val="0"/>
          <w:sz w:val="24"/>
        </w:rPr>
      </w:pPr>
    </w:p>
    <w:p w14:paraId="3A5E5E97">
      <w:pPr>
        <w:spacing w:after="78"/>
        <w:rPr>
          <w:rFonts w:hint="eastAsia" w:ascii="Times New Roman" w:hAnsi="Times New Roman" w:eastAsia="仿宋"/>
          <w:b/>
          <w:bCs/>
          <w:kern w:val="0"/>
          <w:sz w:val="24"/>
        </w:rPr>
      </w:pPr>
    </w:p>
    <w:p w14:paraId="6ECC6E3D">
      <w:pPr>
        <w:spacing w:after="78"/>
        <w:rPr>
          <w:rFonts w:hint="eastAsia" w:ascii="Times New Roman" w:hAnsi="Times New Roman" w:eastAsia="仿宋"/>
          <w:b/>
          <w:bCs/>
          <w:kern w:val="0"/>
          <w:sz w:val="24"/>
        </w:rPr>
      </w:pPr>
    </w:p>
    <w:p w14:paraId="31ECB260">
      <w:pPr>
        <w:spacing w:after="78"/>
        <w:rPr>
          <w:rFonts w:hint="eastAsia" w:ascii="Times New Roman" w:hAnsi="Times New Roman" w:eastAsia="仿宋"/>
          <w:b/>
          <w:bCs/>
          <w:kern w:val="0"/>
          <w:sz w:val="24"/>
        </w:rPr>
      </w:pPr>
    </w:p>
    <w:p w14:paraId="2CD41259">
      <w:pPr>
        <w:spacing w:after="78"/>
        <w:rPr>
          <w:rFonts w:hint="eastAsia" w:ascii="Times New Roman" w:hAnsi="Times New Roman" w:eastAsia="仿宋"/>
          <w:b/>
          <w:bCs/>
          <w:kern w:val="0"/>
          <w:sz w:val="24"/>
        </w:rPr>
      </w:pPr>
    </w:p>
    <w:p w14:paraId="4DB2CA36">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危废处置单位的营业许可证（仅未能自行处置的危废种类需补充）（需盖章）</w:t>
      </w:r>
    </w:p>
    <w:p w14:paraId="1BD3AA67">
      <w:pPr>
        <w:spacing w:after="78"/>
      </w:pPr>
      <w:r>
        <w:rPr>
          <w:rFonts w:ascii="Calibri" w:hAnsi="Calibri" w:eastAsia="仿宋"/>
          <w:sz w:val="24"/>
          <w:szCs w:val="22"/>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62865</wp:posOffset>
                </wp:positionV>
                <wp:extent cx="5151120" cy="3499485"/>
                <wp:effectExtent l="4445" t="4445" r="6985" b="20320"/>
                <wp:wrapNone/>
                <wp:docPr id="1" name="文本框 1"/>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61E9D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4.95pt;height:275.55pt;width:405.6pt;z-index:251664384;mso-width-relative:page;mso-height-relative:page;" fillcolor="#FFFFFF [3201]" filled="t" stroked="t" coordsize="21600,21600" o:gfxdata="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QkK6PWAAAA&#10;CAEAAA8AAAAAAAAAAQAgAAAAIgAAAGRycy9kb3ducmV2LnhtbFBLAQIUABQAAAAIAIdO4kAst/BC&#10;WAIAALgEAAAOAAAAAAAAAAEAIAAAACUBAABkcnMvZTJvRG9jLnhtbFBLBQYAAAAABgAGAFkBAADv&#10;BQAAAAA=&#10;">
                <v:fill on="t" focussize="0,0"/>
                <v:stroke weight="0.5pt" color="#000000 [3204]" joinstyle="round"/>
                <v:imagedata o:title=""/>
                <o:lock v:ext="edit" aspectratio="f"/>
                <v:textbox>
                  <w:txbxContent>
                    <w:p w14:paraId="2E61E9D7">
                      <w:pPr>
                        <w:spacing w:after="78"/>
                      </w:pPr>
                    </w:p>
                  </w:txbxContent>
                </v:textbox>
              </v:shape>
            </w:pict>
          </mc:Fallback>
        </mc:AlternateContent>
      </w:r>
    </w:p>
    <w:p w14:paraId="692D6E35">
      <w:pPr>
        <w:spacing w:after="78"/>
        <w:rPr>
          <w:rFonts w:hint="eastAsia" w:ascii="Times New Roman" w:hAnsi="Times New Roman" w:eastAsia="仿宋"/>
          <w:b/>
          <w:bCs/>
          <w:kern w:val="0"/>
          <w:sz w:val="24"/>
        </w:rPr>
      </w:pPr>
    </w:p>
    <w:p w14:paraId="7E0579D2">
      <w:pPr>
        <w:spacing w:after="78"/>
        <w:rPr>
          <w:rFonts w:hint="eastAsia" w:ascii="Times New Roman" w:hAnsi="Times New Roman" w:eastAsia="仿宋"/>
          <w:b/>
          <w:bCs/>
          <w:kern w:val="0"/>
          <w:sz w:val="24"/>
        </w:rPr>
      </w:pPr>
    </w:p>
    <w:p w14:paraId="2437E947">
      <w:pPr>
        <w:spacing w:after="78"/>
        <w:rPr>
          <w:rFonts w:hint="eastAsia" w:ascii="Times New Roman" w:hAnsi="Times New Roman" w:eastAsia="仿宋"/>
          <w:b/>
          <w:bCs/>
          <w:kern w:val="0"/>
          <w:sz w:val="24"/>
        </w:rPr>
      </w:pPr>
    </w:p>
    <w:p w14:paraId="0A63F616">
      <w:pPr>
        <w:spacing w:after="78"/>
        <w:rPr>
          <w:rFonts w:hint="eastAsia" w:ascii="Times New Roman" w:hAnsi="Times New Roman" w:eastAsia="仿宋"/>
          <w:b/>
          <w:bCs/>
          <w:kern w:val="0"/>
          <w:sz w:val="24"/>
        </w:rPr>
      </w:pPr>
    </w:p>
    <w:p w14:paraId="5D61160F">
      <w:pPr>
        <w:spacing w:after="78"/>
        <w:rPr>
          <w:rFonts w:hint="eastAsia" w:ascii="Times New Roman" w:hAnsi="Times New Roman" w:eastAsia="仿宋"/>
          <w:b/>
          <w:bCs/>
          <w:kern w:val="0"/>
          <w:sz w:val="24"/>
        </w:rPr>
      </w:pPr>
    </w:p>
    <w:p w14:paraId="1BAB53E2">
      <w:pPr>
        <w:spacing w:after="78"/>
        <w:rPr>
          <w:rFonts w:hint="eastAsia" w:ascii="Times New Roman" w:hAnsi="Times New Roman" w:eastAsia="仿宋"/>
          <w:b/>
          <w:bCs/>
          <w:kern w:val="0"/>
          <w:sz w:val="24"/>
        </w:rPr>
      </w:pPr>
    </w:p>
    <w:p w14:paraId="6743A6F5">
      <w:pPr>
        <w:spacing w:after="78"/>
        <w:rPr>
          <w:rFonts w:hint="eastAsia" w:ascii="Times New Roman" w:hAnsi="Times New Roman" w:eastAsia="仿宋"/>
          <w:b/>
          <w:bCs/>
          <w:kern w:val="0"/>
          <w:sz w:val="24"/>
        </w:rPr>
      </w:pPr>
    </w:p>
    <w:p w14:paraId="6F7E353C">
      <w:pPr>
        <w:spacing w:after="78"/>
        <w:rPr>
          <w:rFonts w:hint="eastAsia" w:ascii="Times New Roman" w:hAnsi="Times New Roman" w:eastAsia="仿宋"/>
          <w:b/>
          <w:bCs/>
          <w:kern w:val="0"/>
          <w:sz w:val="24"/>
        </w:rPr>
      </w:pPr>
    </w:p>
    <w:p w14:paraId="1A06D8CE">
      <w:pPr>
        <w:spacing w:after="78"/>
        <w:rPr>
          <w:rFonts w:hint="eastAsia" w:ascii="Times New Roman" w:hAnsi="Times New Roman" w:eastAsia="仿宋"/>
          <w:b/>
          <w:bCs/>
          <w:kern w:val="0"/>
          <w:sz w:val="24"/>
        </w:rPr>
      </w:pPr>
    </w:p>
    <w:p w14:paraId="2A0B0830">
      <w:pPr>
        <w:spacing w:after="78"/>
        <w:rPr>
          <w:rFonts w:hint="eastAsia" w:ascii="Times New Roman" w:hAnsi="Times New Roman" w:eastAsia="仿宋"/>
          <w:b/>
          <w:bCs/>
          <w:kern w:val="0"/>
          <w:sz w:val="24"/>
        </w:rPr>
      </w:pPr>
    </w:p>
    <w:p w14:paraId="12F72AB6">
      <w:pPr>
        <w:spacing w:after="78"/>
        <w:rPr>
          <w:rFonts w:hint="eastAsia" w:ascii="Times New Roman" w:hAnsi="Times New Roman" w:eastAsia="仿宋"/>
          <w:b/>
          <w:bCs/>
          <w:kern w:val="0"/>
          <w:sz w:val="24"/>
        </w:rPr>
      </w:pPr>
    </w:p>
    <w:p w14:paraId="60ED77FA">
      <w:pPr>
        <w:spacing w:after="78"/>
        <w:rPr>
          <w:rFonts w:ascii="Times New Roman" w:hAnsi="Times New Roman" w:eastAsia="仿宋"/>
          <w:b/>
          <w:bCs/>
          <w:kern w:val="0"/>
          <w:sz w:val="24"/>
        </w:rPr>
      </w:pPr>
      <w:r>
        <w:rPr>
          <w:rFonts w:hint="eastAsia" w:ascii="Times New Roman" w:hAnsi="Times New Roman" w:eastAsia="仿宋"/>
          <w:b/>
          <w:bCs/>
          <w:kern w:val="0"/>
          <w:sz w:val="24"/>
        </w:rPr>
        <w:br w:type="page"/>
      </w:r>
    </w:p>
    <w:p w14:paraId="1BEBAA62">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425450</wp:posOffset>
                </wp:positionV>
                <wp:extent cx="5151120" cy="3499485"/>
                <wp:effectExtent l="4445" t="4445" r="6985" b="20320"/>
                <wp:wrapNone/>
                <wp:docPr id="2" name="文本框 2"/>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92004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pt;margin-top:33.5pt;height:275.55pt;width:405.6pt;z-index:251665408;mso-width-relative:page;mso-height-relative:page;" fillcolor="#FFFFFF [3201]" filled="t" stroked="t" coordsize="21600,21600" o:gfxdata="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FbToNcA&#10;AAAJAQAADwAAAAAAAAABACAAAAAiAAAAZHJzL2Rvd25yZXYueG1sUEsBAhQAFAAAAAgAh07iQJoC&#10;E9NZAgAAuAQAAA4AAAAAAAAAAQAgAAAAJgEAAGRycy9lMm9Eb2MueG1sUEsFBgAAAAAGAAYAWQEA&#10;APEFAAAAAA==&#10;">
                <v:fill on="t" focussize="0,0"/>
                <v:stroke weight="0.5pt" color="#000000 [3204]" joinstyle="round"/>
                <v:imagedata o:title=""/>
                <o:lock v:ext="edit" aspectratio="f"/>
                <v:textbox>
                  <w:txbxContent>
                    <w:p w14:paraId="37920048">
                      <w:pPr>
                        <w:spacing w:after="78"/>
                      </w:pPr>
                    </w:p>
                  </w:txbxContent>
                </v:textbox>
              </v:shape>
            </w:pict>
          </mc:Fallback>
        </mc:AlternateContent>
      </w:r>
      <w:r>
        <w:rPr>
          <w:rFonts w:hint="eastAsia" w:ascii="Calibri" w:hAnsi="Calibri" w:eastAsia="仿宋"/>
          <w:sz w:val="24"/>
          <w:szCs w:val="22"/>
        </w:rPr>
        <w:t>危废处置单位危废经营许可证（仅未能自行处置的危废种类需补充）（需盖章）</w:t>
      </w:r>
    </w:p>
    <w:p w14:paraId="208310FA">
      <w:pPr>
        <w:spacing w:after="78"/>
        <w:rPr>
          <w:rFonts w:hint="eastAsia" w:ascii="Times New Roman" w:hAnsi="Times New Roman" w:eastAsia="仿宋"/>
          <w:b/>
          <w:bCs/>
          <w:kern w:val="0"/>
          <w:sz w:val="24"/>
        </w:rPr>
      </w:pPr>
    </w:p>
    <w:p w14:paraId="6E7B8893">
      <w:pPr>
        <w:spacing w:after="78"/>
        <w:rPr>
          <w:rFonts w:ascii="Times New Roman" w:hAnsi="Times New Roman" w:eastAsia="仿宋"/>
          <w:b/>
          <w:bCs/>
          <w:kern w:val="0"/>
          <w:sz w:val="24"/>
        </w:rPr>
      </w:pPr>
      <w:r>
        <w:rPr>
          <w:rFonts w:hint="eastAsia" w:ascii="Times New Roman" w:hAnsi="Times New Roman" w:eastAsia="仿宋"/>
          <w:b/>
          <w:bCs/>
          <w:kern w:val="0"/>
          <w:sz w:val="24"/>
        </w:rPr>
        <w:br w:type="page"/>
      </w:r>
    </w:p>
    <w:p w14:paraId="5BE59030">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lang w:eastAsia="zh-CN"/>
        </w:rPr>
        <w:t>危险废物（液）处理处置服务采购项目</w:t>
      </w:r>
    </w:p>
    <w:p w14:paraId="10D96CD0">
      <w:pPr>
        <w:pStyle w:val="10"/>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353"/>
        <w:gridCol w:w="1916"/>
        <w:gridCol w:w="645"/>
        <w:gridCol w:w="55"/>
        <w:gridCol w:w="941"/>
        <w:gridCol w:w="52"/>
        <w:gridCol w:w="1134"/>
        <w:gridCol w:w="1065"/>
        <w:gridCol w:w="1298"/>
      </w:tblGrid>
      <w:tr w14:paraId="0D01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00302635">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459" w:type="dxa"/>
            <w:gridSpan w:val="9"/>
            <w:vAlign w:val="center"/>
          </w:tcPr>
          <w:p w14:paraId="52366D09">
            <w:pPr>
              <w:spacing w:afterLines="0" w:line="300" w:lineRule="exact"/>
              <w:jc w:val="center"/>
              <w:rPr>
                <w:rFonts w:hint="eastAsia" w:ascii="Times New Roman" w:hAnsi="Times New Roman" w:eastAsia="仿宋"/>
                <w:b/>
                <w:szCs w:val="21"/>
                <w:lang w:eastAsia="zh-CN"/>
              </w:rPr>
            </w:pPr>
            <w:r>
              <w:rPr>
                <w:rFonts w:hint="eastAsia" w:ascii="Times New Roman" w:hAnsi="Times New Roman" w:eastAsia="仿宋"/>
                <w:b/>
                <w:szCs w:val="21"/>
                <w:lang w:eastAsia="zh-CN"/>
              </w:rPr>
              <w:t>危险废物（液）处理处置服务采购项目</w:t>
            </w:r>
          </w:p>
        </w:tc>
      </w:tr>
      <w:tr w14:paraId="7DFB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18E64F66">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14" w:type="dxa"/>
            <w:gridSpan w:val="3"/>
            <w:vMerge w:val="restart"/>
            <w:vAlign w:val="center"/>
          </w:tcPr>
          <w:p w14:paraId="5680A903">
            <w:pPr>
              <w:spacing w:afterLines="0" w:line="300" w:lineRule="exact"/>
              <w:jc w:val="center"/>
              <w:rPr>
                <w:rFonts w:ascii="Times New Roman" w:hAnsi="Times New Roman" w:eastAsia="仿宋"/>
                <w:szCs w:val="21"/>
                <w:highlight w:val="yellow"/>
              </w:rPr>
            </w:pPr>
            <w:r>
              <w:rPr>
                <w:rFonts w:hint="eastAsia" w:ascii="Times New Roman" w:hAnsi="Times New Roman" w:eastAsia="仿宋"/>
                <w:szCs w:val="21"/>
              </w:rPr>
              <w:t>深圳市深水水务咨询有限公司</w:t>
            </w:r>
          </w:p>
        </w:tc>
        <w:tc>
          <w:tcPr>
            <w:tcW w:w="996" w:type="dxa"/>
            <w:gridSpan w:val="2"/>
            <w:vAlign w:val="center"/>
          </w:tcPr>
          <w:p w14:paraId="20E0B15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549" w:type="dxa"/>
            <w:gridSpan w:val="4"/>
          </w:tcPr>
          <w:p w14:paraId="66FFCA2A">
            <w:pPr>
              <w:spacing w:afterLines="0"/>
              <w:jc w:val="center"/>
              <w:rPr>
                <w:rFonts w:ascii="Times New Roman" w:hAnsi="Times New Roman" w:eastAsia="仿宋"/>
                <w:szCs w:val="21"/>
              </w:rPr>
            </w:pPr>
          </w:p>
        </w:tc>
      </w:tr>
      <w:tr w14:paraId="1FC9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Merge w:val="continue"/>
            <w:vAlign w:val="center"/>
          </w:tcPr>
          <w:p w14:paraId="3A5A23A1">
            <w:pPr>
              <w:spacing w:afterLines="0" w:line="300" w:lineRule="exact"/>
              <w:jc w:val="center"/>
              <w:rPr>
                <w:rFonts w:ascii="Times New Roman" w:hAnsi="Times New Roman" w:eastAsia="仿宋"/>
                <w:szCs w:val="21"/>
              </w:rPr>
            </w:pPr>
          </w:p>
        </w:tc>
        <w:tc>
          <w:tcPr>
            <w:tcW w:w="3914" w:type="dxa"/>
            <w:gridSpan w:val="3"/>
            <w:vMerge w:val="continue"/>
            <w:vAlign w:val="center"/>
          </w:tcPr>
          <w:p w14:paraId="2F15990D">
            <w:pPr>
              <w:spacing w:afterLines="0" w:line="300" w:lineRule="exact"/>
              <w:jc w:val="center"/>
              <w:rPr>
                <w:rFonts w:ascii="Times New Roman" w:hAnsi="Times New Roman" w:eastAsia="仿宋"/>
                <w:szCs w:val="21"/>
              </w:rPr>
            </w:pPr>
          </w:p>
        </w:tc>
        <w:tc>
          <w:tcPr>
            <w:tcW w:w="996" w:type="dxa"/>
            <w:gridSpan w:val="2"/>
            <w:vAlign w:val="center"/>
          </w:tcPr>
          <w:p w14:paraId="6A9D5F16">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549" w:type="dxa"/>
            <w:gridSpan w:val="4"/>
          </w:tcPr>
          <w:p w14:paraId="3255C741">
            <w:pPr>
              <w:spacing w:afterLines="0"/>
              <w:jc w:val="center"/>
              <w:rPr>
                <w:rFonts w:ascii="Times New Roman" w:hAnsi="Times New Roman" w:eastAsia="仿宋"/>
                <w:szCs w:val="21"/>
              </w:rPr>
            </w:pPr>
          </w:p>
        </w:tc>
      </w:tr>
      <w:tr w14:paraId="54EF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1C524CB9">
            <w:pPr>
              <w:spacing w:afterLines="0" w:line="300" w:lineRule="exact"/>
              <w:jc w:val="center"/>
              <w:rPr>
                <w:rFonts w:ascii="Times New Roman" w:hAnsi="Times New Roman" w:eastAsia="仿宋"/>
                <w:szCs w:val="21"/>
              </w:rPr>
            </w:pPr>
            <w:r>
              <w:rPr>
                <w:rFonts w:hint="eastAsia" w:ascii="Times New Roman" w:hAnsi="Times New Roman" w:eastAsia="仿宋"/>
                <w:szCs w:val="21"/>
              </w:rPr>
              <w:t>收运地址</w:t>
            </w:r>
          </w:p>
        </w:tc>
        <w:tc>
          <w:tcPr>
            <w:tcW w:w="3914" w:type="dxa"/>
            <w:gridSpan w:val="3"/>
            <w:vAlign w:val="center"/>
          </w:tcPr>
          <w:p w14:paraId="1C562216">
            <w:pPr>
              <w:spacing w:afterLines="0" w:line="300" w:lineRule="exact"/>
              <w:jc w:val="center"/>
              <w:rPr>
                <w:rFonts w:ascii="Times New Roman" w:hAnsi="Times New Roman" w:eastAsia="仿宋"/>
                <w:szCs w:val="21"/>
              </w:rPr>
            </w:pPr>
            <w:r>
              <w:rPr>
                <w:rFonts w:hint="eastAsia" w:ascii="Times New Roman" w:hAnsi="Times New Roman" w:eastAsia="仿宋"/>
                <w:bCs/>
                <w:szCs w:val="21"/>
              </w:rPr>
              <w:t>深圳市龙岗区吉华街道郁环路郁南环境园污水处理二厂</w:t>
            </w:r>
          </w:p>
        </w:tc>
        <w:tc>
          <w:tcPr>
            <w:tcW w:w="996" w:type="dxa"/>
            <w:gridSpan w:val="2"/>
            <w:vAlign w:val="center"/>
          </w:tcPr>
          <w:p w14:paraId="2F666768">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549" w:type="dxa"/>
            <w:gridSpan w:val="4"/>
          </w:tcPr>
          <w:p w14:paraId="0699CA37">
            <w:pPr>
              <w:spacing w:afterLines="0"/>
              <w:jc w:val="center"/>
              <w:rPr>
                <w:rFonts w:ascii="Times New Roman" w:hAnsi="Times New Roman" w:eastAsia="仿宋"/>
                <w:szCs w:val="21"/>
              </w:rPr>
            </w:pPr>
          </w:p>
        </w:tc>
      </w:tr>
      <w:tr w14:paraId="7CBF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C6D00A8">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167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3E9E79B5">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53" w:type="dxa"/>
            <w:vAlign w:val="center"/>
          </w:tcPr>
          <w:p w14:paraId="60AFF96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16" w:type="dxa"/>
            <w:vAlign w:val="center"/>
          </w:tcPr>
          <w:p w14:paraId="59FEFC4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645" w:type="dxa"/>
            <w:vAlign w:val="center"/>
          </w:tcPr>
          <w:p w14:paraId="2620AA7A">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4E38C1C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86" w:type="dxa"/>
            <w:gridSpan w:val="2"/>
            <w:vAlign w:val="center"/>
          </w:tcPr>
          <w:p w14:paraId="726E65E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p>
          <w:p w14:paraId="10491A41">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（元/吨）</w:t>
            </w:r>
          </w:p>
        </w:tc>
        <w:tc>
          <w:tcPr>
            <w:tcW w:w="1065" w:type="dxa"/>
            <w:vAlign w:val="center"/>
          </w:tcPr>
          <w:p w14:paraId="5F80EB7B">
            <w:pPr>
              <w:spacing w:afterLines="0" w:line="440" w:lineRule="exact"/>
              <w:jc w:val="center"/>
              <w:rPr>
                <w:rFonts w:ascii="Times New Roman" w:hAnsi="Times New Roman" w:eastAsia="仿宋"/>
                <w:b/>
                <w:szCs w:val="21"/>
              </w:rPr>
            </w:pPr>
            <w:r>
              <w:rPr>
                <w:rFonts w:ascii="Times New Roman" w:hAnsi="Times New Roman" w:eastAsia="仿宋"/>
                <w:b/>
                <w:szCs w:val="21"/>
              </w:rPr>
              <w:t>小计</w:t>
            </w:r>
          </w:p>
          <w:p w14:paraId="6FD6AC8A">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w:t>
            </w:r>
          </w:p>
        </w:tc>
        <w:tc>
          <w:tcPr>
            <w:tcW w:w="1298" w:type="dxa"/>
            <w:vAlign w:val="center"/>
          </w:tcPr>
          <w:p w14:paraId="19A628B0">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7991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70AD0EAC">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3A18C4B6">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废矿物油与含矿物油废物（废机油）</w:t>
            </w:r>
          </w:p>
        </w:tc>
        <w:tc>
          <w:tcPr>
            <w:tcW w:w="1916" w:type="dxa"/>
            <w:vAlign w:val="center"/>
          </w:tcPr>
          <w:p w14:paraId="633F4711">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HW08(900-249-08</w:t>
            </w:r>
            <w:r>
              <w:rPr>
                <w:rFonts w:hint="eastAsia" w:ascii="Times New Roman" w:hAnsi="Times New Roman" w:eastAsia="仿宋" w:cs="Times New Roman"/>
                <w:bCs/>
                <w:szCs w:val="21"/>
                <w:lang w:val="en-US" w:eastAsia="zh-CN"/>
              </w:rPr>
              <w:t>)</w:t>
            </w:r>
          </w:p>
        </w:tc>
        <w:tc>
          <w:tcPr>
            <w:tcW w:w="645" w:type="dxa"/>
            <w:vAlign w:val="center"/>
          </w:tcPr>
          <w:p w14:paraId="0D9645EC">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5905340B">
            <w:pPr>
              <w:spacing w:afterLines="0" w:line="440" w:lineRule="exact"/>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0.5</w:t>
            </w:r>
          </w:p>
        </w:tc>
        <w:tc>
          <w:tcPr>
            <w:tcW w:w="1186" w:type="dxa"/>
            <w:gridSpan w:val="2"/>
            <w:vAlign w:val="center"/>
          </w:tcPr>
          <w:p w14:paraId="37AA6483">
            <w:pPr>
              <w:spacing w:afterLines="0" w:line="440" w:lineRule="exact"/>
              <w:jc w:val="center"/>
              <w:rPr>
                <w:rFonts w:ascii="Times New Roman" w:hAnsi="Times New Roman" w:eastAsia="仿宋"/>
                <w:bCs/>
                <w:szCs w:val="21"/>
              </w:rPr>
            </w:pPr>
          </w:p>
        </w:tc>
        <w:tc>
          <w:tcPr>
            <w:tcW w:w="1065" w:type="dxa"/>
            <w:vAlign w:val="center"/>
          </w:tcPr>
          <w:p w14:paraId="1EDEB941">
            <w:pPr>
              <w:spacing w:afterLines="0" w:line="440" w:lineRule="exact"/>
              <w:jc w:val="center"/>
              <w:rPr>
                <w:rFonts w:ascii="Times New Roman" w:hAnsi="Times New Roman" w:eastAsia="仿宋"/>
                <w:bCs/>
                <w:szCs w:val="21"/>
              </w:rPr>
            </w:pPr>
          </w:p>
        </w:tc>
        <w:tc>
          <w:tcPr>
            <w:tcW w:w="1298" w:type="dxa"/>
            <w:vAlign w:val="center"/>
          </w:tcPr>
          <w:p w14:paraId="6175A6E9">
            <w:pPr>
              <w:spacing w:afterLines="0" w:line="440" w:lineRule="exact"/>
              <w:jc w:val="center"/>
              <w:rPr>
                <w:rFonts w:ascii="Times New Roman" w:hAnsi="Times New Roman" w:eastAsia="仿宋"/>
                <w:bCs/>
                <w:szCs w:val="21"/>
              </w:rPr>
            </w:pPr>
          </w:p>
        </w:tc>
      </w:tr>
      <w:tr w14:paraId="406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2027CBB">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4477E448">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废酸</w:t>
            </w:r>
          </w:p>
        </w:tc>
        <w:tc>
          <w:tcPr>
            <w:tcW w:w="1916" w:type="dxa"/>
            <w:vAlign w:val="center"/>
          </w:tcPr>
          <w:p w14:paraId="467D6989">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HW34(900-349-34)</w:t>
            </w:r>
          </w:p>
        </w:tc>
        <w:tc>
          <w:tcPr>
            <w:tcW w:w="645" w:type="dxa"/>
            <w:vAlign w:val="center"/>
          </w:tcPr>
          <w:p w14:paraId="54467C4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F1A3231">
            <w:pPr>
              <w:spacing w:afterLines="0" w:line="440" w:lineRule="exact"/>
              <w:jc w:val="center"/>
              <w:rPr>
                <w:rFonts w:hint="eastAsia" w:ascii="Times New Roman" w:hAnsi="Times New Roman" w:eastAsia="仿宋"/>
                <w:bCs/>
                <w:szCs w:val="21"/>
                <w:lang w:eastAsia="zh-CN"/>
              </w:rPr>
            </w:pPr>
            <w:r>
              <w:rPr>
                <w:rFonts w:hint="eastAsia" w:ascii="Times New Roman" w:hAnsi="Times New Roman" w:eastAsia="仿宋"/>
                <w:bCs/>
                <w:szCs w:val="21"/>
              </w:rPr>
              <w:t>0.</w:t>
            </w:r>
            <w:r>
              <w:rPr>
                <w:rFonts w:hint="eastAsia" w:ascii="Times New Roman" w:hAnsi="Times New Roman" w:eastAsia="仿宋"/>
                <w:bCs/>
                <w:szCs w:val="21"/>
                <w:lang w:val="en-US" w:eastAsia="zh-CN"/>
              </w:rPr>
              <w:t>8</w:t>
            </w:r>
          </w:p>
        </w:tc>
        <w:tc>
          <w:tcPr>
            <w:tcW w:w="1186" w:type="dxa"/>
            <w:gridSpan w:val="2"/>
            <w:vAlign w:val="center"/>
          </w:tcPr>
          <w:p w14:paraId="1B045473">
            <w:pPr>
              <w:spacing w:afterLines="0" w:line="440" w:lineRule="exact"/>
              <w:jc w:val="center"/>
              <w:rPr>
                <w:rFonts w:ascii="Times New Roman" w:hAnsi="Times New Roman" w:eastAsia="仿宋"/>
                <w:bCs/>
                <w:szCs w:val="21"/>
              </w:rPr>
            </w:pPr>
          </w:p>
        </w:tc>
        <w:tc>
          <w:tcPr>
            <w:tcW w:w="1065" w:type="dxa"/>
            <w:vAlign w:val="center"/>
          </w:tcPr>
          <w:p w14:paraId="102880AB">
            <w:pPr>
              <w:spacing w:afterLines="0" w:line="440" w:lineRule="exact"/>
              <w:jc w:val="center"/>
              <w:rPr>
                <w:rFonts w:ascii="Times New Roman" w:hAnsi="Times New Roman" w:eastAsia="仿宋"/>
                <w:bCs/>
                <w:szCs w:val="21"/>
              </w:rPr>
            </w:pPr>
          </w:p>
        </w:tc>
        <w:tc>
          <w:tcPr>
            <w:tcW w:w="1298" w:type="dxa"/>
            <w:vAlign w:val="center"/>
          </w:tcPr>
          <w:p w14:paraId="7CDCDF22">
            <w:pPr>
              <w:spacing w:afterLines="0" w:line="440" w:lineRule="exact"/>
              <w:jc w:val="center"/>
              <w:rPr>
                <w:rFonts w:ascii="Times New Roman" w:hAnsi="Times New Roman" w:eastAsia="仿宋"/>
                <w:bCs/>
                <w:szCs w:val="21"/>
              </w:rPr>
            </w:pPr>
          </w:p>
        </w:tc>
      </w:tr>
      <w:tr w14:paraId="46CB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9F1582B">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5AD024D0">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废碱</w:t>
            </w:r>
          </w:p>
        </w:tc>
        <w:tc>
          <w:tcPr>
            <w:tcW w:w="1916" w:type="dxa"/>
            <w:vAlign w:val="center"/>
          </w:tcPr>
          <w:p w14:paraId="7E212C6E">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HW35(900-356-35)</w:t>
            </w:r>
          </w:p>
        </w:tc>
        <w:tc>
          <w:tcPr>
            <w:tcW w:w="645" w:type="dxa"/>
            <w:vAlign w:val="center"/>
          </w:tcPr>
          <w:p w14:paraId="59B2753D">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E4899FA">
            <w:pPr>
              <w:spacing w:afterLines="0" w:line="440" w:lineRule="exact"/>
              <w:jc w:val="center"/>
              <w:rPr>
                <w:rFonts w:hint="eastAsia" w:ascii="Times New Roman" w:hAnsi="Times New Roman" w:eastAsia="仿宋"/>
                <w:bCs/>
                <w:szCs w:val="21"/>
                <w:lang w:eastAsia="zh-CN"/>
              </w:rPr>
            </w:pPr>
            <w:r>
              <w:rPr>
                <w:rFonts w:hint="eastAsia" w:ascii="Times New Roman" w:hAnsi="Times New Roman" w:eastAsia="仿宋"/>
                <w:bCs/>
                <w:szCs w:val="21"/>
              </w:rPr>
              <w:t>0.</w:t>
            </w:r>
            <w:r>
              <w:rPr>
                <w:rFonts w:hint="eastAsia" w:ascii="Times New Roman" w:hAnsi="Times New Roman" w:eastAsia="仿宋"/>
                <w:bCs/>
                <w:szCs w:val="21"/>
                <w:lang w:val="en-US" w:eastAsia="zh-CN"/>
              </w:rPr>
              <w:t>6</w:t>
            </w:r>
          </w:p>
        </w:tc>
        <w:tc>
          <w:tcPr>
            <w:tcW w:w="1186" w:type="dxa"/>
            <w:gridSpan w:val="2"/>
            <w:vAlign w:val="center"/>
          </w:tcPr>
          <w:p w14:paraId="3247C61E">
            <w:pPr>
              <w:spacing w:afterLines="0" w:line="440" w:lineRule="exact"/>
              <w:jc w:val="center"/>
              <w:rPr>
                <w:rFonts w:ascii="Times New Roman" w:hAnsi="Times New Roman" w:eastAsia="仿宋"/>
                <w:bCs/>
                <w:szCs w:val="21"/>
              </w:rPr>
            </w:pPr>
          </w:p>
        </w:tc>
        <w:tc>
          <w:tcPr>
            <w:tcW w:w="1065" w:type="dxa"/>
            <w:vAlign w:val="center"/>
          </w:tcPr>
          <w:p w14:paraId="06882C84">
            <w:pPr>
              <w:spacing w:afterLines="0" w:line="440" w:lineRule="exact"/>
              <w:jc w:val="center"/>
              <w:rPr>
                <w:rFonts w:ascii="Times New Roman" w:hAnsi="Times New Roman" w:eastAsia="仿宋"/>
                <w:bCs/>
                <w:szCs w:val="21"/>
              </w:rPr>
            </w:pPr>
          </w:p>
        </w:tc>
        <w:tc>
          <w:tcPr>
            <w:tcW w:w="1298" w:type="dxa"/>
            <w:vAlign w:val="center"/>
          </w:tcPr>
          <w:p w14:paraId="31207F99">
            <w:pPr>
              <w:spacing w:afterLines="0" w:line="440" w:lineRule="exact"/>
              <w:jc w:val="center"/>
              <w:rPr>
                <w:rFonts w:ascii="Times New Roman" w:hAnsi="Times New Roman" w:eastAsia="仿宋"/>
                <w:bCs/>
                <w:szCs w:val="21"/>
              </w:rPr>
            </w:pPr>
          </w:p>
        </w:tc>
      </w:tr>
      <w:tr w14:paraId="320A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66B19008">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以上报价需含1次服务订单内所有服务内容的免费收运服务，如超过</w:t>
            </w:r>
            <w:r>
              <w:rPr>
                <w:rFonts w:hint="eastAsia" w:ascii="Times New Roman" w:hAnsi="Times New Roman" w:eastAsia="仿宋"/>
                <w:bCs/>
                <w:szCs w:val="21"/>
                <w:lang w:val="en-US" w:eastAsia="zh-CN"/>
              </w:rPr>
              <w:t>1</w:t>
            </w:r>
            <w:r>
              <w:rPr>
                <w:rFonts w:hint="eastAsia" w:ascii="Times New Roman" w:hAnsi="Times New Roman" w:eastAsia="仿宋"/>
                <w:bCs/>
                <w:szCs w:val="21"/>
              </w:rPr>
              <w:t>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44EF7938">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收运地址：深圳市龙岗区吉华街道郁环路郁南环境园污水处理二厂；</w:t>
            </w:r>
          </w:p>
        </w:tc>
      </w:tr>
      <w:tr w14:paraId="6C2F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4B43904A">
            <w:pPr>
              <w:spacing w:afterLines="0" w:line="300" w:lineRule="exact"/>
              <w:jc w:val="center"/>
              <w:rPr>
                <w:rFonts w:ascii="Times New Roman" w:hAnsi="Times New Roman" w:eastAsia="仿宋"/>
                <w:szCs w:val="21"/>
              </w:rPr>
            </w:pPr>
            <w:r>
              <w:rPr>
                <w:rFonts w:hint="eastAsia" w:ascii="Times New Roman" w:hAnsi="Times New Roman" w:eastAsia="仿宋"/>
                <w:szCs w:val="21"/>
              </w:rPr>
              <w:t>含税合计</w:t>
            </w:r>
          </w:p>
        </w:tc>
        <w:tc>
          <w:tcPr>
            <w:tcW w:w="8459" w:type="dxa"/>
            <w:gridSpan w:val="9"/>
            <w:vAlign w:val="center"/>
          </w:tcPr>
          <w:p w14:paraId="7A035061">
            <w:pPr>
              <w:spacing w:afterLines="0" w:line="300" w:lineRule="exact"/>
              <w:jc w:val="left"/>
              <w:rPr>
                <w:rFonts w:ascii="Times New Roman" w:hAnsi="Times New Roman" w:eastAsia="仿宋"/>
                <w:szCs w:val="21"/>
              </w:rPr>
            </w:pPr>
            <w:r>
              <w:rPr>
                <w:rFonts w:hint="eastAsia" w:ascii="Times New Roman" w:hAnsi="Times New Roman" w:eastAsia="仿宋"/>
                <w:szCs w:val="21"/>
              </w:rPr>
              <w:t xml:space="preserve">      元</w:t>
            </w:r>
          </w:p>
        </w:tc>
      </w:tr>
      <w:tr w14:paraId="7DC0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320AC4F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14" w:type="dxa"/>
            <w:gridSpan w:val="3"/>
            <w:vAlign w:val="center"/>
          </w:tcPr>
          <w:p w14:paraId="6232C60A">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96" w:type="dxa"/>
            <w:gridSpan w:val="2"/>
            <w:vAlign w:val="center"/>
          </w:tcPr>
          <w:p w14:paraId="50E46212">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549" w:type="dxa"/>
            <w:gridSpan w:val="4"/>
            <w:vAlign w:val="center"/>
          </w:tcPr>
          <w:p w14:paraId="649330B7">
            <w:pPr>
              <w:spacing w:afterLines="0" w:line="300" w:lineRule="exact"/>
              <w:jc w:val="center"/>
              <w:rPr>
                <w:rFonts w:ascii="Times New Roman" w:hAnsi="Times New Roman" w:eastAsia="仿宋"/>
                <w:szCs w:val="21"/>
              </w:rPr>
            </w:pPr>
            <w:r>
              <w:rPr>
                <w:rFonts w:hint="eastAsia" w:ascii="Times New Roman" w:hAnsi="Times New Roman" w:eastAsia="仿宋"/>
                <w:szCs w:val="21"/>
              </w:rPr>
              <w:t>6%</w:t>
            </w:r>
          </w:p>
        </w:tc>
      </w:tr>
      <w:tr w14:paraId="183E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6A0760F1">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459" w:type="dxa"/>
            <w:gridSpan w:val="9"/>
            <w:shd w:val="clear" w:color="auto" w:fill="auto"/>
            <w:vAlign w:val="center"/>
          </w:tcPr>
          <w:p w14:paraId="381EFF8D">
            <w:pPr>
              <w:spacing w:afterLines="0" w:line="300" w:lineRule="exact"/>
              <w:jc w:val="left"/>
              <w:rPr>
                <w:rFonts w:hint="eastAsia" w:ascii="仿宋" w:hAnsi="仿宋" w:eastAsia="仿宋"/>
                <w:szCs w:val="21"/>
              </w:rPr>
            </w:pPr>
            <w:r>
              <w:rPr>
                <w:rFonts w:hint="eastAsia" w:ascii="Times New Roman" w:hAnsi="Times New Roman" w:eastAsia="仿宋"/>
                <w:szCs w:val="21"/>
              </w:rPr>
              <w:t>据实支付，每次服务结束后，根据危废运输联单上不同种类危废的数量，计算各项数量与其对应单价的乘积之和，为当次的服务费用。采购人在收到中标单位开具的等额发票之后，支付当次服务费。</w:t>
            </w:r>
          </w:p>
        </w:tc>
      </w:tr>
      <w:tr w14:paraId="003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361A33C9">
            <w:pPr>
              <w:spacing w:afterLines="0" w:line="300" w:lineRule="exact"/>
              <w:jc w:val="center"/>
              <w:rPr>
                <w:rFonts w:ascii="Times New Roman" w:hAnsi="Times New Roman" w:eastAsia="仿宋"/>
                <w:szCs w:val="21"/>
              </w:rPr>
            </w:pPr>
            <w:r>
              <w:rPr>
                <w:rFonts w:hint="eastAsia" w:ascii="Times New Roman" w:hAnsi="Times New Roman" w:eastAsia="仿宋"/>
                <w:szCs w:val="21"/>
              </w:rPr>
              <w:t>*服务期</w:t>
            </w:r>
          </w:p>
        </w:tc>
        <w:tc>
          <w:tcPr>
            <w:tcW w:w="3969" w:type="dxa"/>
            <w:gridSpan w:val="4"/>
            <w:vAlign w:val="center"/>
          </w:tcPr>
          <w:p w14:paraId="26417D3D">
            <w:pPr>
              <w:spacing w:afterLines="0" w:line="300" w:lineRule="exact"/>
              <w:jc w:val="left"/>
              <w:rPr>
                <w:rFonts w:ascii="Times New Roman" w:hAnsi="Times New Roman" w:eastAsia="仿宋"/>
                <w:szCs w:val="21"/>
              </w:rPr>
            </w:pPr>
            <w:r>
              <w:rPr>
                <w:rFonts w:hint="eastAsia" w:ascii="Times New Roman" w:hAnsi="Times New Roman" w:eastAsia="仿宋"/>
                <w:szCs w:val="21"/>
              </w:rPr>
              <w:t>1年</w:t>
            </w:r>
          </w:p>
        </w:tc>
        <w:tc>
          <w:tcPr>
            <w:tcW w:w="993" w:type="dxa"/>
            <w:gridSpan w:val="2"/>
            <w:vAlign w:val="center"/>
          </w:tcPr>
          <w:p w14:paraId="396E511F">
            <w:pPr>
              <w:spacing w:afterLines="0" w:line="300" w:lineRule="exact"/>
              <w:jc w:val="left"/>
              <w:rPr>
                <w:rFonts w:ascii="Times New Roman" w:hAnsi="Times New Roman" w:eastAsia="仿宋"/>
                <w:szCs w:val="21"/>
              </w:rPr>
            </w:pPr>
            <w:r>
              <w:rPr>
                <w:rFonts w:hint="eastAsia" w:ascii="Times New Roman" w:hAnsi="Times New Roman" w:eastAsia="仿宋"/>
                <w:szCs w:val="21"/>
              </w:rPr>
              <w:t>其他</w:t>
            </w:r>
          </w:p>
        </w:tc>
        <w:tc>
          <w:tcPr>
            <w:tcW w:w="3497" w:type="dxa"/>
            <w:gridSpan w:val="3"/>
            <w:vAlign w:val="center"/>
          </w:tcPr>
          <w:p w14:paraId="582AE26F">
            <w:pPr>
              <w:spacing w:afterLines="0" w:line="300" w:lineRule="exact"/>
              <w:jc w:val="left"/>
              <w:rPr>
                <w:rFonts w:hint="eastAsia" w:ascii="Times New Roman" w:hAnsi="Times New Roman" w:eastAsia="仿宋"/>
                <w:szCs w:val="21"/>
                <w:lang w:val="en-US" w:eastAsia="zh-CN"/>
              </w:rPr>
            </w:pPr>
            <w:r>
              <w:rPr>
                <w:rFonts w:hint="eastAsia" w:ascii="Times New Roman" w:hAnsi="Times New Roman" w:eastAsia="仿宋"/>
                <w:szCs w:val="21"/>
                <w:lang w:val="en-US" w:eastAsia="zh-CN"/>
              </w:rPr>
              <w:t>/</w:t>
            </w:r>
          </w:p>
        </w:tc>
      </w:tr>
      <w:tr w14:paraId="31A7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57C1C364">
            <w:pPr>
              <w:spacing w:afterLines="0" w:line="300" w:lineRule="exact"/>
              <w:jc w:val="left"/>
              <w:rPr>
                <w:rFonts w:ascii="Times New Roman" w:hAnsi="Times New Roman" w:eastAsia="仿宋"/>
                <w:szCs w:val="21"/>
              </w:rPr>
            </w:pPr>
            <w:r>
              <w:rPr>
                <w:rFonts w:hint="eastAsia" w:ascii="Times New Roman" w:hAnsi="Times New Roman" w:eastAsia="仿宋"/>
                <w:szCs w:val="21"/>
              </w:rPr>
              <w:t>1.如使用本报价单模板，标“*”为必填项;</w:t>
            </w:r>
          </w:p>
          <w:p w14:paraId="3F71BDF4">
            <w:pPr>
              <w:spacing w:afterLines="0" w:line="300" w:lineRule="exact"/>
              <w:jc w:val="left"/>
              <w:rPr>
                <w:rFonts w:ascii="Times New Roman" w:hAnsi="Times New Roman" w:eastAsia="仿宋"/>
                <w:szCs w:val="21"/>
              </w:rPr>
            </w:pPr>
            <w:r>
              <w:rPr>
                <w:rFonts w:hint="eastAsia" w:ascii="Times New Roman" w:hAnsi="Times New Roman" w:eastAsia="仿宋"/>
                <w:szCs w:val="21"/>
              </w:rPr>
              <w:t>2、本采购项目以不含税价进行对比，参选单位需填报含税价及税率。</w:t>
            </w:r>
          </w:p>
          <w:p w14:paraId="09910DB7">
            <w:pPr>
              <w:spacing w:afterLines="0" w:line="300" w:lineRule="exact"/>
              <w:jc w:val="left"/>
              <w:rPr>
                <w:rFonts w:ascii="Times New Roman" w:hAnsi="Times New Roman" w:eastAsia="仿宋"/>
                <w:szCs w:val="21"/>
              </w:rPr>
            </w:pPr>
            <w:r>
              <w:rPr>
                <w:rFonts w:hint="eastAsia" w:ascii="Times New Roman" w:hAnsi="Times New Roman" w:eastAsia="仿宋"/>
                <w:szCs w:val="21"/>
              </w:rPr>
              <w:t>3、本次采购签订单价合同，据实结算；</w:t>
            </w:r>
          </w:p>
          <w:p w14:paraId="1CC7D151">
            <w:pPr>
              <w:spacing w:afterLines="0" w:line="300" w:lineRule="exact"/>
              <w:jc w:val="left"/>
              <w:rPr>
                <w:rFonts w:ascii="Times New Roman" w:hAnsi="Times New Roman" w:eastAsia="仿宋"/>
                <w:szCs w:val="21"/>
              </w:rPr>
            </w:pPr>
            <w:r>
              <w:rPr>
                <w:rFonts w:hint="eastAsia" w:ascii="Times New Roman" w:hAnsi="Times New Roman" w:eastAsia="仿宋"/>
                <w:szCs w:val="21"/>
              </w:rPr>
              <w:t>4</w:t>
            </w:r>
            <w:r>
              <w:rPr>
                <w:rFonts w:hint="eastAsia" w:ascii="Times New Roman" w:hAnsi="Times New Roman" w:eastAsia="仿宋"/>
                <w:szCs w:val="21"/>
                <w:lang w:eastAsia="zh-CN"/>
              </w:rPr>
              <w:t>、</w:t>
            </w:r>
            <w:r>
              <w:rPr>
                <w:rFonts w:hint="eastAsia" w:ascii="Times New Roman" w:hAnsi="Times New Roman" w:eastAsia="仿宋"/>
                <w:szCs w:val="21"/>
              </w:rPr>
              <w:t>合同不含税价计算方式:合同不含税价=含税价/(1+税率)；</w:t>
            </w:r>
          </w:p>
          <w:p w14:paraId="38B5CDDE">
            <w:pPr>
              <w:spacing w:afterLines="0" w:line="300" w:lineRule="exact"/>
              <w:jc w:val="left"/>
              <w:rPr>
                <w:rFonts w:ascii="Times New Roman" w:hAnsi="Times New Roman" w:eastAsia="仿宋"/>
              </w:rPr>
            </w:pPr>
            <w:r>
              <w:rPr>
                <w:rFonts w:hint="eastAsia" w:ascii="Times New Roman" w:hAnsi="Times New Roman" w:eastAsia="仿宋"/>
                <w:szCs w:val="21"/>
              </w:rPr>
              <w:t>5、以上报价为最终报价，无现场议价，报价人参与报价即视为已知悉并接受该情况。</w:t>
            </w:r>
          </w:p>
        </w:tc>
      </w:tr>
    </w:tbl>
    <w:p w14:paraId="744C7F0F">
      <w:pPr>
        <w:snapToGrid w:val="0"/>
        <w:spacing w:afterLines="0" w:line="360" w:lineRule="auto"/>
        <w:ind w:firstLine="525" w:firstLineChars="250"/>
        <w:jc w:val="right"/>
        <w:rPr>
          <w:rFonts w:ascii="Times New Roman" w:hAnsi="Times New Roman" w:eastAsia="仿宋" w:cs="Arial"/>
        </w:rPr>
      </w:pPr>
    </w:p>
    <w:p w14:paraId="74D13214">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报价单位盖章 </w:t>
      </w:r>
      <w:r>
        <w:rPr>
          <w:rFonts w:ascii="Times New Roman" w:hAnsi="Times New Roman" w:eastAsia="仿宋" w:cs="Arial"/>
        </w:rPr>
        <w:t xml:space="preserve">          </w:t>
      </w:r>
    </w:p>
    <w:p w14:paraId="187B135E">
      <w:pPr>
        <w:wordWrap w:val="0"/>
        <w:snapToGrid w:val="0"/>
        <w:spacing w:afterLines="0" w:line="360" w:lineRule="auto"/>
        <w:ind w:firstLine="525" w:firstLineChars="250"/>
        <w:jc w:val="right"/>
        <w:rPr>
          <w:rFonts w:ascii="Times New Roman" w:hAnsi="Times New Roman" w:eastAsia="仿宋"/>
          <w:b/>
          <w:bCs/>
          <w:kern w:val="0"/>
          <w:sz w:val="24"/>
        </w:rPr>
      </w:pPr>
      <w:r>
        <w:rPr>
          <w:rFonts w:hint="eastAsia" w:ascii="Times New Roman" w:hAnsi="Times New Roman" w:eastAsia="仿宋" w:cs="Arial"/>
        </w:rPr>
        <w:t xml:space="preserve">时间：    年      月   日   </w:t>
      </w:r>
      <w:r>
        <w:rPr>
          <w:rFonts w:hint="eastAsia" w:ascii="Times New Roman" w:hAnsi="Times New Roman" w:eastAsia="仿宋"/>
          <w:b/>
          <w:bCs/>
          <w:kern w:val="0"/>
          <w:sz w:val="24"/>
        </w:rPr>
        <w:br w:type="page"/>
      </w:r>
    </w:p>
    <w:p w14:paraId="44A2B86B">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响应供应商认为有必要提供的其他材料</w:t>
      </w:r>
      <w:bookmarkEnd w:id="13"/>
      <w:bookmarkEnd w:id="14"/>
    </w:p>
    <w:p w14:paraId="3189AE59">
      <w:pPr>
        <w:spacing w:after="78" w:line="288" w:lineRule="auto"/>
        <w:rPr>
          <w:rFonts w:hint="eastAsia" w:ascii="仿宋" w:hAnsi="仿宋" w:eastAsia="仿宋"/>
          <w:b/>
          <w:szCs w:val="21"/>
        </w:rPr>
      </w:pPr>
    </w:p>
    <w:p w14:paraId="09F25F22">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7A5E7F-AFB4-41E1-9A60-23BC4D599345}"/>
  </w:font>
  <w:font w:name="黑体">
    <w:panose1 w:val="02010609060101010101"/>
    <w:charset w:val="86"/>
    <w:family w:val="auto"/>
    <w:pitch w:val="default"/>
    <w:sig w:usb0="800002BF" w:usb1="38CF7CFA" w:usb2="00000016" w:usb3="00000000" w:csb0="00040001" w:csb1="00000000"/>
    <w:embedRegular r:id="rId2" w:fontKey="{5596F3D1-80FE-4B0C-9399-151C3E2C12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128FEB9-37F6-4900-8EF7-EF039C3C59A2}"/>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83608C9F-A1D1-4D57-B6D6-0087B4013AC4}"/>
  </w:font>
  <w:font w:name="方正小标宋简体">
    <w:altName w:val="方正舒体"/>
    <w:panose1 w:val="00000000000000000000"/>
    <w:charset w:val="86"/>
    <w:family w:val="auto"/>
    <w:pitch w:val="default"/>
    <w:sig w:usb0="00000000" w:usb1="00000000" w:usb2="00000000" w:usb3="00000000" w:csb0="00040000" w:csb1="00000000"/>
    <w:embedRegular r:id="rId5" w:fontKey="{1E61391D-79BD-4085-85FE-2D8632B06945}"/>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6" w:fontKey="{4DF16D86-093F-4325-9442-40A8CBAA827B}"/>
  </w:font>
  <w:font w:name="长城小标宋体">
    <w:panose1 w:val="02010609010101010101"/>
    <w:charset w:val="86"/>
    <w:family w:val="auto"/>
    <w:pitch w:val="default"/>
    <w:sig w:usb0="00000000" w:usb1="00000000" w:usb2="00000000" w:usb3="00000000" w:csb0="00000000" w:csb1="00000000"/>
    <w:embedRegular r:id="rId7" w:fontKey="{5510AAAA-A59F-42A2-B24D-8DA2990F6272}"/>
  </w:font>
  <w:font w:name="微软雅黑">
    <w:panose1 w:val="020B0503020204020204"/>
    <w:charset w:val="86"/>
    <w:family w:val="swiss"/>
    <w:pitch w:val="default"/>
    <w:sig w:usb0="80000287" w:usb1="2ACF3C50" w:usb2="00000016" w:usb3="00000000" w:csb0="0004001F" w:csb1="00000000"/>
    <w:embedRegular r:id="rId8" w:fontKey="{565E6B77-B621-4179-B00C-DDEEB262978A}"/>
  </w:font>
  <w:font w:name="Times New Roman Regular">
    <w:altName w:val="Times New Roman"/>
    <w:panose1 w:val="00000000000000000000"/>
    <w:charset w:val="00"/>
    <w:family w:val="auto"/>
    <w:pitch w:val="default"/>
    <w:sig w:usb0="00000000" w:usb1="00000000" w:usb2="00000009" w:usb3="00000000" w:csb0="400001FF" w:csb1="FFFF0000"/>
    <w:embedRegular r:id="rId9" w:fontKey="{527EA5F0-00DA-4831-8910-39C69C0C84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3048F4A">
        <w:pPr>
          <w:pStyle w:val="15"/>
          <w:spacing w:after="60"/>
        </w:pPr>
        <w:r>
          <w:t xml:space="preserve">     </w:t>
        </w:r>
      </w:p>
    </w:sdtContent>
  </w:sdt>
  <w:p w14:paraId="10F9F56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F33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8305">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FB5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9AF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6C32">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473C07"/>
    <w:multiLevelType w:val="multilevel"/>
    <w:tmpl w:val="04473C0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40C2"/>
    <w:rsid w:val="000068F2"/>
    <w:rsid w:val="0001062A"/>
    <w:rsid w:val="0001156F"/>
    <w:rsid w:val="00012A78"/>
    <w:rsid w:val="000141CF"/>
    <w:rsid w:val="000167A2"/>
    <w:rsid w:val="00017E84"/>
    <w:rsid w:val="000225A9"/>
    <w:rsid w:val="00023C92"/>
    <w:rsid w:val="000243DA"/>
    <w:rsid w:val="00024B0C"/>
    <w:rsid w:val="00026CC7"/>
    <w:rsid w:val="0003095E"/>
    <w:rsid w:val="00031F7A"/>
    <w:rsid w:val="000328EA"/>
    <w:rsid w:val="0003380B"/>
    <w:rsid w:val="00034910"/>
    <w:rsid w:val="00034C63"/>
    <w:rsid w:val="00034DD1"/>
    <w:rsid w:val="00035219"/>
    <w:rsid w:val="00035B35"/>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4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658B"/>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1D62"/>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CE7"/>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752"/>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258E"/>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1C8"/>
    <w:rsid w:val="005607C5"/>
    <w:rsid w:val="0056148D"/>
    <w:rsid w:val="005632AA"/>
    <w:rsid w:val="00563DFD"/>
    <w:rsid w:val="00564C85"/>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5B4B"/>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5F9C"/>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5A67"/>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829"/>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29CE"/>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08C2"/>
    <w:rsid w:val="00841972"/>
    <w:rsid w:val="00841F61"/>
    <w:rsid w:val="00844140"/>
    <w:rsid w:val="008449FD"/>
    <w:rsid w:val="008453B1"/>
    <w:rsid w:val="008453BD"/>
    <w:rsid w:val="008465A1"/>
    <w:rsid w:val="00846F07"/>
    <w:rsid w:val="00850729"/>
    <w:rsid w:val="00851AD4"/>
    <w:rsid w:val="00852EA8"/>
    <w:rsid w:val="0085314D"/>
    <w:rsid w:val="00854363"/>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3F87"/>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070D"/>
    <w:rsid w:val="00A30F7B"/>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C77B0"/>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1F9"/>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3EA4"/>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B5F"/>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56F"/>
    <w:rsid w:val="00C42ADD"/>
    <w:rsid w:val="00C43BB0"/>
    <w:rsid w:val="00C450D9"/>
    <w:rsid w:val="00C4618D"/>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866"/>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4ABE"/>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B767F"/>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6E54"/>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3D51"/>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91C"/>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5B78"/>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633"/>
    <w:rsid w:val="00F40726"/>
    <w:rsid w:val="00F409BD"/>
    <w:rsid w:val="00F4139E"/>
    <w:rsid w:val="00F41A44"/>
    <w:rsid w:val="00F42772"/>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F4461A"/>
    <w:rsid w:val="02BE756F"/>
    <w:rsid w:val="06F9F432"/>
    <w:rsid w:val="080F3D73"/>
    <w:rsid w:val="08E10E2B"/>
    <w:rsid w:val="0A886720"/>
    <w:rsid w:val="0B0E30C9"/>
    <w:rsid w:val="0D7F8C1E"/>
    <w:rsid w:val="0DAFDDD2"/>
    <w:rsid w:val="0FD61205"/>
    <w:rsid w:val="105359F4"/>
    <w:rsid w:val="10872EA8"/>
    <w:rsid w:val="10DD77C5"/>
    <w:rsid w:val="13AFEC81"/>
    <w:rsid w:val="13FA129B"/>
    <w:rsid w:val="1792661F"/>
    <w:rsid w:val="17A305D2"/>
    <w:rsid w:val="17F46066"/>
    <w:rsid w:val="19A00859"/>
    <w:rsid w:val="19AF32D8"/>
    <w:rsid w:val="19C91652"/>
    <w:rsid w:val="1A274A18"/>
    <w:rsid w:val="1B3FC108"/>
    <w:rsid w:val="1BBF5AD0"/>
    <w:rsid w:val="1BFB4A9B"/>
    <w:rsid w:val="1BFE3282"/>
    <w:rsid w:val="1D8C1793"/>
    <w:rsid w:val="1DC4251B"/>
    <w:rsid w:val="1E44160E"/>
    <w:rsid w:val="1F0F1A56"/>
    <w:rsid w:val="1F7F9C30"/>
    <w:rsid w:val="1FB39FF7"/>
    <w:rsid w:val="1FB54372"/>
    <w:rsid w:val="1FFF4E3F"/>
    <w:rsid w:val="226444BC"/>
    <w:rsid w:val="24525164"/>
    <w:rsid w:val="257FF5EF"/>
    <w:rsid w:val="27BED872"/>
    <w:rsid w:val="28335D7B"/>
    <w:rsid w:val="29E9B391"/>
    <w:rsid w:val="2A975780"/>
    <w:rsid w:val="2AFDB16C"/>
    <w:rsid w:val="2B7D8E96"/>
    <w:rsid w:val="2B9B7C50"/>
    <w:rsid w:val="2C87EFA4"/>
    <w:rsid w:val="2CEFA2BD"/>
    <w:rsid w:val="2D2D55C6"/>
    <w:rsid w:val="2D9E346A"/>
    <w:rsid w:val="2EFF028F"/>
    <w:rsid w:val="2EFF0385"/>
    <w:rsid w:val="2F7968EA"/>
    <w:rsid w:val="2FDFB298"/>
    <w:rsid w:val="2FEBB001"/>
    <w:rsid w:val="302278F0"/>
    <w:rsid w:val="30BF60A9"/>
    <w:rsid w:val="30EE09A0"/>
    <w:rsid w:val="31276DA7"/>
    <w:rsid w:val="323A73AF"/>
    <w:rsid w:val="330730BE"/>
    <w:rsid w:val="33BA1982"/>
    <w:rsid w:val="340E3EBE"/>
    <w:rsid w:val="35313D4E"/>
    <w:rsid w:val="35BA33FC"/>
    <w:rsid w:val="36B91E0A"/>
    <w:rsid w:val="377B856B"/>
    <w:rsid w:val="37FEEEDA"/>
    <w:rsid w:val="388D2D99"/>
    <w:rsid w:val="391FB7C6"/>
    <w:rsid w:val="3956852C"/>
    <w:rsid w:val="397D4866"/>
    <w:rsid w:val="3A0577A9"/>
    <w:rsid w:val="3A3B0BB3"/>
    <w:rsid w:val="3A51BFC5"/>
    <w:rsid w:val="3A7647DA"/>
    <w:rsid w:val="3AA47338"/>
    <w:rsid w:val="3AE03C9D"/>
    <w:rsid w:val="3AFD93B8"/>
    <w:rsid w:val="3B1F391F"/>
    <w:rsid w:val="3B459C86"/>
    <w:rsid w:val="3B5F884B"/>
    <w:rsid w:val="3B95BADD"/>
    <w:rsid w:val="3C5D14BF"/>
    <w:rsid w:val="3C7BEB7C"/>
    <w:rsid w:val="3D6C951B"/>
    <w:rsid w:val="3DB56025"/>
    <w:rsid w:val="3DF338D5"/>
    <w:rsid w:val="3DFF524D"/>
    <w:rsid w:val="3DFF7079"/>
    <w:rsid w:val="3DFFBEE7"/>
    <w:rsid w:val="3EA7FE48"/>
    <w:rsid w:val="3EF86484"/>
    <w:rsid w:val="3EFBCAFF"/>
    <w:rsid w:val="3EFE69D5"/>
    <w:rsid w:val="3EFFC981"/>
    <w:rsid w:val="3FBF5430"/>
    <w:rsid w:val="3FD37539"/>
    <w:rsid w:val="3FDFD096"/>
    <w:rsid w:val="3FED8FF1"/>
    <w:rsid w:val="3FFCCAC4"/>
    <w:rsid w:val="3FFE10BE"/>
    <w:rsid w:val="40AC2991"/>
    <w:rsid w:val="417EEE12"/>
    <w:rsid w:val="42652233"/>
    <w:rsid w:val="43EE5F1E"/>
    <w:rsid w:val="43FB0A8D"/>
    <w:rsid w:val="44292F68"/>
    <w:rsid w:val="456267AA"/>
    <w:rsid w:val="47142C3E"/>
    <w:rsid w:val="477F8B44"/>
    <w:rsid w:val="49765940"/>
    <w:rsid w:val="49B50D76"/>
    <w:rsid w:val="49C317F9"/>
    <w:rsid w:val="49FE4369"/>
    <w:rsid w:val="4ACDDF1D"/>
    <w:rsid w:val="4BBA3990"/>
    <w:rsid w:val="4D440637"/>
    <w:rsid w:val="4DFF1032"/>
    <w:rsid w:val="4EFDA9D6"/>
    <w:rsid w:val="4EFF30A2"/>
    <w:rsid w:val="4F10078B"/>
    <w:rsid w:val="4F155DA1"/>
    <w:rsid w:val="4F4F0D8E"/>
    <w:rsid w:val="4FF9BA94"/>
    <w:rsid w:val="4FFC2348"/>
    <w:rsid w:val="50525401"/>
    <w:rsid w:val="557F0F30"/>
    <w:rsid w:val="559E5CE3"/>
    <w:rsid w:val="56DD8954"/>
    <w:rsid w:val="570959A2"/>
    <w:rsid w:val="5718258C"/>
    <w:rsid w:val="573C0B3A"/>
    <w:rsid w:val="57AFC3C2"/>
    <w:rsid w:val="59FF3A15"/>
    <w:rsid w:val="5AFFC0B6"/>
    <w:rsid w:val="5B9D2296"/>
    <w:rsid w:val="5BA54009"/>
    <w:rsid w:val="5BFAA3C6"/>
    <w:rsid w:val="5C163B75"/>
    <w:rsid w:val="5D69DE7E"/>
    <w:rsid w:val="5D7BEC1C"/>
    <w:rsid w:val="5DDB0F78"/>
    <w:rsid w:val="5E737D05"/>
    <w:rsid w:val="5E8BD0E0"/>
    <w:rsid w:val="5EAB6836"/>
    <w:rsid w:val="5EF54E86"/>
    <w:rsid w:val="5F12D39A"/>
    <w:rsid w:val="5F16799C"/>
    <w:rsid w:val="5F79256D"/>
    <w:rsid w:val="5F9C4EB5"/>
    <w:rsid w:val="5FDF7957"/>
    <w:rsid w:val="5FEBE7E7"/>
    <w:rsid w:val="5FF13CC0"/>
    <w:rsid w:val="5FF92615"/>
    <w:rsid w:val="5FF9696C"/>
    <w:rsid w:val="5FFDF639"/>
    <w:rsid w:val="5FFFB48E"/>
    <w:rsid w:val="60FD48E7"/>
    <w:rsid w:val="62107C5E"/>
    <w:rsid w:val="633C8FA8"/>
    <w:rsid w:val="633F0871"/>
    <w:rsid w:val="637FE448"/>
    <w:rsid w:val="63BD36A8"/>
    <w:rsid w:val="6412435A"/>
    <w:rsid w:val="654FD8A0"/>
    <w:rsid w:val="662660A8"/>
    <w:rsid w:val="67194FDD"/>
    <w:rsid w:val="6775E9D8"/>
    <w:rsid w:val="67E3343E"/>
    <w:rsid w:val="67F565AC"/>
    <w:rsid w:val="67F73327"/>
    <w:rsid w:val="68216DF9"/>
    <w:rsid w:val="68FA8082"/>
    <w:rsid w:val="69BF38A2"/>
    <w:rsid w:val="69EFC425"/>
    <w:rsid w:val="6A6B52B8"/>
    <w:rsid w:val="6ACFA4E7"/>
    <w:rsid w:val="6B312495"/>
    <w:rsid w:val="6B86ABFC"/>
    <w:rsid w:val="6BA92576"/>
    <w:rsid w:val="6BBD76DF"/>
    <w:rsid w:val="6BDA34B9"/>
    <w:rsid w:val="6BEF6F0A"/>
    <w:rsid w:val="6BF6364D"/>
    <w:rsid w:val="6C731664"/>
    <w:rsid w:val="6CD839F6"/>
    <w:rsid w:val="6CF75AD6"/>
    <w:rsid w:val="6D2869AA"/>
    <w:rsid w:val="6D350F65"/>
    <w:rsid w:val="6D36FBAA"/>
    <w:rsid w:val="6D507416"/>
    <w:rsid w:val="6DE7364E"/>
    <w:rsid w:val="6DF8FC16"/>
    <w:rsid w:val="6DFAD7F2"/>
    <w:rsid w:val="6DFE24B9"/>
    <w:rsid w:val="6DFF08D6"/>
    <w:rsid w:val="6EFB6A16"/>
    <w:rsid w:val="6F36F6F4"/>
    <w:rsid w:val="6FA6DB15"/>
    <w:rsid w:val="6FAB380F"/>
    <w:rsid w:val="6FBADB8D"/>
    <w:rsid w:val="6FDDBDCB"/>
    <w:rsid w:val="6FEAAF68"/>
    <w:rsid w:val="6FFA9CDC"/>
    <w:rsid w:val="6FFB74FC"/>
    <w:rsid w:val="6FFDAE21"/>
    <w:rsid w:val="6FFE89B2"/>
    <w:rsid w:val="6FFF16F2"/>
    <w:rsid w:val="6FFFEBAB"/>
    <w:rsid w:val="705FDC4F"/>
    <w:rsid w:val="706F478E"/>
    <w:rsid w:val="716D2B68"/>
    <w:rsid w:val="71D3FAB0"/>
    <w:rsid w:val="71F3754E"/>
    <w:rsid w:val="73EFA308"/>
    <w:rsid w:val="75FB540A"/>
    <w:rsid w:val="767774B9"/>
    <w:rsid w:val="767F8E38"/>
    <w:rsid w:val="76C15DFA"/>
    <w:rsid w:val="76DF1811"/>
    <w:rsid w:val="76F044DB"/>
    <w:rsid w:val="76F74DDF"/>
    <w:rsid w:val="773EFEC2"/>
    <w:rsid w:val="77567AD1"/>
    <w:rsid w:val="776F9B9F"/>
    <w:rsid w:val="7797C448"/>
    <w:rsid w:val="77C07B74"/>
    <w:rsid w:val="77CF1E1A"/>
    <w:rsid w:val="77ED011D"/>
    <w:rsid w:val="77EFA3DE"/>
    <w:rsid w:val="77F97CB1"/>
    <w:rsid w:val="7808736F"/>
    <w:rsid w:val="787BD127"/>
    <w:rsid w:val="78DFF50A"/>
    <w:rsid w:val="791A2182"/>
    <w:rsid w:val="79BB9841"/>
    <w:rsid w:val="79C27A98"/>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E61702"/>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next w:val="8"/>
    <w:qFormat/>
    <w:uiPriority w:val="0"/>
    <w:pPr>
      <w:ind w:firstLine="420" w:firstLineChars="200"/>
    </w:pPr>
  </w:style>
  <w:style w:type="paragraph" w:customStyle="1" w:styleId="8">
    <w:name w:val="*正文"/>
    <w:basedOn w:val="1"/>
    <w:qFormat/>
    <w:uiPriority w:val="0"/>
    <w:pPr>
      <w:ind w:firstLine="200"/>
    </w:pPr>
    <w:rPr>
      <w:szCs w:val="20"/>
    </w:r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w:basedOn w:val="1"/>
    <w:next w:val="1"/>
    <w:qFormat/>
    <w:uiPriority w:val="99"/>
    <w:pPr>
      <w:tabs>
        <w:tab w:val="left" w:pos="4760"/>
      </w:tabs>
      <w:spacing w:after="78"/>
      <w:jc w:val="left"/>
    </w:pPr>
  </w:style>
  <w:style w:type="paragraph" w:styleId="11">
    <w:name w:val="Body Text Indent"/>
    <w:basedOn w:val="1"/>
    <w:qFormat/>
    <w:uiPriority w:val="0"/>
    <w:pPr>
      <w:tabs>
        <w:tab w:val="left" w:pos="4760"/>
      </w:tabs>
      <w:spacing w:after="120"/>
      <w:ind w:left="420" w:leftChars="200"/>
    </w:p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qFormat/>
    <w:uiPriority w:val="0"/>
    <w:pPr>
      <w:spacing w:afterLines="25" w:line="300" w:lineRule="auto"/>
    </w:pPr>
    <w:rPr>
      <w:rFonts w:ascii="Arial" w:hAnsi="Arial"/>
      <w:b/>
      <w:bCs/>
    </w:rPr>
  </w:style>
  <w:style w:type="paragraph" w:styleId="21">
    <w:name w:val="Body Text First Indent 2"/>
    <w:basedOn w:val="11"/>
    <w:link w:val="56"/>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4"/>
    <w:qFormat/>
    <w:uiPriority w:val="0"/>
    <w:rPr>
      <w:rFonts w:ascii="Arial" w:hAnsi="Arial" w:eastAsia="宋体" w:cs="Times New Roman"/>
      <w:kern w:val="2"/>
      <w:sz w:val="18"/>
      <w:szCs w:val="18"/>
    </w:rPr>
  </w:style>
  <w:style w:type="character" w:customStyle="1" w:styleId="34">
    <w:name w:val="批注文字 字符"/>
    <w:basedOn w:val="24"/>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20"/>
    <w:qFormat/>
    <w:uiPriority w:val="0"/>
    <w:rPr>
      <w:rFonts w:ascii="Arial" w:hAnsi="Arial" w:eastAsia="宋体" w:cs="Times New Roman"/>
      <w:b/>
      <w:bCs/>
      <w:kern w:val="2"/>
      <w:sz w:val="21"/>
      <w:szCs w:val="24"/>
    </w:rPr>
  </w:style>
  <w:style w:type="character" w:customStyle="1" w:styleId="36">
    <w:name w:val="font01"/>
    <w:basedOn w:val="24"/>
    <w:qFormat/>
    <w:uiPriority w:val="0"/>
    <w:rPr>
      <w:rFonts w:hint="eastAsia" w:ascii="宋体" w:hAnsi="宋体" w:eastAsia="宋体"/>
      <w:color w:val="000000"/>
      <w:sz w:val="20"/>
      <w:szCs w:val="20"/>
      <w:u w:val="none"/>
      <w:vertAlign w:val="superscript"/>
    </w:rPr>
  </w:style>
  <w:style w:type="character" w:customStyle="1" w:styleId="37">
    <w:name w:val="font31"/>
    <w:basedOn w:val="24"/>
    <w:qFormat/>
    <w:uiPriority w:val="0"/>
    <w:rPr>
      <w:rFonts w:hint="eastAsia" w:ascii="宋体" w:hAnsi="宋体" w:eastAsia="宋体"/>
      <w:color w:val="000000"/>
      <w:sz w:val="20"/>
      <w:szCs w:val="20"/>
      <w:u w:val="none"/>
    </w:rPr>
  </w:style>
  <w:style w:type="character" w:customStyle="1" w:styleId="38">
    <w:name w:val="页脚 字符"/>
    <w:basedOn w:val="24"/>
    <w:link w:val="15"/>
    <w:qFormat/>
    <w:uiPriority w:val="99"/>
    <w:rPr>
      <w:rFonts w:ascii="Arial" w:hAnsi="Arial" w:eastAsia="楷体_GB2312" w:cs="Times New Roman"/>
      <w:sz w:val="18"/>
      <w:szCs w:val="18"/>
    </w:rPr>
  </w:style>
  <w:style w:type="character" w:customStyle="1" w:styleId="39">
    <w:name w:val="页眉 字符"/>
    <w:basedOn w:val="24"/>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4"/>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4"/>
    <w:link w:val="6"/>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4"/>
    <w:qFormat/>
    <w:uiPriority w:val="0"/>
    <w:rPr>
      <w:rFonts w:hint="eastAsia" w:ascii="宋体" w:hAnsi="宋体" w:eastAsia="宋体"/>
      <w:color w:val="000000"/>
      <w:sz w:val="18"/>
      <w:szCs w:val="18"/>
      <w:u w:val="none"/>
    </w:rPr>
  </w:style>
  <w:style w:type="character" w:customStyle="1" w:styleId="52">
    <w:name w:val="font11"/>
    <w:basedOn w:val="24"/>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1"/>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4"/>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修订7"/>
    <w:hidden/>
    <w:unhideWhenUsed/>
    <w:qFormat/>
    <w:uiPriority w:val="99"/>
    <w:rPr>
      <w:rFonts w:ascii="Arial" w:hAnsi="Arial" w:eastAsia="宋体" w:cs="Times New Roman"/>
      <w:kern w:val="2"/>
      <w:sz w:val="21"/>
      <w:szCs w:val="24"/>
      <w:lang w:val="en-US" w:eastAsia="zh-CN" w:bidi="ar-SA"/>
    </w:rPr>
  </w:style>
  <w:style w:type="character" w:customStyle="1" w:styleId="70">
    <w:name w:val="font41"/>
    <w:basedOn w:val="24"/>
    <w:qFormat/>
    <w:uiPriority w:val="0"/>
    <w:rPr>
      <w:rFonts w:ascii="仿宋" w:hAnsi="仿宋" w:eastAsia="仿宋" w:cs="仿宋"/>
      <w:color w:val="000000"/>
      <w:sz w:val="28"/>
      <w:szCs w:val="28"/>
      <w:u w:val="none"/>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11273</Words>
  <Characters>11592</Characters>
  <Lines>17</Lines>
  <Paragraphs>29</Paragraphs>
  <TotalTime>7</TotalTime>
  <ScaleCrop>false</ScaleCrop>
  <LinksUpToDate>false</LinksUpToDate>
  <CharactersWithSpaces>12217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2025-09-04T06:59:21Z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