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1BB49">
      <w:pPr>
        <w:spacing w:after="78"/>
        <w:jc w:val="center"/>
        <w:rPr>
          <w:rFonts w:ascii="Times New Roman" w:hAnsi="Times New Roman" w:eastAsia="方正小标宋简体"/>
          <w:bCs/>
          <w:sz w:val="32"/>
          <w:szCs w:val="32"/>
        </w:rPr>
      </w:pPr>
    </w:p>
    <w:p w14:paraId="603AD9CD">
      <w:pPr>
        <w:pStyle w:val="64"/>
        <w:spacing w:after="78"/>
        <w:rPr>
          <w:rFonts w:ascii="Times New Roman" w:hAnsi="Times New Roman" w:eastAsia="方正小标宋简体"/>
          <w:bCs/>
          <w:sz w:val="32"/>
          <w:szCs w:val="32"/>
        </w:rPr>
      </w:pPr>
    </w:p>
    <w:p w14:paraId="4CC27818">
      <w:pPr>
        <w:pStyle w:val="64"/>
        <w:spacing w:after="78"/>
        <w:rPr>
          <w:rFonts w:ascii="Times New Roman" w:hAnsi="Times New Roman" w:eastAsia="方正小标宋简体"/>
          <w:bCs/>
          <w:sz w:val="32"/>
          <w:szCs w:val="32"/>
        </w:rPr>
      </w:pPr>
    </w:p>
    <w:p w14:paraId="5B861CC4">
      <w:pPr>
        <w:spacing w:after="78"/>
        <w:jc w:val="center"/>
        <w:rPr>
          <w:rFonts w:ascii="Times New Roman" w:hAnsi="Times New Roman" w:eastAsia="长城小"/>
          <w:b/>
          <w:sz w:val="44"/>
          <w:szCs w:val="44"/>
        </w:rPr>
      </w:pPr>
    </w:p>
    <w:p w14:paraId="430A6232">
      <w:pPr>
        <w:spacing w:after="78"/>
        <w:jc w:val="center"/>
        <w:rPr>
          <w:rFonts w:ascii="Times New Roman" w:hAnsi="Times New Roman" w:eastAsia="长城小"/>
          <w:b/>
          <w:sz w:val="44"/>
          <w:szCs w:val="44"/>
        </w:rPr>
      </w:pPr>
    </w:p>
    <w:p w14:paraId="0065ED96">
      <w:pPr>
        <w:spacing w:after="78"/>
        <w:jc w:val="center"/>
        <w:rPr>
          <w:rFonts w:ascii="Times New Roman" w:hAnsi="Times New Roman" w:eastAsia="长城小"/>
          <w:b/>
          <w:sz w:val="44"/>
          <w:szCs w:val="44"/>
        </w:rPr>
      </w:pPr>
    </w:p>
    <w:p w14:paraId="615849AA">
      <w:pPr>
        <w:spacing w:after="78"/>
        <w:rPr>
          <w:rFonts w:ascii="Times New Roman" w:hAnsi="Times New Roman" w:eastAsia="长城小"/>
          <w:b/>
          <w:sz w:val="44"/>
          <w:szCs w:val="44"/>
        </w:rPr>
      </w:pPr>
    </w:p>
    <w:p w14:paraId="130EE51D">
      <w:pPr>
        <w:spacing w:after="78"/>
        <w:jc w:val="center"/>
        <w:rPr>
          <w:rFonts w:ascii="Times New Roman" w:hAnsi="Times New Roman" w:eastAsia="长城小"/>
          <w:b/>
          <w:sz w:val="44"/>
          <w:szCs w:val="44"/>
        </w:rPr>
      </w:pPr>
    </w:p>
    <w:p w14:paraId="3D78500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深圳市深水水务咨询有限公司提升泵房及箱涵泵房清淤清砂劳务服务采购项目询价</w:t>
      </w:r>
      <w:r>
        <w:rPr>
          <w:rFonts w:ascii="Times New Roman" w:hAnsi="Times New Roman" w:eastAsia="长城小标宋体"/>
          <w:b/>
          <w:bCs/>
          <w:sz w:val="44"/>
          <w:szCs w:val="44"/>
        </w:rPr>
        <w:t>告知函</w:t>
      </w:r>
    </w:p>
    <w:p w14:paraId="4BA38CEA">
      <w:pPr>
        <w:spacing w:after="78"/>
        <w:rPr>
          <w:rFonts w:ascii="Times New Roman" w:hAnsi="Times New Roman" w:eastAsia="方正小标宋简体"/>
          <w:sz w:val="32"/>
          <w:szCs w:val="32"/>
        </w:rPr>
      </w:pPr>
    </w:p>
    <w:p w14:paraId="5C61BB75">
      <w:pPr>
        <w:spacing w:after="78"/>
        <w:rPr>
          <w:rFonts w:ascii="Times New Roman" w:hAnsi="Times New Roman" w:eastAsia="方正小标宋简体"/>
          <w:sz w:val="32"/>
          <w:szCs w:val="32"/>
        </w:rPr>
      </w:pPr>
    </w:p>
    <w:p w14:paraId="2C61582A">
      <w:pPr>
        <w:spacing w:after="78"/>
        <w:rPr>
          <w:rFonts w:ascii="Times New Roman" w:hAnsi="Times New Roman" w:eastAsia="方正小标宋简体"/>
          <w:sz w:val="32"/>
          <w:szCs w:val="32"/>
        </w:rPr>
      </w:pPr>
    </w:p>
    <w:p w14:paraId="2D8002E0">
      <w:pPr>
        <w:spacing w:after="78"/>
      </w:pPr>
    </w:p>
    <w:p w14:paraId="22FB0705">
      <w:pPr>
        <w:spacing w:after="78"/>
        <w:rPr>
          <w:rFonts w:ascii="Times New Roman" w:hAnsi="Times New Roman" w:eastAsia="方正小标宋简体"/>
          <w:sz w:val="32"/>
          <w:szCs w:val="32"/>
        </w:rPr>
      </w:pPr>
    </w:p>
    <w:p w14:paraId="134914C6">
      <w:pPr>
        <w:spacing w:after="78"/>
        <w:rPr>
          <w:rFonts w:ascii="Times New Roman" w:hAnsi="Times New Roman" w:eastAsia="方正小标宋简体"/>
          <w:sz w:val="32"/>
          <w:szCs w:val="32"/>
        </w:rPr>
      </w:pPr>
    </w:p>
    <w:p w14:paraId="75AEAE1E">
      <w:pPr>
        <w:pStyle w:val="8"/>
        <w:rPr>
          <w:rFonts w:ascii="Times New Roman" w:hAnsi="Times New Roman" w:eastAsia="方正小标宋简体"/>
          <w:sz w:val="32"/>
          <w:szCs w:val="32"/>
        </w:rPr>
      </w:pPr>
    </w:p>
    <w:p w14:paraId="495AABF6">
      <w:pPr>
        <w:spacing w:after="78"/>
      </w:pPr>
    </w:p>
    <w:p w14:paraId="3683C7F9">
      <w:pPr>
        <w:spacing w:after="78"/>
        <w:rPr>
          <w:rFonts w:hint="eastAsia" w:ascii="黑体" w:hAnsi="黑体" w:eastAsia="黑体"/>
          <w:sz w:val="32"/>
          <w:szCs w:val="32"/>
        </w:rPr>
      </w:pPr>
      <w:r>
        <w:rPr>
          <w:rFonts w:hint="eastAsia" w:ascii="黑体" w:hAnsi="黑体" w:eastAsia="黑体"/>
          <w:sz w:val="32"/>
          <w:szCs w:val="32"/>
        </w:rPr>
        <w:br w:type="page"/>
      </w:r>
    </w:p>
    <w:p w14:paraId="789B597F">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7AC54642">
      <w:pPr>
        <w:spacing w:after="78"/>
      </w:pPr>
    </w:p>
    <w:p w14:paraId="7D254C2E">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一、服务内容</w:t>
      </w:r>
    </w:p>
    <w:p w14:paraId="1AE88A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（一）采购项目名称：提升泵房及箱涵泵房清淤清砂劳务服务采购项目。</w:t>
      </w:r>
    </w:p>
    <w:p w14:paraId="6621D1A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margin" w:tblpY="202"/>
        <w:tblOverlap w:val="never"/>
        <w:tblW w:w="4998" w:type="pct"/>
        <w:tblInd w:w="0" w:type="dxa"/>
        <w:tblLayout w:type="autofit"/>
        <w:tblCellMar>
          <w:top w:w="0" w:type="dxa"/>
          <w:left w:w="108" w:type="dxa"/>
          <w:bottom w:w="0" w:type="dxa"/>
          <w:right w:w="108" w:type="dxa"/>
        </w:tblCellMar>
      </w:tblPr>
      <w:tblGrid>
        <w:gridCol w:w="1047"/>
        <w:gridCol w:w="3033"/>
        <w:gridCol w:w="2011"/>
        <w:gridCol w:w="1707"/>
        <w:gridCol w:w="1414"/>
      </w:tblGrid>
      <w:tr w14:paraId="6CF4E09A">
        <w:tblPrEx>
          <w:tblCellMar>
            <w:top w:w="0" w:type="dxa"/>
            <w:left w:w="108" w:type="dxa"/>
            <w:bottom w:w="0" w:type="dxa"/>
            <w:right w:w="108" w:type="dxa"/>
          </w:tblCellMar>
        </w:tblPrEx>
        <w:trPr>
          <w:trHeight w:val="918" w:hRule="atLeast"/>
        </w:trPr>
        <w:tc>
          <w:tcPr>
            <w:tcW w:w="568" w:type="pct"/>
            <w:tcBorders>
              <w:top w:val="single" w:color="auto" w:sz="4" w:space="0"/>
              <w:left w:val="single" w:color="auto" w:sz="4" w:space="0"/>
              <w:bottom w:val="single" w:color="auto" w:sz="4" w:space="0"/>
              <w:right w:val="single" w:color="auto" w:sz="4" w:space="0"/>
            </w:tcBorders>
            <w:vAlign w:val="center"/>
          </w:tcPr>
          <w:p w14:paraId="3A76000A">
            <w:pPr>
              <w:widowControl/>
              <w:spacing w:after="78"/>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rPr>
              <w:t>序号</w:t>
            </w:r>
          </w:p>
        </w:tc>
        <w:tc>
          <w:tcPr>
            <w:tcW w:w="1645" w:type="pct"/>
            <w:tcBorders>
              <w:top w:val="single" w:color="auto" w:sz="4" w:space="0"/>
              <w:left w:val="nil"/>
              <w:bottom w:val="single" w:color="auto" w:sz="4" w:space="0"/>
              <w:right w:val="single" w:color="auto" w:sz="4" w:space="0"/>
            </w:tcBorders>
            <w:vAlign w:val="center"/>
          </w:tcPr>
          <w:p w14:paraId="5BEC54D3">
            <w:pPr>
              <w:widowControl/>
              <w:spacing w:after="78"/>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rPr>
              <w:t>名称</w:t>
            </w:r>
          </w:p>
        </w:tc>
        <w:tc>
          <w:tcPr>
            <w:tcW w:w="1091" w:type="pct"/>
            <w:tcBorders>
              <w:top w:val="single" w:color="auto" w:sz="4" w:space="0"/>
              <w:left w:val="nil"/>
              <w:bottom w:val="single" w:color="auto" w:sz="4" w:space="0"/>
              <w:right w:val="single" w:color="auto" w:sz="4" w:space="0"/>
            </w:tcBorders>
            <w:vAlign w:val="center"/>
          </w:tcPr>
          <w:p w14:paraId="147F10A6">
            <w:pPr>
              <w:widowControl/>
              <w:spacing w:after="78"/>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rPr>
              <w:t>单位</w:t>
            </w:r>
          </w:p>
        </w:tc>
        <w:tc>
          <w:tcPr>
            <w:tcW w:w="926" w:type="pct"/>
            <w:tcBorders>
              <w:top w:val="single" w:color="auto" w:sz="4" w:space="0"/>
              <w:left w:val="nil"/>
              <w:bottom w:val="single" w:color="auto" w:sz="4" w:space="0"/>
              <w:right w:val="single" w:color="auto" w:sz="4" w:space="0"/>
            </w:tcBorders>
            <w:vAlign w:val="center"/>
          </w:tcPr>
          <w:p w14:paraId="69AE7CA8">
            <w:pPr>
              <w:widowControl/>
              <w:spacing w:after="78"/>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rPr>
              <w:t>数量</w:t>
            </w:r>
          </w:p>
        </w:tc>
        <w:tc>
          <w:tcPr>
            <w:tcW w:w="767" w:type="pct"/>
            <w:tcBorders>
              <w:top w:val="single" w:color="auto" w:sz="4" w:space="0"/>
              <w:left w:val="nil"/>
              <w:bottom w:val="single" w:color="auto" w:sz="4" w:space="0"/>
              <w:right w:val="single" w:color="auto" w:sz="4" w:space="0"/>
            </w:tcBorders>
            <w:vAlign w:val="center"/>
          </w:tcPr>
          <w:p w14:paraId="65F11664">
            <w:pPr>
              <w:widowControl/>
              <w:spacing w:after="78"/>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rPr>
              <w:t>备注</w:t>
            </w:r>
          </w:p>
        </w:tc>
      </w:tr>
      <w:tr w14:paraId="09EA4A17">
        <w:tblPrEx>
          <w:tblCellMar>
            <w:top w:w="0" w:type="dxa"/>
            <w:left w:w="108" w:type="dxa"/>
            <w:bottom w:w="0" w:type="dxa"/>
            <w:right w:w="108" w:type="dxa"/>
          </w:tblCellMar>
        </w:tblPrEx>
        <w:trPr>
          <w:trHeight w:val="947" w:hRule="atLeast"/>
        </w:trPr>
        <w:tc>
          <w:tcPr>
            <w:tcW w:w="568" w:type="pct"/>
            <w:tcBorders>
              <w:top w:val="single" w:color="auto" w:sz="4" w:space="0"/>
              <w:left w:val="single" w:color="auto" w:sz="4" w:space="0"/>
              <w:bottom w:val="single" w:color="auto" w:sz="4" w:space="0"/>
              <w:right w:val="single" w:color="auto" w:sz="4" w:space="0"/>
            </w:tcBorders>
            <w:vAlign w:val="center"/>
          </w:tcPr>
          <w:p w14:paraId="095971D4">
            <w:pPr>
              <w:widowControl/>
              <w:spacing w:after="78"/>
              <w:jc w:val="center"/>
              <w:rPr>
                <w:rFonts w:hint="eastAsia" w:ascii="仿宋_GB2312" w:hAnsi="仿宋" w:eastAsia="仿宋_GB2312"/>
                <w:kern w:val="0"/>
                <w:sz w:val="28"/>
                <w:szCs w:val="28"/>
              </w:rPr>
            </w:pPr>
            <w:r>
              <w:rPr>
                <w:rFonts w:hint="eastAsia" w:ascii="仿宋_GB2312" w:hAnsi="仿宋" w:eastAsia="仿宋_GB2312"/>
                <w:kern w:val="0"/>
                <w:sz w:val="28"/>
                <w:szCs w:val="28"/>
              </w:rPr>
              <w:t>1</w:t>
            </w:r>
          </w:p>
        </w:tc>
        <w:tc>
          <w:tcPr>
            <w:tcW w:w="1645" w:type="pct"/>
            <w:tcBorders>
              <w:top w:val="single" w:color="auto" w:sz="4" w:space="0"/>
              <w:left w:val="single" w:color="auto" w:sz="4" w:space="0"/>
              <w:bottom w:val="single" w:color="auto" w:sz="4" w:space="0"/>
              <w:right w:val="single" w:color="auto" w:sz="4" w:space="0"/>
            </w:tcBorders>
            <w:vAlign w:val="center"/>
          </w:tcPr>
          <w:p w14:paraId="47708B7C">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计日工</w:t>
            </w:r>
          </w:p>
        </w:tc>
        <w:tc>
          <w:tcPr>
            <w:tcW w:w="1091" w:type="pct"/>
            <w:tcBorders>
              <w:top w:val="single" w:color="auto" w:sz="4" w:space="0"/>
              <w:left w:val="single" w:color="auto" w:sz="4" w:space="0"/>
              <w:bottom w:val="single" w:color="auto" w:sz="4" w:space="0"/>
              <w:right w:val="single" w:color="auto" w:sz="4" w:space="0"/>
            </w:tcBorders>
            <w:vAlign w:val="center"/>
          </w:tcPr>
          <w:p w14:paraId="43A3FA19">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天</w:t>
            </w:r>
          </w:p>
        </w:tc>
        <w:tc>
          <w:tcPr>
            <w:tcW w:w="926" w:type="pct"/>
            <w:tcBorders>
              <w:top w:val="single" w:color="auto" w:sz="4" w:space="0"/>
              <w:left w:val="single" w:color="auto" w:sz="4" w:space="0"/>
              <w:bottom w:val="single" w:color="auto" w:sz="4" w:space="0"/>
              <w:right w:val="single" w:color="auto" w:sz="4" w:space="0"/>
            </w:tcBorders>
            <w:vAlign w:val="center"/>
          </w:tcPr>
          <w:p w14:paraId="04BE7A0F">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190</w:t>
            </w:r>
          </w:p>
        </w:tc>
        <w:tc>
          <w:tcPr>
            <w:tcW w:w="767" w:type="pct"/>
            <w:tcBorders>
              <w:top w:val="single" w:color="auto" w:sz="4" w:space="0"/>
              <w:left w:val="single" w:color="auto" w:sz="4" w:space="0"/>
              <w:bottom w:val="single" w:color="auto" w:sz="4" w:space="0"/>
              <w:right w:val="single" w:color="auto" w:sz="4" w:space="0"/>
            </w:tcBorders>
            <w:vAlign w:val="center"/>
          </w:tcPr>
          <w:p w14:paraId="1A5D5749">
            <w:pPr>
              <w:widowControl/>
              <w:spacing w:after="78"/>
              <w:jc w:val="center"/>
              <w:textAlignment w:val="center"/>
              <w:rPr>
                <w:rFonts w:hint="eastAsia" w:ascii="仿宋_GB2312" w:hAnsi="仿宋" w:eastAsia="仿宋_GB2312" w:cs="仿宋"/>
                <w:sz w:val="32"/>
                <w:szCs w:val="32"/>
              </w:rPr>
            </w:pPr>
          </w:p>
        </w:tc>
      </w:tr>
      <w:tr w14:paraId="10A8C637">
        <w:tblPrEx>
          <w:tblCellMar>
            <w:top w:w="0" w:type="dxa"/>
            <w:left w:w="108" w:type="dxa"/>
            <w:bottom w:w="0" w:type="dxa"/>
            <w:right w:w="108" w:type="dxa"/>
          </w:tblCellMar>
        </w:tblPrEx>
        <w:trPr>
          <w:trHeight w:val="947" w:hRule="atLeast"/>
        </w:trPr>
        <w:tc>
          <w:tcPr>
            <w:tcW w:w="568" w:type="pct"/>
            <w:tcBorders>
              <w:top w:val="single" w:color="auto" w:sz="4" w:space="0"/>
              <w:left w:val="single" w:color="auto" w:sz="4" w:space="0"/>
              <w:bottom w:val="single" w:color="auto" w:sz="4" w:space="0"/>
              <w:right w:val="single" w:color="auto" w:sz="4" w:space="0"/>
            </w:tcBorders>
            <w:vAlign w:val="center"/>
          </w:tcPr>
          <w:p w14:paraId="7C28FB2A">
            <w:pPr>
              <w:widowControl/>
              <w:spacing w:after="78"/>
              <w:jc w:val="center"/>
              <w:rPr>
                <w:rFonts w:hint="eastAsia" w:ascii="仿宋_GB2312" w:hAnsi="仿宋" w:eastAsia="仿宋_GB2312"/>
                <w:kern w:val="0"/>
                <w:sz w:val="28"/>
                <w:szCs w:val="28"/>
              </w:rPr>
            </w:pPr>
            <w:r>
              <w:rPr>
                <w:rFonts w:hint="eastAsia" w:ascii="仿宋_GB2312" w:hAnsi="仿宋" w:eastAsia="仿宋_GB2312"/>
                <w:kern w:val="0"/>
                <w:sz w:val="28"/>
                <w:szCs w:val="28"/>
              </w:rPr>
              <w:t>2</w:t>
            </w:r>
          </w:p>
        </w:tc>
        <w:tc>
          <w:tcPr>
            <w:tcW w:w="1645" w:type="pct"/>
            <w:tcBorders>
              <w:top w:val="single" w:color="auto" w:sz="4" w:space="0"/>
              <w:left w:val="single" w:color="auto" w:sz="4" w:space="0"/>
              <w:bottom w:val="single" w:color="auto" w:sz="4" w:space="0"/>
              <w:right w:val="single" w:color="auto" w:sz="4" w:space="0"/>
            </w:tcBorders>
            <w:vAlign w:val="center"/>
          </w:tcPr>
          <w:p w14:paraId="4B387DE8">
            <w:pPr>
              <w:widowControl/>
              <w:spacing w:after="78"/>
              <w:jc w:val="center"/>
              <w:rPr>
                <w:rFonts w:ascii="仿宋_GB2312" w:hAnsi="Times New Roman" w:eastAsia="仿宋_GB2312"/>
                <w:bCs/>
                <w:color w:val="000000"/>
                <w:sz w:val="32"/>
                <w:szCs w:val="32"/>
              </w:rPr>
            </w:pPr>
            <w:r>
              <w:rPr>
                <w:rFonts w:hint="eastAsia" w:ascii="仿宋_GB2312" w:hAnsi="仿宋" w:eastAsia="仿宋_GB2312"/>
                <w:kern w:val="0"/>
                <w:sz w:val="28"/>
                <w:szCs w:val="28"/>
              </w:rPr>
              <w:t>高压冲洗车</w:t>
            </w:r>
          </w:p>
        </w:tc>
        <w:tc>
          <w:tcPr>
            <w:tcW w:w="1091" w:type="pct"/>
            <w:tcBorders>
              <w:top w:val="single" w:color="auto" w:sz="4" w:space="0"/>
              <w:left w:val="single" w:color="auto" w:sz="4" w:space="0"/>
              <w:bottom w:val="single" w:color="auto" w:sz="4" w:space="0"/>
              <w:right w:val="single" w:color="auto" w:sz="4" w:space="0"/>
            </w:tcBorders>
            <w:vAlign w:val="center"/>
          </w:tcPr>
          <w:p w14:paraId="51430CAA">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台班</w:t>
            </w:r>
          </w:p>
        </w:tc>
        <w:tc>
          <w:tcPr>
            <w:tcW w:w="926" w:type="pct"/>
            <w:tcBorders>
              <w:top w:val="single" w:color="auto" w:sz="4" w:space="0"/>
              <w:left w:val="single" w:color="auto" w:sz="4" w:space="0"/>
              <w:bottom w:val="single" w:color="auto" w:sz="4" w:space="0"/>
              <w:right w:val="single" w:color="auto" w:sz="4" w:space="0"/>
            </w:tcBorders>
            <w:vAlign w:val="center"/>
          </w:tcPr>
          <w:p w14:paraId="1449B85E">
            <w:pPr>
              <w:widowControl/>
              <w:spacing w:after="78"/>
              <w:jc w:val="center"/>
              <w:rPr>
                <w:rFonts w:hint="default" w:ascii="仿宋_GB2312" w:hAnsi="仿宋" w:eastAsia="仿宋_GB2312" w:cs="仿宋"/>
                <w:sz w:val="32"/>
                <w:szCs w:val="32"/>
                <w:lang w:val="en-US" w:eastAsia="zh-CN"/>
              </w:rPr>
            </w:pPr>
            <w:r>
              <w:rPr>
                <w:rFonts w:hint="eastAsia" w:ascii="仿宋_GB2312" w:hAnsi="仿宋" w:eastAsia="仿宋_GB2312"/>
                <w:kern w:val="0"/>
                <w:sz w:val="28"/>
                <w:szCs w:val="28"/>
                <w:lang w:val="en-US" w:eastAsia="zh-CN"/>
              </w:rPr>
              <w:t>15</w:t>
            </w:r>
          </w:p>
        </w:tc>
        <w:tc>
          <w:tcPr>
            <w:tcW w:w="767" w:type="pct"/>
            <w:tcBorders>
              <w:top w:val="single" w:color="auto" w:sz="4" w:space="0"/>
              <w:left w:val="single" w:color="auto" w:sz="4" w:space="0"/>
              <w:bottom w:val="single" w:color="auto" w:sz="4" w:space="0"/>
              <w:right w:val="single" w:color="auto" w:sz="4" w:space="0"/>
            </w:tcBorders>
            <w:vAlign w:val="center"/>
          </w:tcPr>
          <w:p w14:paraId="6B32A31F">
            <w:pPr>
              <w:widowControl/>
              <w:spacing w:after="78"/>
              <w:jc w:val="center"/>
              <w:textAlignment w:val="center"/>
              <w:rPr>
                <w:rFonts w:hint="eastAsia" w:ascii="仿宋" w:hAnsi="仿宋" w:eastAsia="仿宋" w:cs="仿宋"/>
                <w:sz w:val="32"/>
                <w:szCs w:val="32"/>
                <w:lang w:bidi="ar"/>
              </w:rPr>
            </w:pPr>
          </w:p>
        </w:tc>
      </w:tr>
      <w:tr w14:paraId="114441B3">
        <w:tblPrEx>
          <w:tblCellMar>
            <w:top w:w="0" w:type="dxa"/>
            <w:left w:w="108" w:type="dxa"/>
            <w:bottom w:w="0" w:type="dxa"/>
            <w:right w:w="108" w:type="dxa"/>
          </w:tblCellMar>
        </w:tblPrEx>
        <w:trPr>
          <w:trHeight w:val="947" w:hRule="atLeast"/>
        </w:trPr>
        <w:tc>
          <w:tcPr>
            <w:tcW w:w="568" w:type="pct"/>
            <w:tcBorders>
              <w:top w:val="single" w:color="auto" w:sz="4" w:space="0"/>
              <w:left w:val="single" w:color="auto" w:sz="4" w:space="0"/>
              <w:bottom w:val="single" w:color="auto" w:sz="4" w:space="0"/>
              <w:right w:val="single" w:color="auto" w:sz="4" w:space="0"/>
            </w:tcBorders>
            <w:vAlign w:val="center"/>
          </w:tcPr>
          <w:p w14:paraId="35C8D977">
            <w:pPr>
              <w:widowControl/>
              <w:spacing w:after="78"/>
              <w:jc w:val="center"/>
              <w:rPr>
                <w:rFonts w:hint="eastAsia" w:ascii="仿宋_GB2312" w:hAnsi="仿宋" w:eastAsia="仿宋_GB2312"/>
                <w:kern w:val="0"/>
                <w:sz w:val="28"/>
                <w:szCs w:val="28"/>
              </w:rPr>
            </w:pPr>
            <w:r>
              <w:rPr>
                <w:rFonts w:hint="eastAsia" w:ascii="仿宋_GB2312" w:hAnsi="仿宋" w:eastAsia="仿宋_GB2312"/>
                <w:kern w:val="0"/>
                <w:sz w:val="28"/>
                <w:szCs w:val="28"/>
              </w:rPr>
              <w:t>3</w:t>
            </w:r>
          </w:p>
        </w:tc>
        <w:tc>
          <w:tcPr>
            <w:tcW w:w="1645" w:type="pct"/>
            <w:tcBorders>
              <w:top w:val="single" w:color="auto" w:sz="4" w:space="0"/>
              <w:left w:val="single" w:color="auto" w:sz="4" w:space="0"/>
              <w:bottom w:val="single" w:color="auto" w:sz="4" w:space="0"/>
              <w:right w:val="single" w:color="auto" w:sz="4" w:space="0"/>
            </w:tcBorders>
            <w:vAlign w:val="center"/>
          </w:tcPr>
          <w:p w14:paraId="754B6785">
            <w:pPr>
              <w:widowControl/>
              <w:spacing w:after="78"/>
              <w:jc w:val="center"/>
              <w:rPr>
                <w:rFonts w:ascii="仿宋_GB2312" w:hAnsi="Times New Roman" w:eastAsia="仿宋_GB2312"/>
                <w:bCs/>
                <w:color w:val="000000"/>
                <w:sz w:val="32"/>
                <w:szCs w:val="32"/>
              </w:rPr>
            </w:pPr>
            <w:r>
              <w:rPr>
                <w:rFonts w:hint="eastAsia" w:ascii="仿宋_GB2312" w:hAnsi="仿宋" w:eastAsia="仿宋_GB2312"/>
                <w:kern w:val="0"/>
                <w:sz w:val="28"/>
                <w:szCs w:val="28"/>
              </w:rPr>
              <w:t>外运砂石、淤泥</w:t>
            </w:r>
          </w:p>
        </w:tc>
        <w:tc>
          <w:tcPr>
            <w:tcW w:w="1091" w:type="pct"/>
            <w:tcBorders>
              <w:top w:val="single" w:color="auto" w:sz="4" w:space="0"/>
              <w:left w:val="single" w:color="auto" w:sz="4" w:space="0"/>
              <w:bottom w:val="single" w:color="auto" w:sz="4" w:space="0"/>
              <w:right w:val="single" w:color="auto" w:sz="4" w:space="0"/>
            </w:tcBorders>
            <w:vAlign w:val="center"/>
          </w:tcPr>
          <w:p w14:paraId="68CF497B">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立方米</w:t>
            </w:r>
          </w:p>
        </w:tc>
        <w:tc>
          <w:tcPr>
            <w:tcW w:w="926" w:type="pct"/>
            <w:tcBorders>
              <w:top w:val="single" w:color="auto" w:sz="4" w:space="0"/>
              <w:left w:val="single" w:color="auto" w:sz="4" w:space="0"/>
              <w:bottom w:val="single" w:color="auto" w:sz="4" w:space="0"/>
              <w:right w:val="single" w:color="auto" w:sz="4" w:space="0"/>
            </w:tcBorders>
            <w:vAlign w:val="center"/>
          </w:tcPr>
          <w:p w14:paraId="7342F0BC">
            <w:pPr>
              <w:widowControl/>
              <w:spacing w:after="78"/>
              <w:jc w:val="center"/>
              <w:rPr>
                <w:rFonts w:hint="default" w:ascii="仿宋_GB2312" w:hAnsi="仿宋" w:eastAsia="仿宋_GB2312" w:cs="仿宋"/>
                <w:sz w:val="32"/>
                <w:szCs w:val="32"/>
                <w:lang w:val="en-US" w:eastAsia="zh-CN"/>
              </w:rPr>
            </w:pPr>
            <w:r>
              <w:rPr>
                <w:rFonts w:hint="eastAsia" w:ascii="仿宋_GB2312" w:hAnsi="仿宋" w:eastAsia="仿宋_GB2312"/>
                <w:kern w:val="0"/>
                <w:sz w:val="28"/>
                <w:szCs w:val="28"/>
                <w:lang w:val="en-US" w:eastAsia="zh-CN"/>
              </w:rPr>
              <w:t>310</w:t>
            </w:r>
          </w:p>
        </w:tc>
        <w:tc>
          <w:tcPr>
            <w:tcW w:w="767" w:type="pct"/>
            <w:tcBorders>
              <w:top w:val="single" w:color="auto" w:sz="4" w:space="0"/>
              <w:left w:val="single" w:color="auto" w:sz="4" w:space="0"/>
              <w:bottom w:val="single" w:color="auto" w:sz="4" w:space="0"/>
              <w:right w:val="single" w:color="auto" w:sz="4" w:space="0"/>
            </w:tcBorders>
            <w:vAlign w:val="center"/>
          </w:tcPr>
          <w:p w14:paraId="6A1A6291">
            <w:pPr>
              <w:widowControl/>
              <w:spacing w:after="78"/>
              <w:jc w:val="center"/>
              <w:textAlignment w:val="center"/>
              <w:rPr>
                <w:rFonts w:hint="eastAsia" w:ascii="仿宋" w:hAnsi="仿宋" w:eastAsia="仿宋" w:cs="仿宋"/>
                <w:sz w:val="32"/>
                <w:szCs w:val="32"/>
                <w:lang w:bidi="ar"/>
              </w:rPr>
            </w:pPr>
          </w:p>
        </w:tc>
      </w:tr>
      <w:tr w14:paraId="6F0BF71C">
        <w:tblPrEx>
          <w:tblCellMar>
            <w:top w:w="0" w:type="dxa"/>
            <w:left w:w="108" w:type="dxa"/>
            <w:bottom w:w="0" w:type="dxa"/>
            <w:right w:w="108" w:type="dxa"/>
          </w:tblCellMar>
        </w:tblPrEx>
        <w:trPr>
          <w:trHeight w:val="947" w:hRule="atLeast"/>
        </w:trPr>
        <w:tc>
          <w:tcPr>
            <w:tcW w:w="568" w:type="pct"/>
            <w:tcBorders>
              <w:top w:val="single" w:color="auto" w:sz="4" w:space="0"/>
              <w:left w:val="single" w:color="auto" w:sz="4" w:space="0"/>
              <w:bottom w:val="single" w:color="auto" w:sz="4" w:space="0"/>
              <w:right w:val="single" w:color="auto" w:sz="4" w:space="0"/>
            </w:tcBorders>
            <w:vAlign w:val="center"/>
          </w:tcPr>
          <w:p w14:paraId="02992E86">
            <w:pPr>
              <w:widowControl/>
              <w:spacing w:after="78"/>
              <w:jc w:val="center"/>
              <w:rPr>
                <w:rFonts w:hint="eastAsia" w:ascii="仿宋_GB2312" w:hAnsi="仿宋" w:eastAsia="仿宋_GB2312"/>
                <w:kern w:val="0"/>
                <w:sz w:val="28"/>
                <w:szCs w:val="28"/>
              </w:rPr>
            </w:pPr>
            <w:r>
              <w:rPr>
                <w:rFonts w:hint="eastAsia" w:ascii="仿宋_GB2312" w:hAnsi="仿宋" w:eastAsia="仿宋_GB2312"/>
                <w:kern w:val="0"/>
                <w:sz w:val="28"/>
                <w:szCs w:val="28"/>
              </w:rPr>
              <w:t>4</w:t>
            </w:r>
          </w:p>
        </w:tc>
        <w:tc>
          <w:tcPr>
            <w:tcW w:w="1645" w:type="pct"/>
            <w:tcBorders>
              <w:top w:val="single" w:color="auto" w:sz="4" w:space="0"/>
              <w:left w:val="single" w:color="auto" w:sz="4" w:space="0"/>
              <w:bottom w:val="single" w:color="auto" w:sz="4" w:space="0"/>
              <w:right w:val="single" w:color="auto" w:sz="4" w:space="0"/>
            </w:tcBorders>
            <w:vAlign w:val="center"/>
          </w:tcPr>
          <w:p w14:paraId="499A6A86">
            <w:pPr>
              <w:widowControl/>
              <w:spacing w:after="78"/>
              <w:jc w:val="center"/>
              <w:rPr>
                <w:rFonts w:ascii="仿宋_GB2312" w:hAnsi="Times New Roman" w:eastAsia="仿宋_GB2312"/>
                <w:bCs/>
                <w:color w:val="000000"/>
                <w:sz w:val="32"/>
                <w:szCs w:val="32"/>
              </w:rPr>
            </w:pPr>
            <w:r>
              <w:rPr>
                <w:rFonts w:hint="eastAsia" w:ascii="仿宋_GB2312" w:hAnsi="仿宋" w:eastAsia="仿宋_GB2312"/>
                <w:kern w:val="0"/>
                <w:sz w:val="28"/>
                <w:szCs w:val="28"/>
              </w:rPr>
              <w:t>辅材</w:t>
            </w:r>
          </w:p>
        </w:tc>
        <w:tc>
          <w:tcPr>
            <w:tcW w:w="1091" w:type="pct"/>
            <w:tcBorders>
              <w:top w:val="single" w:color="auto" w:sz="4" w:space="0"/>
              <w:left w:val="single" w:color="auto" w:sz="4" w:space="0"/>
              <w:bottom w:val="single" w:color="auto" w:sz="4" w:space="0"/>
              <w:right w:val="single" w:color="auto" w:sz="4" w:space="0"/>
            </w:tcBorders>
            <w:vAlign w:val="center"/>
          </w:tcPr>
          <w:p w14:paraId="43F57817">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项</w:t>
            </w:r>
          </w:p>
        </w:tc>
        <w:tc>
          <w:tcPr>
            <w:tcW w:w="926" w:type="pct"/>
            <w:tcBorders>
              <w:top w:val="single" w:color="auto" w:sz="4" w:space="0"/>
              <w:left w:val="single" w:color="auto" w:sz="4" w:space="0"/>
              <w:bottom w:val="single" w:color="auto" w:sz="4" w:space="0"/>
              <w:right w:val="single" w:color="auto" w:sz="4" w:space="0"/>
            </w:tcBorders>
            <w:vAlign w:val="center"/>
          </w:tcPr>
          <w:p w14:paraId="3B0CD9EE">
            <w:pPr>
              <w:widowControl/>
              <w:spacing w:after="78"/>
              <w:jc w:val="center"/>
              <w:rPr>
                <w:rFonts w:hint="eastAsia" w:ascii="仿宋_GB2312" w:hAnsi="仿宋" w:eastAsia="仿宋_GB2312" w:cs="仿宋"/>
                <w:sz w:val="32"/>
                <w:szCs w:val="32"/>
              </w:rPr>
            </w:pPr>
            <w:r>
              <w:rPr>
                <w:rFonts w:hint="eastAsia" w:ascii="仿宋_GB2312" w:hAnsi="仿宋" w:eastAsia="仿宋_GB2312"/>
                <w:kern w:val="0"/>
                <w:sz w:val="28"/>
                <w:szCs w:val="28"/>
              </w:rPr>
              <w:t>1</w:t>
            </w:r>
          </w:p>
        </w:tc>
        <w:tc>
          <w:tcPr>
            <w:tcW w:w="767" w:type="pct"/>
            <w:tcBorders>
              <w:top w:val="single" w:color="auto" w:sz="4" w:space="0"/>
              <w:left w:val="single" w:color="auto" w:sz="4" w:space="0"/>
              <w:bottom w:val="single" w:color="auto" w:sz="4" w:space="0"/>
              <w:right w:val="single" w:color="auto" w:sz="4" w:space="0"/>
            </w:tcBorders>
            <w:vAlign w:val="center"/>
          </w:tcPr>
          <w:p w14:paraId="7711558D">
            <w:pPr>
              <w:widowControl/>
              <w:spacing w:after="78"/>
              <w:jc w:val="center"/>
              <w:textAlignment w:val="center"/>
              <w:rPr>
                <w:rFonts w:hint="eastAsia" w:ascii="仿宋" w:hAnsi="仿宋" w:eastAsia="仿宋" w:cs="仿宋"/>
                <w:sz w:val="32"/>
                <w:szCs w:val="32"/>
                <w:lang w:bidi="ar"/>
              </w:rPr>
            </w:pPr>
          </w:p>
        </w:tc>
      </w:tr>
    </w:tbl>
    <w:p w14:paraId="3913D4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供应商报价应包含完成本项目服务及合同义务所需的全部费用（含人工费、材料费、质保服务费、安全生产费、税费、装货费、运费、卸车费、保险费、废料处理费等全部费用）</w:t>
      </w:r>
      <w:bookmarkStart w:id="0" w:name="_Hlk188439105"/>
      <w:r>
        <w:rPr>
          <w:rFonts w:hint="eastAsia" w:ascii="Times New Roman" w:hAnsi="Times New Roman" w:eastAsia="仿宋_GB2312"/>
          <w:bCs/>
          <w:color w:val="000000"/>
          <w:sz w:val="32"/>
          <w:szCs w:val="32"/>
        </w:rPr>
        <w:t>。</w:t>
      </w:r>
      <w:bookmarkEnd w:id="0"/>
    </w:p>
    <w:p w14:paraId="48D7780A">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合同总价以供应商报价为基准，超过工程量不增加额外费用。如现场最终确认的工程量少于上述表格中的内容，则根据对应数量和单价进行核减。</w:t>
      </w:r>
    </w:p>
    <w:p w14:paraId="0D2500F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20</w:t>
      </w:r>
      <w:r>
        <w:rPr>
          <w:rFonts w:hint="eastAsia" w:ascii="Times New Roman" w:hAnsi="Times New Roman" w:eastAsia="仿宋_GB2312"/>
          <w:bCs/>
          <w:color w:val="000000"/>
          <w:sz w:val="32"/>
          <w:szCs w:val="32"/>
        </w:rPr>
        <w:t>万元（含税报价总价不得超过限价要求，否则做无效报价）。</w:t>
      </w:r>
    </w:p>
    <w:p w14:paraId="5FA385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（四）服务期限：合同约定工期为15天。</w:t>
      </w:r>
    </w:p>
    <w:p w14:paraId="19A99DC7">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（五）付款方式：完成验收后，根据核准的工程量一次性结清实际费用。</w:t>
      </w:r>
    </w:p>
    <w:p w14:paraId="51FC54EF">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二、资格要求及证明材料</w:t>
      </w:r>
    </w:p>
    <w:p w14:paraId="585346DD">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14:paraId="0DD277A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5E454D0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23A9266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B3389A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两</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至少具备一项正在实施或已完成的类似业绩（由供应商在《承诺函》中作出声明）；</w:t>
      </w:r>
    </w:p>
    <w:p w14:paraId="73356B2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35D28B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07F0A58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sz w:val="32"/>
          <w:szCs w:val="32"/>
        </w:rPr>
        <w:t>参选单位必须具备劳务</w:t>
      </w:r>
      <w:r>
        <w:rPr>
          <w:rFonts w:hint="eastAsia" w:ascii="Times New Roman" w:hAnsi="Times New Roman" w:eastAsia="仿宋_GB2312"/>
          <w:sz w:val="32"/>
          <w:szCs w:val="32"/>
          <w:lang w:val="en-US" w:eastAsia="zh-CN"/>
        </w:rPr>
        <w:t>派遣</w:t>
      </w:r>
      <w:r>
        <w:rPr>
          <w:rFonts w:hint="eastAsia" w:ascii="Times New Roman" w:hAnsi="Times New Roman" w:eastAsia="仿宋_GB2312"/>
          <w:sz w:val="32"/>
          <w:szCs w:val="32"/>
        </w:rPr>
        <w:t>资质（提供有效的资质文件加盖参选单位公章或业务章）。</w:t>
      </w:r>
    </w:p>
    <w:bookmarkEnd w:id="1"/>
    <w:p w14:paraId="360A7E0A">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三、参选文件要求</w:t>
      </w:r>
    </w:p>
    <w:p w14:paraId="4B920B3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3CC6198C">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16CEE96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sz w:val="32"/>
          <w:szCs w:val="32"/>
        </w:rPr>
        <w:t>劳务</w:t>
      </w:r>
      <w:r>
        <w:rPr>
          <w:rFonts w:hint="eastAsia" w:ascii="Times New Roman" w:hAnsi="Times New Roman" w:eastAsia="仿宋_GB2312"/>
          <w:sz w:val="32"/>
          <w:szCs w:val="32"/>
          <w:lang w:val="en-US" w:eastAsia="zh-CN"/>
        </w:rPr>
        <w:t>派遣</w:t>
      </w:r>
      <w:r>
        <w:rPr>
          <w:rFonts w:hint="eastAsia" w:ascii="Times New Roman" w:hAnsi="Times New Roman" w:eastAsia="仿宋_GB2312"/>
          <w:sz w:val="32"/>
          <w:szCs w:val="32"/>
        </w:rPr>
        <w:t>资质</w:t>
      </w:r>
      <w:r>
        <w:rPr>
          <w:rFonts w:hint="eastAsia" w:ascii="Times New Roman" w:hAnsi="Times New Roman" w:eastAsia="仿宋_GB2312"/>
          <w:bCs/>
          <w:color w:val="000000"/>
          <w:sz w:val="32"/>
          <w:szCs w:val="32"/>
        </w:rPr>
        <w:t>等</w:t>
      </w:r>
      <w:bookmarkEnd w:id="3"/>
      <w:r>
        <w:rPr>
          <w:rFonts w:hint="eastAsia" w:ascii="Times New Roman" w:hAnsi="Times New Roman" w:eastAsia="仿宋_GB2312"/>
          <w:bCs/>
          <w:color w:val="000000"/>
          <w:sz w:val="32"/>
          <w:szCs w:val="32"/>
        </w:rPr>
        <w:t>）；</w:t>
      </w:r>
    </w:p>
    <w:p w14:paraId="1ADCCA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34689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报价文件格式，以上资料均需加盖公章或业务章，并在截止时间前完成报价。</w:t>
      </w:r>
    </w:p>
    <w:bookmarkEnd w:id="2"/>
    <w:p w14:paraId="64236349">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四、选聘程序</w:t>
      </w:r>
    </w:p>
    <w:p w14:paraId="3CA4C15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179AB81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25954A1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6B48E26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66222E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486A8740">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五、选聘材料提交</w:t>
      </w:r>
    </w:p>
    <w:p w14:paraId="39D38A1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0365D7D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75164F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73F435F7">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六、评分规则</w:t>
      </w:r>
    </w:p>
    <w:p w14:paraId="7AC7308D">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。采购人对所有参选供应商进行资格审查，资格审查合格的供应商报价成立，根据最低价法确定中选人。以不含税价格对比，不含税价格最低的报价单位为中选人。</w:t>
      </w:r>
    </w:p>
    <w:p w14:paraId="469E79B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48B17D3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5C1D5EE0">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七、限价要求</w:t>
      </w:r>
    </w:p>
    <w:p w14:paraId="6DCDA48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sz w:val="32"/>
          <w:szCs w:val="32"/>
          <w:lang w:val="en-US" w:eastAsia="zh-CN"/>
        </w:rPr>
        <w:t>20</w:t>
      </w:r>
      <w:r>
        <w:rPr>
          <w:rFonts w:hint="eastAsia" w:ascii="Times New Roman" w:hAnsi="Times New Roman" w:eastAsia="仿宋_GB2312"/>
          <w:bCs/>
          <w:sz w:val="32"/>
          <w:szCs w:val="32"/>
        </w:rPr>
        <w:t>万元</w:t>
      </w:r>
      <w:r>
        <w:rPr>
          <w:rFonts w:hint="eastAsia" w:ascii="Times New Roman" w:hAnsi="Times New Roman" w:eastAsia="仿宋_GB2312"/>
          <w:bCs/>
          <w:color w:val="000000"/>
          <w:sz w:val="32"/>
          <w:szCs w:val="32"/>
        </w:rPr>
        <w:t>，采用总价包干模式，</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14:paraId="052E5B4A">
      <w:pPr>
        <w:spacing w:after="78" w:line="640" w:lineRule="exact"/>
        <w:ind w:firstLine="640" w:firstLineChars="200"/>
        <w:jc w:val="left"/>
        <w:rPr>
          <w:rFonts w:ascii="Times New Roman" w:hAnsi="Times New Roman" w:eastAsia="黑体" w:cs="黑体"/>
          <w:bCs/>
          <w:color w:val="000000"/>
          <w:kern w:val="0"/>
          <w:sz w:val="32"/>
          <w:szCs w:val="32"/>
          <w:lang w:eastAsia="zh-Hans"/>
        </w:rPr>
      </w:pPr>
      <w:r>
        <w:rPr>
          <w:rFonts w:hint="eastAsia" w:ascii="Times New Roman" w:hAnsi="Times New Roman" w:eastAsia="黑体" w:cs="黑体"/>
          <w:bCs/>
          <w:color w:val="000000"/>
          <w:kern w:val="0"/>
          <w:sz w:val="32"/>
          <w:szCs w:val="32"/>
          <w:lang w:eastAsia="zh-Hans"/>
        </w:rPr>
        <w:t>八、澄清及修改</w:t>
      </w:r>
    </w:p>
    <w:p w14:paraId="5E70E3D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bCs/>
          <w:color w:val="000000"/>
          <w:sz w:val="32"/>
          <w:szCs w:val="32"/>
        </w:rPr>
        <w:t>发布更正公告，该澄清或修改内容为询价文件的组成部分。</w:t>
      </w:r>
    </w:p>
    <w:p w14:paraId="2BE1DDF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18时），但采购人可决定是否采纳申请事项。</w:t>
      </w:r>
    </w:p>
    <w:p w14:paraId="130E0ACE">
      <w:pPr>
        <w:widowControl/>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rPr>
        <w:t>行承担。</w:t>
      </w:r>
    </w:p>
    <w:p w14:paraId="1CC136C9">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九、其他</w:t>
      </w:r>
    </w:p>
    <w:p w14:paraId="3B5F8E7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14:paraId="5BE956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14:paraId="219817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2D7F72F">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十、联系方式</w:t>
      </w:r>
    </w:p>
    <w:p w14:paraId="1232C2F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406EE9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79F3726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sszxhjcaigou@163.com</w:t>
      </w:r>
    </w:p>
    <w:p w14:paraId="0B79CA12">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5A49BB6D">
      <w:pPr>
        <w:pStyle w:val="8"/>
        <w:spacing w:line="640" w:lineRule="exact"/>
        <w:jc w:val="right"/>
        <w:rPr>
          <w:rFonts w:eastAsia="仿宋_GB2312"/>
        </w:rPr>
      </w:pPr>
      <w:bookmarkStart w:id="5" w:name="_Hlk178341758"/>
      <w:r>
        <w:rPr>
          <w:rFonts w:hint="eastAsia" w:ascii="Times New Roman" w:hAnsi="Times New Roman" w:eastAsia="仿宋_GB2312"/>
          <w:bCs/>
          <w:color w:val="000000"/>
          <w:sz w:val="32"/>
          <w:szCs w:val="32"/>
        </w:rPr>
        <w:t>深圳市深水水务咨询有限公司</w:t>
      </w:r>
    </w:p>
    <w:bookmarkEnd w:id="5"/>
    <w:p w14:paraId="59A828DA">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0EFCDFFA">
      <w:pPr>
        <w:pStyle w:val="19"/>
        <w:spacing w:after="78"/>
        <w:ind w:firstLine="640"/>
        <w:rPr>
          <w:rFonts w:ascii="Times New Roman" w:hAnsi="Times New Roman" w:eastAsia="仿宋_GB2312"/>
          <w:bCs/>
          <w:color w:val="000000"/>
          <w:sz w:val="32"/>
          <w:szCs w:val="32"/>
        </w:rPr>
      </w:pPr>
    </w:p>
    <w:p w14:paraId="1629286E">
      <w:pPr>
        <w:pStyle w:val="19"/>
        <w:spacing w:after="78"/>
        <w:ind w:firstLine="419" w:firstLineChars="131"/>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14:paraId="0EEF0891">
      <w:pPr>
        <w:pStyle w:val="2"/>
        <w:numPr>
          <w:ilvl w:val="0"/>
          <w:numId w:val="2"/>
        </w:numPr>
        <w:spacing w:before="0" w:after="78" w:afterLines="0" w:line="240" w:lineRule="auto"/>
        <w:jc w:val="center"/>
        <w:rPr>
          <w:rFonts w:hint="eastAsia" w:ascii="黑体" w:hAnsi="黑体" w:eastAsia="黑体"/>
          <w:sz w:val="32"/>
          <w:szCs w:val="32"/>
        </w:rPr>
      </w:pPr>
      <w:bookmarkStart w:id="7" w:name="_Toc398220526"/>
      <w:bookmarkStart w:id="8" w:name="_Toc432592818"/>
      <w:r>
        <w:rPr>
          <w:rFonts w:hint="eastAsia" w:ascii="黑体" w:hAnsi="黑体" w:eastAsia="黑体"/>
          <w:sz w:val="32"/>
          <w:szCs w:val="32"/>
        </w:rPr>
        <w:t>项目关键信息</w:t>
      </w:r>
    </w:p>
    <w:bookmarkEnd w:id="7"/>
    <w:bookmarkEnd w:id="8"/>
    <w:p w14:paraId="54016E78">
      <w:pPr>
        <w:shd w:val="clear" w:color="auto" w:fill="FFFFFF"/>
        <w:adjustRightInd w:val="0"/>
        <w:snapToGrid w:val="0"/>
        <w:spacing w:line="360" w:lineRule="auto"/>
        <w:ind w:firstLine="198" w:firstLineChars="90"/>
        <w:jc w:val="both"/>
        <w:rPr>
          <w:rFonts w:ascii="宋体" w:hAnsi="宋体" w:eastAsia="宋体" w:cs="Times New Roman"/>
          <w:kern w:val="2"/>
          <w:sz w:val="22"/>
          <w:szCs w:val="18"/>
          <w:lang w:val="en-US" w:eastAsia="zh-CN" w:bidi="ar-SA"/>
        </w:rPr>
      </w:pPr>
      <w:bookmarkStart w:id="9" w:name="_Toc43264518"/>
      <w:bookmarkStart w:id="10" w:name="_Toc50691037"/>
      <w:bookmarkStart w:id="11" w:name="_Toc50703730"/>
      <w:bookmarkStart w:id="12" w:name="_Toc43264525"/>
      <w:r>
        <w:rPr>
          <w:rFonts w:ascii="宋体" w:hAnsi="宋体" w:eastAsia="宋体" w:cs="Times New Roman"/>
          <w:kern w:val="2"/>
          <w:sz w:val="22"/>
          <w:szCs w:val="18"/>
          <w:lang w:val="en-US" w:eastAsia="zh-CN" w:bidi="ar-SA"/>
        </w:rPr>
        <w:t>合同编号</w:t>
      </w:r>
      <w:r>
        <w:rPr>
          <w:rFonts w:hint="eastAsia" w:ascii="宋体" w:hAnsi="宋体" w:eastAsia="宋体" w:cs="Times New Roman"/>
          <w:kern w:val="2"/>
          <w:sz w:val="22"/>
          <w:szCs w:val="18"/>
          <w:lang w:val="en-US" w:eastAsia="zh-CN" w:bidi="ar-SA"/>
        </w:rPr>
        <w:t>：</w:t>
      </w:r>
    </w:p>
    <w:p w14:paraId="28465A1F">
      <w:pPr>
        <w:shd w:val="clear" w:color="auto" w:fill="FFFFFF"/>
        <w:adjustRightInd w:val="0"/>
        <w:snapToGrid w:val="0"/>
        <w:spacing w:line="360" w:lineRule="auto"/>
        <w:ind w:firstLine="216" w:firstLineChars="90"/>
        <w:jc w:val="both"/>
        <w:rPr>
          <w:rFonts w:ascii="宋体" w:hAnsi="宋体" w:eastAsia="宋体" w:cs="Times New Roman"/>
          <w:kern w:val="2"/>
          <w:sz w:val="24"/>
          <w:szCs w:val="20"/>
          <w:lang w:val="en-US" w:eastAsia="zh-CN" w:bidi="ar-SA"/>
        </w:rPr>
      </w:pPr>
    </w:p>
    <w:p w14:paraId="76502494">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3E277E46">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5C6355D6">
      <w:pPr>
        <w:shd w:val="clear" w:color="auto" w:fill="FFFFFF"/>
        <w:adjustRightInd w:val="0"/>
        <w:snapToGrid w:val="0"/>
        <w:spacing w:line="360" w:lineRule="auto"/>
        <w:ind w:firstLine="230" w:firstLineChars="41"/>
        <w:jc w:val="center"/>
        <w:rPr>
          <w:rFonts w:ascii="宋体" w:hAnsi="宋体" w:eastAsia="宋体" w:cs="Times New Roman"/>
          <w:b/>
          <w:kern w:val="2"/>
          <w:sz w:val="56"/>
          <w:szCs w:val="56"/>
          <w:lang w:val="en-US" w:eastAsia="zh-CN" w:bidi="ar-SA"/>
        </w:rPr>
      </w:pPr>
      <w:r>
        <w:rPr>
          <w:rFonts w:hint="eastAsia" w:ascii="宋体" w:hAnsi="宋体" w:eastAsia="宋体" w:cs="Times New Roman"/>
          <w:b/>
          <w:kern w:val="2"/>
          <w:sz w:val="56"/>
          <w:szCs w:val="56"/>
          <w:lang w:val="en-US" w:eastAsia="zh-CN" w:bidi="ar-SA"/>
        </w:rPr>
        <w:t>丁山河项目提升泵房及箱涵泵房清淤清砂</w:t>
      </w:r>
      <w:r>
        <w:rPr>
          <w:rFonts w:ascii="宋体" w:hAnsi="宋体" w:eastAsia="宋体" w:cs="Times New Roman"/>
          <w:b/>
          <w:kern w:val="2"/>
          <w:sz w:val="56"/>
          <w:szCs w:val="56"/>
          <w:lang w:val="en-US" w:eastAsia="zh-CN" w:bidi="ar-SA"/>
        </w:rPr>
        <w:t>劳务服务合同</w:t>
      </w:r>
    </w:p>
    <w:p w14:paraId="714A176D">
      <w:pPr>
        <w:shd w:val="clear" w:color="auto" w:fill="FFFFFF"/>
        <w:adjustRightInd w:val="0"/>
        <w:snapToGrid w:val="0"/>
        <w:spacing w:line="360" w:lineRule="auto"/>
        <w:ind w:firstLine="0" w:firstLineChars="0"/>
        <w:jc w:val="center"/>
        <w:rPr>
          <w:rFonts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（深水咨询-XXXXX）</w:t>
      </w:r>
    </w:p>
    <w:p w14:paraId="30A8668A">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45D4E8ED">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0A44F4D7">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2BDF9A3C">
      <w:pPr>
        <w:shd w:val="clear" w:color="auto" w:fill="FFFFFF"/>
        <w:adjustRightInd w:val="0"/>
        <w:snapToGrid w:val="0"/>
        <w:spacing w:line="360" w:lineRule="auto"/>
        <w:ind w:firstLine="432" w:firstLineChars="90"/>
        <w:jc w:val="both"/>
        <w:rPr>
          <w:rFonts w:ascii="宋体" w:hAnsi="宋体" w:eastAsia="宋体" w:cs="Times New Roman"/>
          <w:kern w:val="2"/>
          <w:sz w:val="48"/>
          <w:szCs w:val="48"/>
          <w:lang w:val="en-US" w:eastAsia="zh-CN" w:bidi="ar-SA"/>
        </w:rPr>
      </w:pPr>
    </w:p>
    <w:p w14:paraId="2A553425">
      <w:pPr>
        <w:shd w:val="clear" w:color="auto" w:fill="FFFFFF"/>
        <w:adjustRightInd w:val="0"/>
        <w:snapToGrid w:val="0"/>
        <w:spacing w:line="360" w:lineRule="auto"/>
        <w:ind w:left="1260" w:leftChars="600" w:firstLine="0" w:firstLineChars="0"/>
        <w:jc w:val="both"/>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甲方：深圳市深水水务咨询有限公司</w:t>
      </w:r>
    </w:p>
    <w:p w14:paraId="02B76777">
      <w:pPr>
        <w:shd w:val="clear" w:color="auto" w:fill="FFFFFF"/>
        <w:adjustRightInd w:val="0"/>
        <w:snapToGrid w:val="0"/>
        <w:spacing w:line="360" w:lineRule="auto"/>
        <w:ind w:left="1260" w:leftChars="600" w:firstLine="0" w:firstLineChars="0"/>
        <w:jc w:val="both"/>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乙方：XXXXXXXXXXXXXXXXXXXXXXX</w:t>
      </w:r>
    </w:p>
    <w:p w14:paraId="2675961E">
      <w:pPr>
        <w:shd w:val="clear" w:color="auto" w:fill="FFFFFF"/>
        <w:adjustRightInd w:val="0"/>
        <w:snapToGrid w:val="0"/>
        <w:spacing w:line="360" w:lineRule="auto"/>
        <w:ind w:firstLine="270" w:firstLineChars="90"/>
        <w:jc w:val="both"/>
        <w:rPr>
          <w:rFonts w:ascii="宋体" w:hAnsi="宋体" w:eastAsia="宋体" w:cs="Times New Roman"/>
          <w:kern w:val="2"/>
          <w:sz w:val="30"/>
          <w:szCs w:val="30"/>
          <w:lang w:val="en-US" w:eastAsia="zh-CN" w:bidi="ar-SA"/>
        </w:rPr>
      </w:pPr>
    </w:p>
    <w:p w14:paraId="072C29EA">
      <w:pPr>
        <w:shd w:val="clear" w:color="auto" w:fill="FFFFFF"/>
        <w:adjustRightInd w:val="0"/>
        <w:snapToGrid w:val="0"/>
        <w:spacing w:line="360" w:lineRule="auto"/>
        <w:ind w:firstLine="3000" w:firstLineChars="1000"/>
        <w:jc w:val="both"/>
        <w:rPr>
          <w:rFonts w:ascii="宋体" w:hAnsi="宋体" w:eastAsia="宋体" w:cs="Times New Roman"/>
          <w:kern w:val="2"/>
          <w:sz w:val="30"/>
          <w:szCs w:val="30"/>
          <w:lang w:val="en-US" w:eastAsia="zh-CN" w:bidi="ar-SA"/>
        </w:rPr>
      </w:pPr>
      <w:r>
        <w:rPr>
          <w:rFonts w:hint="eastAsia" w:ascii="宋体" w:hAnsi="宋体" w:eastAsia="宋体" w:cs="Times New Roman"/>
          <w:kern w:val="2"/>
          <w:sz w:val="30"/>
          <w:szCs w:val="30"/>
          <w:lang w:val="en-US" w:eastAsia="zh-CN" w:bidi="ar-SA"/>
        </w:rPr>
        <w:t>二〇二</w:t>
      </w:r>
      <w:r>
        <w:rPr>
          <w:rFonts w:hint="eastAsia" w:ascii="宋体" w:hAnsi="宋体" w:cs="Times New Roman"/>
          <w:kern w:val="2"/>
          <w:sz w:val="30"/>
          <w:szCs w:val="30"/>
          <w:lang w:val="en-US" w:eastAsia="zh-CN" w:bidi="ar-SA"/>
        </w:rPr>
        <w:t>五</w:t>
      </w:r>
      <w:r>
        <w:rPr>
          <w:rFonts w:hint="eastAsia" w:ascii="宋体" w:hAnsi="宋体" w:eastAsia="宋体" w:cs="Times New Roman"/>
          <w:kern w:val="2"/>
          <w:sz w:val="30"/>
          <w:szCs w:val="30"/>
          <w:lang w:val="en-US" w:eastAsia="zh-CN" w:bidi="ar-SA"/>
        </w:rPr>
        <w:t>年</w:t>
      </w:r>
      <w:r>
        <w:rPr>
          <w:rFonts w:hint="eastAsia" w:ascii="宋体" w:hAnsi="宋体" w:cs="Times New Roman"/>
          <w:kern w:val="2"/>
          <w:sz w:val="30"/>
          <w:szCs w:val="30"/>
          <w:lang w:val="en-US" w:eastAsia="zh-CN" w:bidi="ar-SA"/>
        </w:rPr>
        <w:t>四</w:t>
      </w:r>
      <w:r>
        <w:rPr>
          <w:rFonts w:hint="eastAsia" w:ascii="宋体" w:hAnsi="宋体" w:eastAsia="宋体" w:cs="Times New Roman"/>
          <w:kern w:val="2"/>
          <w:sz w:val="30"/>
          <w:szCs w:val="30"/>
          <w:lang w:val="en-US" w:eastAsia="zh-CN" w:bidi="ar-SA"/>
        </w:rPr>
        <w:t>月</w:t>
      </w:r>
    </w:p>
    <w:p w14:paraId="5CDC84C0">
      <w:pPr>
        <w:sectPr>
          <w:footerReference r:id="rId5" w:type="default"/>
          <w:footerReference r:id="rId6" w:type="even"/>
          <w:pgSz w:w="11906" w:h="16838"/>
          <w:pgMar w:top="1246" w:right="1286" w:bottom="1246" w:left="1620" w:header="851" w:footer="992" w:gutter="0"/>
          <w:cols w:space="720" w:num="1"/>
          <w:titlePg/>
          <w:docGrid w:type="lines" w:linePitch="312" w:charSpace="0"/>
        </w:sectPr>
      </w:pPr>
    </w:p>
    <w:p w14:paraId="7EABAEFD">
      <w:pPr>
        <w:widowControl/>
        <w:shd w:val="clear" w:color="auto" w:fill="FFFFFF"/>
        <w:tabs>
          <w:tab w:val="left" w:pos="426"/>
        </w:tabs>
        <w:adjustRightInd w:val="0"/>
        <w:snapToGrid w:val="0"/>
        <w:spacing w:afterLines="-2147483648" w:line="360" w:lineRule="auto"/>
        <w:jc w:val="center"/>
        <w:rPr>
          <w:rFonts w:ascii="宋体" w:hAnsi="宋体" w:cs="宋体"/>
          <w:b/>
          <w:kern w:val="0"/>
          <w:sz w:val="44"/>
          <w:szCs w:val="44"/>
        </w:rPr>
      </w:pPr>
      <w:r>
        <w:rPr>
          <w:rFonts w:hint="eastAsia" w:ascii="宋体" w:hAnsi="宋体" w:cs="宋体"/>
          <w:b/>
          <w:kern w:val="0"/>
          <w:sz w:val="44"/>
          <w:szCs w:val="44"/>
        </w:rPr>
        <w:t>劳务服务协议</w:t>
      </w:r>
    </w:p>
    <w:p w14:paraId="651F675F">
      <w:pPr>
        <w:widowControl/>
        <w:shd w:val="clear" w:color="auto" w:fill="FFFFFF"/>
        <w:tabs>
          <w:tab w:val="left" w:pos="426"/>
        </w:tabs>
        <w:adjustRightInd w:val="0"/>
        <w:snapToGrid w:val="0"/>
        <w:spacing w:afterLines="-2147483648" w:line="360" w:lineRule="auto"/>
        <w:jc w:val="center"/>
        <w:rPr>
          <w:rFonts w:ascii="宋体" w:hAnsi="宋体" w:cs="宋体"/>
          <w:b/>
          <w:kern w:val="0"/>
          <w:sz w:val="44"/>
          <w:szCs w:val="44"/>
        </w:rPr>
      </w:pPr>
    </w:p>
    <w:p w14:paraId="7724D85E">
      <w:pPr>
        <w:widowControl/>
        <w:shd w:val="clear" w:color="auto" w:fill="FFFFFF"/>
        <w:tabs>
          <w:tab w:val="left" w:pos="426"/>
        </w:tabs>
        <w:adjustRightInd w:val="0"/>
        <w:snapToGrid w:val="0"/>
        <w:spacing w:afterLines="-2147483648" w:line="360" w:lineRule="auto"/>
        <w:ind w:right="84" w:rightChars="40"/>
        <w:jc w:val="left"/>
        <w:rPr>
          <w:rFonts w:hint="eastAsia" w:ascii="宋体" w:hAnsi="宋体" w:eastAsia="宋体" w:cs="宋体"/>
          <w:kern w:val="0"/>
          <w:szCs w:val="21"/>
          <w:lang w:eastAsia="zh-CN"/>
        </w:rPr>
      </w:pPr>
      <w:r>
        <w:rPr>
          <w:rFonts w:hint="eastAsia" w:ascii="宋体" w:hAnsi="宋体" w:cs="宋体"/>
          <w:kern w:val="0"/>
          <w:szCs w:val="21"/>
        </w:rPr>
        <w:t>劳务输入方（甲方）：</w:t>
      </w:r>
      <w:r>
        <w:rPr>
          <w:rFonts w:hint="eastAsia" w:ascii="宋体" w:hAnsi="宋体" w:cs="宋体"/>
          <w:kern w:val="0"/>
          <w:szCs w:val="21"/>
          <w:lang w:eastAsia="zh-CN"/>
        </w:rPr>
        <w:t>深圳市深水水务咨询有限公司</w:t>
      </w:r>
    </w:p>
    <w:p w14:paraId="2DB04511">
      <w:pPr>
        <w:widowControl/>
        <w:shd w:val="clear" w:color="auto" w:fill="FFFFFF"/>
        <w:tabs>
          <w:tab w:val="left" w:pos="426"/>
        </w:tabs>
        <w:adjustRightInd w:val="0"/>
        <w:snapToGrid w:val="0"/>
        <w:spacing w:afterLines="-2147483648" w:line="360" w:lineRule="auto"/>
        <w:rPr>
          <w:rFonts w:hint="eastAsia" w:ascii="宋体" w:hAnsi="宋体" w:eastAsia="宋体" w:cs="宋体"/>
          <w:b/>
          <w:bCs/>
          <w:kern w:val="0"/>
          <w:szCs w:val="21"/>
          <w:lang w:eastAsia="zh-CN"/>
        </w:rPr>
      </w:pPr>
      <w:r>
        <w:rPr>
          <w:rFonts w:hint="eastAsia" w:ascii="宋体" w:hAnsi="宋体" w:cs="宋体"/>
          <w:kern w:val="0"/>
          <w:szCs w:val="21"/>
        </w:rPr>
        <w:t>劳务输出方（乙方）：</w:t>
      </w:r>
      <w:r>
        <w:rPr>
          <w:rFonts w:hint="eastAsia" w:ascii="宋体" w:hAnsi="宋体" w:cs="宋体"/>
          <w:kern w:val="0"/>
          <w:szCs w:val="21"/>
          <w:lang w:eastAsia="zh-CN"/>
        </w:rPr>
        <w:t>XXXXXXXXXXXXXXXXXXXXXXX</w:t>
      </w:r>
    </w:p>
    <w:p w14:paraId="45A7473D">
      <w:pPr>
        <w:widowControl/>
        <w:shd w:val="clear" w:color="auto" w:fill="FFFFFF"/>
        <w:tabs>
          <w:tab w:val="left" w:pos="426"/>
        </w:tabs>
        <w:adjustRightInd w:val="0"/>
        <w:snapToGrid w:val="0"/>
        <w:spacing w:afterLines="-2147483648" w:line="360" w:lineRule="auto"/>
        <w:rPr>
          <w:rFonts w:ascii="宋体" w:hAnsi="宋体" w:cs="宋体"/>
          <w:kern w:val="0"/>
          <w:szCs w:val="21"/>
          <w:highlight w:val="green"/>
          <w:u w:val="single"/>
        </w:rPr>
      </w:pPr>
    </w:p>
    <w:p w14:paraId="6FEEAB0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根据《中华人民共和国民法典》等有关法律、法规，遵循平等、自愿、公平和诚实信用的原则，甲乙双方就观澜河口调蓄池清淤劳务服务事宜协商一致，订立本协议。</w:t>
      </w:r>
    </w:p>
    <w:p w14:paraId="74E208DF">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第一条 项目概况</w:t>
      </w:r>
    </w:p>
    <w:p w14:paraId="0B785C5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1.1 工作地点：</w:t>
      </w:r>
      <w:r>
        <w:rPr>
          <w:rFonts w:hint="eastAsia" w:ascii="宋体" w:hAnsi="宋体" w:cs="宋体"/>
          <w:kern w:val="0"/>
          <w:szCs w:val="21"/>
          <w:u w:val="single"/>
        </w:rPr>
        <w:t>深圳市龙</w:t>
      </w:r>
      <w:r>
        <w:rPr>
          <w:rFonts w:hint="eastAsia" w:ascii="宋体" w:hAnsi="宋体" w:cs="宋体"/>
          <w:kern w:val="0"/>
          <w:szCs w:val="21"/>
          <w:u w:val="single"/>
          <w:lang w:val="en-US" w:eastAsia="zh-CN"/>
        </w:rPr>
        <w:t>岗</w:t>
      </w:r>
      <w:r>
        <w:rPr>
          <w:rFonts w:hint="eastAsia" w:ascii="宋体" w:hAnsi="宋体" w:cs="宋体"/>
          <w:kern w:val="0"/>
          <w:szCs w:val="21"/>
          <w:u w:val="single"/>
        </w:rPr>
        <w:t xml:space="preserve">区                  </w:t>
      </w:r>
    </w:p>
    <w:p w14:paraId="50EFABE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u w:val="single"/>
        </w:rPr>
      </w:pPr>
      <w:r>
        <w:rPr>
          <w:rFonts w:hint="eastAsia" w:ascii="宋体" w:hAnsi="宋体" w:cs="宋体"/>
          <w:kern w:val="0"/>
          <w:szCs w:val="21"/>
        </w:rPr>
        <w:t>1.2 服务范围：</w:t>
      </w:r>
      <w:r>
        <w:rPr>
          <w:rFonts w:hint="eastAsia" w:ascii="宋体" w:hAnsi="宋体" w:cs="宋体"/>
          <w:kern w:val="0"/>
          <w:szCs w:val="21"/>
          <w:u w:val="single"/>
        </w:rPr>
        <w:t>粗格栅机底部、泵坑清淤清砂</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p>
    <w:p w14:paraId="29126312">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第二条 劳务方式及劳务内容</w:t>
      </w:r>
    </w:p>
    <w:p w14:paraId="0D4212CA">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2.1 劳务</w:t>
      </w:r>
      <w:r>
        <w:rPr>
          <w:rFonts w:hint="eastAsia" w:ascii="宋体" w:hAnsi="宋体" w:cs="宋体"/>
          <w:kern w:val="0"/>
          <w:szCs w:val="21"/>
        </w:rPr>
        <w:t>服务</w:t>
      </w:r>
      <w:r>
        <w:rPr>
          <w:rFonts w:ascii="宋体" w:hAnsi="宋体" w:cs="宋体"/>
          <w:kern w:val="0"/>
          <w:szCs w:val="21"/>
        </w:rPr>
        <w:t>方式：</w:t>
      </w:r>
      <w:r>
        <w:rPr>
          <w:rFonts w:ascii="宋体" w:hAnsi="宋体" w:cs="宋体"/>
          <w:kern w:val="0"/>
          <w:szCs w:val="21"/>
          <w:u w:val="single"/>
        </w:rPr>
        <w:t xml:space="preserve">  全费用包干</w:t>
      </w:r>
      <w:r>
        <w:rPr>
          <w:rFonts w:hint="eastAsia" w:ascii="宋体" w:hAnsi="宋体" w:cs="宋体"/>
          <w:kern w:val="0"/>
          <w:szCs w:val="21"/>
          <w:u w:val="single"/>
        </w:rPr>
        <w:t xml:space="preserve"> </w:t>
      </w:r>
      <w:r>
        <w:rPr>
          <w:rFonts w:ascii="宋体" w:hAnsi="宋体" w:cs="宋体"/>
          <w:kern w:val="0"/>
          <w:szCs w:val="21"/>
          <w:u w:val="single"/>
        </w:rPr>
        <w:t xml:space="preserve"> 。</w:t>
      </w:r>
      <w:bookmarkStart w:id="17" w:name="_GoBack"/>
      <w:bookmarkEnd w:id="17"/>
    </w:p>
    <w:p w14:paraId="4414D685">
      <w:pPr>
        <w:widowControl/>
        <w:shd w:val="clear" w:color="auto" w:fill="FFFFFF"/>
        <w:tabs>
          <w:tab w:val="left" w:pos="426"/>
        </w:tabs>
        <w:adjustRightInd w:val="0"/>
        <w:snapToGrid w:val="0"/>
        <w:spacing w:afterLines="-2147483648" w:line="360" w:lineRule="auto"/>
        <w:ind w:firstLine="411" w:firstLineChars="196"/>
        <w:rPr>
          <w:rFonts w:ascii="宋体" w:hAnsi="宋体" w:cs="宋体"/>
          <w:kern w:val="0"/>
          <w:szCs w:val="21"/>
        </w:rPr>
      </w:pPr>
      <w:r>
        <w:rPr>
          <w:rFonts w:ascii="宋体" w:hAnsi="宋体" w:cs="宋体"/>
          <w:kern w:val="0"/>
          <w:szCs w:val="21"/>
        </w:rPr>
        <w:t>2.2 劳务</w:t>
      </w:r>
      <w:r>
        <w:rPr>
          <w:rFonts w:hint="eastAsia" w:ascii="宋体" w:hAnsi="宋体" w:cs="宋体"/>
          <w:kern w:val="0"/>
          <w:szCs w:val="21"/>
        </w:rPr>
        <w:t>服务</w:t>
      </w:r>
      <w:r>
        <w:rPr>
          <w:rFonts w:ascii="宋体" w:hAnsi="宋体" w:cs="宋体"/>
          <w:kern w:val="0"/>
          <w:szCs w:val="21"/>
        </w:rPr>
        <w:t>内容</w:t>
      </w:r>
    </w:p>
    <w:tbl>
      <w:tblPr>
        <w:tblStyle w:val="20"/>
        <w:tblpPr w:leftFromText="180" w:rightFromText="180" w:vertAnchor="text" w:horzAnchor="margin" w:tblpY="202"/>
        <w:tblOverlap w:val="never"/>
        <w:tblW w:w="4995" w:type="pct"/>
        <w:tblInd w:w="0" w:type="dxa"/>
        <w:tblLayout w:type="autofit"/>
        <w:tblCellMar>
          <w:top w:w="0" w:type="dxa"/>
          <w:left w:w="108" w:type="dxa"/>
          <w:bottom w:w="0" w:type="dxa"/>
          <w:right w:w="108" w:type="dxa"/>
        </w:tblCellMar>
      </w:tblPr>
      <w:tblGrid>
        <w:gridCol w:w="1099"/>
        <w:gridCol w:w="2330"/>
        <w:gridCol w:w="1549"/>
        <w:gridCol w:w="1501"/>
        <w:gridCol w:w="3187"/>
      </w:tblGrid>
      <w:tr w14:paraId="74D4FD02">
        <w:tblPrEx>
          <w:tblCellMar>
            <w:top w:w="0" w:type="dxa"/>
            <w:left w:w="108" w:type="dxa"/>
            <w:bottom w:w="0" w:type="dxa"/>
            <w:right w:w="108" w:type="dxa"/>
          </w:tblCellMar>
        </w:tblPrEx>
        <w:trPr>
          <w:trHeight w:val="567" w:hRule="atLeast"/>
        </w:trPr>
        <w:tc>
          <w:tcPr>
            <w:tcW w:w="568" w:type="pct"/>
            <w:tcBorders>
              <w:top w:val="single" w:color="auto" w:sz="4" w:space="0"/>
              <w:left w:val="single" w:color="auto" w:sz="4" w:space="0"/>
              <w:bottom w:val="single" w:color="auto" w:sz="4" w:space="0"/>
              <w:right w:val="single" w:color="auto" w:sz="4" w:space="0"/>
            </w:tcBorders>
            <w:vAlign w:val="center"/>
          </w:tcPr>
          <w:p w14:paraId="63F509FD">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b/>
                <w:bCs/>
                <w:kern w:val="0"/>
                <w:sz w:val="22"/>
                <w:szCs w:val="22"/>
              </w:rPr>
            </w:pPr>
            <w:r>
              <w:rPr>
                <w:rFonts w:hint="eastAsia" w:ascii="仿宋_GB2312" w:hAnsi="仿宋" w:eastAsia="仿宋_GB2312" w:cs="宋体"/>
                <w:b/>
                <w:bCs/>
                <w:kern w:val="0"/>
                <w:sz w:val="22"/>
                <w:szCs w:val="22"/>
              </w:rPr>
              <w:t>序号</w:t>
            </w:r>
          </w:p>
        </w:tc>
        <w:tc>
          <w:tcPr>
            <w:tcW w:w="1205" w:type="pct"/>
            <w:tcBorders>
              <w:top w:val="single" w:color="auto" w:sz="4" w:space="0"/>
              <w:left w:val="nil"/>
              <w:bottom w:val="single" w:color="auto" w:sz="4" w:space="0"/>
              <w:right w:val="single" w:color="auto" w:sz="4" w:space="0"/>
            </w:tcBorders>
            <w:vAlign w:val="center"/>
          </w:tcPr>
          <w:p w14:paraId="6E5DED18">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b/>
                <w:bCs/>
                <w:kern w:val="0"/>
                <w:sz w:val="22"/>
                <w:szCs w:val="22"/>
              </w:rPr>
            </w:pPr>
            <w:r>
              <w:rPr>
                <w:rFonts w:hint="eastAsia" w:ascii="仿宋_GB2312" w:hAnsi="仿宋" w:eastAsia="仿宋_GB2312" w:cs="宋体"/>
                <w:b/>
                <w:bCs/>
                <w:kern w:val="0"/>
                <w:sz w:val="22"/>
                <w:szCs w:val="22"/>
              </w:rPr>
              <w:t>名称</w:t>
            </w:r>
          </w:p>
        </w:tc>
        <w:tc>
          <w:tcPr>
            <w:tcW w:w="801" w:type="pct"/>
            <w:tcBorders>
              <w:top w:val="single" w:color="auto" w:sz="4" w:space="0"/>
              <w:left w:val="nil"/>
              <w:bottom w:val="single" w:color="auto" w:sz="4" w:space="0"/>
              <w:right w:val="single" w:color="auto" w:sz="4" w:space="0"/>
            </w:tcBorders>
            <w:vAlign w:val="center"/>
          </w:tcPr>
          <w:p w14:paraId="0FE173E0">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b/>
                <w:bCs/>
                <w:kern w:val="0"/>
                <w:sz w:val="22"/>
                <w:szCs w:val="22"/>
              </w:rPr>
            </w:pPr>
            <w:r>
              <w:rPr>
                <w:rFonts w:hint="eastAsia" w:ascii="仿宋_GB2312" w:hAnsi="仿宋" w:eastAsia="仿宋_GB2312" w:cs="宋体"/>
                <w:b/>
                <w:bCs/>
                <w:kern w:val="0"/>
                <w:sz w:val="22"/>
                <w:szCs w:val="22"/>
              </w:rPr>
              <w:t>单位</w:t>
            </w:r>
          </w:p>
        </w:tc>
        <w:tc>
          <w:tcPr>
            <w:tcW w:w="776" w:type="pct"/>
            <w:tcBorders>
              <w:top w:val="single" w:color="auto" w:sz="4" w:space="0"/>
              <w:left w:val="nil"/>
              <w:bottom w:val="single" w:color="auto" w:sz="4" w:space="0"/>
              <w:right w:val="single" w:color="auto" w:sz="4" w:space="0"/>
            </w:tcBorders>
            <w:vAlign w:val="center"/>
          </w:tcPr>
          <w:p w14:paraId="3E355E71">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b/>
                <w:bCs/>
                <w:kern w:val="0"/>
                <w:sz w:val="22"/>
                <w:szCs w:val="22"/>
              </w:rPr>
            </w:pPr>
            <w:r>
              <w:rPr>
                <w:rFonts w:hint="eastAsia" w:ascii="仿宋_GB2312" w:hAnsi="仿宋" w:eastAsia="仿宋_GB2312" w:cs="宋体"/>
                <w:b/>
                <w:bCs/>
                <w:kern w:val="0"/>
                <w:sz w:val="22"/>
                <w:szCs w:val="22"/>
              </w:rPr>
              <w:t>数量</w:t>
            </w:r>
          </w:p>
        </w:tc>
        <w:tc>
          <w:tcPr>
            <w:tcW w:w="1648" w:type="pct"/>
            <w:tcBorders>
              <w:top w:val="single" w:color="auto" w:sz="4" w:space="0"/>
              <w:left w:val="nil"/>
              <w:bottom w:val="single" w:color="auto" w:sz="4" w:space="0"/>
              <w:right w:val="single" w:color="auto" w:sz="4" w:space="0"/>
            </w:tcBorders>
            <w:vAlign w:val="center"/>
          </w:tcPr>
          <w:p w14:paraId="59D429D5">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b/>
                <w:bCs/>
                <w:kern w:val="0"/>
                <w:sz w:val="22"/>
                <w:szCs w:val="22"/>
              </w:rPr>
            </w:pPr>
            <w:r>
              <w:rPr>
                <w:rFonts w:hint="eastAsia" w:ascii="仿宋_GB2312" w:hAnsi="仿宋" w:eastAsia="仿宋_GB2312" w:cs="宋体"/>
                <w:b/>
                <w:bCs/>
                <w:kern w:val="0"/>
                <w:sz w:val="22"/>
                <w:szCs w:val="22"/>
              </w:rPr>
              <w:t>备注</w:t>
            </w:r>
          </w:p>
        </w:tc>
      </w:tr>
      <w:tr w14:paraId="7B7AEE9F">
        <w:tblPrEx>
          <w:tblCellMar>
            <w:top w:w="0" w:type="dxa"/>
            <w:left w:w="108" w:type="dxa"/>
            <w:bottom w:w="0" w:type="dxa"/>
            <w:right w:w="108" w:type="dxa"/>
          </w:tblCellMar>
        </w:tblPrEx>
        <w:trPr>
          <w:trHeight w:val="567" w:hRule="atLeast"/>
        </w:trPr>
        <w:tc>
          <w:tcPr>
            <w:tcW w:w="568" w:type="pct"/>
            <w:tcBorders>
              <w:top w:val="single" w:color="auto" w:sz="4" w:space="0"/>
              <w:left w:val="single" w:color="auto" w:sz="4" w:space="0"/>
              <w:bottom w:val="single" w:color="auto" w:sz="4" w:space="0"/>
              <w:right w:val="single" w:color="auto" w:sz="4" w:space="0"/>
            </w:tcBorders>
            <w:vAlign w:val="center"/>
          </w:tcPr>
          <w:p w14:paraId="1655D212">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kern w:val="0"/>
                <w:sz w:val="22"/>
                <w:szCs w:val="22"/>
              </w:rPr>
            </w:pPr>
            <w:r>
              <w:rPr>
                <w:rFonts w:hint="eastAsia" w:ascii="仿宋_GB2312" w:hAnsi="仿宋" w:eastAsia="仿宋_GB2312" w:cs="宋体"/>
                <w:kern w:val="0"/>
                <w:sz w:val="22"/>
                <w:szCs w:val="22"/>
              </w:rPr>
              <w:t>1</w:t>
            </w:r>
          </w:p>
        </w:tc>
        <w:tc>
          <w:tcPr>
            <w:tcW w:w="1205" w:type="pct"/>
            <w:tcBorders>
              <w:top w:val="single" w:color="auto" w:sz="4" w:space="0"/>
              <w:left w:val="single" w:color="auto" w:sz="4" w:space="0"/>
              <w:bottom w:val="single" w:color="auto" w:sz="4" w:space="0"/>
              <w:right w:val="single" w:color="auto" w:sz="4" w:space="0"/>
            </w:tcBorders>
            <w:vAlign w:val="center"/>
          </w:tcPr>
          <w:p w14:paraId="77A3AB06">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计日工</w:t>
            </w:r>
          </w:p>
        </w:tc>
        <w:tc>
          <w:tcPr>
            <w:tcW w:w="801" w:type="pct"/>
            <w:tcBorders>
              <w:top w:val="single" w:color="auto" w:sz="4" w:space="0"/>
              <w:left w:val="single" w:color="auto" w:sz="4" w:space="0"/>
              <w:bottom w:val="single" w:color="auto" w:sz="4" w:space="0"/>
              <w:right w:val="single" w:color="auto" w:sz="4" w:space="0"/>
            </w:tcBorders>
            <w:vAlign w:val="center"/>
          </w:tcPr>
          <w:p w14:paraId="16D8D27C">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天</w:t>
            </w:r>
          </w:p>
        </w:tc>
        <w:tc>
          <w:tcPr>
            <w:tcW w:w="776" w:type="pct"/>
            <w:tcBorders>
              <w:top w:val="single" w:color="auto" w:sz="4" w:space="0"/>
              <w:left w:val="single" w:color="auto" w:sz="4" w:space="0"/>
              <w:bottom w:val="single" w:color="auto" w:sz="4" w:space="0"/>
              <w:right w:val="single" w:color="auto" w:sz="4" w:space="0"/>
            </w:tcBorders>
            <w:vAlign w:val="center"/>
          </w:tcPr>
          <w:p w14:paraId="26B1858E">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190</w:t>
            </w:r>
          </w:p>
        </w:tc>
        <w:tc>
          <w:tcPr>
            <w:tcW w:w="1648" w:type="pct"/>
            <w:tcBorders>
              <w:top w:val="single" w:color="auto" w:sz="4" w:space="0"/>
              <w:left w:val="single" w:color="auto" w:sz="4" w:space="0"/>
              <w:bottom w:val="single" w:color="auto" w:sz="4" w:space="0"/>
              <w:right w:val="single" w:color="auto" w:sz="4" w:space="0"/>
            </w:tcBorders>
            <w:vAlign w:val="center"/>
          </w:tcPr>
          <w:p w14:paraId="41AE4A4F">
            <w:pPr>
              <w:widowControl/>
              <w:shd w:val="clear" w:color="auto" w:fill="FFFFFF"/>
              <w:tabs>
                <w:tab w:val="left" w:pos="426"/>
              </w:tabs>
              <w:adjustRightInd w:val="0"/>
              <w:snapToGrid w:val="0"/>
              <w:spacing w:after="78" w:afterLines="-2147483648" w:line="360" w:lineRule="auto"/>
              <w:jc w:val="center"/>
              <w:textAlignment w:val="center"/>
              <w:rPr>
                <w:rFonts w:hint="eastAsia" w:ascii="仿宋_GB2312" w:hAnsi="仿宋" w:eastAsia="仿宋_GB2312" w:cs="仿宋"/>
                <w:kern w:val="0"/>
                <w:sz w:val="24"/>
                <w:szCs w:val="24"/>
              </w:rPr>
            </w:pPr>
          </w:p>
        </w:tc>
      </w:tr>
      <w:tr w14:paraId="76474D67">
        <w:tblPrEx>
          <w:tblCellMar>
            <w:top w:w="0" w:type="dxa"/>
            <w:left w:w="108" w:type="dxa"/>
            <w:bottom w:w="0" w:type="dxa"/>
            <w:right w:w="108" w:type="dxa"/>
          </w:tblCellMar>
        </w:tblPrEx>
        <w:trPr>
          <w:trHeight w:val="567" w:hRule="atLeast"/>
        </w:trPr>
        <w:tc>
          <w:tcPr>
            <w:tcW w:w="568" w:type="pct"/>
            <w:tcBorders>
              <w:top w:val="single" w:color="auto" w:sz="4" w:space="0"/>
              <w:left w:val="single" w:color="auto" w:sz="4" w:space="0"/>
              <w:bottom w:val="single" w:color="auto" w:sz="4" w:space="0"/>
              <w:right w:val="single" w:color="auto" w:sz="4" w:space="0"/>
            </w:tcBorders>
            <w:vAlign w:val="center"/>
          </w:tcPr>
          <w:p w14:paraId="03DB874A">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kern w:val="0"/>
                <w:sz w:val="22"/>
                <w:szCs w:val="22"/>
              </w:rPr>
            </w:pPr>
            <w:r>
              <w:rPr>
                <w:rFonts w:hint="eastAsia" w:ascii="仿宋_GB2312" w:hAnsi="仿宋" w:eastAsia="仿宋_GB2312" w:cs="宋体"/>
                <w:kern w:val="0"/>
                <w:sz w:val="22"/>
                <w:szCs w:val="22"/>
              </w:rPr>
              <w:t>2</w:t>
            </w:r>
          </w:p>
        </w:tc>
        <w:tc>
          <w:tcPr>
            <w:tcW w:w="1205" w:type="pct"/>
            <w:tcBorders>
              <w:top w:val="single" w:color="auto" w:sz="4" w:space="0"/>
              <w:left w:val="single" w:color="auto" w:sz="4" w:space="0"/>
              <w:bottom w:val="single" w:color="auto" w:sz="4" w:space="0"/>
              <w:right w:val="single" w:color="auto" w:sz="4" w:space="0"/>
            </w:tcBorders>
            <w:vAlign w:val="center"/>
          </w:tcPr>
          <w:p w14:paraId="051E8250">
            <w:pPr>
              <w:widowControl/>
              <w:shd w:val="clear" w:color="auto" w:fill="FFFFFF"/>
              <w:tabs>
                <w:tab w:val="left" w:pos="426"/>
              </w:tabs>
              <w:adjustRightInd w:val="0"/>
              <w:snapToGrid w:val="0"/>
              <w:spacing w:after="78" w:afterLines="-2147483648" w:line="360" w:lineRule="auto"/>
              <w:jc w:val="center"/>
              <w:rPr>
                <w:rFonts w:ascii="仿宋_GB2312" w:hAnsi="Times New Roman" w:eastAsia="仿宋_GB2312" w:cs="宋体"/>
                <w:bCs/>
                <w:color w:val="000000"/>
                <w:kern w:val="0"/>
                <w:sz w:val="24"/>
                <w:szCs w:val="24"/>
              </w:rPr>
            </w:pPr>
            <w:r>
              <w:rPr>
                <w:rFonts w:hint="eastAsia" w:ascii="仿宋_GB2312" w:hAnsi="仿宋" w:eastAsia="仿宋_GB2312" w:cs="宋体"/>
                <w:kern w:val="0"/>
                <w:sz w:val="22"/>
                <w:szCs w:val="22"/>
              </w:rPr>
              <w:t>高压冲洗车</w:t>
            </w:r>
          </w:p>
        </w:tc>
        <w:tc>
          <w:tcPr>
            <w:tcW w:w="801" w:type="pct"/>
            <w:tcBorders>
              <w:top w:val="single" w:color="auto" w:sz="4" w:space="0"/>
              <w:left w:val="single" w:color="auto" w:sz="4" w:space="0"/>
              <w:bottom w:val="single" w:color="auto" w:sz="4" w:space="0"/>
              <w:right w:val="single" w:color="auto" w:sz="4" w:space="0"/>
            </w:tcBorders>
            <w:vAlign w:val="center"/>
          </w:tcPr>
          <w:p w14:paraId="3ADD8F30">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台班</w:t>
            </w:r>
          </w:p>
        </w:tc>
        <w:tc>
          <w:tcPr>
            <w:tcW w:w="776" w:type="pct"/>
            <w:tcBorders>
              <w:top w:val="single" w:color="auto" w:sz="4" w:space="0"/>
              <w:left w:val="single" w:color="auto" w:sz="4" w:space="0"/>
              <w:bottom w:val="single" w:color="auto" w:sz="4" w:space="0"/>
              <w:right w:val="single" w:color="auto" w:sz="4" w:space="0"/>
            </w:tcBorders>
            <w:vAlign w:val="center"/>
          </w:tcPr>
          <w:p w14:paraId="392172DC">
            <w:pPr>
              <w:widowControl/>
              <w:shd w:val="clear" w:color="auto" w:fill="FFFFFF"/>
              <w:tabs>
                <w:tab w:val="left" w:pos="426"/>
              </w:tabs>
              <w:adjustRightInd w:val="0"/>
              <w:snapToGrid w:val="0"/>
              <w:spacing w:after="78" w:afterLines="-2147483648" w:line="360" w:lineRule="auto"/>
              <w:jc w:val="center"/>
              <w:rPr>
                <w:rFonts w:hint="default" w:ascii="仿宋_GB2312" w:hAnsi="仿宋" w:eastAsia="仿宋_GB2312" w:cs="仿宋"/>
                <w:kern w:val="0"/>
                <w:sz w:val="24"/>
                <w:szCs w:val="24"/>
                <w:lang w:val="en-US" w:eastAsia="zh-CN"/>
              </w:rPr>
            </w:pPr>
            <w:r>
              <w:rPr>
                <w:rFonts w:hint="eastAsia" w:ascii="仿宋_GB2312" w:hAnsi="仿宋" w:eastAsia="仿宋_GB2312" w:cs="宋体"/>
                <w:kern w:val="0"/>
                <w:sz w:val="22"/>
                <w:szCs w:val="22"/>
                <w:lang w:val="en-US" w:eastAsia="zh-CN"/>
              </w:rPr>
              <w:t>15</w:t>
            </w:r>
          </w:p>
        </w:tc>
        <w:tc>
          <w:tcPr>
            <w:tcW w:w="1648" w:type="pct"/>
            <w:tcBorders>
              <w:top w:val="single" w:color="auto" w:sz="4" w:space="0"/>
              <w:left w:val="single" w:color="auto" w:sz="4" w:space="0"/>
              <w:bottom w:val="single" w:color="auto" w:sz="4" w:space="0"/>
              <w:right w:val="single" w:color="auto" w:sz="4" w:space="0"/>
            </w:tcBorders>
            <w:vAlign w:val="center"/>
          </w:tcPr>
          <w:p w14:paraId="35364B41">
            <w:pPr>
              <w:widowControl/>
              <w:shd w:val="clear" w:color="auto" w:fill="FFFFFF"/>
              <w:tabs>
                <w:tab w:val="left" w:pos="426"/>
              </w:tabs>
              <w:adjustRightInd w:val="0"/>
              <w:snapToGrid w:val="0"/>
              <w:spacing w:after="78" w:afterLines="-2147483648" w:line="360" w:lineRule="auto"/>
              <w:jc w:val="center"/>
              <w:textAlignment w:val="center"/>
              <w:rPr>
                <w:rFonts w:hint="eastAsia" w:ascii="仿宋" w:hAnsi="仿宋" w:eastAsia="仿宋" w:cs="仿宋"/>
                <w:kern w:val="0"/>
                <w:sz w:val="24"/>
                <w:szCs w:val="24"/>
                <w:lang w:bidi="ar"/>
              </w:rPr>
            </w:pPr>
          </w:p>
        </w:tc>
      </w:tr>
      <w:tr w14:paraId="7D23E549">
        <w:tblPrEx>
          <w:tblCellMar>
            <w:top w:w="0" w:type="dxa"/>
            <w:left w:w="108" w:type="dxa"/>
            <w:bottom w:w="0" w:type="dxa"/>
            <w:right w:w="108" w:type="dxa"/>
          </w:tblCellMar>
        </w:tblPrEx>
        <w:trPr>
          <w:trHeight w:val="567" w:hRule="atLeast"/>
        </w:trPr>
        <w:tc>
          <w:tcPr>
            <w:tcW w:w="568" w:type="pct"/>
            <w:tcBorders>
              <w:top w:val="single" w:color="auto" w:sz="4" w:space="0"/>
              <w:left w:val="single" w:color="auto" w:sz="4" w:space="0"/>
              <w:bottom w:val="single" w:color="auto" w:sz="4" w:space="0"/>
              <w:right w:val="single" w:color="auto" w:sz="4" w:space="0"/>
            </w:tcBorders>
            <w:vAlign w:val="center"/>
          </w:tcPr>
          <w:p w14:paraId="2E63FB60">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kern w:val="0"/>
                <w:sz w:val="22"/>
                <w:szCs w:val="22"/>
              </w:rPr>
            </w:pPr>
            <w:r>
              <w:rPr>
                <w:rFonts w:hint="eastAsia" w:ascii="仿宋_GB2312" w:hAnsi="仿宋" w:eastAsia="仿宋_GB2312" w:cs="宋体"/>
                <w:kern w:val="0"/>
                <w:sz w:val="22"/>
                <w:szCs w:val="22"/>
              </w:rPr>
              <w:t>3</w:t>
            </w:r>
          </w:p>
        </w:tc>
        <w:tc>
          <w:tcPr>
            <w:tcW w:w="1205" w:type="pct"/>
            <w:tcBorders>
              <w:top w:val="single" w:color="auto" w:sz="4" w:space="0"/>
              <w:left w:val="single" w:color="auto" w:sz="4" w:space="0"/>
              <w:bottom w:val="single" w:color="auto" w:sz="4" w:space="0"/>
              <w:right w:val="single" w:color="auto" w:sz="4" w:space="0"/>
            </w:tcBorders>
            <w:vAlign w:val="center"/>
          </w:tcPr>
          <w:p w14:paraId="0FEA2156">
            <w:pPr>
              <w:widowControl/>
              <w:shd w:val="clear" w:color="auto" w:fill="FFFFFF"/>
              <w:tabs>
                <w:tab w:val="left" w:pos="426"/>
              </w:tabs>
              <w:adjustRightInd w:val="0"/>
              <w:snapToGrid w:val="0"/>
              <w:spacing w:after="78" w:afterLines="-2147483648" w:line="360" w:lineRule="auto"/>
              <w:jc w:val="center"/>
              <w:rPr>
                <w:rFonts w:ascii="仿宋_GB2312" w:hAnsi="Times New Roman" w:eastAsia="仿宋_GB2312" w:cs="宋体"/>
                <w:bCs/>
                <w:color w:val="000000"/>
                <w:kern w:val="0"/>
                <w:sz w:val="24"/>
                <w:szCs w:val="24"/>
              </w:rPr>
            </w:pPr>
            <w:r>
              <w:rPr>
                <w:rFonts w:hint="eastAsia" w:ascii="仿宋_GB2312" w:hAnsi="仿宋" w:eastAsia="仿宋_GB2312" w:cs="宋体"/>
                <w:kern w:val="0"/>
                <w:sz w:val="22"/>
                <w:szCs w:val="22"/>
              </w:rPr>
              <w:t>外运砂石、淤泥</w:t>
            </w:r>
          </w:p>
        </w:tc>
        <w:tc>
          <w:tcPr>
            <w:tcW w:w="801" w:type="pct"/>
            <w:tcBorders>
              <w:top w:val="single" w:color="auto" w:sz="4" w:space="0"/>
              <w:left w:val="single" w:color="auto" w:sz="4" w:space="0"/>
              <w:bottom w:val="single" w:color="auto" w:sz="4" w:space="0"/>
              <w:right w:val="single" w:color="auto" w:sz="4" w:space="0"/>
            </w:tcBorders>
            <w:vAlign w:val="center"/>
          </w:tcPr>
          <w:p w14:paraId="070FE5CE">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立方米</w:t>
            </w:r>
          </w:p>
        </w:tc>
        <w:tc>
          <w:tcPr>
            <w:tcW w:w="776" w:type="pct"/>
            <w:tcBorders>
              <w:top w:val="single" w:color="auto" w:sz="4" w:space="0"/>
              <w:left w:val="single" w:color="auto" w:sz="4" w:space="0"/>
              <w:bottom w:val="single" w:color="auto" w:sz="4" w:space="0"/>
              <w:right w:val="single" w:color="auto" w:sz="4" w:space="0"/>
            </w:tcBorders>
            <w:vAlign w:val="center"/>
          </w:tcPr>
          <w:p w14:paraId="4465033C">
            <w:pPr>
              <w:widowControl/>
              <w:shd w:val="clear" w:color="auto" w:fill="FFFFFF"/>
              <w:tabs>
                <w:tab w:val="left" w:pos="426"/>
              </w:tabs>
              <w:adjustRightInd w:val="0"/>
              <w:snapToGrid w:val="0"/>
              <w:spacing w:after="78" w:afterLines="-2147483648" w:line="360" w:lineRule="auto"/>
              <w:jc w:val="center"/>
              <w:rPr>
                <w:rFonts w:hint="default" w:ascii="仿宋_GB2312" w:hAnsi="仿宋" w:eastAsia="仿宋_GB2312" w:cs="仿宋"/>
                <w:kern w:val="0"/>
                <w:sz w:val="24"/>
                <w:szCs w:val="24"/>
                <w:lang w:val="en-US" w:eastAsia="zh-CN"/>
              </w:rPr>
            </w:pPr>
            <w:r>
              <w:rPr>
                <w:rFonts w:hint="eastAsia" w:ascii="仿宋_GB2312" w:hAnsi="仿宋" w:eastAsia="仿宋_GB2312" w:cs="宋体"/>
                <w:kern w:val="0"/>
                <w:sz w:val="22"/>
                <w:szCs w:val="22"/>
                <w:lang w:val="en-US" w:eastAsia="zh-CN"/>
              </w:rPr>
              <w:t>310</w:t>
            </w:r>
          </w:p>
        </w:tc>
        <w:tc>
          <w:tcPr>
            <w:tcW w:w="1648" w:type="pct"/>
            <w:tcBorders>
              <w:top w:val="single" w:color="auto" w:sz="4" w:space="0"/>
              <w:left w:val="single" w:color="auto" w:sz="4" w:space="0"/>
              <w:bottom w:val="single" w:color="auto" w:sz="4" w:space="0"/>
              <w:right w:val="single" w:color="auto" w:sz="4" w:space="0"/>
            </w:tcBorders>
            <w:vAlign w:val="center"/>
          </w:tcPr>
          <w:p w14:paraId="39EF9C88">
            <w:pPr>
              <w:widowControl/>
              <w:shd w:val="clear" w:color="auto" w:fill="FFFFFF"/>
              <w:tabs>
                <w:tab w:val="left" w:pos="426"/>
              </w:tabs>
              <w:adjustRightInd w:val="0"/>
              <w:snapToGrid w:val="0"/>
              <w:spacing w:after="78" w:afterLines="-2147483648" w:line="360" w:lineRule="auto"/>
              <w:jc w:val="center"/>
              <w:textAlignment w:val="center"/>
              <w:rPr>
                <w:rFonts w:hint="eastAsia" w:ascii="仿宋" w:hAnsi="仿宋" w:eastAsia="仿宋" w:cs="仿宋"/>
                <w:kern w:val="0"/>
                <w:sz w:val="24"/>
                <w:szCs w:val="24"/>
                <w:lang w:bidi="ar"/>
              </w:rPr>
            </w:pPr>
          </w:p>
        </w:tc>
      </w:tr>
      <w:tr w14:paraId="7BD440D4">
        <w:tblPrEx>
          <w:tblCellMar>
            <w:top w:w="0" w:type="dxa"/>
            <w:left w:w="108" w:type="dxa"/>
            <w:bottom w:w="0" w:type="dxa"/>
            <w:right w:w="108" w:type="dxa"/>
          </w:tblCellMar>
        </w:tblPrEx>
        <w:trPr>
          <w:trHeight w:val="567" w:hRule="atLeast"/>
        </w:trPr>
        <w:tc>
          <w:tcPr>
            <w:tcW w:w="568" w:type="pct"/>
            <w:tcBorders>
              <w:top w:val="single" w:color="auto" w:sz="4" w:space="0"/>
              <w:left w:val="single" w:color="auto" w:sz="4" w:space="0"/>
              <w:bottom w:val="single" w:color="auto" w:sz="4" w:space="0"/>
              <w:right w:val="single" w:color="auto" w:sz="4" w:space="0"/>
            </w:tcBorders>
            <w:vAlign w:val="center"/>
          </w:tcPr>
          <w:p w14:paraId="6A28EF26">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宋体"/>
                <w:kern w:val="0"/>
                <w:sz w:val="22"/>
                <w:szCs w:val="22"/>
              </w:rPr>
            </w:pPr>
            <w:r>
              <w:rPr>
                <w:rFonts w:hint="eastAsia" w:ascii="仿宋_GB2312" w:hAnsi="仿宋" w:eastAsia="仿宋_GB2312" w:cs="宋体"/>
                <w:kern w:val="0"/>
                <w:sz w:val="22"/>
                <w:szCs w:val="22"/>
              </w:rPr>
              <w:t>4</w:t>
            </w:r>
          </w:p>
        </w:tc>
        <w:tc>
          <w:tcPr>
            <w:tcW w:w="1205" w:type="pct"/>
            <w:tcBorders>
              <w:top w:val="single" w:color="auto" w:sz="4" w:space="0"/>
              <w:left w:val="single" w:color="auto" w:sz="4" w:space="0"/>
              <w:bottom w:val="single" w:color="auto" w:sz="4" w:space="0"/>
              <w:right w:val="single" w:color="auto" w:sz="4" w:space="0"/>
            </w:tcBorders>
            <w:vAlign w:val="center"/>
          </w:tcPr>
          <w:p w14:paraId="27FC71DE">
            <w:pPr>
              <w:widowControl/>
              <w:shd w:val="clear" w:color="auto" w:fill="FFFFFF"/>
              <w:tabs>
                <w:tab w:val="left" w:pos="426"/>
              </w:tabs>
              <w:adjustRightInd w:val="0"/>
              <w:snapToGrid w:val="0"/>
              <w:spacing w:after="78" w:afterLines="-2147483648" w:line="360" w:lineRule="auto"/>
              <w:jc w:val="center"/>
              <w:rPr>
                <w:rFonts w:ascii="仿宋_GB2312" w:hAnsi="Times New Roman" w:eastAsia="仿宋_GB2312" w:cs="宋体"/>
                <w:bCs/>
                <w:color w:val="000000"/>
                <w:kern w:val="0"/>
                <w:sz w:val="24"/>
                <w:szCs w:val="24"/>
              </w:rPr>
            </w:pPr>
            <w:r>
              <w:rPr>
                <w:rFonts w:hint="eastAsia" w:ascii="仿宋_GB2312" w:hAnsi="仿宋" w:eastAsia="仿宋_GB2312" w:cs="宋体"/>
                <w:kern w:val="0"/>
                <w:sz w:val="22"/>
                <w:szCs w:val="22"/>
              </w:rPr>
              <w:t>辅材</w:t>
            </w:r>
          </w:p>
        </w:tc>
        <w:tc>
          <w:tcPr>
            <w:tcW w:w="801" w:type="pct"/>
            <w:tcBorders>
              <w:top w:val="single" w:color="auto" w:sz="4" w:space="0"/>
              <w:left w:val="single" w:color="auto" w:sz="4" w:space="0"/>
              <w:bottom w:val="single" w:color="auto" w:sz="4" w:space="0"/>
              <w:right w:val="single" w:color="auto" w:sz="4" w:space="0"/>
            </w:tcBorders>
            <w:vAlign w:val="center"/>
          </w:tcPr>
          <w:p w14:paraId="194C3CCC">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项</w:t>
            </w:r>
          </w:p>
        </w:tc>
        <w:tc>
          <w:tcPr>
            <w:tcW w:w="776" w:type="pct"/>
            <w:tcBorders>
              <w:top w:val="single" w:color="auto" w:sz="4" w:space="0"/>
              <w:left w:val="single" w:color="auto" w:sz="4" w:space="0"/>
              <w:bottom w:val="single" w:color="auto" w:sz="4" w:space="0"/>
              <w:right w:val="single" w:color="auto" w:sz="4" w:space="0"/>
            </w:tcBorders>
            <w:vAlign w:val="center"/>
          </w:tcPr>
          <w:p w14:paraId="5B19D3F1">
            <w:pPr>
              <w:widowControl/>
              <w:shd w:val="clear" w:color="auto" w:fill="FFFFFF"/>
              <w:tabs>
                <w:tab w:val="left" w:pos="426"/>
              </w:tabs>
              <w:adjustRightInd w:val="0"/>
              <w:snapToGrid w:val="0"/>
              <w:spacing w:after="78" w:afterLines="-2147483648" w:line="360" w:lineRule="auto"/>
              <w:jc w:val="center"/>
              <w:rPr>
                <w:rFonts w:hint="eastAsia" w:ascii="仿宋_GB2312" w:hAnsi="仿宋" w:eastAsia="仿宋_GB2312" w:cs="仿宋"/>
                <w:kern w:val="0"/>
                <w:sz w:val="24"/>
                <w:szCs w:val="24"/>
              </w:rPr>
            </w:pPr>
            <w:r>
              <w:rPr>
                <w:rFonts w:hint="eastAsia" w:ascii="仿宋_GB2312" w:hAnsi="仿宋" w:eastAsia="仿宋_GB2312" w:cs="宋体"/>
                <w:kern w:val="0"/>
                <w:sz w:val="22"/>
                <w:szCs w:val="22"/>
              </w:rPr>
              <w:t>1</w:t>
            </w:r>
          </w:p>
        </w:tc>
        <w:tc>
          <w:tcPr>
            <w:tcW w:w="1648" w:type="pct"/>
            <w:tcBorders>
              <w:top w:val="single" w:color="auto" w:sz="4" w:space="0"/>
              <w:left w:val="single" w:color="auto" w:sz="4" w:space="0"/>
              <w:bottom w:val="single" w:color="auto" w:sz="4" w:space="0"/>
              <w:right w:val="single" w:color="auto" w:sz="4" w:space="0"/>
            </w:tcBorders>
            <w:vAlign w:val="center"/>
          </w:tcPr>
          <w:p w14:paraId="0E7D3F3B">
            <w:pPr>
              <w:widowControl/>
              <w:shd w:val="clear" w:color="auto" w:fill="FFFFFF"/>
              <w:tabs>
                <w:tab w:val="left" w:pos="426"/>
              </w:tabs>
              <w:adjustRightInd w:val="0"/>
              <w:snapToGrid w:val="0"/>
              <w:spacing w:after="78" w:afterLines="-2147483648" w:line="360" w:lineRule="auto"/>
              <w:jc w:val="center"/>
              <w:textAlignment w:val="center"/>
              <w:rPr>
                <w:rFonts w:hint="eastAsia" w:ascii="仿宋" w:hAnsi="仿宋" w:eastAsia="仿宋" w:cs="仿宋"/>
                <w:kern w:val="0"/>
                <w:sz w:val="24"/>
                <w:szCs w:val="24"/>
                <w:lang w:bidi="ar"/>
              </w:rPr>
            </w:pPr>
          </w:p>
        </w:tc>
      </w:tr>
    </w:tbl>
    <w:p w14:paraId="590A0727">
      <w:pPr>
        <w:widowControl/>
        <w:shd w:val="clear" w:color="auto" w:fill="FFFFFF"/>
        <w:tabs>
          <w:tab w:val="left" w:pos="426"/>
        </w:tabs>
        <w:adjustRightInd w:val="0"/>
        <w:snapToGrid w:val="0"/>
        <w:spacing w:afterLines="-2147483648" w:line="360" w:lineRule="auto"/>
        <w:ind w:firstLine="560"/>
        <w:rPr>
          <w:rFonts w:ascii="宋体" w:hAnsi="宋体" w:cs="宋体"/>
          <w:kern w:val="0"/>
          <w:szCs w:val="21"/>
        </w:rPr>
      </w:pPr>
      <w:r>
        <w:rPr>
          <w:rFonts w:hint="eastAsia" w:ascii="宋体" w:hAnsi="宋体" w:cs="宋体"/>
          <w:kern w:val="0"/>
          <w:szCs w:val="21"/>
        </w:rPr>
        <w:t>2.3本项目服务期内暂定每日劳务作业人员</w:t>
      </w:r>
      <w:r>
        <w:rPr>
          <w:rFonts w:ascii="宋体" w:hAnsi="宋体" w:cs="宋体"/>
          <w:kern w:val="0"/>
          <w:szCs w:val="21"/>
        </w:rPr>
        <w:t>6</w:t>
      </w:r>
      <w:r>
        <w:rPr>
          <w:rFonts w:hint="eastAsia" w:ascii="宋体" w:hAnsi="宋体" w:cs="宋体"/>
          <w:kern w:val="0"/>
          <w:szCs w:val="21"/>
        </w:rPr>
        <w:t>人，如因工作需要，甲方可根据工作情况对各人员岗位和数量作出调整。乙方应根据甲方的要求或项目管理的需要随时增加人员以完成应急管理任务。岗位人员要求及服务标准详见通用条款及专用条款。</w:t>
      </w:r>
    </w:p>
    <w:p w14:paraId="391AB8F1">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第三条 服务期限</w:t>
      </w:r>
    </w:p>
    <w:p w14:paraId="477A74EF">
      <w:pPr>
        <w:widowControl/>
        <w:shd w:val="clear" w:color="auto" w:fill="FFFFFF"/>
        <w:tabs>
          <w:tab w:val="left" w:pos="426"/>
        </w:tabs>
        <w:adjustRightInd w:val="0"/>
        <w:snapToGrid w:val="0"/>
        <w:spacing w:afterLines="-2147483648" w:line="360" w:lineRule="auto"/>
        <w:ind w:firstLine="560"/>
        <w:rPr>
          <w:rFonts w:ascii="宋体" w:hAnsi="宋体" w:cs="宋体"/>
          <w:kern w:val="0"/>
          <w:szCs w:val="21"/>
        </w:rPr>
      </w:pPr>
      <w:r>
        <w:rPr>
          <w:rFonts w:hint="eastAsia" w:ascii="宋体" w:hAnsi="宋体" w:cs="宋体"/>
          <w:kern w:val="0"/>
          <w:szCs w:val="21"/>
        </w:rPr>
        <w:t>3.1 服务开始日期以甲方通知书发出时间为准，计划为</w:t>
      </w:r>
      <w:r>
        <w:rPr>
          <w:rFonts w:hint="eastAsia" w:ascii="宋体" w:hAnsi="宋体" w:cs="宋体"/>
          <w:kern w:val="0"/>
          <w:szCs w:val="21"/>
          <w:lang w:val="en-US" w:eastAsia="zh-CN"/>
        </w:rPr>
        <w:t>15</w:t>
      </w:r>
      <w:r>
        <w:rPr>
          <w:rFonts w:hint="eastAsia" w:ascii="宋体" w:hAnsi="宋体" w:cs="宋体"/>
          <w:kern w:val="0"/>
          <w:szCs w:val="21"/>
        </w:rPr>
        <w:t>天，实际以完成本合同内容为准。</w:t>
      </w:r>
    </w:p>
    <w:p w14:paraId="2F9A52CF">
      <w:pPr>
        <w:widowControl/>
        <w:shd w:val="clear" w:color="auto" w:fill="FFFFFF"/>
        <w:tabs>
          <w:tab w:val="left" w:pos="426"/>
        </w:tabs>
        <w:adjustRightInd w:val="0"/>
        <w:snapToGrid w:val="0"/>
        <w:spacing w:afterLines="-2147483648" w:line="360" w:lineRule="auto"/>
        <w:ind w:firstLine="560"/>
        <w:rPr>
          <w:rFonts w:ascii="宋体" w:hAnsi="宋体" w:cs="宋体"/>
          <w:kern w:val="0"/>
          <w:szCs w:val="21"/>
        </w:rPr>
      </w:pPr>
      <w:r>
        <w:rPr>
          <w:rFonts w:hint="eastAsia" w:ascii="宋体" w:hAnsi="宋体" w:cs="宋体"/>
          <w:kern w:val="0"/>
          <w:szCs w:val="21"/>
        </w:rPr>
        <w:t>3.2 本协议如因市、区对水务设施管养项目部署的调整，甲方有权依据政府政策内容提前告知后终止合同，具体停止劳务服务时间以甲方书面通知为准，乙方不得有异议。</w:t>
      </w:r>
    </w:p>
    <w:p w14:paraId="701A1C42">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第四条 服务内容</w:t>
      </w:r>
    </w:p>
    <w:p w14:paraId="2EF0CAE4">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4.1包括但不限于以下服务内容：粗格栅机底部、泵坑清淤清砂</w:t>
      </w:r>
    </w:p>
    <w:p w14:paraId="6C9F99B2">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4.2清淤劳务方式：人工+水泵抽吸+机械搅吸</w:t>
      </w:r>
    </w:p>
    <w:p w14:paraId="2D3E64E1">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4.3清淤劳务范围：粗格栅机底部</w:t>
      </w:r>
      <w:r>
        <w:rPr>
          <w:rFonts w:hint="eastAsia" w:ascii="宋体" w:hAnsi="宋体" w:cs="宋体"/>
          <w:kern w:val="0"/>
          <w:szCs w:val="21"/>
          <w:lang w:val="en-US" w:eastAsia="zh-CN"/>
        </w:rPr>
        <w:t>及</w:t>
      </w:r>
      <w:r>
        <w:rPr>
          <w:rFonts w:hint="eastAsia" w:ascii="宋体" w:hAnsi="宋体" w:cs="宋体"/>
          <w:kern w:val="0"/>
          <w:szCs w:val="21"/>
        </w:rPr>
        <w:t>泵坑，面积约</w:t>
      </w:r>
      <w:r>
        <w:rPr>
          <w:rFonts w:hint="eastAsia" w:ascii="宋体" w:hAnsi="宋体" w:cs="宋体"/>
          <w:color w:val="auto"/>
          <w:kern w:val="0"/>
          <w:szCs w:val="21"/>
          <w:highlight w:val="none"/>
          <w:lang w:val="en-US" w:eastAsia="zh-CN"/>
        </w:rPr>
        <w:t>219</w:t>
      </w:r>
      <w:r>
        <w:rPr>
          <w:rFonts w:hint="eastAsia" w:ascii="宋体" w:hAnsi="宋体" w:cs="宋体"/>
          <w:color w:val="auto"/>
          <w:kern w:val="0"/>
          <w:szCs w:val="21"/>
          <w:highlight w:val="none"/>
        </w:rPr>
        <w:t>㎡，清淤劳务服务量约</w:t>
      </w:r>
      <w:r>
        <w:rPr>
          <w:rFonts w:hint="eastAsia" w:ascii="宋体" w:hAnsi="宋体" w:cs="宋体"/>
          <w:color w:val="auto"/>
          <w:kern w:val="0"/>
          <w:szCs w:val="21"/>
          <w:highlight w:val="none"/>
          <w:lang w:val="en-US" w:eastAsia="zh-CN"/>
        </w:rPr>
        <w:t>310</w:t>
      </w:r>
      <w:r>
        <w:rPr>
          <w:rFonts w:hint="eastAsia" w:ascii="宋体" w:hAnsi="宋体" w:cs="宋体"/>
          <w:color w:val="auto"/>
          <w:kern w:val="0"/>
          <w:szCs w:val="21"/>
          <w:highlight w:val="none"/>
        </w:rPr>
        <w:t>m³</w:t>
      </w:r>
      <w:r>
        <w:rPr>
          <w:rFonts w:hint="eastAsia" w:ascii="宋体" w:hAnsi="宋体" w:cs="宋体"/>
          <w:kern w:val="0"/>
          <w:szCs w:val="21"/>
        </w:rPr>
        <w:t>。清淤劳务服务工作量由甲、乙双方采用扦插法（抽吸前、抽吸后）联测或第三方测量方量计量，按方量少的一方为准。</w:t>
      </w:r>
    </w:p>
    <w:p w14:paraId="7C49BA6A">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4.4淤泥抽吸工作结束，经乙方自检合格之后，向甲方提交申请现场验收。</w:t>
      </w:r>
    </w:p>
    <w:p w14:paraId="12B4FEBF">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第五条</w:t>
      </w:r>
      <w:r>
        <w:rPr>
          <w:rFonts w:ascii="黑体" w:hAnsi="黑体" w:eastAsia="黑体" w:cs="Times New Roman"/>
          <w:kern w:val="2"/>
          <w:sz w:val="24"/>
          <w:szCs w:val="32"/>
          <w:lang w:val="en-US" w:eastAsia="zh-CN" w:bidi="ar-SA"/>
        </w:rPr>
        <w:t xml:space="preserve"> 劳务报酬</w:t>
      </w:r>
    </w:p>
    <w:p w14:paraId="5317B9B2">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5.1  劳务费</w:t>
      </w:r>
    </w:p>
    <w:p w14:paraId="79957E7C">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lang w:val="en-US" w:eastAsia="zh-CN"/>
        </w:rPr>
        <w:t>合同费用</w:t>
      </w:r>
      <w:r>
        <w:rPr>
          <w:rFonts w:hint="eastAsia" w:ascii="宋体" w:hAnsi="宋体" w:cs="宋体"/>
          <w:kern w:val="0"/>
          <w:szCs w:val="21"/>
        </w:rPr>
        <w:t>以</w:t>
      </w:r>
      <w:r>
        <w:rPr>
          <w:rFonts w:ascii="宋体" w:hAnsi="宋体" w:cs="宋体"/>
          <w:kern w:val="0"/>
          <w:szCs w:val="21"/>
        </w:rPr>
        <w:t>2.2 劳务</w:t>
      </w:r>
      <w:r>
        <w:rPr>
          <w:rFonts w:hint="eastAsia" w:ascii="宋体" w:hAnsi="宋体" w:cs="宋体"/>
          <w:kern w:val="0"/>
          <w:szCs w:val="21"/>
        </w:rPr>
        <w:t>服务</w:t>
      </w:r>
      <w:r>
        <w:rPr>
          <w:rFonts w:ascii="宋体" w:hAnsi="宋体" w:cs="宋体"/>
          <w:kern w:val="0"/>
          <w:szCs w:val="21"/>
        </w:rPr>
        <w:t>内容</w:t>
      </w:r>
      <w:r>
        <w:rPr>
          <w:rFonts w:hint="eastAsia" w:ascii="宋体" w:hAnsi="宋体" w:cs="宋体"/>
          <w:kern w:val="0"/>
          <w:szCs w:val="21"/>
          <w:lang w:val="en-US" w:eastAsia="zh-CN"/>
        </w:rPr>
        <w:t>中</w:t>
      </w:r>
      <w:r>
        <w:rPr>
          <w:rFonts w:hint="eastAsia" w:ascii="宋体" w:hAnsi="宋体" w:cs="宋体"/>
          <w:kern w:val="0"/>
          <w:szCs w:val="21"/>
        </w:rPr>
        <w:t>表</w:t>
      </w:r>
      <w:r>
        <w:rPr>
          <w:rFonts w:hint="eastAsia" w:ascii="宋体" w:hAnsi="宋体" w:cs="宋体"/>
          <w:kern w:val="0"/>
          <w:szCs w:val="21"/>
          <w:lang w:val="en-US" w:eastAsia="zh-CN"/>
        </w:rPr>
        <w:t>格</w:t>
      </w:r>
      <w:r>
        <w:rPr>
          <w:rFonts w:hint="eastAsia" w:ascii="宋体" w:hAnsi="宋体" w:cs="宋体"/>
          <w:kern w:val="0"/>
          <w:szCs w:val="21"/>
        </w:rPr>
        <w:t>内</w:t>
      </w:r>
      <w:r>
        <w:rPr>
          <w:rFonts w:hint="eastAsia" w:ascii="宋体" w:hAnsi="宋体" w:cs="宋体"/>
          <w:kern w:val="0"/>
          <w:szCs w:val="21"/>
          <w:lang w:eastAsia="zh-CN"/>
        </w:rPr>
        <w:t>的</w:t>
      </w:r>
      <w:r>
        <w:rPr>
          <w:rFonts w:hint="eastAsia" w:ascii="宋体" w:hAnsi="宋体" w:cs="宋体"/>
          <w:kern w:val="0"/>
          <w:szCs w:val="21"/>
        </w:rPr>
        <w:t>工程量为准，超过工程量不增加额外费用，如现场确认工程量内容比合同约定内容少，需根据单价进行核减，最终以现场确认工程量为准。</w:t>
      </w:r>
    </w:p>
    <w:p w14:paraId="3AD45557">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乙方派出劳务人员，按甲方具体工作安排和现场管理人员指令开展调蓄池清淤劳务服务等各项具体工作，并经甲方现场验收合格。</w:t>
      </w:r>
    </w:p>
    <w:p w14:paraId="02887A26">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5.2  劳务费税率</w:t>
      </w:r>
    </w:p>
    <w:p w14:paraId="6DC45B9F">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本合同约定税率为</w:t>
      </w:r>
      <w:r>
        <w:rPr>
          <w:rFonts w:hint="eastAsia" w:ascii="宋体" w:hAnsi="宋体" w:cs="宋体"/>
          <w:kern w:val="0"/>
          <w:szCs w:val="21"/>
          <w:u w:val="single"/>
          <w:lang w:val="en-US" w:eastAsia="zh-CN"/>
        </w:rPr>
        <w:t>X</w:t>
      </w:r>
      <w:r>
        <w:rPr>
          <w:rFonts w:hint="eastAsia" w:ascii="宋体" w:hAnsi="宋体" w:cs="宋体"/>
          <w:kern w:val="0"/>
          <w:szCs w:val="21"/>
        </w:rPr>
        <w:t>%。在合同执行过程中，如因国家税务政策调整（如税率优惠政策等），甲方应对本合同中的不含税金额进行相应调整，确保合同含税总金额不变，双方仍按本合同约定的含税总金额履行本合同。如存在享受国家税务政策优惠且未对不含税金额调整的，甲方有权对税额进行追回。</w:t>
      </w:r>
    </w:p>
    <w:p w14:paraId="49158BED">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5.3 劳务报酬组成</w:t>
      </w:r>
    </w:p>
    <w:p w14:paraId="5BA2DB4E">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甲方支付的劳务费用包括：</w:t>
      </w:r>
    </w:p>
    <w:p w14:paraId="1E320FAE">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1）劳务人员工资。</w:t>
      </w:r>
    </w:p>
    <w:p w14:paraId="0DA6A30F">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2）社会保险费用：即为劳务人员缴纳养老保险、医疗保险、工伤保险、失业保险、生育保险、住房公积金（如有）、残疾人保障金（如有）等单位应承担部分的费用。</w:t>
      </w:r>
    </w:p>
    <w:p w14:paraId="18048F66">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3）劳务服务费用：由甲方支付给乙方的，作为乙方提供劳务服务的费用。</w:t>
      </w:r>
    </w:p>
    <w:p w14:paraId="597592CF">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4）其他费用：车辆、设备设施、各类器具、企业应缴税金和利润等一切费用，具体以双方约定为准。</w:t>
      </w:r>
    </w:p>
    <w:p w14:paraId="3EB775CE">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除</w:t>
      </w:r>
      <w:r>
        <w:rPr>
          <w:rFonts w:ascii="宋体" w:hAnsi="宋体" w:cs="宋体"/>
          <w:kern w:val="0"/>
          <w:szCs w:val="21"/>
        </w:rPr>
        <w:t>2.2 劳务</w:t>
      </w:r>
      <w:r>
        <w:rPr>
          <w:rFonts w:hint="eastAsia" w:ascii="宋体" w:hAnsi="宋体" w:cs="宋体"/>
          <w:kern w:val="0"/>
          <w:szCs w:val="21"/>
        </w:rPr>
        <w:t>服务</w:t>
      </w:r>
      <w:r>
        <w:rPr>
          <w:rFonts w:ascii="宋体" w:hAnsi="宋体" w:cs="宋体"/>
          <w:kern w:val="0"/>
          <w:szCs w:val="21"/>
        </w:rPr>
        <w:t>内容</w:t>
      </w:r>
      <w:r>
        <w:rPr>
          <w:rFonts w:hint="eastAsia" w:ascii="宋体" w:hAnsi="宋体" w:cs="宋体"/>
          <w:kern w:val="0"/>
          <w:szCs w:val="21"/>
          <w:lang w:val="en-US" w:eastAsia="zh-CN"/>
        </w:rPr>
        <w:t>中</w:t>
      </w:r>
      <w:r>
        <w:rPr>
          <w:rFonts w:hint="eastAsia" w:ascii="宋体" w:hAnsi="宋体" w:cs="宋体"/>
          <w:kern w:val="0"/>
          <w:szCs w:val="21"/>
        </w:rPr>
        <w:t>表</w:t>
      </w:r>
      <w:r>
        <w:rPr>
          <w:rFonts w:hint="eastAsia" w:ascii="宋体" w:hAnsi="宋体" w:cs="宋体"/>
          <w:kern w:val="0"/>
          <w:szCs w:val="21"/>
          <w:lang w:val="en-US" w:eastAsia="zh-CN"/>
        </w:rPr>
        <w:t>格</w:t>
      </w:r>
      <w:r>
        <w:rPr>
          <w:rFonts w:hint="eastAsia" w:ascii="宋体" w:hAnsi="宋体" w:cs="宋体"/>
          <w:kern w:val="0"/>
          <w:szCs w:val="21"/>
        </w:rPr>
        <w:t>内</w:t>
      </w:r>
      <w:r>
        <w:rPr>
          <w:rFonts w:hint="eastAsia" w:ascii="宋体" w:hAnsi="宋体" w:cs="宋体"/>
          <w:kern w:val="0"/>
          <w:szCs w:val="21"/>
          <w:lang w:val="en-US" w:eastAsia="zh-CN"/>
        </w:rPr>
        <w:t>提及</w:t>
      </w:r>
      <w:r>
        <w:rPr>
          <w:rFonts w:hint="eastAsia" w:ascii="宋体" w:hAnsi="宋体" w:cs="宋体"/>
          <w:kern w:val="0"/>
          <w:szCs w:val="21"/>
          <w:lang w:eastAsia="zh-CN"/>
        </w:rPr>
        <w:t>的</w:t>
      </w:r>
      <w:r>
        <w:rPr>
          <w:rFonts w:hint="eastAsia" w:ascii="宋体" w:hAnsi="宋体" w:cs="宋体"/>
          <w:kern w:val="0"/>
          <w:szCs w:val="21"/>
        </w:rPr>
        <w:t>费用外，甲方无需就乙方履行本合同的义务向乙方支付任何其他款项。</w:t>
      </w:r>
    </w:p>
    <w:p w14:paraId="6908B049">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第六条</w:t>
      </w:r>
      <w:r>
        <w:rPr>
          <w:rFonts w:ascii="黑体" w:hAnsi="黑体" w:eastAsia="黑体" w:cs="Times New Roman"/>
          <w:kern w:val="2"/>
          <w:sz w:val="24"/>
          <w:szCs w:val="32"/>
          <w:lang w:val="en-US" w:eastAsia="zh-CN" w:bidi="ar-SA"/>
        </w:rPr>
        <w:t xml:space="preserve"> </w:t>
      </w:r>
      <w:r>
        <w:rPr>
          <w:rFonts w:hint="eastAsia" w:ascii="黑体" w:hAnsi="黑体" w:eastAsia="黑体" w:cs="Times New Roman"/>
          <w:kern w:val="2"/>
          <w:sz w:val="24"/>
          <w:szCs w:val="32"/>
          <w:lang w:val="en-US" w:eastAsia="zh-CN" w:bidi="ar-SA"/>
        </w:rPr>
        <w:t>费用支付</w:t>
      </w:r>
    </w:p>
    <w:p w14:paraId="3057ADA7">
      <w:pPr>
        <w:widowControl/>
        <w:shd w:val="clear" w:color="auto" w:fill="FFFFFF"/>
        <w:tabs>
          <w:tab w:val="left" w:pos="426"/>
        </w:tabs>
        <w:adjustRightInd w:val="0"/>
        <w:snapToGrid w:val="0"/>
        <w:spacing w:afterLines="-2147483648" w:line="360" w:lineRule="auto"/>
        <w:ind w:right="181" w:rightChars="86" w:firstLine="420" w:firstLineChars="200"/>
        <w:rPr>
          <w:rFonts w:ascii="宋体" w:hAnsi="宋体" w:cs="宋体"/>
          <w:kern w:val="0"/>
          <w:szCs w:val="21"/>
        </w:rPr>
      </w:pPr>
      <w:r>
        <w:rPr>
          <w:rFonts w:hint="eastAsia" w:ascii="宋体" w:hAnsi="宋体" w:cs="宋体"/>
          <w:kern w:val="0"/>
          <w:szCs w:val="21"/>
        </w:rPr>
        <w:t xml:space="preserve">6.1  </w:t>
      </w:r>
      <w:r>
        <w:rPr>
          <w:rFonts w:ascii="宋体" w:hAnsi="宋体" w:cs="宋体"/>
          <w:kern w:val="0"/>
          <w:szCs w:val="21"/>
        </w:rPr>
        <w:t>支付</w:t>
      </w:r>
      <w:r>
        <w:rPr>
          <w:rFonts w:hint="eastAsia" w:ascii="宋体" w:hAnsi="宋体" w:cs="宋体"/>
          <w:kern w:val="0"/>
          <w:szCs w:val="21"/>
        </w:rPr>
        <w:t>方式</w:t>
      </w:r>
    </w:p>
    <w:p w14:paraId="323959E8">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lang w:val="en-US" w:eastAsia="zh-CN"/>
        </w:rPr>
        <w:t>项目经甲方</w:t>
      </w:r>
      <w:r>
        <w:rPr>
          <w:rFonts w:hint="eastAsia" w:ascii="宋体" w:hAnsi="宋体" w:cs="宋体"/>
          <w:kern w:val="0"/>
          <w:szCs w:val="21"/>
        </w:rPr>
        <w:t>验收合格之后，按实际</w:t>
      </w:r>
      <w:r>
        <w:rPr>
          <w:rFonts w:hint="eastAsia" w:ascii="宋体" w:hAnsi="宋体" w:cs="宋体"/>
          <w:kern w:val="0"/>
          <w:szCs w:val="21"/>
          <w:lang w:val="en-US" w:eastAsia="zh-CN"/>
        </w:rPr>
        <w:t>核准</w:t>
      </w:r>
      <w:r>
        <w:rPr>
          <w:rFonts w:hint="eastAsia" w:ascii="宋体" w:hAnsi="宋体" w:cs="宋体"/>
          <w:kern w:val="0"/>
          <w:szCs w:val="21"/>
        </w:rPr>
        <w:t>的清淤劳务服务量结算</w:t>
      </w:r>
      <w:r>
        <w:rPr>
          <w:rFonts w:hint="eastAsia" w:ascii="宋体" w:hAnsi="宋体" w:cs="宋体"/>
          <w:kern w:val="0"/>
          <w:szCs w:val="21"/>
          <w:lang w:val="en-US" w:eastAsia="zh-CN"/>
        </w:rPr>
        <w:t>费用</w:t>
      </w:r>
      <w:r>
        <w:rPr>
          <w:rFonts w:hint="eastAsia" w:ascii="宋体" w:hAnsi="宋体" w:cs="宋体"/>
          <w:kern w:val="0"/>
          <w:szCs w:val="21"/>
        </w:rPr>
        <w:t>，</w:t>
      </w:r>
      <w:r>
        <w:rPr>
          <w:rFonts w:hint="eastAsia" w:ascii="宋体" w:hAnsi="宋体" w:cs="宋体"/>
          <w:kern w:val="0"/>
          <w:szCs w:val="21"/>
          <w:lang w:val="en-US" w:eastAsia="zh-CN"/>
        </w:rPr>
        <w:t>上限不超过2.2 劳务服务内容中的工程量，</w:t>
      </w:r>
      <w:r>
        <w:rPr>
          <w:rFonts w:hint="eastAsia" w:ascii="宋体" w:hAnsi="宋体" w:cs="宋体"/>
          <w:kern w:val="0"/>
          <w:szCs w:val="21"/>
        </w:rPr>
        <w:t>开具符合合同要求的增值税专用发票及付款申请材料，甲方审核通过后，支付剩余结算款。</w:t>
      </w:r>
    </w:p>
    <w:p w14:paraId="00FD43E1">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6.2 付款要求：乙方申请付款时须按甲方规定的形式将</w:t>
      </w:r>
      <w:r>
        <w:rPr>
          <w:rFonts w:hint="eastAsia" w:ascii="宋体" w:hAnsi="宋体" w:cs="宋体"/>
          <w:b/>
          <w:bCs/>
          <w:kern w:val="0"/>
          <w:szCs w:val="21"/>
          <w:u w:val="single"/>
        </w:rPr>
        <w:t>付款申请表、清淤服务工作量联测证明材料、与劳务服务费用等额合法增值税专用发票（税率按合同要求）</w:t>
      </w:r>
      <w:r>
        <w:rPr>
          <w:rFonts w:hint="eastAsia" w:ascii="宋体" w:hAnsi="宋体" w:cs="宋体"/>
          <w:kern w:val="0"/>
          <w:szCs w:val="21"/>
        </w:rPr>
        <w:t>一同交甲方项目管理人员，由甲方项目管理人员复核签字后，按甲方相关流程申请支付。乙方未按相关要求和流程办理的，甲方有权拒绝支付，相关责任由乙方承担。</w:t>
      </w:r>
    </w:p>
    <w:p w14:paraId="3EB5A6C8">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严禁乙方开具虚假发票（第三方代开发票等情况），因开具虚假发票所造成的一切法律后果由乙方自行承担，且不能免除乙方重新开具合法发票的义务，如因作废、重开、补开的增值税专用发票（含抵扣联）逾期送达而导致（如造成甲方无法抵扣的，损失金额为可抵扣金额）甲方损失的，乙方应向甲方支付等额的赔偿金，甲方有权暂不付款且不承担延迟付款违约责任。</w:t>
      </w:r>
    </w:p>
    <w:p w14:paraId="12EFCC00">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6.3乙方收款账户信息</w:t>
      </w:r>
    </w:p>
    <w:p w14:paraId="22572F38">
      <w:pPr>
        <w:widowControl/>
        <w:shd w:val="clear" w:color="auto" w:fill="FFFFFF"/>
        <w:tabs>
          <w:tab w:val="left" w:pos="426"/>
        </w:tabs>
        <w:adjustRightInd w:val="0"/>
        <w:snapToGrid w:val="0"/>
        <w:spacing w:before="62" w:beforeLines="20" w:after="62" w:afterLines="20" w:line="300" w:lineRule="auto"/>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rPr>
        <w:t>公司名称:</w:t>
      </w:r>
      <w:r>
        <w:rPr>
          <w:rFonts w:hint="eastAsia" w:ascii="宋体" w:hAnsi="宋体" w:cs="宋体"/>
          <w:kern w:val="0"/>
          <w:szCs w:val="21"/>
          <w:lang w:val="en-US" w:eastAsia="zh-CN"/>
        </w:rPr>
        <w:t xml:space="preserve"> </w:t>
      </w:r>
    </w:p>
    <w:p w14:paraId="68C3E012">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公司税号:</w:t>
      </w:r>
      <w:r>
        <w:rPr>
          <w:rFonts w:ascii="宋体" w:hAnsi="宋体" w:cs="宋体"/>
          <w:kern w:val="0"/>
          <w:szCs w:val="21"/>
        </w:rPr>
        <w:t xml:space="preserve"> </w:t>
      </w:r>
    </w:p>
    <w:p w14:paraId="43270780">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 xml:space="preserve">公司地址: </w:t>
      </w:r>
    </w:p>
    <w:p w14:paraId="4D68DF7D">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银行账号:</w:t>
      </w:r>
      <w:r>
        <w:rPr>
          <w:rFonts w:ascii="宋体" w:hAnsi="宋体" w:cs="宋体"/>
          <w:kern w:val="0"/>
          <w:szCs w:val="21"/>
        </w:rPr>
        <w:t xml:space="preserve"> </w:t>
      </w:r>
    </w:p>
    <w:p w14:paraId="03C23844">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开户银行</w:t>
      </w:r>
      <w:r>
        <w:rPr>
          <w:rFonts w:ascii="宋体" w:hAnsi="宋体" w:cs="宋体"/>
          <w:kern w:val="0"/>
          <w:szCs w:val="21"/>
        </w:rPr>
        <w:t xml:space="preserve">: </w:t>
      </w:r>
    </w:p>
    <w:p w14:paraId="6B5C98C5">
      <w:pPr>
        <w:widowControl/>
        <w:shd w:val="clear" w:color="auto" w:fill="FFFFFF"/>
        <w:tabs>
          <w:tab w:val="left" w:pos="426"/>
        </w:tabs>
        <w:adjustRightInd w:val="0"/>
        <w:snapToGrid w:val="0"/>
        <w:spacing w:before="62" w:beforeLines="20" w:after="62" w:afterLines="20" w:line="300" w:lineRule="auto"/>
        <w:ind w:firstLine="420" w:firstLineChars="200"/>
        <w:jc w:val="left"/>
        <w:rPr>
          <w:rFonts w:ascii="宋体" w:hAnsi="宋体" w:cs="宋体"/>
          <w:kern w:val="0"/>
          <w:szCs w:val="21"/>
        </w:rPr>
      </w:pPr>
      <w:r>
        <w:rPr>
          <w:rFonts w:hint="eastAsia" w:ascii="宋体" w:hAnsi="宋体" w:cs="宋体"/>
          <w:kern w:val="0"/>
          <w:szCs w:val="21"/>
        </w:rPr>
        <w:t>乙方变更银行收款账户的应提前3个工作日书面通知甲方，否则由此产生的损失，由乙方自行承担。</w:t>
      </w:r>
    </w:p>
    <w:p w14:paraId="7EB2024E">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第七条</w:t>
      </w:r>
      <w:r>
        <w:rPr>
          <w:rFonts w:ascii="黑体" w:hAnsi="黑体" w:eastAsia="黑体" w:cs="Times New Roman"/>
          <w:kern w:val="2"/>
          <w:sz w:val="24"/>
          <w:szCs w:val="32"/>
          <w:lang w:val="en-US" w:eastAsia="zh-CN" w:bidi="ar-SA"/>
        </w:rPr>
        <w:t xml:space="preserve">  </w:t>
      </w:r>
      <w:r>
        <w:rPr>
          <w:rFonts w:hint="eastAsia" w:ascii="黑体" w:hAnsi="黑体" w:eastAsia="黑体" w:cs="Times New Roman"/>
          <w:kern w:val="2"/>
          <w:sz w:val="24"/>
          <w:szCs w:val="32"/>
          <w:lang w:val="en-US" w:eastAsia="zh-CN" w:bidi="ar-SA"/>
        </w:rPr>
        <w:t>组成本合同的文件</w:t>
      </w:r>
    </w:p>
    <w:p w14:paraId="7E456E0C">
      <w:pPr>
        <w:widowControl/>
        <w:shd w:val="clear" w:color="auto" w:fill="FFFFFF"/>
        <w:tabs>
          <w:tab w:val="left" w:pos="426"/>
          <w:tab w:val="left" w:pos="630"/>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7.1本协议书；</w:t>
      </w:r>
    </w:p>
    <w:p w14:paraId="0C9904C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w:t>
      </w:r>
      <w:r>
        <w:rPr>
          <w:rFonts w:ascii="宋体" w:hAnsi="宋体" w:cs="宋体"/>
          <w:kern w:val="0"/>
          <w:szCs w:val="21"/>
        </w:rPr>
        <w:t>.2</w:t>
      </w:r>
      <w:r>
        <w:rPr>
          <w:rFonts w:hint="eastAsia" w:ascii="宋体" w:hAnsi="宋体" w:cs="宋体"/>
          <w:kern w:val="0"/>
          <w:szCs w:val="21"/>
        </w:rPr>
        <w:t>本协议专用条款；</w:t>
      </w:r>
    </w:p>
    <w:p w14:paraId="6583E42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w:t>
      </w:r>
      <w:r>
        <w:rPr>
          <w:rFonts w:ascii="宋体" w:hAnsi="宋体" w:cs="宋体"/>
          <w:kern w:val="0"/>
          <w:szCs w:val="21"/>
        </w:rPr>
        <w:t>.3</w:t>
      </w:r>
      <w:r>
        <w:rPr>
          <w:rFonts w:hint="eastAsia" w:ascii="宋体" w:hAnsi="宋体" w:cs="宋体"/>
          <w:kern w:val="0"/>
          <w:szCs w:val="21"/>
        </w:rPr>
        <w:t>本协议通用条款；</w:t>
      </w:r>
    </w:p>
    <w:p w14:paraId="57A6E1B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w:t>
      </w:r>
      <w:r>
        <w:rPr>
          <w:rFonts w:ascii="宋体" w:hAnsi="宋体" w:cs="宋体"/>
          <w:kern w:val="0"/>
          <w:szCs w:val="21"/>
        </w:rPr>
        <w:t>.4</w:t>
      </w:r>
      <w:r>
        <w:rPr>
          <w:rFonts w:hint="eastAsia" w:ascii="宋体" w:hAnsi="宋体" w:cs="宋体"/>
          <w:kern w:val="0"/>
          <w:szCs w:val="21"/>
        </w:rPr>
        <w:t>本合同履行过程中双方以书面形式签署的补充和修正文件。</w:t>
      </w:r>
    </w:p>
    <w:p w14:paraId="7CE4F70E">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第八条</w:t>
      </w:r>
      <w:r>
        <w:rPr>
          <w:rFonts w:ascii="黑体" w:hAnsi="黑体" w:eastAsia="黑体" w:cs="Times New Roman"/>
          <w:kern w:val="2"/>
          <w:sz w:val="24"/>
          <w:szCs w:val="32"/>
          <w:lang w:val="en-US" w:eastAsia="zh-CN" w:bidi="ar-SA"/>
        </w:rPr>
        <w:t xml:space="preserve">  </w:t>
      </w:r>
      <w:r>
        <w:rPr>
          <w:rFonts w:hint="eastAsia" w:ascii="黑体" w:hAnsi="黑体" w:eastAsia="黑体" w:cs="Times New Roman"/>
          <w:kern w:val="2"/>
          <w:sz w:val="24"/>
          <w:szCs w:val="32"/>
          <w:lang w:val="en-US" w:eastAsia="zh-CN" w:bidi="ar-SA"/>
        </w:rPr>
        <w:t>其他</w:t>
      </w:r>
    </w:p>
    <w:p w14:paraId="0FE30A6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本合同一式</w:t>
      </w:r>
      <w:r>
        <w:rPr>
          <w:rFonts w:ascii="宋体" w:hAnsi="宋体" w:cs="宋体"/>
          <w:b/>
          <w:bCs/>
          <w:kern w:val="0"/>
          <w:szCs w:val="21"/>
          <w:u w:val="single"/>
        </w:rPr>
        <w:t xml:space="preserve"> </w:t>
      </w:r>
      <w:r>
        <w:rPr>
          <w:rFonts w:hint="eastAsia" w:ascii="宋体" w:hAnsi="宋体" w:cs="宋体"/>
          <w:b/>
          <w:bCs/>
          <w:kern w:val="0"/>
          <w:szCs w:val="21"/>
          <w:u w:val="single"/>
        </w:rPr>
        <w:t>陆</w:t>
      </w:r>
      <w:r>
        <w:rPr>
          <w:rFonts w:ascii="宋体" w:hAnsi="宋体" w:cs="宋体"/>
          <w:b/>
          <w:bCs/>
          <w:kern w:val="0"/>
          <w:szCs w:val="21"/>
        </w:rPr>
        <w:t xml:space="preserve"> </w:t>
      </w:r>
      <w:r>
        <w:rPr>
          <w:rFonts w:hint="eastAsia" w:ascii="宋体" w:hAnsi="宋体" w:cs="宋体"/>
          <w:kern w:val="0"/>
          <w:szCs w:val="21"/>
        </w:rPr>
        <w:t>份，其中：甲方</w:t>
      </w:r>
      <w:r>
        <w:rPr>
          <w:rFonts w:ascii="宋体" w:hAnsi="宋体" w:cs="宋体"/>
          <w:b/>
          <w:bCs/>
          <w:kern w:val="0"/>
          <w:szCs w:val="21"/>
        </w:rPr>
        <w:t xml:space="preserve"> </w:t>
      </w:r>
      <w:r>
        <w:rPr>
          <w:rFonts w:hint="eastAsia" w:ascii="宋体" w:hAnsi="宋体" w:cs="宋体"/>
          <w:b/>
          <w:bCs/>
          <w:kern w:val="0"/>
          <w:szCs w:val="21"/>
          <w:u w:val="single"/>
        </w:rPr>
        <w:t>叁</w:t>
      </w:r>
      <w:r>
        <w:rPr>
          <w:rFonts w:hint="eastAsia" w:ascii="宋体" w:hAnsi="宋体" w:cs="宋体"/>
          <w:kern w:val="0"/>
          <w:szCs w:val="21"/>
        </w:rPr>
        <w:t>份，乙方</w:t>
      </w:r>
      <w:r>
        <w:rPr>
          <w:rFonts w:ascii="宋体" w:hAnsi="宋体" w:cs="宋体"/>
          <w:b/>
          <w:bCs/>
          <w:kern w:val="0"/>
          <w:szCs w:val="21"/>
          <w:u w:val="single"/>
        </w:rPr>
        <w:t xml:space="preserve"> </w:t>
      </w:r>
      <w:r>
        <w:rPr>
          <w:rFonts w:hint="eastAsia" w:ascii="宋体" w:hAnsi="宋体" w:cs="宋体"/>
          <w:b/>
          <w:bCs/>
          <w:kern w:val="0"/>
          <w:szCs w:val="21"/>
          <w:u w:val="single"/>
        </w:rPr>
        <w:t>叁</w:t>
      </w:r>
      <w:r>
        <w:rPr>
          <w:rFonts w:ascii="宋体" w:hAnsi="宋体" w:cs="宋体"/>
          <w:b/>
          <w:bCs/>
          <w:kern w:val="0"/>
          <w:szCs w:val="21"/>
          <w:u w:val="single"/>
        </w:rPr>
        <w:t xml:space="preserve"> </w:t>
      </w:r>
      <w:r>
        <w:rPr>
          <w:rFonts w:hint="eastAsia" w:ascii="宋体" w:hAnsi="宋体" w:cs="宋体"/>
          <w:kern w:val="0"/>
          <w:szCs w:val="21"/>
        </w:rPr>
        <w:t>份，具有同等法律效力。</w:t>
      </w:r>
    </w:p>
    <w:p w14:paraId="03578865">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p>
    <w:p w14:paraId="672952D7">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 xml:space="preserve">甲  方（盖章）： </w:t>
      </w:r>
    </w:p>
    <w:p w14:paraId="6B291DF0">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p>
    <w:p w14:paraId="086C2F58">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法定代表人或</w:t>
      </w:r>
    </w:p>
    <w:p w14:paraId="257C929A">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授权代理人：</w:t>
      </w:r>
    </w:p>
    <w:p w14:paraId="4D00477A">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p>
    <w:p w14:paraId="382FF7ED">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 xml:space="preserve">乙  方（盖章）： </w:t>
      </w:r>
    </w:p>
    <w:p w14:paraId="3DD41082">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p>
    <w:p w14:paraId="4BF0EEA7">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法定代表人或</w:t>
      </w:r>
    </w:p>
    <w:p w14:paraId="6071663E">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授权代理人：</w:t>
      </w:r>
    </w:p>
    <w:p w14:paraId="6C1DB2E3">
      <w:pPr>
        <w:shd w:val="clear" w:color="auto" w:fill="FFFFFF"/>
        <w:adjustRightInd w:val="0"/>
        <w:snapToGrid w:val="0"/>
        <w:spacing w:line="360" w:lineRule="auto"/>
        <w:ind w:firstLine="216" w:firstLineChars="90"/>
        <w:jc w:val="both"/>
        <w:rPr>
          <w:rFonts w:ascii="Calibri" w:hAnsi="Calibri" w:eastAsia="宋体" w:cs="Times New Roman"/>
          <w:kern w:val="2"/>
          <w:sz w:val="24"/>
          <w:szCs w:val="20"/>
          <w:lang w:val="en-US" w:eastAsia="zh-CN" w:bidi="ar-SA"/>
        </w:rPr>
      </w:pPr>
      <w:r>
        <w:rPr>
          <w:rFonts w:hint="eastAsia" w:ascii="Calibri" w:hAnsi="Calibri" w:eastAsia="宋体" w:cs="Times New Roman"/>
          <w:kern w:val="2"/>
          <w:sz w:val="24"/>
          <w:szCs w:val="20"/>
          <w:lang w:val="en-US" w:eastAsia="zh-CN" w:bidi="ar-SA"/>
        </w:rPr>
        <w:t>签订日期：</w:t>
      </w:r>
      <w:r>
        <w:rPr>
          <w:rFonts w:ascii="Calibri" w:hAnsi="Calibri" w:eastAsia="宋体" w:cs="Times New Roman"/>
          <w:kern w:val="2"/>
          <w:sz w:val="24"/>
          <w:szCs w:val="20"/>
          <w:lang w:val="en-US" w:eastAsia="zh-CN" w:bidi="ar-SA"/>
        </w:rPr>
        <w:t xml:space="preserve">     </w:t>
      </w:r>
      <w:r>
        <w:rPr>
          <w:rFonts w:hint="eastAsia" w:ascii="Calibri" w:hAnsi="Calibri" w:eastAsia="宋体" w:cs="Times New Roman"/>
          <w:kern w:val="2"/>
          <w:sz w:val="24"/>
          <w:szCs w:val="20"/>
          <w:lang w:val="en-US" w:eastAsia="zh-CN" w:bidi="ar-SA"/>
        </w:rPr>
        <w:t>年</w:t>
      </w:r>
      <w:r>
        <w:rPr>
          <w:rFonts w:ascii="Calibri" w:hAnsi="Calibri" w:eastAsia="宋体" w:cs="Times New Roman"/>
          <w:kern w:val="2"/>
          <w:sz w:val="24"/>
          <w:szCs w:val="20"/>
          <w:lang w:val="en-US" w:eastAsia="zh-CN" w:bidi="ar-SA"/>
        </w:rPr>
        <w:t xml:space="preserve">      </w:t>
      </w:r>
      <w:r>
        <w:rPr>
          <w:rFonts w:hint="eastAsia" w:ascii="Calibri" w:hAnsi="Calibri" w:eastAsia="宋体" w:cs="Times New Roman"/>
          <w:kern w:val="2"/>
          <w:sz w:val="24"/>
          <w:szCs w:val="20"/>
          <w:lang w:val="en-US" w:eastAsia="zh-CN" w:bidi="ar-SA"/>
        </w:rPr>
        <w:t>月</w:t>
      </w:r>
      <w:r>
        <w:rPr>
          <w:rFonts w:ascii="Calibri" w:hAnsi="Calibri" w:eastAsia="宋体" w:cs="Times New Roman"/>
          <w:kern w:val="2"/>
          <w:sz w:val="24"/>
          <w:szCs w:val="20"/>
          <w:lang w:val="en-US" w:eastAsia="zh-CN" w:bidi="ar-SA"/>
        </w:rPr>
        <w:t xml:space="preserve">      </w:t>
      </w:r>
      <w:r>
        <w:rPr>
          <w:rFonts w:hint="eastAsia" w:ascii="Calibri" w:hAnsi="Calibri" w:eastAsia="宋体" w:cs="Times New Roman"/>
          <w:kern w:val="2"/>
          <w:sz w:val="24"/>
          <w:szCs w:val="20"/>
          <w:lang w:val="en-US" w:eastAsia="zh-CN" w:bidi="ar-SA"/>
        </w:rPr>
        <w:t>日</w:t>
      </w:r>
    </w:p>
    <w:p w14:paraId="30E14102">
      <w:pPr>
        <w:tabs>
          <w:tab w:val="left" w:pos="426"/>
        </w:tabs>
        <w:ind w:firstLine="420" w:firstLineChars="200"/>
        <w:rPr>
          <w:szCs w:val="21"/>
        </w:rPr>
        <w:sectPr>
          <w:pgSz w:w="11906" w:h="16838"/>
          <w:pgMar w:top="1440" w:right="846" w:bottom="1440" w:left="1600" w:header="851" w:footer="992" w:gutter="0"/>
          <w:cols w:space="425" w:num="1"/>
          <w:docGrid w:type="lines" w:linePitch="312" w:charSpace="0"/>
        </w:sectPr>
      </w:pPr>
    </w:p>
    <w:p w14:paraId="295A4707">
      <w:pPr>
        <w:shd w:val="clear" w:color="auto" w:fill="FFFFFF"/>
        <w:tabs>
          <w:tab w:val="left" w:pos="340"/>
          <w:tab w:val="left" w:pos="426"/>
        </w:tabs>
        <w:adjustRightInd w:val="0"/>
        <w:snapToGrid w:val="0"/>
        <w:spacing w:line="480" w:lineRule="auto"/>
        <w:ind w:firstLine="0" w:firstLineChars="0"/>
        <w:jc w:val="center"/>
        <w:outlineLvl w:val="1"/>
        <w:rPr>
          <w:rFonts w:ascii="黑体" w:hAnsi="黑体" w:eastAsia="黑体" w:cs="Times New Roman"/>
          <w:kern w:val="2"/>
          <w:sz w:val="36"/>
          <w:szCs w:val="36"/>
          <w:lang w:val="en-US" w:eastAsia="zh-CN" w:bidi="ar-SA"/>
        </w:rPr>
      </w:pPr>
      <w:r>
        <w:rPr>
          <w:rFonts w:hint="eastAsia" w:ascii="黑体" w:hAnsi="黑体" w:eastAsia="黑体" w:cs="Times New Roman"/>
          <w:kern w:val="2"/>
          <w:sz w:val="36"/>
          <w:szCs w:val="36"/>
          <w:lang w:val="en-US" w:eastAsia="zh-CN" w:bidi="ar-SA"/>
        </w:rPr>
        <w:t>第二部分</w:t>
      </w:r>
      <w:r>
        <w:rPr>
          <w:rFonts w:ascii="黑体" w:hAnsi="黑体" w:eastAsia="黑体" w:cs="Times New Roman"/>
          <w:kern w:val="2"/>
          <w:sz w:val="36"/>
          <w:szCs w:val="36"/>
          <w:lang w:val="en-US" w:eastAsia="zh-CN" w:bidi="ar-SA"/>
        </w:rPr>
        <w:t xml:space="preserve">  </w:t>
      </w:r>
      <w:r>
        <w:rPr>
          <w:rFonts w:hint="eastAsia" w:ascii="黑体" w:hAnsi="黑体" w:eastAsia="黑体" w:cs="Times New Roman"/>
          <w:kern w:val="2"/>
          <w:sz w:val="36"/>
          <w:szCs w:val="36"/>
          <w:lang w:val="en-US" w:eastAsia="zh-CN" w:bidi="ar-SA"/>
        </w:rPr>
        <w:t>通用条款</w:t>
      </w:r>
    </w:p>
    <w:p w14:paraId="73F28233">
      <w:pPr>
        <w:widowControl/>
        <w:shd w:val="clear" w:color="auto" w:fill="FFFFFF"/>
        <w:tabs>
          <w:tab w:val="left" w:pos="426"/>
        </w:tabs>
        <w:adjustRightInd w:val="0"/>
        <w:snapToGrid w:val="0"/>
        <w:spacing w:afterLines="-2147483648" w:line="360" w:lineRule="auto"/>
        <w:rPr>
          <w:rFonts w:ascii="宋体" w:hAnsi="宋体" w:cs="宋体"/>
          <w:kern w:val="0"/>
          <w:szCs w:val="21"/>
        </w:rPr>
      </w:pPr>
    </w:p>
    <w:p w14:paraId="446F5F14">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一、词语定义和解释</w:t>
      </w:r>
    </w:p>
    <w:p w14:paraId="3EFA621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下列词语除本合同专用条款另有约定外，应具有本条款所赋予的定义。</w:t>
      </w:r>
    </w:p>
    <w:p w14:paraId="7021505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1劳务服务：是指由乙方向甲方提供在协议书中劳务作业范围对应的劳务用工。</w:t>
      </w:r>
    </w:p>
    <w:p w14:paraId="59B92D3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2劳务输入单位：是指有用工需求，以及取得上述当事人资格的合法继承人。</w:t>
      </w:r>
    </w:p>
    <w:p w14:paraId="7D60D5B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3劳务输出单位：具有劳务不分等级资质的当事人及取得该当事人资格的合法继承人。</w:t>
      </w:r>
    </w:p>
    <w:p w14:paraId="4827174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4合同价款：是指甲方和乙方在协议书中确定的总金额。</w:t>
      </w:r>
    </w:p>
    <w:p w14:paraId="47A091A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5劳保用品：是指用于保护作业人员人身安全和身体健康的保护性用品、工器具以及符合甲方要求的统一工作服。</w:t>
      </w:r>
    </w:p>
    <w:p w14:paraId="11E77364">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二、合同文件解释顺序</w:t>
      </w:r>
    </w:p>
    <w:p w14:paraId="4E0C4AC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 xml:space="preserve">2.1 </w:t>
      </w:r>
      <w:r>
        <w:rPr>
          <w:rFonts w:hint="eastAsia" w:ascii="宋体" w:hAnsi="宋体" w:cs="宋体"/>
          <w:kern w:val="0"/>
          <w:szCs w:val="21"/>
        </w:rPr>
        <w:t>合同文件应能互相解释，互为说明。除本合同专用条款另有约定外，组成本合同的文件及优先解释顺序如下：</w:t>
      </w:r>
    </w:p>
    <w:p w14:paraId="19BF672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）本合同履行过程中双方以书面形式签署的补充和修正文件；</w:t>
      </w:r>
    </w:p>
    <w:p w14:paraId="588668B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）本协议书（含附件）；</w:t>
      </w:r>
    </w:p>
    <w:p w14:paraId="2A5FBD7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）本专用条款；</w:t>
      </w:r>
    </w:p>
    <w:p w14:paraId="5617576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）本通用条款。</w:t>
      </w:r>
    </w:p>
    <w:p w14:paraId="330810F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 xml:space="preserve">2.2 </w:t>
      </w:r>
      <w:r>
        <w:rPr>
          <w:rFonts w:hint="eastAsia" w:ascii="宋体" w:hAnsi="宋体" w:cs="宋体"/>
          <w:kern w:val="0"/>
          <w:szCs w:val="21"/>
        </w:rPr>
        <w:t>当合同文件内容出现含糊不清或不相一致时，应在不影响服务业务正常进行的情况下，由甲、乙双方协商解决。双方协商不成时，按本合同通用条款第七条关于争议的约定处理。</w:t>
      </w:r>
    </w:p>
    <w:p w14:paraId="59B506D5">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三、语言文字和适用法律</w:t>
      </w:r>
    </w:p>
    <w:p w14:paraId="628EF20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 xml:space="preserve">3.1 </w:t>
      </w:r>
      <w:r>
        <w:rPr>
          <w:rFonts w:hint="eastAsia" w:ascii="宋体" w:hAnsi="宋体" w:cs="宋体"/>
          <w:kern w:val="0"/>
          <w:szCs w:val="21"/>
        </w:rPr>
        <w:t>语言文字。除本合同专用条款中另有约定，本合同文件使用汉语语言文字书写、解释和说明。如本合同专用条款约定使用两种以上（含两种）语言文字时，汉语应为解释和说明本合同的标准语言文字。</w:t>
      </w:r>
    </w:p>
    <w:p w14:paraId="59453AE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 xml:space="preserve">3.2 </w:t>
      </w:r>
      <w:r>
        <w:rPr>
          <w:rFonts w:hint="eastAsia" w:ascii="宋体" w:hAnsi="宋体" w:cs="宋体"/>
          <w:kern w:val="0"/>
          <w:szCs w:val="21"/>
        </w:rPr>
        <w:t>适用法律和行政法规。本合同文件适用有关法律和行政法规，需要明示的法律和行政法规，双方可在本合同专用条款中约定。</w:t>
      </w:r>
    </w:p>
    <w:p w14:paraId="22A9A799">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四、甲方的权利和义务</w:t>
      </w:r>
    </w:p>
    <w:p w14:paraId="563C2EC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.1 </w:t>
      </w:r>
      <w:r>
        <w:rPr>
          <w:rFonts w:hint="eastAsia" w:ascii="宋体" w:hAnsi="宋体" w:cs="宋体"/>
          <w:kern w:val="0"/>
          <w:szCs w:val="21"/>
        </w:rPr>
        <w:t>甲方负责对外正式联络、协调工作，负责组织实施本项目各项工作，包括但不限于日常管理、指导、监督、检查、考核乙方人员等。</w:t>
      </w:r>
    </w:p>
    <w:p w14:paraId="29CB67D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.2 </w:t>
      </w:r>
      <w:r>
        <w:rPr>
          <w:rFonts w:hint="eastAsia" w:ascii="宋体" w:hAnsi="宋体" w:cs="宋体"/>
          <w:kern w:val="0"/>
          <w:szCs w:val="21"/>
        </w:rPr>
        <w:t>甲方有权随时核查乙方劳务人员提供服务的具体情况，如甲方发现乙方劳务人员提供的服务不符合甲方要求时，甲方有权对乙方劳务人员进行工作岗位调整，并可根据工作情况要求乙方对劳务人员岗位和数量做出调整。</w:t>
      </w:r>
    </w:p>
    <w:p w14:paraId="5B2F558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.3 </w:t>
      </w:r>
      <w:r>
        <w:rPr>
          <w:rFonts w:hint="eastAsia" w:ascii="宋体" w:hAnsi="宋体" w:cs="宋体"/>
          <w:kern w:val="0"/>
          <w:szCs w:val="21"/>
        </w:rPr>
        <w:t>对违反甲方各项规章制度、不服从管理、工作不尽职责等不合格的乙方劳务人员，甲方有权要求调换，乙方应无条件调换，未及时调换的，甲方将下达书面处罚通知单，在支付时按每次2000元予以扣款。</w:t>
      </w:r>
    </w:p>
    <w:p w14:paraId="18D28E2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4督促乙方做好相关人员岗前培训和安全教育工作。</w:t>
      </w:r>
    </w:p>
    <w:p w14:paraId="29A9313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5若由于乙方未及时、足额支付劳务人员工资或相关保险未能正常缴纳等而引发相应的劳资纠纷、理赔、工伤及其他一切索赔的，甲方可在未支付的合同款项中予以直接扣除。</w:t>
      </w:r>
    </w:p>
    <w:p w14:paraId="26F8E88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6若因乙方劳务人员使用不当或疏忽造成甲方的设施、设备及公共设备设施损坏或丢失，甲方有权要求乙方赔偿。</w:t>
      </w:r>
    </w:p>
    <w:p w14:paraId="1627BA2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4.7因乙方原因造成甲方财产损失的，乙方应当予以赔偿，甲方有权在未支付的合同款项中予以扣除。情节严重、损失金额较大、达到立案标准的，甲方有权将相关责任人移送司法机关追究其法律责任。</w:t>
      </w:r>
    </w:p>
    <w:p w14:paraId="50A1FC1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8甲方根据项目管理要求制定的相关管理规定，乙方应无条件遵守，相应服务等未达到甲方规定标准的将按相关规定进行扣款。</w:t>
      </w:r>
    </w:p>
    <w:p w14:paraId="0C6A073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9乙方劳务服务和进度质量未能达到甲方要求，且经整改仍无法满足要求时，视情节严重程度，甲方有权解除合同，并要求乙方赔偿甲方全部损失。</w:t>
      </w:r>
    </w:p>
    <w:p w14:paraId="2DC87116">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五、乙方的权利和义务</w:t>
      </w:r>
    </w:p>
    <w:p w14:paraId="68A2C62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按要求组织、招聘符合甲方要求的劳务人员，自觉遵守法律法规及有关规章制度及主管行政部门的文件规定。</w:t>
      </w:r>
    </w:p>
    <w:p w14:paraId="2C68D43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应当依法与劳动者订立书面劳动合同，如实告知劳动者劳动合同法第八条规定的事项、应遵守的规章制度以及劳务服务协议的内容。</w:t>
      </w:r>
    </w:p>
    <w:p w14:paraId="04F2017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.2</w:t>
      </w:r>
      <w:r>
        <w:rPr>
          <w:rFonts w:hint="eastAsia" w:ascii="宋体" w:hAnsi="宋体" w:cs="宋体"/>
          <w:kern w:val="0"/>
          <w:szCs w:val="21"/>
        </w:rPr>
        <w:t>乙方应按国家及地方相关规定为劳务人员支付工资（含加班工资）、购买相关保险、发放高温补贴等，人员的加班薪资、绩效工资、其他相关补贴等已包含在劳务服务单价中，均由乙方负责支付，甲方不再另行支付任何费用。乙方需及时、足额支付员工工资或缴纳相关保险，未能正常缴纳或支付而引发劳资纠纷、理赔、工伤及其他一切索赔的，一切索赔由乙方自行负责。</w:t>
      </w:r>
    </w:p>
    <w:p w14:paraId="1E95201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.3 </w:t>
      </w:r>
      <w:r>
        <w:rPr>
          <w:rFonts w:hint="eastAsia" w:ascii="宋体" w:hAnsi="宋体" w:cs="宋体"/>
          <w:kern w:val="0"/>
          <w:szCs w:val="21"/>
        </w:rPr>
        <w:t>乙方负责按实际劳务人数自行到有关部门申办用工手续、员工劳动保险手续和办理暂住手续等。由于乙方手续不全或不合格引起的所有纠纷、赔偿、处罚、索赔等均由乙方自行负责。</w:t>
      </w:r>
    </w:p>
    <w:p w14:paraId="7F7AE41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.4</w:t>
      </w:r>
      <w:r>
        <w:rPr>
          <w:rFonts w:hint="eastAsia" w:ascii="宋体" w:hAnsi="宋体" w:cs="宋体"/>
          <w:kern w:val="0"/>
          <w:szCs w:val="21"/>
        </w:rPr>
        <w:t>乙方须按协议要求，做好劳务人员的岗前教育和日常管理工作；负责劳务人员的招聘、培训、考核及人事档案的管理，处理与劳务人员劳动关系等相关事宜；负责对服务人员的奖励、处罚、请假、辞工、辞退等方面的工作。</w:t>
      </w:r>
    </w:p>
    <w:p w14:paraId="565E10F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.5 </w:t>
      </w:r>
      <w:r>
        <w:rPr>
          <w:rFonts w:hint="eastAsia" w:ascii="宋体" w:hAnsi="宋体" w:cs="宋体"/>
          <w:kern w:val="0"/>
          <w:szCs w:val="21"/>
        </w:rPr>
        <w:t>乙方所有劳务人员在工程服务期间出现的所有伤亡事故以及因此产生赔偿、纠纷等均由乙方负责，并由乙方处理后续所有事务。</w:t>
      </w:r>
    </w:p>
    <w:p w14:paraId="4CDFC56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.6</w:t>
      </w:r>
      <w:r>
        <w:rPr>
          <w:rFonts w:hint="eastAsia" w:ascii="宋体" w:hAnsi="宋体" w:cs="宋体"/>
          <w:kern w:val="0"/>
          <w:szCs w:val="21"/>
        </w:rPr>
        <w:t>乙方须全力协助甲方对现场劳务人员的管理工作，对于不符合要求的人员，乙方须按相关约定及时更换。乙方所有劳务人员应服从甲方管理和安排，定期参加岗位技能、业务开展的指导培训，加强现场管理，做到文明作业。</w:t>
      </w:r>
    </w:p>
    <w:p w14:paraId="3AACA12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.7</w:t>
      </w:r>
      <w:r>
        <w:rPr>
          <w:rFonts w:hint="eastAsia" w:ascii="宋体" w:hAnsi="宋体" w:cs="宋体"/>
          <w:kern w:val="0"/>
          <w:szCs w:val="21"/>
        </w:rPr>
        <w:t>乙方应为劳务人员提供必要的生产、生活条件与劳动保护措施及劳动保护用品。乙方应严格执行相关安全制度、操作规程规范，落实安全措施，并定期组织所有人员进行安全生产教育培训。乙方应采取一切合理措施保护现场内外的环境，确保项目安全、现场工作人员和现场附近以及过往群众的生命安全，及时消除安全隐患，如由于乙方未能对其负责的项目现场采取各种必要措施而引发安全事故或其他原因造成人身伤害或财产损失，导致或发生有关的人身伤亡、罚款、索赔、损坏补偿、指控及其他一切责任应由乙方负责。</w:t>
      </w:r>
    </w:p>
    <w:p w14:paraId="685272F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.8 </w:t>
      </w:r>
      <w:r>
        <w:rPr>
          <w:rFonts w:hint="eastAsia" w:ascii="宋体" w:hAnsi="宋体" w:cs="宋体"/>
          <w:kern w:val="0"/>
          <w:szCs w:val="21"/>
        </w:rPr>
        <w:t>乙方负责按照甲方的要求为所有人员配备必须的、满足国家和地方相关标准和要求的装备、设备及劳保用品。</w:t>
      </w:r>
    </w:p>
    <w:p w14:paraId="3EE8D46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.9 </w:t>
      </w:r>
      <w:r>
        <w:rPr>
          <w:rFonts w:hint="eastAsia" w:ascii="宋体" w:hAnsi="宋体" w:cs="宋体"/>
          <w:kern w:val="0"/>
          <w:szCs w:val="21"/>
        </w:rPr>
        <w:t>乙方有义务配合甲方处理好与当地相关部门的正常工作关系，最大限度地避免甲方利益受到损害。</w:t>
      </w:r>
    </w:p>
    <w:p w14:paraId="4B0A019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0劳务人员提出辞职，乙方应在</w:t>
      </w:r>
      <w:r>
        <w:rPr>
          <w:rFonts w:ascii="宋体" w:hAnsi="宋体" w:cs="宋体"/>
          <w:kern w:val="0"/>
          <w:szCs w:val="21"/>
        </w:rPr>
        <w:t>1</w:t>
      </w:r>
      <w:r>
        <w:rPr>
          <w:rFonts w:hint="eastAsia" w:ascii="宋体" w:hAnsi="宋体" w:cs="宋体"/>
          <w:kern w:val="0"/>
          <w:szCs w:val="21"/>
        </w:rPr>
        <w:t>天内通知甲方。未及时通知甲方的，按未经甲方同意擅自更换劳务人员处理。</w:t>
      </w:r>
    </w:p>
    <w:p w14:paraId="50967E1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1乙方应服从甲方正常和临时加班作业安排，有关费用已包括在劳务服务单价内，如需增派其他人员的，甲乙双方另行协商，乙方应积极配合。</w:t>
      </w:r>
    </w:p>
    <w:p w14:paraId="0161162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2乙方人员自觉接受甲方的管理、监督和检查，接受甲方随时检查其设备、材料的保管和使用情况，以及劳务人员的上岗情况。</w:t>
      </w:r>
    </w:p>
    <w:p w14:paraId="326BE90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3在特殊情况下（台风、暴雨等恶劣天气期间），乙方人员除应做好相关设施的保护工作外，还应服从甲方的统一指挥和调动，积极参加相关抢险救灾工作。</w:t>
      </w:r>
    </w:p>
    <w:p w14:paraId="025CBA1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5.14 乙方应依法出具解除或者终止劳动合同的证明；</w:t>
      </w:r>
    </w:p>
    <w:p w14:paraId="1EC419F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5.15乙方应协助处理劳动者与用工单位的纠纷；</w:t>
      </w:r>
    </w:p>
    <w:p w14:paraId="4900946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5.16法律、法规和规章规定的其他事项。</w:t>
      </w:r>
    </w:p>
    <w:p w14:paraId="224AF607">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六、违约责任与处理</w:t>
      </w:r>
    </w:p>
    <w:p w14:paraId="01C5729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w:t>
      </w:r>
      <w:r>
        <w:rPr>
          <w:rFonts w:ascii="宋体" w:hAnsi="宋体" w:cs="宋体"/>
          <w:kern w:val="0"/>
          <w:szCs w:val="21"/>
        </w:rPr>
        <w:t xml:space="preserve">.1 </w:t>
      </w:r>
      <w:r>
        <w:rPr>
          <w:rFonts w:hint="eastAsia" w:ascii="宋体" w:hAnsi="宋体" w:cs="宋体"/>
          <w:kern w:val="0"/>
          <w:szCs w:val="21"/>
        </w:rPr>
        <w:t>乙方违反国家法律法规或地方性规定，甲方有权单方终止本合同，由乙方承担一切法律责任和经济损失。</w:t>
      </w:r>
    </w:p>
    <w:p w14:paraId="06446D41">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6.2 乙方提供的劳务人员人数不能满足甲方需要进度或劳务人员不服从甲方工作安排的，经书面通知后，甲方可在支付劳务服务费时按5000元每次进行扣减。</w:t>
      </w:r>
    </w:p>
    <w:p w14:paraId="03EDF0D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6.3 乙方的劳务人员违规作业，造成甲方或其它全部损失，由乙方负责赔偿。</w:t>
      </w:r>
    </w:p>
    <w:p w14:paraId="3A0A4F0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6.4由于乙方劳务人员的失误导致甲方受到损失或侵害，所有损失由乙方负责承担，甲方有权在劳务报酬中直接扣除。</w:t>
      </w:r>
    </w:p>
    <w:p w14:paraId="32621F1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 xml:space="preserve"> </w:t>
      </w:r>
      <w:r>
        <w:rPr>
          <w:rFonts w:hint="eastAsia" w:ascii="宋体" w:hAnsi="宋体" w:cs="宋体"/>
          <w:kern w:val="0"/>
          <w:szCs w:val="21"/>
        </w:rPr>
        <w:t>一方违约后，另一方要求违约方继续履行合同时，违约方承担上述违约责任后仍应继续履行合同。</w:t>
      </w:r>
    </w:p>
    <w:p w14:paraId="4F4AEE8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6.6本合同中的全部损失包括但不限于对守约方所造成的直接损失、守约方支付给第三方的赔偿费用/违约金/罚款、调查取证费用/公证费/鉴定费用、诉讼仲裁费用、保全费用、律师费用、维权费用以及其他合理费用。</w:t>
      </w:r>
    </w:p>
    <w:p w14:paraId="25F4905C">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七、争议解决</w:t>
      </w:r>
    </w:p>
    <w:p w14:paraId="56E850C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w:t>
      </w:r>
      <w:r>
        <w:rPr>
          <w:rFonts w:ascii="宋体" w:hAnsi="宋体" w:cs="宋体"/>
          <w:kern w:val="0"/>
          <w:szCs w:val="21"/>
        </w:rPr>
        <w:t xml:space="preserve">.1 </w:t>
      </w:r>
      <w:r>
        <w:rPr>
          <w:rFonts w:hint="eastAsia" w:ascii="宋体" w:hAnsi="宋体" w:cs="宋体"/>
          <w:kern w:val="0"/>
          <w:szCs w:val="21"/>
        </w:rPr>
        <w:t>双方约定，在履行合同过程中产生争议的，双方协商解决，协商不成的，可采用下列第</w:t>
      </w:r>
      <w:r>
        <w:rPr>
          <w:rFonts w:hint="eastAsia" w:ascii="宋体" w:hAnsi="宋体" w:cs="宋体"/>
          <w:kern w:val="0"/>
          <w:szCs w:val="21"/>
          <w:u w:val="single"/>
        </w:rPr>
        <w:t xml:space="preserve"> 1 </w:t>
      </w:r>
      <w:r>
        <w:rPr>
          <w:rFonts w:hint="eastAsia" w:ascii="宋体" w:hAnsi="宋体" w:cs="宋体"/>
          <w:kern w:val="0"/>
          <w:szCs w:val="21"/>
        </w:rPr>
        <w:t>种方式解决：</w:t>
      </w:r>
    </w:p>
    <w:p w14:paraId="694E7C7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（1）向深圳仲裁委员会仲裁；</w:t>
      </w:r>
    </w:p>
    <w:p w14:paraId="339B47C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（2）向甲方所在地人民法院起诉。</w:t>
      </w:r>
    </w:p>
    <w:p w14:paraId="184B436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w:t>
      </w:r>
      <w:r>
        <w:rPr>
          <w:rFonts w:ascii="宋体" w:hAnsi="宋体" w:cs="宋体"/>
          <w:kern w:val="0"/>
          <w:szCs w:val="21"/>
        </w:rPr>
        <w:t xml:space="preserve">.2 </w:t>
      </w:r>
      <w:r>
        <w:rPr>
          <w:rFonts w:hint="eastAsia" w:ascii="宋体" w:hAnsi="宋体" w:cs="宋体"/>
          <w:kern w:val="0"/>
          <w:szCs w:val="21"/>
        </w:rPr>
        <w:t>发生争议后，双方都应继续履行合同，保持工作连续。除非出现下列情况：</w:t>
      </w:r>
    </w:p>
    <w:p w14:paraId="4280393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）单方违约导致合同确已无法履行，双方协议终止合同；</w:t>
      </w:r>
    </w:p>
    <w:p w14:paraId="372F940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）调解要求停止合同工作，且为双方接受；</w:t>
      </w:r>
    </w:p>
    <w:p w14:paraId="008D176A">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）人民法院要求停止合同工作。</w:t>
      </w:r>
    </w:p>
    <w:p w14:paraId="57F653D6">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八、合同生效、变更及终止</w:t>
      </w:r>
    </w:p>
    <w:p w14:paraId="51CD0A7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w:t>
      </w:r>
      <w:r>
        <w:rPr>
          <w:rFonts w:ascii="宋体" w:hAnsi="宋体" w:cs="宋体"/>
          <w:kern w:val="0"/>
          <w:szCs w:val="21"/>
        </w:rPr>
        <w:t xml:space="preserve">.1 </w:t>
      </w:r>
      <w:r>
        <w:rPr>
          <w:rFonts w:hint="eastAsia" w:ascii="宋体" w:hAnsi="宋体" w:cs="宋体"/>
          <w:kern w:val="0"/>
          <w:szCs w:val="21"/>
        </w:rPr>
        <w:t>本合同双方约定合同经双方签章后生效。</w:t>
      </w:r>
    </w:p>
    <w:p w14:paraId="2FF4587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w:t>
      </w:r>
      <w:r>
        <w:rPr>
          <w:rFonts w:ascii="宋体" w:hAnsi="宋体" w:cs="宋体"/>
          <w:kern w:val="0"/>
          <w:szCs w:val="21"/>
        </w:rPr>
        <w:t xml:space="preserve">.2 </w:t>
      </w:r>
      <w:r>
        <w:rPr>
          <w:rFonts w:hint="eastAsia" w:ascii="宋体" w:hAnsi="宋体" w:cs="宋体"/>
          <w:kern w:val="0"/>
          <w:szCs w:val="21"/>
        </w:rPr>
        <w:t>本合同签订后，因法律、法规或部门规章发生改变，导致本项目工作要求、成本发生重大改变时，本合同约定的服务报酬和服务期限由双方签订补充协议进行相应调整。</w:t>
      </w:r>
    </w:p>
    <w:p w14:paraId="10E2089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w:t>
      </w:r>
      <w:r>
        <w:rPr>
          <w:rFonts w:ascii="宋体" w:hAnsi="宋体" w:cs="宋体"/>
          <w:kern w:val="0"/>
          <w:szCs w:val="21"/>
        </w:rPr>
        <w:t xml:space="preserve">.3 </w:t>
      </w:r>
      <w:r>
        <w:rPr>
          <w:rFonts w:hint="eastAsia" w:ascii="宋体" w:hAnsi="宋体" w:cs="宋体"/>
          <w:kern w:val="0"/>
          <w:szCs w:val="21"/>
        </w:rPr>
        <w:t>本协议出现下列情况时自动终止：</w:t>
      </w:r>
    </w:p>
    <w:p w14:paraId="15B9FFB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8.3.1届满终止</w:t>
      </w:r>
    </w:p>
    <w:p w14:paraId="789B7EE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劳务期限届满，合同自然终止。</w:t>
      </w:r>
    </w:p>
    <w:p w14:paraId="083099E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8.3.2提前终止</w:t>
      </w:r>
    </w:p>
    <w:p w14:paraId="7BBAC661">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以下情况发生时本合同提前终止：</w:t>
      </w:r>
    </w:p>
    <w:p w14:paraId="0438AA47">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（1）发生不可抗力导致本合同无法继续履行；</w:t>
      </w:r>
    </w:p>
    <w:p w14:paraId="01F9406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 xml:space="preserve">（2）一方认为有必要时，经双方协商一致提前终止本合同； </w:t>
      </w:r>
    </w:p>
    <w:p w14:paraId="01979BE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（3）乙方擅自将本项目非法转包或分包给第三方；</w:t>
      </w:r>
    </w:p>
    <w:p w14:paraId="4B75E3C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 xml:space="preserve"> </w:t>
      </w:r>
      <w:r>
        <w:rPr>
          <w:rFonts w:hint="eastAsia" w:ascii="宋体" w:hAnsi="宋体" w:cs="宋体"/>
          <w:kern w:val="0"/>
          <w:szCs w:val="21"/>
        </w:rPr>
        <w:t>本合同执行中，甲方因公司内部部门或机构调整，有权将合同甲方变更为甲方的子公司或甲方占股的合资公司，乙方需无条件配合甲方变更合同，并与新的甲方继续合作履行完本合同。</w:t>
      </w:r>
    </w:p>
    <w:p w14:paraId="42EA326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8.5本合同终止，乙方应按甲方要求的时间撤走全部人员和设备，否则，每滞留一日，应按劳务费总额的1‰向甲方支付滞留违约金。</w:t>
      </w:r>
    </w:p>
    <w:p w14:paraId="68F46EE6">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九、保密条款</w:t>
      </w:r>
    </w:p>
    <w:p w14:paraId="624D987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kern w:val="0"/>
          <w:szCs w:val="21"/>
        </w:rPr>
        <w:t>.1</w:t>
      </w:r>
      <w:r>
        <w:rPr>
          <w:rFonts w:hint="eastAsia" w:ascii="宋体" w:hAnsi="宋体" w:cs="宋体"/>
          <w:kern w:val="0"/>
          <w:szCs w:val="21"/>
        </w:rPr>
        <w:t>双方应当对本协议的内容、因履行本协议或在本协议履行期间获得的或收到的对方的商务、财务、技术、用户等信息与相关资料或其他文件、信息的内容保守秘密，未经对方书面同意，不得向本协议以外的任何第三方披露。</w:t>
      </w:r>
    </w:p>
    <w:p w14:paraId="16FEE5D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kern w:val="0"/>
          <w:szCs w:val="21"/>
        </w:rPr>
        <w:t>.2</w:t>
      </w:r>
      <w:r>
        <w:rPr>
          <w:rFonts w:hint="eastAsia" w:ascii="宋体" w:hAnsi="宋体" w:cs="宋体"/>
          <w:kern w:val="0"/>
          <w:szCs w:val="21"/>
        </w:rPr>
        <w:t>违反上述保密规定的一方应承担相应法律责任，并赔偿对方损失。</w:t>
      </w:r>
      <w:r>
        <w:rPr>
          <w:rFonts w:ascii="宋体" w:hAnsi="宋体" w:cs="宋体"/>
          <w:kern w:val="0"/>
          <w:szCs w:val="21"/>
        </w:rPr>
        <w:t xml:space="preserve"> </w:t>
      </w:r>
    </w:p>
    <w:p w14:paraId="5C3D3721">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kern w:val="0"/>
          <w:szCs w:val="21"/>
        </w:rPr>
        <w:t>.3</w:t>
      </w:r>
      <w:r>
        <w:rPr>
          <w:rFonts w:hint="eastAsia" w:ascii="宋体" w:hAnsi="宋体" w:cs="宋体"/>
          <w:kern w:val="0"/>
          <w:szCs w:val="21"/>
        </w:rPr>
        <w:t>本保密义务应在本协议期满、解除或终止后仍然有效。</w:t>
      </w:r>
    </w:p>
    <w:p w14:paraId="12909BD9">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十、其他事宜</w:t>
      </w:r>
    </w:p>
    <w:p w14:paraId="23F86D1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本合同未尽事宜，由甲乙双方共同协商，签订补充协议，补充协议与本合同冲突的以补充协议为准。</w:t>
      </w:r>
    </w:p>
    <w:p w14:paraId="3355298F">
      <w:pPr>
        <w:widowControl/>
        <w:shd w:val="clear" w:color="auto" w:fill="FFFFFF"/>
        <w:tabs>
          <w:tab w:val="left" w:pos="426"/>
        </w:tabs>
        <w:adjustRightInd w:val="0"/>
        <w:snapToGrid w:val="0"/>
        <w:spacing w:afterLines="-2147483648" w:line="360" w:lineRule="auto"/>
        <w:rPr>
          <w:rFonts w:ascii="宋体" w:hAnsi="宋体" w:eastAsia="黑体" w:cs="黑体"/>
          <w:kern w:val="0"/>
          <w:szCs w:val="21"/>
        </w:rPr>
      </w:pPr>
    </w:p>
    <w:p w14:paraId="315F3C0A">
      <w:pPr>
        <w:widowControl/>
        <w:shd w:val="clear" w:color="auto" w:fill="FFFFFF"/>
        <w:tabs>
          <w:tab w:val="left" w:pos="426"/>
        </w:tabs>
        <w:adjustRightInd w:val="0"/>
        <w:snapToGrid w:val="0"/>
        <w:spacing w:afterLines="-2147483648" w:line="360" w:lineRule="auto"/>
        <w:rPr>
          <w:rFonts w:ascii="宋体" w:hAnsi="宋体" w:eastAsia="黑体" w:cs="黑体"/>
          <w:kern w:val="0"/>
          <w:szCs w:val="21"/>
        </w:rPr>
      </w:pPr>
    </w:p>
    <w:p w14:paraId="13676F4E">
      <w:pPr>
        <w:widowControl/>
        <w:shd w:val="clear" w:color="auto" w:fill="FFFFFF"/>
        <w:tabs>
          <w:tab w:val="left" w:pos="426"/>
        </w:tabs>
        <w:adjustRightInd w:val="0"/>
        <w:snapToGrid w:val="0"/>
        <w:spacing w:afterLines="-2147483648" w:line="360" w:lineRule="auto"/>
        <w:rPr>
          <w:rFonts w:ascii="宋体" w:hAnsi="宋体" w:eastAsia="黑体" w:cs="黑体"/>
          <w:kern w:val="0"/>
          <w:szCs w:val="21"/>
        </w:rPr>
      </w:pPr>
    </w:p>
    <w:p w14:paraId="5DF84539">
      <w:pPr>
        <w:widowControl/>
        <w:shd w:val="clear" w:color="auto" w:fill="FFFFFF"/>
        <w:tabs>
          <w:tab w:val="left" w:pos="426"/>
        </w:tabs>
        <w:adjustRightInd w:val="0"/>
        <w:snapToGrid w:val="0"/>
        <w:spacing w:afterLines="-2147483648" w:line="360" w:lineRule="auto"/>
        <w:rPr>
          <w:rFonts w:ascii="宋体" w:hAnsi="宋体" w:eastAsia="黑体" w:cs="黑体"/>
          <w:kern w:val="0"/>
          <w:szCs w:val="21"/>
        </w:rPr>
      </w:pPr>
    </w:p>
    <w:p w14:paraId="3D580891">
      <w:pPr>
        <w:widowControl/>
        <w:shd w:val="clear" w:color="auto" w:fill="FFFFFF"/>
        <w:tabs>
          <w:tab w:val="left" w:pos="426"/>
        </w:tabs>
        <w:adjustRightInd w:val="0"/>
        <w:snapToGrid w:val="0"/>
        <w:spacing w:afterLines="-2147483648" w:line="360" w:lineRule="auto"/>
        <w:rPr>
          <w:rFonts w:ascii="宋体" w:hAnsi="宋体" w:eastAsia="黑体" w:cs="黑体"/>
          <w:kern w:val="0"/>
          <w:szCs w:val="21"/>
        </w:rPr>
      </w:pPr>
      <w:r>
        <w:rPr>
          <w:rFonts w:hint="eastAsia" w:ascii="宋体" w:hAnsi="宋体" w:eastAsia="黑体" w:cs="黑体"/>
          <w:kern w:val="0"/>
          <w:szCs w:val="21"/>
        </w:rPr>
        <w:br w:type="page"/>
      </w:r>
    </w:p>
    <w:p w14:paraId="10F10BAF">
      <w:pPr>
        <w:shd w:val="clear" w:color="auto" w:fill="FFFFFF"/>
        <w:tabs>
          <w:tab w:val="left" w:pos="340"/>
          <w:tab w:val="left" w:pos="426"/>
        </w:tabs>
        <w:adjustRightInd w:val="0"/>
        <w:snapToGrid w:val="0"/>
        <w:spacing w:line="480" w:lineRule="auto"/>
        <w:ind w:firstLine="0" w:firstLineChars="0"/>
        <w:jc w:val="center"/>
        <w:outlineLvl w:val="1"/>
        <w:rPr>
          <w:rFonts w:ascii="黑体" w:hAnsi="黑体" w:eastAsia="黑体" w:cs="Times New Roman"/>
          <w:kern w:val="2"/>
          <w:sz w:val="36"/>
          <w:szCs w:val="36"/>
          <w:lang w:val="en-US" w:eastAsia="zh-CN" w:bidi="ar-SA"/>
        </w:rPr>
      </w:pPr>
      <w:r>
        <w:rPr>
          <w:rFonts w:hint="eastAsia" w:ascii="黑体" w:hAnsi="黑体" w:eastAsia="黑体" w:cs="Times New Roman"/>
          <w:kern w:val="2"/>
          <w:sz w:val="36"/>
          <w:szCs w:val="36"/>
          <w:lang w:val="en-US" w:eastAsia="zh-CN" w:bidi="ar-SA"/>
        </w:rPr>
        <w:t>第三部分</w:t>
      </w:r>
      <w:r>
        <w:rPr>
          <w:rFonts w:ascii="黑体" w:hAnsi="黑体" w:eastAsia="黑体" w:cs="Times New Roman"/>
          <w:kern w:val="2"/>
          <w:sz w:val="36"/>
          <w:szCs w:val="36"/>
          <w:lang w:val="en-US" w:eastAsia="zh-CN" w:bidi="ar-SA"/>
        </w:rPr>
        <w:t xml:space="preserve">  </w:t>
      </w:r>
      <w:r>
        <w:rPr>
          <w:rFonts w:hint="eastAsia" w:ascii="黑体" w:hAnsi="黑体" w:eastAsia="黑体" w:cs="Times New Roman"/>
          <w:kern w:val="2"/>
          <w:sz w:val="36"/>
          <w:szCs w:val="36"/>
          <w:lang w:val="en-US" w:eastAsia="zh-CN" w:bidi="ar-SA"/>
        </w:rPr>
        <w:t>专用条款</w:t>
      </w:r>
    </w:p>
    <w:p w14:paraId="33833963">
      <w:pPr>
        <w:widowControl/>
        <w:shd w:val="clear" w:color="auto" w:fill="FFFFFF"/>
        <w:tabs>
          <w:tab w:val="left" w:pos="426"/>
        </w:tabs>
        <w:adjustRightInd w:val="0"/>
        <w:snapToGrid w:val="0"/>
        <w:spacing w:afterLines="-2147483648" w:line="360" w:lineRule="auto"/>
        <w:rPr>
          <w:rFonts w:ascii="宋体" w:hAnsi="宋体" w:cs="宋体"/>
          <w:kern w:val="0"/>
          <w:szCs w:val="21"/>
        </w:rPr>
      </w:pPr>
    </w:p>
    <w:p w14:paraId="6A68E78F">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一、基本要求</w:t>
      </w:r>
    </w:p>
    <w:p w14:paraId="6C2D7348">
      <w:pPr>
        <w:widowControl/>
        <w:shd w:val="clear" w:color="auto" w:fill="FFFFFF"/>
        <w:tabs>
          <w:tab w:val="left" w:pos="426"/>
        </w:tabs>
        <w:adjustRightInd w:val="0"/>
        <w:snapToGrid w:val="0"/>
        <w:spacing w:afterLines="-2147483648" w:line="360" w:lineRule="auto"/>
        <w:ind w:firstLine="466" w:firstLineChars="202"/>
        <w:rPr>
          <w:rFonts w:ascii="宋体" w:hAnsi="宋体" w:cs="宋体"/>
          <w:b/>
          <w:bCs/>
          <w:spacing w:val="10"/>
          <w:kern w:val="0"/>
          <w:szCs w:val="21"/>
        </w:rPr>
      </w:pPr>
      <w:r>
        <w:rPr>
          <w:rFonts w:hint="eastAsia" w:ascii="宋体" w:hAnsi="宋体" w:cs="宋体"/>
          <w:b/>
          <w:bCs/>
          <w:spacing w:val="10"/>
          <w:kern w:val="0"/>
          <w:szCs w:val="21"/>
        </w:rPr>
        <w:t>1.1 一般要求</w:t>
      </w:r>
    </w:p>
    <w:p w14:paraId="540EB452">
      <w:pPr>
        <w:widowControl/>
        <w:shd w:val="clear" w:color="auto" w:fill="FFFFFF"/>
        <w:tabs>
          <w:tab w:val="left" w:pos="426"/>
        </w:tabs>
        <w:adjustRightInd w:val="0"/>
        <w:snapToGrid w:val="0"/>
        <w:spacing w:afterLines="-2147483648" w:line="360" w:lineRule="auto"/>
        <w:ind w:firstLine="464" w:firstLineChars="202"/>
        <w:rPr>
          <w:rFonts w:ascii="宋体" w:hAnsi="宋体" w:cs="宋体"/>
          <w:spacing w:val="10"/>
          <w:kern w:val="0"/>
          <w:szCs w:val="21"/>
        </w:rPr>
      </w:pPr>
      <w:r>
        <w:rPr>
          <w:rFonts w:hint="eastAsia" w:ascii="宋体" w:hAnsi="宋体" w:cs="宋体"/>
          <w:spacing w:val="10"/>
          <w:kern w:val="0"/>
          <w:szCs w:val="21"/>
        </w:rPr>
        <w:t>1、乙方的劳务人员，按甲方具体工作安排和现场管理人员指令开展调蓄池清淤劳务服务等各项具体工作。</w:t>
      </w:r>
    </w:p>
    <w:p w14:paraId="203DD598">
      <w:pPr>
        <w:widowControl/>
        <w:shd w:val="clear" w:color="auto" w:fill="FFFFFF"/>
        <w:tabs>
          <w:tab w:val="left" w:pos="426"/>
        </w:tabs>
        <w:adjustRightInd w:val="0"/>
        <w:snapToGrid w:val="0"/>
        <w:spacing w:afterLines="-2147483648" w:line="360" w:lineRule="auto"/>
        <w:ind w:firstLine="466" w:firstLineChars="202"/>
        <w:rPr>
          <w:rFonts w:ascii="宋体" w:hAnsi="宋体" w:cs="宋体"/>
          <w:b/>
          <w:bCs/>
          <w:spacing w:val="10"/>
          <w:kern w:val="0"/>
          <w:szCs w:val="21"/>
        </w:rPr>
      </w:pPr>
      <w:r>
        <w:rPr>
          <w:rFonts w:hint="eastAsia" w:ascii="宋体" w:hAnsi="宋体" w:cs="宋体"/>
          <w:b/>
          <w:bCs/>
          <w:spacing w:val="10"/>
          <w:kern w:val="0"/>
          <w:szCs w:val="21"/>
        </w:rPr>
        <w:t>1.2 工作时间</w:t>
      </w:r>
    </w:p>
    <w:p w14:paraId="0F35FCDB">
      <w:pPr>
        <w:widowControl/>
        <w:shd w:val="clear" w:color="auto" w:fill="FFFFFF"/>
        <w:tabs>
          <w:tab w:val="left" w:pos="426"/>
        </w:tabs>
        <w:adjustRightInd w:val="0"/>
        <w:snapToGrid w:val="0"/>
        <w:spacing w:afterLines="-2147483648" w:line="360" w:lineRule="auto"/>
        <w:ind w:firstLine="464" w:firstLineChars="202"/>
        <w:rPr>
          <w:rFonts w:ascii="宋体" w:hAnsi="宋体" w:cs="宋体"/>
          <w:spacing w:val="10"/>
          <w:kern w:val="0"/>
          <w:szCs w:val="21"/>
        </w:rPr>
      </w:pPr>
      <w:r>
        <w:rPr>
          <w:rFonts w:hint="eastAsia" w:ascii="宋体" w:hAnsi="宋体" w:cs="宋体"/>
          <w:spacing w:val="10"/>
          <w:kern w:val="0"/>
          <w:szCs w:val="21"/>
        </w:rPr>
        <w:t>1、每天工作</w:t>
      </w:r>
      <w:r>
        <w:rPr>
          <w:rFonts w:hint="eastAsia" w:ascii="宋体" w:hAnsi="宋体" w:cs="宋体"/>
          <w:spacing w:val="10"/>
          <w:kern w:val="0"/>
          <w:szCs w:val="21"/>
          <w:u w:val="single"/>
        </w:rPr>
        <w:t xml:space="preserve"> 8 </w:t>
      </w:r>
      <w:r>
        <w:rPr>
          <w:rFonts w:hint="eastAsia" w:ascii="宋体" w:hAnsi="宋体" w:cs="宋体"/>
          <w:spacing w:val="10"/>
          <w:kern w:val="0"/>
          <w:szCs w:val="21"/>
        </w:rPr>
        <w:t>小时，每月至少休息</w:t>
      </w:r>
      <w:r>
        <w:rPr>
          <w:rFonts w:hint="eastAsia" w:ascii="宋体" w:hAnsi="宋体" w:cs="宋体"/>
          <w:spacing w:val="10"/>
          <w:kern w:val="0"/>
          <w:szCs w:val="21"/>
          <w:u w:val="single"/>
        </w:rPr>
        <w:t xml:space="preserve"> 4 </w:t>
      </w:r>
      <w:r>
        <w:rPr>
          <w:rFonts w:hint="eastAsia" w:ascii="宋体" w:hAnsi="宋体" w:cs="宋体"/>
          <w:spacing w:val="10"/>
          <w:kern w:val="0"/>
          <w:szCs w:val="21"/>
        </w:rPr>
        <w:t>天（每周工作时间超出</w:t>
      </w:r>
      <w:r>
        <w:rPr>
          <w:rFonts w:hint="eastAsia" w:ascii="宋体" w:hAnsi="宋体" w:cs="宋体"/>
          <w:spacing w:val="10"/>
          <w:kern w:val="0"/>
          <w:szCs w:val="21"/>
          <w:u w:val="single"/>
        </w:rPr>
        <w:t xml:space="preserve"> 40 </w:t>
      </w:r>
      <w:r>
        <w:rPr>
          <w:rFonts w:hint="eastAsia" w:ascii="宋体" w:hAnsi="宋体" w:cs="宋体"/>
          <w:spacing w:val="10"/>
          <w:kern w:val="0"/>
          <w:szCs w:val="21"/>
        </w:rPr>
        <w:t>小时部分薪酬包含在劳务服务单价中）。</w:t>
      </w:r>
    </w:p>
    <w:p w14:paraId="5A816E5F">
      <w:pPr>
        <w:widowControl/>
        <w:shd w:val="clear" w:color="auto" w:fill="FFFFFF"/>
        <w:tabs>
          <w:tab w:val="left" w:pos="426"/>
        </w:tabs>
        <w:adjustRightInd w:val="0"/>
        <w:snapToGrid w:val="0"/>
        <w:spacing w:afterLines="-2147483648" w:line="360" w:lineRule="auto"/>
        <w:ind w:firstLine="464" w:firstLineChars="202"/>
        <w:rPr>
          <w:rFonts w:ascii="宋体" w:hAnsi="宋体" w:cs="宋体"/>
          <w:spacing w:val="10"/>
          <w:kern w:val="0"/>
          <w:szCs w:val="21"/>
        </w:rPr>
      </w:pPr>
      <w:r>
        <w:rPr>
          <w:rFonts w:hint="eastAsia" w:ascii="宋体" w:hAnsi="宋体" w:cs="宋体"/>
          <w:spacing w:val="10"/>
          <w:kern w:val="0"/>
          <w:szCs w:val="21"/>
        </w:rPr>
        <w:t>2、日常工作时间以甲方实际安排为准，发生以下情况时，工作时间应作相应调整：</w:t>
      </w:r>
    </w:p>
    <w:p w14:paraId="3D47D679">
      <w:pPr>
        <w:widowControl/>
        <w:shd w:val="clear" w:color="auto" w:fill="FFFFFF"/>
        <w:tabs>
          <w:tab w:val="left" w:pos="426"/>
        </w:tabs>
        <w:adjustRightInd w:val="0"/>
        <w:snapToGrid w:val="0"/>
        <w:spacing w:afterLines="-2147483648" w:line="360" w:lineRule="auto"/>
        <w:ind w:firstLine="464" w:firstLineChars="202"/>
        <w:rPr>
          <w:rFonts w:ascii="宋体" w:hAnsi="宋体" w:cs="宋体"/>
          <w:spacing w:val="10"/>
          <w:kern w:val="0"/>
          <w:szCs w:val="21"/>
        </w:rPr>
      </w:pPr>
      <w:r>
        <w:rPr>
          <w:rFonts w:hint="eastAsia" w:ascii="宋体" w:hAnsi="宋体" w:cs="宋体"/>
          <w:spacing w:val="10"/>
          <w:kern w:val="0"/>
          <w:szCs w:val="21"/>
        </w:rPr>
        <w:t>（1）深圳市气象局在所属区域发布暴雨预警信号；</w:t>
      </w:r>
    </w:p>
    <w:p w14:paraId="76CCE769">
      <w:pPr>
        <w:widowControl/>
        <w:shd w:val="clear" w:color="auto" w:fill="FFFFFF"/>
        <w:tabs>
          <w:tab w:val="left" w:pos="426"/>
        </w:tabs>
        <w:adjustRightInd w:val="0"/>
        <w:snapToGrid w:val="0"/>
        <w:spacing w:afterLines="-2147483648" w:line="360" w:lineRule="auto"/>
        <w:ind w:firstLine="464" w:firstLineChars="202"/>
        <w:rPr>
          <w:rFonts w:ascii="宋体" w:hAnsi="宋体" w:cs="宋体"/>
          <w:spacing w:val="10"/>
          <w:kern w:val="0"/>
          <w:szCs w:val="21"/>
        </w:rPr>
      </w:pPr>
      <w:r>
        <w:rPr>
          <w:rFonts w:hint="eastAsia" w:ascii="宋体" w:hAnsi="宋体" w:cs="宋体"/>
          <w:spacing w:val="10"/>
          <w:kern w:val="0"/>
          <w:szCs w:val="21"/>
        </w:rPr>
        <w:t>（2）汛期值班、节假日值守、重要活动、检查与考核期间。</w:t>
      </w:r>
    </w:p>
    <w:p w14:paraId="2513F626">
      <w:pPr>
        <w:widowControl/>
        <w:shd w:val="clear" w:color="auto" w:fill="FFFFFF"/>
        <w:tabs>
          <w:tab w:val="left" w:pos="426"/>
        </w:tabs>
        <w:adjustRightInd w:val="0"/>
        <w:snapToGrid w:val="0"/>
        <w:spacing w:afterLines="-2147483648" w:line="360" w:lineRule="auto"/>
        <w:ind w:firstLine="466" w:firstLineChars="202"/>
        <w:rPr>
          <w:rFonts w:ascii="宋体" w:hAnsi="宋体" w:cs="宋体"/>
          <w:b/>
          <w:bCs/>
          <w:spacing w:val="10"/>
          <w:kern w:val="0"/>
          <w:szCs w:val="21"/>
        </w:rPr>
      </w:pPr>
      <w:r>
        <w:rPr>
          <w:rFonts w:hint="eastAsia" w:ascii="宋体" w:hAnsi="宋体" w:cs="宋体"/>
          <w:b/>
          <w:bCs/>
          <w:spacing w:val="10"/>
          <w:kern w:val="0"/>
          <w:szCs w:val="21"/>
        </w:rPr>
        <w:t>1.3 人员要求</w:t>
      </w:r>
    </w:p>
    <w:p w14:paraId="5D9D6F96">
      <w:pPr>
        <w:widowControl/>
        <w:shd w:val="clear" w:color="auto" w:fill="FFFFFF"/>
        <w:tabs>
          <w:tab w:val="left" w:pos="426"/>
        </w:tabs>
        <w:adjustRightInd w:val="0"/>
        <w:snapToGrid w:val="0"/>
        <w:spacing w:afterLines="-2147483648" w:line="360" w:lineRule="auto"/>
        <w:ind w:firstLine="424" w:firstLineChars="202"/>
        <w:rPr>
          <w:rFonts w:ascii="宋体" w:hAnsi="宋体" w:cs="宋体"/>
          <w:spacing w:val="10"/>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cs="宋体"/>
          <w:spacing w:val="10"/>
          <w:kern w:val="0"/>
          <w:szCs w:val="21"/>
        </w:rPr>
        <w:t>年龄不超过50周岁，身体健康，无劳动教育记录，无犯罪记录，应变能力强，服务态度好。</w:t>
      </w:r>
    </w:p>
    <w:p w14:paraId="6454D1BA">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）无吸毒、酗酒、赌博等不良嗜好。</w:t>
      </w:r>
    </w:p>
    <w:p w14:paraId="0B302B9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cs="宋体"/>
          <w:spacing w:val="10"/>
          <w:kern w:val="0"/>
          <w:szCs w:val="21"/>
        </w:rPr>
        <w:t>遵纪守法、持证上岗、文明礼貌、着装统一和整齐、尽职爱岗、现场办公、规范履行工作职责</w:t>
      </w:r>
      <w:r>
        <w:rPr>
          <w:rFonts w:hint="eastAsia" w:ascii="宋体" w:hAnsi="宋体" w:cs="宋体"/>
          <w:kern w:val="0"/>
          <w:szCs w:val="21"/>
        </w:rPr>
        <w:t>，自觉遵守甲方劳动纪律以及各项工作制度，服从甲方管理和工作安排。</w:t>
      </w:r>
    </w:p>
    <w:p w14:paraId="27AA7C8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）具有积极负责的工作态度和一定的沟通协调能力。</w:t>
      </w:r>
    </w:p>
    <w:p w14:paraId="79B5C4B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）特殊岗位和技术岗位需持有上岗证和相应的专业技能。</w:t>
      </w:r>
    </w:p>
    <w:p w14:paraId="073ED2BE">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二、工作要求</w:t>
      </w:r>
    </w:p>
    <w:p w14:paraId="1E89E54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乙方劳务人员需按照本项目涉及的有限空间作业技术标准、项目管理依据和参考标准，按甲方管理要求完成项目服务内容中的劳务服务工作。</w:t>
      </w:r>
    </w:p>
    <w:p w14:paraId="76A156FD">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三、工作考核</w:t>
      </w:r>
    </w:p>
    <w:p w14:paraId="72CE650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清淤劳务服务量的审核由甲、乙双方采用扦插法（抽吸前、抽吸后）联测或第三方测量方量计量，按方量少的一方为准。</w:t>
      </w:r>
    </w:p>
    <w:p w14:paraId="5B005668">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四、违约责任与处理</w:t>
      </w:r>
    </w:p>
    <w:p w14:paraId="787D564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4.1 乙方劳务人员有下列情况之一的，乙方必须在收到甲方书面通知7个工作日内予以撤换，甲方按每人次在当次进度款中扣除2000-5000元，情节严重的，甲方可单方解除本合同，并要求乙方赔偿甲方全部损失。</w:t>
      </w:r>
    </w:p>
    <w:p w14:paraId="037F64C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违反国家、地方法律法规或甲方有关管理规定，或被第三方有效投诉；</w:t>
      </w:r>
    </w:p>
    <w:p w14:paraId="67D8E15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工作失职给甲方造成损失的；</w:t>
      </w:r>
    </w:p>
    <w:p w14:paraId="2A32B1D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工作期间聚众闲谈、睡觉或干与工作无关的事项，影响恶劣的；</w:t>
      </w:r>
    </w:p>
    <w:p w14:paraId="5D220CF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未经甲方书面允许，向第三方披露项目信息；</w:t>
      </w:r>
    </w:p>
    <w:p w14:paraId="6FB3BD2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因其他原因受到行政或刑事处罚的；</w:t>
      </w:r>
    </w:p>
    <w:p w14:paraId="10AE7AC7">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（6）工作中弄虚作假，造成较大负面影响或利益侵害的；</w:t>
      </w:r>
    </w:p>
    <w:p w14:paraId="0AC5E12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（7）由于乙方的工作失职，造成甲方及相关人员人身伤害；</w:t>
      </w:r>
    </w:p>
    <w:p w14:paraId="3E7E11C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（8）其他对甲方正常工作产生不利影响的行为。</w:t>
      </w:r>
    </w:p>
    <w:p w14:paraId="6D0B82F7">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4.2由于乙方人员造成的原因导致甲方扣款，乙方承担相应所有责任(经济处罚最高不超过当次扣款金额的1</w:t>
      </w:r>
      <w:r>
        <w:rPr>
          <w:rFonts w:ascii="宋体" w:hAnsi="宋体" w:cs="宋体"/>
          <w:kern w:val="0"/>
          <w:szCs w:val="21"/>
        </w:rPr>
        <w:t>00</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；甲方对乙方所造成的责任损失在乙方当次进度款申请中扣除。如出现乙方当次进度款申请额不足以抵扣时，剩余待扣款额累计至下次申请时扣除。</w:t>
      </w:r>
    </w:p>
    <w:p w14:paraId="125C97A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4.3 乙方的劳务人员对甲方出台的安全规定动作不熟悉、不掌握，未按照规定动作的要求规范操作，经检查不合格的，甲方可在支付劳务费时扣减每人次1000-5000元。</w:t>
      </w:r>
    </w:p>
    <w:p w14:paraId="1FD220F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4.4乙方未经甲方同意或提前告知甲方，擅自更换劳务人员,或以任何形式、方式欺骗、隐瞒甲方，经甲方发现，每发现1次甲方从合同总价款中扣除人民币5000-10000元。</w:t>
      </w:r>
    </w:p>
    <w:p w14:paraId="75DEF59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4.5由于乙方原因导致甲方未落实上级要求导致被通报，每通报一次扣除当次申请进度款的10%。累计发生3次的，甲方有权单方面解除合同。</w:t>
      </w:r>
    </w:p>
    <w:p w14:paraId="09FA096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4.6乙方应保证按时支付项目劳务人员工资，发生劳务人员讨薪事件，每次处以乙方罚款5000-20000元。由于乙方未能正常缴纳或支付而引发劳资纠纷、理赔、工伤或因申办用工手续、员工劳动保险手续和暂住手续等不合格引起的所有纠纷、赔偿、处罚、索赔等均由乙方自行负责。如造成甲方出现连带责任，甲方有权推迟当次进度款支付并对造成甲方的损失在当次进度款中予以扣除。情节严重时，甲方有权单方面解除合同。</w:t>
      </w:r>
    </w:p>
    <w:p w14:paraId="4F902AB7">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五、其他约定事项</w:t>
      </w:r>
    </w:p>
    <w:p w14:paraId="05F7049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附件1：安全协议书</w:t>
      </w:r>
    </w:p>
    <w:p w14:paraId="40D75AD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附件</w:t>
      </w:r>
      <w:r>
        <w:rPr>
          <w:rFonts w:ascii="宋体" w:hAnsi="宋体" w:cs="宋体"/>
          <w:kern w:val="0"/>
          <w:szCs w:val="21"/>
        </w:rPr>
        <w:t>2</w:t>
      </w:r>
      <w:r>
        <w:rPr>
          <w:rFonts w:hint="eastAsia" w:ascii="宋体" w:hAnsi="宋体" w:cs="宋体"/>
          <w:kern w:val="0"/>
          <w:szCs w:val="21"/>
        </w:rPr>
        <w:t>：供应商廉洁协议书</w:t>
      </w:r>
    </w:p>
    <w:p w14:paraId="7A6F9B04">
      <w:pPr>
        <w:widowControl/>
        <w:shd w:val="clear" w:color="auto" w:fill="FFFFFF"/>
        <w:tabs>
          <w:tab w:val="left" w:pos="426"/>
        </w:tabs>
        <w:adjustRightInd w:val="0"/>
        <w:snapToGrid w:val="0"/>
        <w:spacing w:afterLines="-2147483648" w:line="360" w:lineRule="auto"/>
        <w:rPr>
          <w:rFonts w:ascii="宋体" w:hAnsi="宋体" w:cs="宋体"/>
          <w:kern w:val="0"/>
          <w:szCs w:val="21"/>
        </w:rPr>
      </w:pPr>
    </w:p>
    <w:p w14:paraId="5DCCC441">
      <w:pPr>
        <w:widowControl/>
        <w:shd w:val="clear" w:color="auto" w:fill="FFFFFF"/>
        <w:tabs>
          <w:tab w:val="left" w:pos="426"/>
        </w:tabs>
        <w:adjustRightInd w:val="0"/>
        <w:snapToGrid w:val="0"/>
        <w:spacing w:afterLines="-2147483648" w:line="360" w:lineRule="auto"/>
        <w:rPr>
          <w:rFonts w:ascii="宋体" w:hAnsi="宋体" w:cs="宋体"/>
          <w:b/>
          <w:color w:val="000000"/>
          <w:kern w:val="0"/>
          <w:szCs w:val="21"/>
        </w:rPr>
      </w:pPr>
    </w:p>
    <w:p w14:paraId="14C0C888">
      <w:pPr>
        <w:widowControl/>
        <w:shd w:val="clear" w:color="auto" w:fill="FFFFFF"/>
        <w:tabs>
          <w:tab w:val="left" w:pos="426"/>
        </w:tabs>
        <w:adjustRightInd w:val="0"/>
        <w:snapToGrid w:val="0"/>
        <w:spacing w:afterLines="-2147483648" w:line="360" w:lineRule="auto"/>
        <w:rPr>
          <w:rFonts w:ascii="宋体" w:hAnsi="宋体" w:cs="宋体"/>
          <w:b/>
          <w:color w:val="000000"/>
          <w:kern w:val="0"/>
          <w:szCs w:val="21"/>
        </w:rPr>
      </w:pPr>
      <w:r>
        <w:rPr>
          <w:rFonts w:ascii="宋体" w:hAnsi="宋体" w:cs="宋体"/>
          <w:b/>
          <w:color w:val="000000"/>
          <w:kern w:val="0"/>
          <w:szCs w:val="21"/>
        </w:rPr>
        <w:br w:type="page"/>
      </w:r>
    </w:p>
    <w:p w14:paraId="5D99190C">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附件1安全协议书</w:t>
      </w:r>
    </w:p>
    <w:p w14:paraId="19D9AA7C">
      <w:pPr>
        <w:widowControl/>
        <w:shd w:val="clear" w:color="auto" w:fill="FFFFFF"/>
        <w:tabs>
          <w:tab w:val="left" w:pos="426"/>
        </w:tabs>
        <w:adjustRightInd w:val="0"/>
        <w:snapToGrid w:val="0"/>
        <w:spacing w:afterLines="-2147483648" w:line="360" w:lineRule="auto"/>
        <w:jc w:val="center"/>
        <w:rPr>
          <w:rFonts w:ascii="宋体" w:hAnsi="宋体" w:cs="宋体"/>
          <w:b/>
          <w:bCs/>
          <w:kern w:val="0"/>
          <w:szCs w:val="21"/>
        </w:rPr>
      </w:pPr>
      <w:r>
        <w:rPr>
          <w:rFonts w:hint="eastAsia" w:ascii="宋体" w:hAnsi="宋体" w:cs="宋体"/>
          <w:b/>
          <w:bCs/>
          <w:kern w:val="0"/>
          <w:szCs w:val="21"/>
        </w:rPr>
        <w:t>安全协议书</w:t>
      </w:r>
    </w:p>
    <w:p w14:paraId="49A0D311">
      <w:pPr>
        <w:widowControl/>
        <w:shd w:val="clear" w:color="auto" w:fill="FFFFFF"/>
        <w:tabs>
          <w:tab w:val="left" w:pos="426"/>
        </w:tabs>
        <w:adjustRightInd w:val="0"/>
        <w:snapToGrid w:val="0"/>
        <w:spacing w:afterLines="-2147483648" w:line="360" w:lineRule="auto"/>
        <w:rPr>
          <w:rFonts w:ascii="宋体" w:hAnsi="宋体" w:cs="宋体"/>
          <w:b/>
          <w:bCs/>
          <w:kern w:val="0"/>
          <w:szCs w:val="21"/>
        </w:rPr>
      </w:pPr>
      <w:r>
        <w:rPr>
          <w:rFonts w:hint="eastAsia" w:ascii="宋体" w:hAnsi="宋体" w:cs="宋体"/>
          <w:b/>
          <w:bCs/>
          <w:kern w:val="0"/>
          <w:szCs w:val="21"/>
        </w:rPr>
        <w:t>甲方：</w:t>
      </w:r>
      <w:r>
        <w:rPr>
          <w:rFonts w:ascii="宋体" w:hAnsi="宋体" w:cs="宋体"/>
          <w:b/>
          <w:bCs/>
          <w:kern w:val="0"/>
          <w:szCs w:val="21"/>
        </w:rPr>
        <w:t xml:space="preserve"> </w:t>
      </w:r>
    </w:p>
    <w:p w14:paraId="5B5F7880">
      <w:pPr>
        <w:widowControl/>
        <w:shd w:val="clear" w:color="auto" w:fill="FFFFFF"/>
        <w:tabs>
          <w:tab w:val="left" w:pos="426"/>
        </w:tabs>
        <w:adjustRightInd w:val="0"/>
        <w:snapToGrid w:val="0"/>
        <w:spacing w:afterLines="-2147483648" w:line="360" w:lineRule="auto"/>
        <w:rPr>
          <w:rFonts w:ascii="宋体" w:hAnsi="宋体" w:cs="宋体"/>
          <w:kern w:val="0"/>
          <w:szCs w:val="21"/>
        </w:rPr>
      </w:pPr>
      <w:r>
        <w:rPr>
          <w:rFonts w:hint="eastAsia" w:ascii="宋体" w:hAnsi="宋体" w:cs="宋体"/>
          <w:b/>
          <w:bCs/>
          <w:kern w:val="0"/>
          <w:szCs w:val="21"/>
        </w:rPr>
        <w:t>乙方：</w:t>
      </w:r>
      <w:r>
        <w:rPr>
          <w:rFonts w:ascii="宋体" w:hAnsi="宋体" w:cs="宋体"/>
          <w:kern w:val="0"/>
          <w:szCs w:val="21"/>
        </w:rPr>
        <w:t xml:space="preserve"> </w:t>
      </w:r>
    </w:p>
    <w:p w14:paraId="0EF0814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Cs w:val="21"/>
          <w:lang w:eastAsia="zh-CN"/>
        </w:rPr>
        <w:t>丁山河项目提升泵房及箱涵泵房清淤清砂劳务服务合同</w:t>
      </w:r>
      <w:r>
        <w:rPr>
          <w:rFonts w:hint="eastAsia" w:ascii="宋体" w:hAnsi="宋体" w:cs="宋体"/>
          <w:kern w:val="0"/>
          <w:szCs w:val="21"/>
        </w:rPr>
        <w:t>》（以下称主合同）的同时，签订本协议，并自觉遵守。</w:t>
      </w:r>
    </w:p>
    <w:p w14:paraId="7FAD18A1">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一、双方应当遵循的基本原则</w:t>
      </w:r>
    </w:p>
    <w:p w14:paraId="252D7911">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1.1双方安全生产监督管理人员应当坚持原则，忠于职守，严格按本协议的约定履行各自的权利、义务。</w:t>
      </w:r>
    </w:p>
    <w:p w14:paraId="5041BC5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1.2双方应相互配合，支持安检工作的检查和落实。乙方不得拒绝、阻扰甲方安全监督检查工作。</w:t>
      </w:r>
    </w:p>
    <w:p w14:paraId="11AC240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1.3乙方应牢固树立“安全第一”的指导思想，建立健全各项安全管理规章指导，制订并落实各项安全防护措施。</w:t>
      </w:r>
    </w:p>
    <w:p w14:paraId="2A6DE09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1.4双方必须严守商业秘密</w:t>
      </w:r>
      <w:r>
        <w:rPr>
          <w:rFonts w:hint="eastAsia" w:ascii="宋体" w:hAnsi="宋体" w:cs="宋体"/>
          <w:kern w:val="0"/>
          <w:szCs w:val="21"/>
        </w:rPr>
        <w:t>。</w:t>
      </w:r>
    </w:p>
    <w:p w14:paraId="76E6A623">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二、甲方的权利、义务</w:t>
      </w:r>
    </w:p>
    <w:p w14:paraId="6461527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2.1进入现场工作之前，甲方将相关安全管理规章制度告知乙方。</w:t>
      </w:r>
    </w:p>
    <w:p w14:paraId="45429D1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2.2甲方安全监督管理部门对乙方进行安全检查时，有权向乙方询问有关安全措施落实情况，调阅有关安全措施资料等。</w:t>
      </w:r>
    </w:p>
    <w:p w14:paraId="129DA0D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2.3甲方对乙方工作中存在的重大安全隐患，有权责令乙方立即整改、排除。</w:t>
      </w:r>
      <w:r>
        <w:rPr>
          <w:rFonts w:hint="eastAsia" w:ascii="宋体" w:hAnsi="宋体" w:cs="宋体"/>
          <w:kern w:val="0"/>
          <w:szCs w:val="21"/>
        </w:rPr>
        <w:t>乙方若不立即整改、排除存在的重大安全隐患，甲方</w:t>
      </w:r>
      <w:r>
        <w:rPr>
          <w:rFonts w:ascii="宋体" w:hAnsi="宋体" w:cs="宋体"/>
          <w:kern w:val="0"/>
          <w:szCs w:val="21"/>
        </w:rPr>
        <w:t>有权单方终止与乙方之间的主合同的履行。</w:t>
      </w:r>
    </w:p>
    <w:p w14:paraId="7AA698E7">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2.4甲方对乙方在本项目发生安全事故时，应尽量协助救护、保护事故现场、及时上报，并有权开展或参加对事故的调查处理。</w:t>
      </w:r>
    </w:p>
    <w:p w14:paraId="60F66B0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2.5甲方指定部门为项目的现场安全监督管理负责人，代表甲方实施日常监督管理，并协助甲方安全管理部门的监督、考核工作。</w:t>
      </w:r>
    </w:p>
    <w:p w14:paraId="2045136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2.6甲方有权对乙方人员进行安全生产培训，乙方应当按照甲方要求组织所有相关工作人员参与。</w:t>
      </w:r>
    </w:p>
    <w:p w14:paraId="12163D0F">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三、乙方的权利、义务</w:t>
      </w:r>
    </w:p>
    <w:p w14:paraId="7F3DA51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3.1乙方严禁违背甲方采购文件及合同要求将主合同项下的全部或部分工作转包或者违法分包。否则所发生安全事故，由乙方承担全部安全生产责任。</w:t>
      </w:r>
    </w:p>
    <w:p w14:paraId="243E6B4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3.2乙方人员应当遵守甲方规章制度，接受甲方安全检查、监督，对违反甲方有关安全管理制度及规定的行为，甲方有权责令乙方立即停止并给予处罚。</w:t>
      </w:r>
    </w:p>
    <w:p w14:paraId="05C20EB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3.3乙方应具有安全管理组织体制(对特种作业的项目乙方必须出具有效的资质证书)，在甲方现场作业期间，乙方应指派专(兼)职安全人员，全面负责项目的安全、现场、消防等工作。</w:t>
      </w:r>
    </w:p>
    <w:p w14:paraId="428BB12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3.4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04FB801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7EE0BFC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4D36194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652F486F">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28A18AF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3.9乙方人员在作业现场不得擅自动用或操作甲方的设备和机具，否则按本协议约定视为违约，承担违约金，因此酿成的后果由乙方负责。</w:t>
      </w:r>
    </w:p>
    <w:p w14:paraId="70FCD2B6">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7EE9216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3.11乙方在作业期间自备的设备必须符合安全要求。</w:t>
      </w:r>
    </w:p>
    <w:p w14:paraId="5C7E06EC">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3.12乙方作业期间的用电必须取得甲方同意，将电源接入其作业场所的总配电箱，必须有防止影响上一级电源的过流断路保护，不得私自拉接电源，否则按本协议约定承担违约金。</w:t>
      </w:r>
    </w:p>
    <w:p w14:paraId="42DECD31">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3.13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48EE33E0">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3.14配合做好甲方要求的其他安全生产措施。</w:t>
      </w:r>
    </w:p>
    <w:p w14:paraId="1066A96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3.15乙方内部应当建立完善的安全管理制度，落实安全管理责任，包括但不限于：（1）配备符合法律法规、规范性文件、国家及地方政策要求的安全人员，如前述文件未作出规定的，乙方配备</w:t>
      </w:r>
      <w:r>
        <w:rPr>
          <w:rFonts w:hint="eastAsia" w:ascii="宋体" w:hAnsi="宋体" w:cs="宋体"/>
          <w:kern w:val="0"/>
          <w:szCs w:val="21"/>
        </w:rPr>
        <w:t>合格的</w:t>
      </w:r>
      <w:r>
        <w:rPr>
          <w:rFonts w:ascii="宋体" w:hAnsi="宋体" w:cs="宋体"/>
          <w:kern w:val="0"/>
          <w:szCs w:val="21"/>
        </w:rPr>
        <w:t>安全人员。（2）建立安全隐患的排查机制，定期对工作区域进行事故排查。（3）建立事故报告机制，要求工作人员在发现安全隐患、事故后，依法依约及时报告。</w:t>
      </w:r>
    </w:p>
    <w:p w14:paraId="42F86E6D">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四、违约责任</w:t>
      </w:r>
    </w:p>
    <w:p w14:paraId="4C0284E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4.1因乙方管理或操作不当产生的安全隐患，限期未整改的，每发生一例罚款1万元；未与进场人员签订安全生产责任书的，每缺少一人签订，罚款</w:t>
      </w:r>
      <w:r>
        <w:rPr>
          <w:rFonts w:hint="eastAsia" w:ascii="宋体" w:hAnsi="宋体" w:cs="宋体"/>
          <w:kern w:val="0"/>
          <w:szCs w:val="21"/>
        </w:rPr>
        <w:t>1</w:t>
      </w:r>
      <w:r>
        <w:rPr>
          <w:rFonts w:ascii="宋体" w:hAnsi="宋体" w:cs="宋体"/>
          <w:kern w:val="0"/>
          <w:szCs w:val="21"/>
        </w:rPr>
        <w:t>000元；未落实安全生产责任制开展三级安全教育并考核合格的，每漏缺一人罚款1000元；未配合甲方进行安全检查的，每发生一次罚款</w:t>
      </w:r>
      <w:r>
        <w:rPr>
          <w:rFonts w:hint="eastAsia" w:ascii="宋体" w:hAnsi="宋体" w:cs="宋体"/>
          <w:kern w:val="0"/>
          <w:szCs w:val="21"/>
        </w:rPr>
        <w:t>1</w:t>
      </w:r>
      <w:r>
        <w:rPr>
          <w:rFonts w:ascii="宋体" w:hAnsi="宋体" w:cs="宋体"/>
          <w:kern w:val="0"/>
          <w:szCs w:val="21"/>
        </w:rPr>
        <w:t>000元；安全事故每发生一起，乙方承担合同金额5%的违约金。</w:t>
      </w:r>
    </w:p>
    <w:p w14:paraId="36AFFA34">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4.2如乙方出现本条第（一）款以外的违约行为，每发生一次向甲方支付违约金</w:t>
      </w:r>
      <w:r>
        <w:rPr>
          <w:rFonts w:hint="eastAsia" w:ascii="宋体" w:hAnsi="宋体" w:cs="宋体"/>
          <w:kern w:val="0"/>
          <w:szCs w:val="21"/>
        </w:rPr>
        <w:t>5</w:t>
      </w:r>
      <w:r>
        <w:rPr>
          <w:rFonts w:ascii="宋体" w:hAnsi="宋体" w:cs="宋体"/>
          <w:kern w:val="0"/>
          <w:szCs w:val="21"/>
        </w:rPr>
        <w:t>000元。</w:t>
      </w:r>
    </w:p>
    <w:p w14:paraId="6D2998D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4.3乙方违约给甲方造成损失的，除支付违约金外，还应当另行赔偿给甲方造成的损失。同时，甲方追究乙方法律责任而支付的案件受理费、保全费、执行费、公告费、律师费、保全担保费/保险费、公证费等合理费用，由乙方承担。</w:t>
      </w:r>
    </w:p>
    <w:p w14:paraId="1C67DFD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4.4因乙方违约而发生的违约金和赔偿金，甲方可在应付乙方的相关款中予以扣减。</w:t>
      </w:r>
    </w:p>
    <w:p w14:paraId="31D16B4D">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五、附则</w:t>
      </w:r>
    </w:p>
    <w:p w14:paraId="6B4B70A3">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本协议与双方所签订的主合同具有同等法律效力。</w:t>
      </w:r>
    </w:p>
    <w:p w14:paraId="53DA38DC">
      <w:pPr>
        <w:widowControl/>
        <w:shd w:val="clear" w:color="auto" w:fill="FFFFFF"/>
        <w:tabs>
          <w:tab w:val="left" w:pos="426"/>
        </w:tabs>
        <w:adjustRightInd w:val="0"/>
        <w:snapToGrid w:val="0"/>
        <w:spacing w:afterLines="-2147483648" w:line="360" w:lineRule="auto"/>
        <w:ind w:firstLine="422" w:firstLineChars="200"/>
        <w:rPr>
          <w:rFonts w:ascii="宋体" w:hAnsi="宋体" w:cs="宋体"/>
          <w:b/>
          <w:bCs/>
          <w:kern w:val="0"/>
          <w:szCs w:val="21"/>
        </w:rPr>
      </w:pPr>
      <w:r>
        <w:rPr>
          <w:rFonts w:hint="eastAsia" w:ascii="宋体" w:hAnsi="宋体" w:cs="宋体"/>
          <w:b/>
          <w:bCs/>
          <w:kern w:val="0"/>
          <w:szCs w:val="21"/>
        </w:rPr>
        <w:t>六、其他</w:t>
      </w:r>
    </w:p>
    <w:p w14:paraId="40F9EC9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6.1协议未尽事宜，由双方另行协商处理。</w:t>
      </w:r>
    </w:p>
    <w:p w14:paraId="05CB0AED">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6.2本协议在履行过程中发生争议，由双方协商解决，协商不成可</w:t>
      </w:r>
      <w:r>
        <w:rPr>
          <w:rFonts w:hint="eastAsia" w:ascii="宋体" w:hAnsi="宋体" w:cs="宋体"/>
          <w:kern w:val="0"/>
          <w:szCs w:val="21"/>
        </w:rPr>
        <w:t>向深圳仲裁委员会仲裁</w:t>
      </w:r>
      <w:r>
        <w:rPr>
          <w:rFonts w:ascii="宋体" w:hAnsi="宋体" w:cs="宋体"/>
          <w:kern w:val="0"/>
          <w:szCs w:val="21"/>
        </w:rPr>
        <w:t>。</w:t>
      </w:r>
    </w:p>
    <w:p w14:paraId="5C18B55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ascii="宋体" w:hAnsi="宋体" w:cs="宋体"/>
          <w:kern w:val="0"/>
          <w:szCs w:val="21"/>
        </w:rPr>
        <w:t>6.3本协议一式</w:t>
      </w:r>
      <w:r>
        <w:rPr>
          <w:rFonts w:hint="eastAsia" w:ascii="宋体" w:hAnsi="宋体" w:cs="宋体"/>
          <w:kern w:val="0"/>
          <w:szCs w:val="21"/>
        </w:rPr>
        <w:t>陆</w:t>
      </w:r>
      <w:r>
        <w:rPr>
          <w:rFonts w:ascii="宋体" w:hAnsi="宋体" w:cs="宋体"/>
          <w:kern w:val="0"/>
          <w:szCs w:val="21"/>
        </w:rPr>
        <w:t>份，其中甲乙双方各执</w:t>
      </w:r>
      <w:r>
        <w:rPr>
          <w:rFonts w:hint="eastAsia" w:ascii="宋体" w:hAnsi="宋体" w:cs="宋体"/>
          <w:kern w:val="0"/>
          <w:szCs w:val="21"/>
        </w:rPr>
        <w:t>叁</w:t>
      </w:r>
      <w:r>
        <w:rPr>
          <w:rFonts w:ascii="宋体" w:hAnsi="宋体" w:cs="宋体"/>
          <w:kern w:val="0"/>
          <w:szCs w:val="21"/>
        </w:rPr>
        <w:t>份，甲乙双方法定代表人或授权代表签字并加盖双方印章后生效。</w:t>
      </w:r>
    </w:p>
    <w:p w14:paraId="00397416">
      <w:pPr>
        <w:widowControl/>
        <w:shd w:val="clear" w:color="auto" w:fill="FFFFFF"/>
        <w:tabs>
          <w:tab w:val="left" w:pos="426"/>
        </w:tabs>
        <w:adjustRightInd w:val="0"/>
        <w:snapToGrid w:val="0"/>
        <w:spacing w:afterLines="-2147483648" w:line="360" w:lineRule="auto"/>
        <w:rPr>
          <w:rFonts w:ascii="宋体" w:hAnsi="宋体" w:cs="宋体"/>
          <w:kern w:val="0"/>
          <w:szCs w:val="21"/>
        </w:rPr>
      </w:pPr>
    </w:p>
    <w:p w14:paraId="023C99D8">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 xml:space="preserve">甲方（盖章）：   </w:t>
      </w:r>
    </w:p>
    <w:p w14:paraId="758A7D8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 xml:space="preserve">法定（授权）代表人（签章）:   </w:t>
      </w:r>
      <w:r>
        <w:rPr>
          <w:rFonts w:ascii="宋体" w:hAnsi="宋体" w:cs="宋体"/>
          <w:kern w:val="0"/>
          <w:szCs w:val="21"/>
        </w:rPr>
        <w:t xml:space="preserve">    </w:t>
      </w:r>
      <w:r>
        <w:rPr>
          <w:rFonts w:hint="eastAsia" w:ascii="宋体" w:hAnsi="宋体" w:cs="宋体"/>
          <w:kern w:val="0"/>
          <w:szCs w:val="21"/>
        </w:rPr>
        <w:t xml:space="preserve">       </w:t>
      </w:r>
    </w:p>
    <w:p w14:paraId="7A5246F7">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 xml:space="preserve">     年   月   日 </w:t>
      </w:r>
    </w:p>
    <w:p w14:paraId="50AAF7DE">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p>
    <w:p w14:paraId="1B7EA5DB">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p>
    <w:p w14:paraId="6D258A62">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乙方（盖章）：</w:t>
      </w:r>
      <w:r>
        <w:rPr>
          <w:rFonts w:hint="eastAsia" w:ascii="宋体" w:hAnsi="宋体" w:cs="宋体"/>
          <w:color w:val="000000"/>
          <w:kern w:val="0"/>
          <w:szCs w:val="21"/>
        </w:rPr>
        <w:t xml:space="preserve"> </w:t>
      </w:r>
    </w:p>
    <w:p w14:paraId="30C4DC59">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法定（授权）代表人（签章）：</w:t>
      </w:r>
    </w:p>
    <w:p w14:paraId="75442EE5">
      <w:pPr>
        <w:widowControl/>
        <w:shd w:val="clear" w:color="auto" w:fill="FFFFFF"/>
        <w:tabs>
          <w:tab w:val="left" w:pos="426"/>
        </w:tabs>
        <w:adjustRightInd w:val="0"/>
        <w:snapToGrid w:val="0"/>
        <w:spacing w:afterLines="-2147483648" w:line="360" w:lineRule="auto"/>
        <w:ind w:firstLine="420" w:firstLineChars="200"/>
        <w:rPr>
          <w:rFonts w:ascii="宋体" w:hAnsi="宋体" w:cs="宋体"/>
          <w:kern w:val="0"/>
          <w:szCs w:val="21"/>
        </w:rPr>
      </w:pPr>
      <w:r>
        <w:rPr>
          <w:rFonts w:hint="eastAsia" w:ascii="宋体" w:hAnsi="宋体" w:cs="宋体"/>
          <w:kern w:val="0"/>
          <w:szCs w:val="21"/>
        </w:rPr>
        <w:t xml:space="preserve">年   月   日                    </w:t>
      </w:r>
      <w:r>
        <w:rPr>
          <w:rFonts w:ascii="宋体" w:hAnsi="宋体" w:cs="宋体"/>
          <w:kern w:val="0"/>
          <w:szCs w:val="21"/>
        </w:rPr>
        <w:t xml:space="preserve">   </w:t>
      </w:r>
    </w:p>
    <w:p w14:paraId="5B02F229">
      <w:pPr>
        <w:widowControl/>
        <w:shd w:val="clear" w:color="auto" w:fill="FFFFFF"/>
        <w:tabs>
          <w:tab w:val="left" w:pos="426"/>
        </w:tabs>
        <w:adjustRightInd w:val="0"/>
        <w:snapToGrid w:val="0"/>
        <w:spacing w:after="60" w:afterLines="-2147483648" w:line="360" w:lineRule="auto"/>
        <w:rPr>
          <w:rFonts w:ascii="宋体" w:hAnsi="宋体" w:cs="宋体"/>
          <w:b/>
          <w:kern w:val="0"/>
          <w:szCs w:val="21"/>
        </w:rPr>
      </w:pPr>
      <w:r>
        <w:rPr>
          <w:rFonts w:ascii="宋体" w:hAnsi="宋体" w:cs="宋体"/>
          <w:b/>
          <w:kern w:val="0"/>
          <w:szCs w:val="21"/>
        </w:rPr>
        <w:br w:type="page"/>
      </w:r>
    </w:p>
    <w:p w14:paraId="7E58B655">
      <w:pPr>
        <w:shd w:val="clear" w:color="auto" w:fill="FFFFFF"/>
        <w:tabs>
          <w:tab w:val="left" w:pos="340"/>
          <w:tab w:val="left" w:pos="426"/>
        </w:tabs>
        <w:adjustRightInd w:val="0"/>
        <w:snapToGrid w:val="0"/>
        <w:spacing w:line="360" w:lineRule="auto"/>
        <w:ind w:firstLine="0" w:firstLineChars="0"/>
        <w:jc w:val="left"/>
        <w:outlineLvl w:val="2"/>
        <w:rPr>
          <w:rFonts w:ascii="黑体" w:hAnsi="黑体" w:eastAsia="黑体" w:cs="Times New Roman"/>
          <w:kern w:val="2"/>
          <w:sz w:val="24"/>
          <w:szCs w:val="32"/>
          <w:lang w:val="en-US" w:eastAsia="zh-CN" w:bidi="ar-SA"/>
        </w:rPr>
      </w:pPr>
      <w:r>
        <w:rPr>
          <w:rFonts w:hint="eastAsia" w:ascii="黑体" w:hAnsi="黑体" w:eastAsia="黑体" w:cs="Times New Roman"/>
          <w:kern w:val="2"/>
          <w:sz w:val="24"/>
          <w:szCs w:val="32"/>
          <w:lang w:val="en-US" w:eastAsia="zh-CN" w:bidi="ar-SA"/>
        </w:rPr>
        <w:t>附件</w:t>
      </w:r>
      <w:r>
        <w:rPr>
          <w:rFonts w:ascii="黑体" w:hAnsi="黑体" w:eastAsia="黑体" w:cs="Times New Roman"/>
          <w:kern w:val="2"/>
          <w:sz w:val="24"/>
          <w:szCs w:val="32"/>
          <w:lang w:val="en-US" w:eastAsia="zh-CN" w:bidi="ar-SA"/>
        </w:rPr>
        <w:t>2</w:t>
      </w:r>
      <w:r>
        <w:rPr>
          <w:rFonts w:hint="eastAsia" w:ascii="黑体" w:hAnsi="黑体" w:eastAsia="黑体" w:cs="Times New Roman"/>
          <w:kern w:val="2"/>
          <w:sz w:val="24"/>
          <w:szCs w:val="32"/>
          <w:lang w:val="en-US" w:eastAsia="zh-CN" w:bidi="ar-SA"/>
        </w:rPr>
        <w:t>供应商廉洁协议书</w:t>
      </w:r>
    </w:p>
    <w:p w14:paraId="048A2F06">
      <w:pPr>
        <w:widowControl/>
        <w:shd w:val="clear" w:color="auto" w:fill="FFFFFF"/>
        <w:tabs>
          <w:tab w:val="left" w:pos="426"/>
        </w:tabs>
        <w:adjustRightInd w:val="0"/>
        <w:snapToGrid w:val="0"/>
        <w:spacing w:after="60" w:afterLines="-2147483648" w:line="360" w:lineRule="auto"/>
        <w:ind w:firstLine="482" w:firstLineChars="200"/>
        <w:jc w:val="center"/>
        <w:rPr>
          <w:rFonts w:ascii="宋体" w:hAnsi="宋体" w:cs="宋体"/>
          <w:b/>
          <w:kern w:val="0"/>
          <w:sz w:val="24"/>
        </w:rPr>
      </w:pPr>
      <w:r>
        <w:rPr>
          <w:rFonts w:hint="eastAsia" w:ascii="宋体" w:hAnsi="宋体" w:cs="宋体"/>
          <w:b/>
          <w:kern w:val="0"/>
          <w:sz w:val="24"/>
        </w:rPr>
        <w:t>供应商廉</w:t>
      </w:r>
      <w:r>
        <w:rPr>
          <w:rFonts w:hint="eastAsia" w:ascii="宋体" w:hAnsi="宋体" w:cs="宋体"/>
          <w:b/>
          <w:kern w:val="0"/>
          <w:sz w:val="24"/>
          <w:lang w:eastAsia="zh-Hans"/>
        </w:rPr>
        <w:t>洁</w:t>
      </w:r>
      <w:r>
        <w:rPr>
          <w:rFonts w:hint="eastAsia" w:ascii="宋体" w:hAnsi="宋体" w:cs="宋体"/>
          <w:b/>
          <w:kern w:val="0"/>
          <w:sz w:val="24"/>
        </w:rPr>
        <w:t>协议书</w:t>
      </w:r>
    </w:p>
    <w:p w14:paraId="4F05C1C2">
      <w:pPr>
        <w:widowControl w:val="0"/>
        <w:shd w:val="clear" w:color="auto" w:fill="FFFFFF"/>
        <w:tabs>
          <w:tab w:val="left" w:pos="426"/>
        </w:tabs>
        <w:adjustRightInd/>
        <w:snapToGrid/>
        <w:spacing w:afterLines="-2147483648" w:line="360" w:lineRule="auto"/>
        <w:ind w:firstLine="480" w:firstLineChars="200"/>
        <w:rPr>
          <w:rFonts w:ascii="宋体" w:hAnsi="宋体" w:cs="宋体"/>
          <w:kern w:val="0"/>
          <w:sz w:val="24"/>
          <w:lang w:eastAsia="zh-Hans"/>
        </w:rPr>
      </w:pPr>
    </w:p>
    <w:p w14:paraId="12BF00DA">
      <w:pPr>
        <w:widowControl w:val="0"/>
        <w:shd w:val="clear" w:color="auto" w:fill="FFFFFF"/>
        <w:tabs>
          <w:tab w:val="left" w:pos="426"/>
        </w:tabs>
        <w:adjustRightInd/>
        <w:snapToGrid/>
        <w:spacing w:afterLines="-2147483648" w:line="360" w:lineRule="auto"/>
        <w:ind w:firstLine="480" w:firstLineChars="200"/>
        <w:rPr>
          <w:rFonts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277E0910">
      <w:pPr>
        <w:widowControl/>
        <w:shd w:val="clear" w:color="auto" w:fill="FFFFFF"/>
        <w:tabs>
          <w:tab w:val="left" w:pos="426"/>
        </w:tabs>
        <w:adjustRightInd/>
        <w:snapToGrid/>
        <w:spacing w:afterLines="-2147483648" w:line="360" w:lineRule="auto"/>
        <w:ind w:firstLine="482" w:firstLineChars="200"/>
        <w:rPr>
          <w:rFonts w:ascii="宋体" w:hAnsi="宋体" w:cs="宋体"/>
          <w:b/>
          <w:bCs/>
          <w:kern w:val="0"/>
          <w:sz w:val="24"/>
        </w:rPr>
      </w:pPr>
      <w:r>
        <w:rPr>
          <w:rFonts w:hint="eastAsia" w:ascii="宋体" w:hAnsi="宋体" w:cs="宋体"/>
          <w:b/>
          <w:bCs/>
          <w:kern w:val="0"/>
          <w:sz w:val="24"/>
        </w:rPr>
        <w:t>一、</w:t>
      </w:r>
      <w:r>
        <w:rPr>
          <w:rFonts w:ascii="宋体" w:hAnsi="宋体" w:cs="宋体"/>
          <w:b/>
          <w:bCs/>
          <w:kern w:val="0"/>
          <w:sz w:val="24"/>
        </w:rPr>
        <w:t>严禁甲方人员有以下行为：</w:t>
      </w:r>
    </w:p>
    <w:p w14:paraId="7C82303D">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1.利用职务便利在经营活动中谋取个人私利，损害甲方利益；</w:t>
      </w:r>
    </w:p>
    <w:p w14:paraId="41FE2ECA">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2.在经济活动中索取、收受财物。</w:t>
      </w:r>
    </w:p>
    <w:p w14:paraId="547E9581">
      <w:pPr>
        <w:widowControl/>
        <w:shd w:val="clear" w:color="auto" w:fill="FFFFFF"/>
        <w:tabs>
          <w:tab w:val="left" w:pos="426"/>
        </w:tabs>
        <w:adjustRightInd/>
        <w:snapToGrid/>
        <w:spacing w:afterLines="-2147483648" w:line="360" w:lineRule="auto"/>
        <w:ind w:firstLine="482" w:firstLineChars="200"/>
        <w:rPr>
          <w:rFonts w:ascii="宋体" w:hAnsi="宋体" w:cs="宋体"/>
          <w:b/>
          <w:bCs/>
          <w:kern w:val="0"/>
          <w:sz w:val="24"/>
        </w:rPr>
      </w:pPr>
      <w:r>
        <w:rPr>
          <w:rFonts w:hint="eastAsia" w:ascii="宋体" w:hAnsi="宋体" w:cs="宋体"/>
          <w:b/>
          <w:bCs/>
          <w:kern w:val="0"/>
          <w:sz w:val="24"/>
        </w:rPr>
        <w:t>二、严禁乙方人员有以下行为：</w:t>
      </w:r>
    </w:p>
    <w:p w14:paraId="263A2AAA">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1.向甲方人员行贿或变相行贿；</w:t>
      </w:r>
    </w:p>
    <w:p w14:paraId="291AFE6E">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6AD3D1A4">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0B61DC9A">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2B6B4ADB">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1.甲方有权单方面立即终止合作，对尚未付清的款项不负有任何违约责任。</w:t>
      </w:r>
    </w:p>
    <w:p w14:paraId="2613CC02">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合同金额的1</w:t>
      </w:r>
      <w:r>
        <w:rPr>
          <w:rFonts w:ascii="宋体" w:hAnsi="宋体" w:cs="宋体"/>
          <w:kern w:val="0"/>
          <w:sz w:val="24"/>
        </w:rPr>
        <w:t>0</w:t>
      </w:r>
      <w:r>
        <w:rPr>
          <w:rFonts w:hint="eastAsia" w:ascii="宋体" w:hAnsi="宋体" w:cs="宋体"/>
          <w:kern w:val="0"/>
          <w:sz w:val="24"/>
        </w:rPr>
        <w:t>%</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1A3B90D0">
      <w:pPr>
        <w:widowControl/>
        <w:shd w:val="clear" w:color="auto" w:fill="FFFFFF"/>
        <w:tabs>
          <w:tab w:val="left" w:pos="426"/>
        </w:tabs>
        <w:adjustRightInd/>
        <w:snapToGrid/>
        <w:spacing w:afterLines="-2147483648" w:line="360" w:lineRule="auto"/>
        <w:ind w:firstLine="480" w:firstLineChars="200"/>
        <w:rPr>
          <w:rFonts w:ascii="宋体" w:hAnsi="宋体" w:cs="宋体"/>
          <w:kern w:val="0"/>
          <w:sz w:val="24"/>
        </w:rPr>
      </w:pPr>
      <w:r>
        <w:rPr>
          <w:rFonts w:hint="eastAsia" w:ascii="宋体" w:hAnsi="宋体" w:cs="宋体"/>
          <w:kern w:val="0"/>
          <w:sz w:val="24"/>
        </w:rPr>
        <w:t>3.甲方有权就乙方贿赂行为向工程所在地公安/司法机关检举报案操作。</w:t>
      </w:r>
    </w:p>
    <w:p w14:paraId="0DC7921D">
      <w:pPr>
        <w:shd w:val="clear" w:color="auto" w:fill="FFFFFF"/>
        <w:tabs>
          <w:tab w:val="left" w:pos="426"/>
        </w:tabs>
        <w:adjustRightInd w:val="0"/>
        <w:snapToGrid w:val="0"/>
        <w:spacing w:after="60" w:line="360" w:lineRule="auto"/>
        <w:ind w:firstLine="0" w:firstLineChars="0"/>
        <w:jc w:val="both"/>
        <w:rPr>
          <w:rFonts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 xml:space="preserve"> </w:t>
      </w:r>
    </w:p>
    <w:p w14:paraId="0CFE2FF5">
      <w:pPr>
        <w:widowControl/>
        <w:shd w:val="clear" w:color="auto" w:fill="FFFFFF"/>
        <w:tabs>
          <w:tab w:val="left" w:pos="426"/>
        </w:tabs>
        <w:adjustRightInd w:val="0"/>
        <w:snapToGrid w:val="0"/>
        <w:spacing w:after="60" w:afterLines="-2147483648" w:line="360" w:lineRule="auto"/>
        <w:ind w:left="561" w:leftChars="267" w:firstLine="420" w:firstLineChars="200"/>
        <w:rPr>
          <w:rFonts w:ascii="宋体" w:hAnsi="宋体" w:cs="宋体"/>
          <w:kern w:val="0"/>
          <w:szCs w:val="21"/>
        </w:rPr>
      </w:pPr>
    </w:p>
    <w:p w14:paraId="1AFD5C28">
      <w:pPr>
        <w:widowControl/>
        <w:shd w:val="clear" w:color="auto" w:fill="FFFFFF"/>
        <w:tabs>
          <w:tab w:val="left" w:pos="426"/>
        </w:tabs>
        <w:adjustRightInd w:val="0"/>
        <w:snapToGrid w:val="0"/>
        <w:spacing w:after="60" w:afterLines="-2147483648" w:line="360" w:lineRule="auto"/>
        <w:rPr>
          <w:rFonts w:ascii="宋体" w:hAnsi="宋体" w:cs="宋体"/>
          <w:kern w:val="0"/>
          <w:szCs w:val="21"/>
        </w:rPr>
      </w:pPr>
      <w:r>
        <w:rPr>
          <w:rFonts w:hint="eastAsia" w:ascii="宋体" w:hAnsi="宋体" w:cs="宋体"/>
          <w:kern w:val="0"/>
          <w:szCs w:val="21"/>
        </w:rPr>
        <w:t xml:space="preserve">甲方： </w:t>
      </w:r>
      <w:r>
        <w:rPr>
          <w:rFonts w:ascii="宋体" w:hAnsi="宋体" w:cs="宋体"/>
          <w:kern w:val="0"/>
          <w:szCs w:val="21"/>
        </w:rPr>
        <w:t xml:space="preserve">                                   </w:t>
      </w:r>
      <w:r>
        <w:rPr>
          <w:rFonts w:hint="eastAsia" w:ascii="宋体" w:hAnsi="宋体" w:cs="宋体"/>
          <w:kern w:val="0"/>
          <w:szCs w:val="21"/>
        </w:rPr>
        <w:t>乙方：</w:t>
      </w:r>
      <w:r>
        <w:rPr>
          <w:rFonts w:ascii="宋体" w:hAnsi="宋体" w:cs="宋体"/>
          <w:kern w:val="0"/>
          <w:szCs w:val="21"/>
        </w:rPr>
        <w:t xml:space="preserve"> </w:t>
      </w:r>
    </w:p>
    <w:p w14:paraId="21FCC2EB">
      <w:pPr>
        <w:shd w:val="clear" w:color="auto" w:fill="FFFFFF"/>
        <w:tabs>
          <w:tab w:val="left" w:pos="426"/>
        </w:tabs>
        <w:adjustRightInd w:val="0"/>
        <w:snapToGrid w:val="0"/>
        <w:spacing w:after="60" w:line="360" w:lineRule="auto"/>
        <w:ind w:firstLine="2310" w:firstLineChars="1100"/>
        <w:jc w:val="both"/>
        <w:rPr>
          <w:rFonts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年</w:t>
      </w:r>
      <w:r>
        <w:rPr>
          <w:rFonts w:ascii="宋体" w:hAnsi="宋体" w:eastAsia="宋体" w:cs="宋体"/>
          <w:kern w:val="0"/>
          <w:sz w:val="21"/>
          <w:szCs w:val="24"/>
          <w:lang w:val="en-US" w:eastAsia="zh-CN" w:bidi="ar-SA"/>
        </w:rPr>
        <w:t xml:space="preserve">  月   日                                年     月  </w:t>
      </w:r>
    </w:p>
    <w:p w14:paraId="1FCC7D0A">
      <w:pPr>
        <w:tabs>
          <w:tab w:val="left" w:pos="426"/>
        </w:tabs>
        <w:spacing w:after="60"/>
        <w:rPr>
          <w:rFonts w:hint="eastAsia" w:ascii="宋体" w:hAnsi="宋体"/>
          <w:sz w:val="24"/>
        </w:rPr>
        <w:sectPr>
          <w:footerReference r:id="rId7" w:type="default"/>
          <w:footerReference r:id="rId8" w:type="even"/>
          <w:pgSz w:w="11906" w:h="16838"/>
          <w:pgMar w:top="1134" w:right="1134" w:bottom="1134" w:left="1418" w:header="851" w:footer="992" w:gutter="0"/>
          <w:cols w:space="425" w:num="1"/>
          <w:titlePg/>
          <w:docGrid w:linePitch="462" w:charSpace="0"/>
        </w:sectPr>
      </w:pPr>
    </w:p>
    <w:bookmarkEnd w:id="9"/>
    <w:bookmarkEnd w:id="10"/>
    <w:bookmarkEnd w:id="11"/>
    <w:bookmarkEnd w:id="12"/>
    <w:p w14:paraId="338ABC4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C65709D">
      <w:pPr>
        <w:spacing w:after="78"/>
      </w:pPr>
    </w:p>
    <w:p w14:paraId="0A9E372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2F37B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2B7111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4184A9E">
            <w:pPr>
              <w:widowControl/>
              <w:spacing w:after="78" w:line="360" w:lineRule="atLeast"/>
              <w:jc w:val="center"/>
              <w:rPr>
                <w:rFonts w:hint="eastAsia" w:ascii="仿宋" w:hAnsi="仿宋" w:eastAsia="仿宋" w:cs="仿宋"/>
                <w:sz w:val="24"/>
                <w:szCs w:val="20"/>
              </w:rPr>
            </w:pPr>
          </w:p>
        </w:tc>
      </w:tr>
      <w:tr w14:paraId="468BC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1D67B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4703F7">
            <w:pPr>
              <w:widowControl/>
              <w:spacing w:after="78" w:line="360" w:lineRule="atLeast"/>
              <w:jc w:val="center"/>
              <w:rPr>
                <w:rFonts w:hint="eastAsia" w:ascii="仿宋" w:hAnsi="仿宋" w:eastAsia="仿宋" w:cs="仿宋"/>
                <w:sz w:val="24"/>
                <w:szCs w:val="20"/>
              </w:rPr>
            </w:pPr>
          </w:p>
        </w:tc>
        <w:tc>
          <w:tcPr>
            <w:tcW w:w="1320" w:type="dxa"/>
            <w:vAlign w:val="center"/>
          </w:tcPr>
          <w:p w14:paraId="1B6FCD2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B1E5ABD">
            <w:pPr>
              <w:widowControl/>
              <w:spacing w:after="78" w:line="360" w:lineRule="atLeast"/>
              <w:jc w:val="center"/>
              <w:rPr>
                <w:rFonts w:hint="eastAsia" w:ascii="仿宋" w:hAnsi="仿宋" w:eastAsia="仿宋" w:cs="仿宋"/>
                <w:sz w:val="24"/>
                <w:szCs w:val="20"/>
              </w:rPr>
            </w:pPr>
          </w:p>
        </w:tc>
      </w:tr>
      <w:tr w14:paraId="3D4354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BF847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EE733C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6BB1F76">
            <w:pPr>
              <w:widowControl/>
              <w:spacing w:after="78" w:line="360" w:lineRule="atLeast"/>
              <w:jc w:val="center"/>
              <w:rPr>
                <w:rFonts w:hint="eastAsia" w:ascii="仿宋" w:hAnsi="仿宋" w:eastAsia="仿宋" w:cs="仿宋"/>
                <w:sz w:val="24"/>
                <w:szCs w:val="20"/>
              </w:rPr>
            </w:pPr>
          </w:p>
        </w:tc>
        <w:tc>
          <w:tcPr>
            <w:tcW w:w="1320" w:type="dxa"/>
            <w:vAlign w:val="center"/>
          </w:tcPr>
          <w:p w14:paraId="53B2993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5AC4798">
            <w:pPr>
              <w:widowControl/>
              <w:spacing w:after="78" w:line="360" w:lineRule="atLeast"/>
              <w:jc w:val="center"/>
              <w:rPr>
                <w:rFonts w:hint="eastAsia" w:ascii="仿宋" w:hAnsi="仿宋" w:eastAsia="仿宋" w:cs="仿宋"/>
                <w:sz w:val="24"/>
                <w:szCs w:val="20"/>
              </w:rPr>
            </w:pPr>
          </w:p>
        </w:tc>
      </w:tr>
      <w:tr w14:paraId="05B875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B1475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AEB69C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44550A1">
            <w:pPr>
              <w:widowControl/>
              <w:spacing w:after="78" w:line="360" w:lineRule="atLeast"/>
              <w:jc w:val="center"/>
              <w:rPr>
                <w:rFonts w:hint="eastAsia" w:ascii="仿宋" w:hAnsi="仿宋" w:eastAsia="仿宋" w:cs="仿宋"/>
                <w:sz w:val="24"/>
                <w:szCs w:val="20"/>
              </w:rPr>
            </w:pPr>
          </w:p>
        </w:tc>
        <w:tc>
          <w:tcPr>
            <w:tcW w:w="850" w:type="dxa"/>
            <w:vAlign w:val="center"/>
          </w:tcPr>
          <w:p w14:paraId="223314D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CB27829">
            <w:pPr>
              <w:widowControl/>
              <w:spacing w:after="78" w:line="360" w:lineRule="atLeast"/>
              <w:jc w:val="center"/>
              <w:rPr>
                <w:rFonts w:hint="eastAsia" w:ascii="仿宋" w:hAnsi="仿宋" w:eastAsia="仿宋" w:cs="仿宋"/>
                <w:sz w:val="24"/>
                <w:szCs w:val="20"/>
              </w:rPr>
            </w:pPr>
          </w:p>
        </w:tc>
      </w:tr>
      <w:tr w14:paraId="6096A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07C55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CE9A124">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9D7A30A">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EC95D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DF743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1F23B9C">
            <w:pPr>
              <w:spacing w:after="78" w:line="360" w:lineRule="atLeast"/>
              <w:jc w:val="center"/>
              <w:rPr>
                <w:rFonts w:hint="eastAsia" w:ascii="仿宋" w:hAnsi="仿宋" w:eastAsia="仿宋" w:cs="仿宋"/>
                <w:sz w:val="24"/>
                <w:szCs w:val="20"/>
              </w:rPr>
            </w:pPr>
          </w:p>
          <w:p w14:paraId="24E5CBD4">
            <w:pPr>
              <w:widowControl/>
              <w:spacing w:after="78" w:line="360" w:lineRule="atLeast"/>
              <w:jc w:val="center"/>
              <w:rPr>
                <w:rFonts w:hint="eastAsia" w:ascii="仿宋" w:hAnsi="仿宋" w:eastAsia="仿宋" w:cs="仿宋"/>
                <w:sz w:val="24"/>
                <w:szCs w:val="20"/>
              </w:rPr>
            </w:pPr>
          </w:p>
        </w:tc>
      </w:tr>
      <w:tr w14:paraId="2F73CA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E02CDA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3C986007">
            <w:pPr>
              <w:spacing w:after="78" w:line="360" w:lineRule="atLeast"/>
              <w:jc w:val="center"/>
              <w:rPr>
                <w:rFonts w:hint="eastAsia" w:ascii="仿宋" w:hAnsi="仿宋" w:eastAsia="仿宋" w:cs="仿宋"/>
                <w:sz w:val="24"/>
                <w:szCs w:val="20"/>
              </w:rPr>
            </w:pPr>
          </w:p>
          <w:p w14:paraId="3CA8B6A6">
            <w:pPr>
              <w:widowControl/>
              <w:spacing w:after="78" w:line="360" w:lineRule="atLeast"/>
              <w:jc w:val="center"/>
              <w:rPr>
                <w:rFonts w:hint="eastAsia" w:ascii="仿宋" w:hAnsi="仿宋" w:eastAsia="仿宋" w:cs="仿宋"/>
                <w:sz w:val="24"/>
                <w:szCs w:val="20"/>
              </w:rPr>
            </w:pPr>
          </w:p>
        </w:tc>
      </w:tr>
      <w:tr w14:paraId="4B3F07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9CCC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6A1E0EF">
            <w:pPr>
              <w:widowControl/>
              <w:spacing w:after="78" w:line="360" w:lineRule="atLeast"/>
              <w:jc w:val="center"/>
              <w:rPr>
                <w:rFonts w:hint="eastAsia" w:ascii="仿宋" w:hAnsi="仿宋" w:eastAsia="仿宋" w:cs="仿宋"/>
                <w:sz w:val="24"/>
                <w:szCs w:val="20"/>
              </w:rPr>
            </w:pPr>
          </w:p>
        </w:tc>
      </w:tr>
      <w:tr w14:paraId="3924D7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C04B3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B626761">
            <w:pPr>
              <w:widowControl/>
              <w:spacing w:after="78" w:line="360" w:lineRule="atLeast"/>
              <w:jc w:val="center"/>
              <w:rPr>
                <w:rFonts w:hint="eastAsia" w:ascii="仿宋" w:hAnsi="仿宋" w:eastAsia="仿宋" w:cs="仿宋"/>
                <w:sz w:val="24"/>
                <w:szCs w:val="20"/>
              </w:rPr>
            </w:pPr>
          </w:p>
        </w:tc>
      </w:tr>
      <w:tr w14:paraId="7EC97F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56FB6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9BF666F">
            <w:pPr>
              <w:widowControl/>
              <w:spacing w:after="78" w:line="360" w:lineRule="atLeast"/>
              <w:jc w:val="center"/>
              <w:rPr>
                <w:rFonts w:hint="eastAsia" w:ascii="仿宋" w:hAnsi="仿宋" w:eastAsia="仿宋" w:cs="仿宋"/>
                <w:sz w:val="24"/>
                <w:szCs w:val="20"/>
              </w:rPr>
            </w:pPr>
          </w:p>
        </w:tc>
      </w:tr>
      <w:tr w14:paraId="485741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32E114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95A4D60">
            <w:pPr>
              <w:widowControl/>
              <w:spacing w:after="78" w:line="360" w:lineRule="atLeast"/>
              <w:jc w:val="center"/>
              <w:rPr>
                <w:rFonts w:hint="eastAsia" w:ascii="仿宋" w:hAnsi="仿宋" w:eastAsia="仿宋" w:cs="仿宋"/>
                <w:sz w:val="24"/>
                <w:szCs w:val="20"/>
              </w:rPr>
            </w:pPr>
          </w:p>
        </w:tc>
      </w:tr>
    </w:tbl>
    <w:p w14:paraId="567D8A97">
      <w:pPr>
        <w:tabs>
          <w:tab w:val="left" w:pos="630"/>
        </w:tabs>
        <w:spacing w:after="78" w:line="276" w:lineRule="auto"/>
        <w:rPr>
          <w:rFonts w:hint="eastAsia" w:ascii="仿宋" w:hAnsi="仿宋" w:eastAsia="仿宋"/>
          <w:color w:val="000000"/>
          <w:kern w:val="0"/>
          <w:szCs w:val="21"/>
        </w:rPr>
      </w:pPr>
    </w:p>
    <w:p w14:paraId="293A992D">
      <w:pPr>
        <w:spacing w:after="78"/>
        <w:ind w:firstLine="560"/>
      </w:pPr>
    </w:p>
    <w:p w14:paraId="4813106A">
      <w:pPr>
        <w:spacing w:after="78"/>
        <w:ind w:firstLine="560"/>
      </w:pPr>
    </w:p>
    <w:p w14:paraId="1E698DC6">
      <w:pPr>
        <w:spacing w:after="78"/>
        <w:ind w:firstLine="560"/>
      </w:pPr>
    </w:p>
    <w:p w14:paraId="5270A18C">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5F24FAD">
      <w:pPr>
        <w:snapToGrid w:val="0"/>
        <w:spacing w:afterLines="0" w:line="360" w:lineRule="auto"/>
        <w:ind w:firstLine="525" w:firstLineChars="250"/>
        <w:jc w:val="right"/>
        <w:rPr>
          <w:rFonts w:hint="eastAsia" w:ascii="仿宋" w:hAnsi="仿宋" w:eastAsia="仿宋" w:cs="Arial"/>
        </w:rPr>
      </w:pPr>
    </w:p>
    <w:p w14:paraId="7BE77530">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987AE5E">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53936C5">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深圳市深水水务咨询有限公司</w:t>
      </w:r>
      <w:r>
        <w:rPr>
          <w:rFonts w:ascii="仿宋" w:hAnsi="仿宋" w:eastAsia="仿宋"/>
          <w:color w:val="000000"/>
          <w:szCs w:val="21"/>
        </w:rPr>
        <w:t>：</w:t>
      </w:r>
    </w:p>
    <w:p w14:paraId="5EF70FB0">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提升泵房及箱涵泵房清淤清砂劳务服务采购项目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提升泵房及箱涵泵房清淤清砂劳务服务采购项目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21B0E6">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28C38D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86DE01C">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A3B4EA3">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044B37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6A56D3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35C9FE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536FBD6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0C3149C">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56FA4A8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5B09530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FC2941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（3）近两年内（2023年4月至今）或成立至今（成立不足两年的单位）至少具备一项正在实施或已完成的类似业绩；</w:t>
      </w:r>
    </w:p>
    <w:p w14:paraId="36B76BA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5A9BBD6">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4B97D63C">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B029F4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提升泵房及箱涵泵房清淤清砂劳务服务采购项目</w:t>
      </w:r>
      <w:r>
        <w:rPr>
          <w:rFonts w:ascii="仿宋" w:hAnsi="仿宋" w:eastAsia="仿宋"/>
          <w:szCs w:val="21"/>
        </w:rPr>
        <w:t>选聘，特承诺如下：</w:t>
      </w:r>
    </w:p>
    <w:p w14:paraId="4EA62F3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86DBCC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4EEE9F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91945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7F5E7D6">
      <w:pPr>
        <w:tabs>
          <w:tab w:val="left" w:pos="1110"/>
        </w:tabs>
        <w:spacing w:after="78" w:line="276" w:lineRule="auto"/>
        <w:ind w:firstLine="420" w:firstLineChars="200"/>
        <w:rPr>
          <w:rFonts w:hint="eastAsia" w:ascii="仿宋" w:hAnsi="仿宋" w:eastAsia="仿宋"/>
          <w:color w:val="000000"/>
          <w:szCs w:val="21"/>
        </w:rPr>
      </w:pPr>
    </w:p>
    <w:p w14:paraId="0FCBE91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CB9E3DC">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26733DC">
      <w:pPr>
        <w:pStyle w:val="4"/>
        <w:spacing w:afterLines="0"/>
        <w:rPr>
          <w:sz w:val="24"/>
          <w:szCs w:val="24"/>
        </w:rPr>
      </w:pPr>
      <w:r>
        <w:br w:type="page"/>
      </w:r>
      <w:bookmarkStart w:id="13" w:name="_Hlk180658069"/>
      <w:r>
        <w:rPr>
          <w:rFonts w:hint="eastAsia"/>
          <w:sz w:val="24"/>
          <w:szCs w:val="24"/>
        </w:rPr>
        <w:t>营业执照</w:t>
      </w:r>
    </w:p>
    <w:p w14:paraId="6C3D3697">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FDF42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77FDF421">
                      <w:pPr>
                        <w:spacing w:after="60" w:afterLines="0"/>
                      </w:pPr>
                    </w:p>
                  </w:txbxContent>
                </v:textbox>
              </v:shape>
            </w:pict>
          </mc:Fallback>
        </mc:AlternateContent>
      </w:r>
    </w:p>
    <w:p w14:paraId="03643D7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79796F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D8832B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0D6E6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751C89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7898B9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2BD234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CFF4B8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0294F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3190C9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305B0E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5FC3D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E7EA1C">
      <w:pPr>
        <w:pStyle w:val="64"/>
        <w:ind w:firstLine="480"/>
      </w:pPr>
    </w:p>
    <w:p w14:paraId="0C0D356D">
      <w:pPr>
        <w:pStyle w:val="64"/>
        <w:ind w:firstLine="480"/>
      </w:pPr>
    </w:p>
    <w:p w14:paraId="71C756CF">
      <w:pPr>
        <w:pStyle w:val="4"/>
        <w:spacing w:afterLines="0"/>
        <w:rPr>
          <w:sz w:val="24"/>
          <w:szCs w:val="24"/>
        </w:rPr>
      </w:pPr>
      <w:r>
        <w:rPr>
          <w:rFonts w:hint="eastAsia"/>
          <w:sz w:val="24"/>
          <w:szCs w:val="24"/>
        </w:rPr>
        <w:t>国家企业信用信息公示系统查询情况截图</w:t>
      </w:r>
    </w:p>
    <w:p w14:paraId="075A3698">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8FAFB1">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568FAFB1">
                      <w:pPr>
                        <w:spacing w:after="60" w:afterLines="0"/>
                      </w:pPr>
                    </w:p>
                  </w:txbxContent>
                </v:textbox>
              </v:shape>
            </w:pict>
          </mc:Fallback>
        </mc:AlternateContent>
      </w:r>
    </w:p>
    <w:p w14:paraId="2AED0E35">
      <w:pPr>
        <w:tabs>
          <w:tab w:val="left" w:pos="1110"/>
        </w:tabs>
        <w:spacing w:after="60" w:afterLines="0" w:line="276" w:lineRule="auto"/>
        <w:rPr>
          <w:rFonts w:hint="eastAsia" w:ascii="仿宋" w:hAnsi="仿宋" w:eastAsia="仿宋" w:cs="宋体"/>
          <w:color w:val="000000"/>
          <w:sz w:val="24"/>
          <w:szCs w:val="21"/>
        </w:rPr>
      </w:pPr>
    </w:p>
    <w:p w14:paraId="6346C871">
      <w:pPr>
        <w:tabs>
          <w:tab w:val="left" w:pos="1110"/>
        </w:tabs>
        <w:spacing w:after="60" w:afterLines="0" w:line="276" w:lineRule="auto"/>
        <w:rPr>
          <w:rFonts w:hint="eastAsia" w:ascii="仿宋" w:hAnsi="仿宋" w:eastAsia="仿宋" w:cs="宋体"/>
          <w:color w:val="000000"/>
          <w:sz w:val="24"/>
          <w:szCs w:val="21"/>
        </w:rPr>
      </w:pPr>
    </w:p>
    <w:p w14:paraId="2D8471F1">
      <w:pPr>
        <w:tabs>
          <w:tab w:val="left" w:pos="1110"/>
        </w:tabs>
        <w:spacing w:after="60" w:afterLines="0" w:line="276" w:lineRule="auto"/>
        <w:rPr>
          <w:rFonts w:hint="eastAsia" w:ascii="仿宋" w:hAnsi="仿宋" w:eastAsia="仿宋" w:cs="宋体"/>
          <w:color w:val="000000"/>
          <w:sz w:val="24"/>
          <w:szCs w:val="21"/>
        </w:rPr>
      </w:pPr>
    </w:p>
    <w:p w14:paraId="4D13EAB0">
      <w:pPr>
        <w:tabs>
          <w:tab w:val="left" w:pos="1110"/>
        </w:tabs>
        <w:spacing w:after="60" w:afterLines="0" w:line="276" w:lineRule="auto"/>
        <w:rPr>
          <w:rFonts w:hint="eastAsia" w:ascii="仿宋" w:hAnsi="仿宋" w:eastAsia="仿宋" w:cs="宋体"/>
          <w:color w:val="000000"/>
          <w:sz w:val="24"/>
          <w:szCs w:val="21"/>
        </w:rPr>
      </w:pPr>
    </w:p>
    <w:p w14:paraId="101F4E5D">
      <w:pPr>
        <w:tabs>
          <w:tab w:val="left" w:pos="1110"/>
        </w:tabs>
        <w:spacing w:after="60" w:afterLines="0" w:line="276" w:lineRule="auto"/>
      </w:pPr>
    </w:p>
    <w:p w14:paraId="1C0DF2E5">
      <w:pPr>
        <w:tabs>
          <w:tab w:val="left" w:pos="1110"/>
        </w:tabs>
        <w:spacing w:after="60" w:afterLines="0" w:line="276" w:lineRule="auto"/>
        <w:rPr>
          <w:rFonts w:hint="eastAsia" w:ascii="仿宋" w:hAnsi="仿宋" w:eastAsia="仿宋" w:cs="宋体"/>
          <w:color w:val="000000"/>
          <w:sz w:val="24"/>
          <w:szCs w:val="21"/>
        </w:rPr>
      </w:pPr>
    </w:p>
    <w:p w14:paraId="5E2BFC01">
      <w:pPr>
        <w:tabs>
          <w:tab w:val="left" w:pos="1110"/>
        </w:tabs>
        <w:spacing w:after="60" w:afterLines="0" w:line="276" w:lineRule="auto"/>
        <w:rPr>
          <w:rFonts w:hint="eastAsia" w:ascii="仿宋" w:hAnsi="仿宋" w:eastAsia="仿宋" w:cs="宋体"/>
          <w:color w:val="000000"/>
          <w:sz w:val="24"/>
          <w:szCs w:val="21"/>
        </w:rPr>
      </w:pPr>
    </w:p>
    <w:p w14:paraId="586F90C6">
      <w:pPr>
        <w:tabs>
          <w:tab w:val="left" w:pos="1110"/>
        </w:tabs>
        <w:spacing w:after="60" w:afterLines="0" w:line="276" w:lineRule="auto"/>
        <w:rPr>
          <w:rFonts w:hint="eastAsia" w:ascii="仿宋" w:hAnsi="仿宋" w:eastAsia="仿宋" w:cs="宋体"/>
          <w:color w:val="000000"/>
          <w:sz w:val="24"/>
          <w:szCs w:val="21"/>
        </w:rPr>
      </w:pPr>
    </w:p>
    <w:p w14:paraId="4B11D0AC">
      <w:pPr>
        <w:tabs>
          <w:tab w:val="left" w:pos="1110"/>
        </w:tabs>
        <w:spacing w:after="60" w:afterLines="0" w:line="276" w:lineRule="auto"/>
        <w:rPr>
          <w:rFonts w:hint="eastAsia" w:ascii="仿宋" w:hAnsi="仿宋" w:eastAsia="仿宋" w:cs="宋体"/>
          <w:color w:val="000000"/>
          <w:sz w:val="24"/>
          <w:szCs w:val="21"/>
        </w:rPr>
      </w:pPr>
    </w:p>
    <w:p w14:paraId="057F4109">
      <w:pPr>
        <w:tabs>
          <w:tab w:val="left" w:pos="1110"/>
        </w:tabs>
        <w:spacing w:after="60" w:afterLines="0" w:line="276" w:lineRule="auto"/>
        <w:rPr>
          <w:rFonts w:hint="eastAsia" w:ascii="仿宋" w:hAnsi="仿宋" w:eastAsia="仿宋" w:cs="宋体"/>
          <w:color w:val="000000"/>
          <w:sz w:val="24"/>
          <w:szCs w:val="21"/>
        </w:rPr>
      </w:pPr>
    </w:p>
    <w:p w14:paraId="7DEEB4FB">
      <w:pPr>
        <w:tabs>
          <w:tab w:val="left" w:pos="1110"/>
        </w:tabs>
        <w:spacing w:after="60" w:afterLines="0" w:line="276" w:lineRule="auto"/>
        <w:rPr>
          <w:rFonts w:hint="eastAsia" w:ascii="仿宋" w:hAnsi="仿宋" w:eastAsia="仿宋" w:cs="宋体"/>
          <w:color w:val="000000"/>
          <w:sz w:val="24"/>
          <w:szCs w:val="21"/>
        </w:rPr>
      </w:pPr>
    </w:p>
    <w:p w14:paraId="49A202A9">
      <w:pPr>
        <w:tabs>
          <w:tab w:val="left" w:pos="1110"/>
        </w:tabs>
        <w:spacing w:after="60" w:afterLines="0" w:line="276" w:lineRule="auto"/>
        <w:rPr>
          <w:rFonts w:hint="eastAsia" w:ascii="仿宋" w:hAnsi="仿宋" w:eastAsia="仿宋" w:cs="宋体"/>
          <w:color w:val="000000"/>
          <w:sz w:val="24"/>
          <w:szCs w:val="21"/>
        </w:rPr>
      </w:pPr>
    </w:p>
    <w:p w14:paraId="674CE270">
      <w:pPr>
        <w:pStyle w:val="4"/>
        <w:spacing w:afterLines="0"/>
        <w:rPr>
          <w:sz w:val="24"/>
          <w:szCs w:val="24"/>
        </w:rPr>
      </w:pPr>
      <w:r>
        <w:rPr>
          <w:rFonts w:hint="eastAsia"/>
          <w:sz w:val="24"/>
          <w:szCs w:val="24"/>
        </w:rPr>
        <w:t>信用中国查询情况截图</w:t>
      </w:r>
    </w:p>
    <w:p w14:paraId="0B97C2C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816EDFB">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EB037F">
                            <w:pPr>
                              <w:spacing w:after="60" w:afterLines="0"/>
                            </w:pPr>
                          </w:p>
                          <w:p w14:paraId="48F1FFF2">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6EEB037F">
                      <w:pPr>
                        <w:spacing w:after="60" w:afterLines="0"/>
                      </w:pPr>
                    </w:p>
                    <w:p w14:paraId="48F1FFF2">
                      <w:pPr>
                        <w:spacing w:after="60" w:afterLines="0"/>
                      </w:pPr>
                    </w:p>
                  </w:txbxContent>
                </v:textbox>
              </v:shape>
            </w:pict>
          </mc:Fallback>
        </mc:AlternateContent>
      </w:r>
    </w:p>
    <w:p w14:paraId="02B492C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70631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6955D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326A3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821E68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7965A9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E1ECCA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E9E863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2902B4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FD8EBE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FDFD89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984C52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58BB6F8">
      <w:pPr>
        <w:spacing w:afterLines="0"/>
      </w:pPr>
    </w:p>
    <w:p w14:paraId="2BF7071C">
      <w:pPr>
        <w:pStyle w:val="4"/>
        <w:spacing w:afterLines="0"/>
        <w:rPr>
          <w:sz w:val="24"/>
          <w:szCs w:val="24"/>
        </w:rPr>
      </w:pPr>
      <w:r>
        <w:rPr>
          <w:rFonts w:hint="eastAsia"/>
          <w:sz w:val="24"/>
          <w:szCs w:val="24"/>
        </w:rPr>
        <w:t>中国执行信息公开网查询情况截图</w:t>
      </w:r>
      <w:bookmarkEnd w:id="13"/>
    </w:p>
    <w:p w14:paraId="3ED88DCC">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BC12FE">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4BC12FE">
                      <w:pPr>
                        <w:spacing w:after="60" w:afterLines="0"/>
                      </w:pPr>
                    </w:p>
                  </w:txbxContent>
                </v:textbox>
              </v:shape>
            </w:pict>
          </mc:Fallback>
        </mc:AlternateContent>
      </w:r>
    </w:p>
    <w:p w14:paraId="14C48FAC">
      <w:pPr>
        <w:spacing w:afterLines="0"/>
      </w:pPr>
    </w:p>
    <w:p w14:paraId="53C874AD">
      <w:pPr>
        <w:spacing w:afterLines="0"/>
      </w:pPr>
    </w:p>
    <w:p w14:paraId="4C30FDB8">
      <w:pPr>
        <w:spacing w:afterLines="0"/>
      </w:pPr>
    </w:p>
    <w:p w14:paraId="0E8252C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8ADD14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42E48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446681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C14DC4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7527A8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233BA3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57B2DF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77E72BE">
      <w:pPr>
        <w:pStyle w:val="4"/>
        <w:spacing w:afterLines="0"/>
        <w:rPr>
          <w:rFonts w:hint="default" w:eastAsia="宋体"/>
          <w:sz w:val="24"/>
          <w:szCs w:val="24"/>
          <w:lang w:val="en-US" w:eastAsia="zh-CN"/>
        </w:rPr>
      </w:pPr>
      <w:r>
        <w:br w:type="page"/>
      </w:r>
      <w:r>
        <w:rPr>
          <w:rFonts w:hint="eastAsia"/>
          <w:sz w:val="24"/>
          <w:szCs w:val="24"/>
          <w:lang w:val="en-US" w:eastAsia="zh-CN"/>
        </w:rPr>
        <w:t>劳务派遣资质相关证明文件</w:t>
      </w:r>
    </w:p>
    <w:p w14:paraId="093A299F">
      <w:pPr>
        <w:spacing w:afterLines="0"/>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E3B01D">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3360;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gf1L7hQCAABF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aeS+jVAAAABwEAAA8AAAAAAAAA&#10;AQAgAAAAIgAAAGRycy9kb3ducmV2LnhtbFBLAQIUABQAAAAIAIdO4kCB/UvuFAIAAEUEAAAOAAAA&#10;AAAAAAEAIAAAACQBAABkcnMvZTJvRG9jLnhtbFBLBQYAAAAABgAGAFkBAACqBQAAAAA=&#10;">
                <v:fill on="t" focussize="0,0"/>
                <v:stroke weight="0.5pt" color="#000000" joinstyle="miter"/>
                <v:imagedata o:title=""/>
                <o:lock v:ext="edit" aspectratio="f"/>
                <v:textbox>
                  <w:txbxContent>
                    <w:p w14:paraId="1CE3B01D">
                      <w:pPr>
                        <w:spacing w:after="60" w:afterLines="0"/>
                      </w:pPr>
                    </w:p>
                  </w:txbxContent>
                </v:textbox>
              </v:shape>
            </w:pict>
          </mc:Fallback>
        </mc:AlternateContent>
      </w:r>
    </w:p>
    <w:p w14:paraId="7B8CD30E">
      <w:pPr>
        <w:spacing w:afterLines="0"/>
      </w:pPr>
    </w:p>
    <w:p w14:paraId="3F4C97CF">
      <w:pPr>
        <w:spacing w:afterLines="0"/>
      </w:pPr>
    </w:p>
    <w:p w14:paraId="4E1176FD">
      <w:pPr>
        <w:spacing w:afterLines="0"/>
      </w:pPr>
    </w:p>
    <w:p w14:paraId="0937F05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23CDAD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E8F484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F6F02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A85EB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C532AA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E2D7C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BF27F3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606715">
      <w:pPr>
        <w:keepNext/>
        <w:keepLines/>
        <w:spacing w:after="78" w:afterLines="0" w:line="360" w:lineRule="exact"/>
        <w:jc w:val="center"/>
        <w:textAlignment w:val="baseline"/>
        <w:outlineLvl w:val="1"/>
      </w:pPr>
      <w:r>
        <w:br w:type="page"/>
      </w:r>
    </w:p>
    <w:p w14:paraId="788711D9">
      <w:pPr>
        <w:keepNext/>
        <w:keepLines/>
        <w:spacing w:after="78" w:afterLines="0" w:line="360" w:lineRule="exact"/>
        <w:jc w:val="center"/>
        <w:textAlignment w:val="baseline"/>
        <w:outlineLvl w:val="1"/>
      </w:pPr>
    </w:p>
    <w:p w14:paraId="2707A2B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提升泵房及箱涵泵房清淤清砂劳务服务采购项目报价一览表</w:t>
      </w:r>
    </w:p>
    <w:p w14:paraId="6AFB1A6E">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8"/>
        <w:gridCol w:w="1675"/>
        <w:gridCol w:w="1391"/>
        <w:gridCol w:w="857"/>
        <w:gridCol w:w="696"/>
        <w:gridCol w:w="697"/>
        <w:gridCol w:w="295"/>
        <w:gridCol w:w="1164"/>
        <w:gridCol w:w="1784"/>
      </w:tblGrid>
      <w:tr w14:paraId="52F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gridSpan w:val="2"/>
            <w:vAlign w:val="center"/>
          </w:tcPr>
          <w:p w14:paraId="3E31CBC6">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59" w:type="dxa"/>
            <w:gridSpan w:val="8"/>
            <w:vAlign w:val="center"/>
          </w:tcPr>
          <w:p w14:paraId="17632E4B">
            <w:pPr>
              <w:spacing w:afterLines="0" w:line="300" w:lineRule="exact"/>
              <w:jc w:val="center"/>
              <w:rPr>
                <w:rFonts w:hint="eastAsia" w:ascii="仿宋" w:hAnsi="仿宋" w:eastAsia="仿宋"/>
                <w:b/>
                <w:szCs w:val="21"/>
              </w:rPr>
            </w:pPr>
            <w:r>
              <w:rPr>
                <w:rFonts w:hint="eastAsia" w:ascii="仿宋" w:hAnsi="仿宋" w:eastAsia="仿宋"/>
                <w:b/>
                <w:szCs w:val="21"/>
              </w:rPr>
              <w:t>提升泵房及箱涵泵房清淤清砂劳务服务采购项目</w:t>
            </w:r>
          </w:p>
        </w:tc>
      </w:tr>
      <w:tr w14:paraId="166C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vMerge w:val="restart"/>
            <w:vAlign w:val="center"/>
          </w:tcPr>
          <w:p w14:paraId="6A01E559">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619" w:type="dxa"/>
            <w:gridSpan w:val="4"/>
            <w:vMerge w:val="restart"/>
            <w:vAlign w:val="center"/>
          </w:tcPr>
          <w:p w14:paraId="65C87E9E">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92" w:type="dxa"/>
            <w:gridSpan w:val="2"/>
            <w:vAlign w:val="center"/>
          </w:tcPr>
          <w:p w14:paraId="57AE53D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948" w:type="dxa"/>
            <w:gridSpan w:val="2"/>
          </w:tcPr>
          <w:p w14:paraId="55D2E373">
            <w:pPr>
              <w:spacing w:afterLines="0"/>
              <w:jc w:val="center"/>
              <w:rPr>
                <w:rFonts w:hint="eastAsia" w:ascii="仿宋" w:hAnsi="仿宋" w:eastAsia="仿宋"/>
                <w:szCs w:val="21"/>
              </w:rPr>
            </w:pPr>
          </w:p>
        </w:tc>
      </w:tr>
      <w:tr w14:paraId="05F5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gridSpan w:val="2"/>
            <w:vMerge w:val="continue"/>
            <w:vAlign w:val="center"/>
          </w:tcPr>
          <w:p w14:paraId="606EF7A2">
            <w:pPr>
              <w:spacing w:afterLines="0" w:line="300" w:lineRule="exact"/>
              <w:jc w:val="center"/>
              <w:rPr>
                <w:rFonts w:hint="eastAsia" w:ascii="仿宋" w:hAnsi="仿宋" w:eastAsia="仿宋"/>
                <w:szCs w:val="21"/>
              </w:rPr>
            </w:pPr>
          </w:p>
        </w:tc>
        <w:tc>
          <w:tcPr>
            <w:tcW w:w="4619" w:type="dxa"/>
            <w:gridSpan w:val="4"/>
            <w:vMerge w:val="continue"/>
            <w:vAlign w:val="center"/>
          </w:tcPr>
          <w:p w14:paraId="1C1EF0F9">
            <w:pPr>
              <w:spacing w:afterLines="0" w:line="300" w:lineRule="exact"/>
              <w:jc w:val="center"/>
              <w:rPr>
                <w:rFonts w:hint="eastAsia" w:ascii="仿宋" w:hAnsi="仿宋" w:eastAsia="仿宋"/>
                <w:szCs w:val="21"/>
              </w:rPr>
            </w:pPr>
          </w:p>
        </w:tc>
        <w:tc>
          <w:tcPr>
            <w:tcW w:w="992" w:type="dxa"/>
            <w:gridSpan w:val="2"/>
            <w:vAlign w:val="center"/>
          </w:tcPr>
          <w:p w14:paraId="6A0F423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948" w:type="dxa"/>
            <w:gridSpan w:val="2"/>
          </w:tcPr>
          <w:p w14:paraId="666D30CB">
            <w:pPr>
              <w:spacing w:afterLines="0"/>
              <w:jc w:val="center"/>
              <w:rPr>
                <w:rFonts w:hint="eastAsia" w:ascii="仿宋" w:hAnsi="仿宋" w:eastAsia="仿宋"/>
                <w:szCs w:val="21"/>
              </w:rPr>
            </w:pPr>
          </w:p>
        </w:tc>
      </w:tr>
      <w:tr w14:paraId="7D68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gridSpan w:val="2"/>
            <w:vAlign w:val="center"/>
          </w:tcPr>
          <w:p w14:paraId="40F8CDFF">
            <w:pPr>
              <w:spacing w:afterLines="0" w:line="300" w:lineRule="exact"/>
              <w:jc w:val="center"/>
              <w:rPr>
                <w:rFonts w:hint="eastAsia" w:ascii="仿宋" w:hAnsi="仿宋" w:eastAsia="仿宋"/>
                <w:szCs w:val="21"/>
              </w:rPr>
            </w:pPr>
            <w:r>
              <w:rPr>
                <w:rFonts w:hint="eastAsia" w:ascii="仿宋" w:hAnsi="仿宋" w:eastAsia="仿宋"/>
                <w:szCs w:val="21"/>
              </w:rPr>
              <w:t>服务地址</w:t>
            </w:r>
          </w:p>
        </w:tc>
        <w:tc>
          <w:tcPr>
            <w:tcW w:w="4619" w:type="dxa"/>
            <w:gridSpan w:val="4"/>
            <w:vAlign w:val="center"/>
          </w:tcPr>
          <w:p w14:paraId="24038D4D">
            <w:pPr>
              <w:spacing w:afterLines="0" w:line="300" w:lineRule="exact"/>
              <w:jc w:val="center"/>
              <w:rPr>
                <w:rFonts w:hint="eastAsia" w:ascii="仿宋" w:hAnsi="仿宋" w:eastAsia="仿宋"/>
                <w:szCs w:val="21"/>
              </w:rPr>
            </w:pPr>
            <w:r>
              <w:rPr>
                <w:rFonts w:hint="eastAsia" w:ascii="仿宋" w:hAnsi="仿宋" w:eastAsia="仿宋"/>
                <w:szCs w:val="21"/>
              </w:rPr>
              <w:t>深圳市龙岗区丁山河水质净化厂</w:t>
            </w:r>
          </w:p>
        </w:tc>
        <w:tc>
          <w:tcPr>
            <w:tcW w:w="992" w:type="dxa"/>
            <w:gridSpan w:val="2"/>
            <w:vAlign w:val="center"/>
          </w:tcPr>
          <w:p w14:paraId="3750786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948" w:type="dxa"/>
            <w:gridSpan w:val="2"/>
          </w:tcPr>
          <w:p w14:paraId="2527A817">
            <w:pPr>
              <w:spacing w:afterLines="0"/>
              <w:jc w:val="center"/>
              <w:rPr>
                <w:rFonts w:hint="eastAsia" w:ascii="仿宋" w:hAnsi="仿宋" w:eastAsia="仿宋"/>
                <w:szCs w:val="21"/>
              </w:rPr>
            </w:pPr>
          </w:p>
        </w:tc>
      </w:tr>
      <w:tr w14:paraId="24E3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21D2891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890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39689CC7">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183" w:type="dxa"/>
            <w:gridSpan w:val="2"/>
            <w:vAlign w:val="center"/>
          </w:tcPr>
          <w:p w14:paraId="7D53614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391" w:type="dxa"/>
            <w:vAlign w:val="center"/>
          </w:tcPr>
          <w:p w14:paraId="02C7924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单位</w:t>
            </w:r>
          </w:p>
        </w:tc>
        <w:tc>
          <w:tcPr>
            <w:tcW w:w="857" w:type="dxa"/>
            <w:vAlign w:val="center"/>
          </w:tcPr>
          <w:p w14:paraId="3D42503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93" w:type="dxa"/>
            <w:gridSpan w:val="2"/>
            <w:vAlign w:val="center"/>
          </w:tcPr>
          <w:p w14:paraId="340CBD01">
            <w:pPr>
              <w:spacing w:afterLines="0" w:line="440" w:lineRule="exact"/>
              <w:jc w:val="center"/>
              <w:rPr>
                <w:rFonts w:hint="eastAsia" w:ascii="仿宋" w:hAnsi="仿宋" w:eastAsia="仿宋"/>
                <w:b/>
                <w:szCs w:val="21"/>
              </w:rPr>
            </w:pPr>
            <w:r>
              <w:rPr>
                <w:rFonts w:hint="eastAsia" w:ascii="仿宋" w:hAnsi="仿宋" w:eastAsia="仿宋"/>
                <w:b/>
                <w:szCs w:val="21"/>
              </w:rPr>
              <w:t>*含税单价（元）</w:t>
            </w:r>
          </w:p>
        </w:tc>
        <w:tc>
          <w:tcPr>
            <w:tcW w:w="1459" w:type="dxa"/>
            <w:gridSpan w:val="2"/>
            <w:vAlign w:val="center"/>
          </w:tcPr>
          <w:p w14:paraId="67BBAA79">
            <w:pPr>
              <w:spacing w:afterLines="0" w:line="440" w:lineRule="exact"/>
              <w:jc w:val="center"/>
              <w:rPr>
                <w:rFonts w:hint="eastAsia" w:ascii="仿宋" w:hAnsi="仿宋" w:eastAsia="仿宋"/>
                <w:b/>
                <w:szCs w:val="21"/>
              </w:rPr>
            </w:pPr>
            <w:r>
              <w:rPr>
                <w:rFonts w:hint="eastAsia" w:ascii="仿宋" w:hAnsi="仿宋" w:eastAsia="仿宋"/>
                <w:b/>
                <w:szCs w:val="21"/>
              </w:rPr>
              <w:t>含税小计（元）</w:t>
            </w:r>
          </w:p>
        </w:tc>
        <w:tc>
          <w:tcPr>
            <w:tcW w:w="1784" w:type="dxa"/>
            <w:vAlign w:val="center"/>
          </w:tcPr>
          <w:p w14:paraId="2587DF5E">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780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vAlign w:val="center"/>
          </w:tcPr>
          <w:p w14:paraId="16F57D11">
            <w:pPr>
              <w:pStyle w:val="58"/>
              <w:spacing w:afterLines="0" w:line="300" w:lineRule="exact"/>
              <w:ind w:firstLine="0" w:firstLineChars="0"/>
              <w:jc w:val="center"/>
              <w:rPr>
                <w:rFonts w:ascii="仿宋_GB2312" w:hAnsi="Times New Roman" w:eastAsia="仿宋_GB2312"/>
                <w:bCs/>
                <w:color w:val="000000"/>
                <w:sz w:val="22"/>
                <w:szCs w:val="22"/>
              </w:rPr>
            </w:pPr>
            <w:r>
              <w:rPr>
                <w:rFonts w:hint="eastAsia" w:ascii="仿宋_GB2312" w:hAnsi="Times New Roman" w:eastAsia="仿宋_GB2312"/>
                <w:bCs/>
                <w:color w:val="000000"/>
                <w:sz w:val="22"/>
                <w:szCs w:val="22"/>
              </w:rPr>
              <w:t>1</w:t>
            </w:r>
          </w:p>
        </w:tc>
        <w:tc>
          <w:tcPr>
            <w:tcW w:w="2183" w:type="dxa"/>
            <w:gridSpan w:val="2"/>
            <w:vAlign w:val="center"/>
          </w:tcPr>
          <w:p w14:paraId="62CBAB6C">
            <w:pPr>
              <w:widowControl/>
              <w:spacing w:after="78"/>
              <w:jc w:val="center"/>
              <w:rPr>
                <w:rFonts w:hint="eastAsia" w:ascii="仿宋" w:hAnsi="仿宋" w:eastAsia="仿宋"/>
                <w:bCs/>
                <w:color w:val="000000"/>
                <w:szCs w:val="21"/>
              </w:rPr>
            </w:pPr>
            <w:r>
              <w:rPr>
                <w:rFonts w:hint="eastAsia" w:ascii="仿宋" w:hAnsi="仿宋" w:eastAsia="仿宋"/>
                <w:kern w:val="0"/>
                <w:szCs w:val="21"/>
              </w:rPr>
              <w:t>计日工</w:t>
            </w:r>
          </w:p>
        </w:tc>
        <w:tc>
          <w:tcPr>
            <w:tcW w:w="1391" w:type="dxa"/>
            <w:vAlign w:val="center"/>
          </w:tcPr>
          <w:p w14:paraId="3A7C3B8E">
            <w:pPr>
              <w:widowControl/>
              <w:spacing w:after="78"/>
              <w:jc w:val="center"/>
              <w:rPr>
                <w:rFonts w:hint="eastAsia" w:ascii="仿宋" w:hAnsi="仿宋" w:eastAsia="仿宋" w:cs="仿宋"/>
                <w:szCs w:val="21"/>
              </w:rPr>
            </w:pPr>
            <w:r>
              <w:rPr>
                <w:rFonts w:hint="eastAsia" w:ascii="仿宋" w:hAnsi="仿宋" w:eastAsia="仿宋"/>
                <w:kern w:val="0"/>
                <w:szCs w:val="21"/>
              </w:rPr>
              <w:t>天</w:t>
            </w:r>
          </w:p>
        </w:tc>
        <w:tc>
          <w:tcPr>
            <w:tcW w:w="857" w:type="dxa"/>
            <w:vAlign w:val="center"/>
          </w:tcPr>
          <w:p w14:paraId="4B0590F3">
            <w:pPr>
              <w:widowControl/>
              <w:spacing w:after="78"/>
              <w:jc w:val="center"/>
              <w:rPr>
                <w:rFonts w:hint="eastAsia" w:ascii="仿宋" w:hAnsi="仿宋" w:eastAsia="仿宋"/>
                <w:szCs w:val="21"/>
              </w:rPr>
            </w:pPr>
            <w:r>
              <w:rPr>
                <w:rFonts w:hint="eastAsia" w:ascii="仿宋" w:hAnsi="仿宋" w:eastAsia="仿宋"/>
                <w:kern w:val="0"/>
                <w:szCs w:val="21"/>
              </w:rPr>
              <w:t>190</w:t>
            </w:r>
          </w:p>
        </w:tc>
        <w:tc>
          <w:tcPr>
            <w:tcW w:w="1393" w:type="dxa"/>
            <w:gridSpan w:val="2"/>
            <w:vAlign w:val="center"/>
          </w:tcPr>
          <w:p w14:paraId="2F96965E">
            <w:pPr>
              <w:spacing w:afterLines="0" w:line="440" w:lineRule="exact"/>
              <w:jc w:val="center"/>
              <w:rPr>
                <w:rFonts w:hint="eastAsia" w:ascii="仿宋" w:hAnsi="仿宋" w:eastAsia="仿宋"/>
                <w:sz w:val="16"/>
                <w:szCs w:val="16"/>
              </w:rPr>
            </w:pPr>
          </w:p>
        </w:tc>
        <w:tc>
          <w:tcPr>
            <w:tcW w:w="1459" w:type="dxa"/>
            <w:gridSpan w:val="2"/>
            <w:vAlign w:val="center"/>
          </w:tcPr>
          <w:p w14:paraId="3F1350B1">
            <w:pPr>
              <w:spacing w:afterLines="0" w:line="440" w:lineRule="exact"/>
              <w:jc w:val="center"/>
              <w:rPr>
                <w:rFonts w:hint="eastAsia" w:ascii="仿宋" w:hAnsi="仿宋" w:eastAsia="仿宋"/>
                <w:sz w:val="16"/>
                <w:szCs w:val="16"/>
              </w:rPr>
            </w:pPr>
          </w:p>
        </w:tc>
        <w:tc>
          <w:tcPr>
            <w:tcW w:w="1784" w:type="dxa"/>
            <w:vAlign w:val="center"/>
          </w:tcPr>
          <w:p w14:paraId="630B6726">
            <w:pPr>
              <w:pStyle w:val="41"/>
              <w:spacing w:after="78" w:line="640" w:lineRule="exact"/>
              <w:ind w:firstLine="0" w:firstLineChars="0"/>
              <w:jc w:val="center"/>
              <w:rPr>
                <w:rFonts w:hint="eastAsia" w:ascii="仿宋" w:hAnsi="仿宋" w:eastAsia="仿宋"/>
                <w:sz w:val="16"/>
                <w:szCs w:val="16"/>
              </w:rPr>
            </w:pPr>
          </w:p>
        </w:tc>
      </w:tr>
      <w:tr w14:paraId="7D6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vAlign w:val="center"/>
          </w:tcPr>
          <w:p w14:paraId="39748A43">
            <w:pPr>
              <w:pStyle w:val="58"/>
              <w:spacing w:afterLines="0" w:line="300" w:lineRule="exact"/>
              <w:ind w:firstLine="0" w:firstLineChars="0"/>
              <w:jc w:val="center"/>
              <w:rPr>
                <w:rFonts w:ascii="仿宋_GB2312" w:hAnsi="Times New Roman" w:eastAsia="仿宋_GB2312"/>
                <w:bCs/>
                <w:color w:val="000000"/>
                <w:sz w:val="22"/>
                <w:szCs w:val="22"/>
              </w:rPr>
            </w:pPr>
            <w:r>
              <w:rPr>
                <w:rFonts w:hint="eastAsia" w:ascii="仿宋_GB2312" w:hAnsi="Times New Roman" w:eastAsia="仿宋_GB2312"/>
                <w:bCs/>
                <w:color w:val="000000"/>
                <w:sz w:val="22"/>
                <w:szCs w:val="22"/>
              </w:rPr>
              <w:t>2</w:t>
            </w:r>
          </w:p>
        </w:tc>
        <w:tc>
          <w:tcPr>
            <w:tcW w:w="2183" w:type="dxa"/>
            <w:gridSpan w:val="2"/>
            <w:vAlign w:val="center"/>
          </w:tcPr>
          <w:p w14:paraId="46E8F3F9">
            <w:pPr>
              <w:widowControl/>
              <w:spacing w:after="78"/>
              <w:jc w:val="center"/>
              <w:rPr>
                <w:rFonts w:hint="eastAsia" w:ascii="仿宋" w:hAnsi="仿宋" w:eastAsia="仿宋"/>
                <w:bCs/>
                <w:color w:val="000000"/>
                <w:szCs w:val="21"/>
              </w:rPr>
            </w:pPr>
            <w:r>
              <w:rPr>
                <w:rFonts w:hint="eastAsia" w:ascii="仿宋" w:hAnsi="仿宋" w:eastAsia="仿宋"/>
                <w:kern w:val="0"/>
                <w:szCs w:val="21"/>
              </w:rPr>
              <w:t>高压冲洗车</w:t>
            </w:r>
          </w:p>
        </w:tc>
        <w:tc>
          <w:tcPr>
            <w:tcW w:w="1391" w:type="dxa"/>
            <w:vAlign w:val="center"/>
          </w:tcPr>
          <w:p w14:paraId="71E463CE">
            <w:pPr>
              <w:widowControl/>
              <w:spacing w:after="78"/>
              <w:jc w:val="center"/>
              <w:rPr>
                <w:rFonts w:hint="eastAsia" w:ascii="仿宋" w:hAnsi="仿宋" w:eastAsia="仿宋" w:cs="仿宋"/>
                <w:szCs w:val="21"/>
              </w:rPr>
            </w:pPr>
            <w:r>
              <w:rPr>
                <w:rFonts w:hint="eastAsia" w:ascii="仿宋" w:hAnsi="仿宋" w:eastAsia="仿宋"/>
                <w:kern w:val="0"/>
                <w:szCs w:val="21"/>
              </w:rPr>
              <w:t>台班</w:t>
            </w:r>
          </w:p>
        </w:tc>
        <w:tc>
          <w:tcPr>
            <w:tcW w:w="857" w:type="dxa"/>
            <w:vAlign w:val="center"/>
          </w:tcPr>
          <w:p w14:paraId="61D5D98F">
            <w:pPr>
              <w:widowControl/>
              <w:spacing w:after="78"/>
              <w:jc w:val="center"/>
              <w:rPr>
                <w:rFonts w:hint="eastAsia" w:ascii="仿宋" w:hAnsi="仿宋" w:eastAsia="仿宋"/>
                <w:szCs w:val="21"/>
                <w:lang w:eastAsia="zh-CN"/>
              </w:rPr>
            </w:pPr>
            <w:r>
              <w:rPr>
                <w:rFonts w:hint="eastAsia" w:ascii="仿宋" w:hAnsi="仿宋" w:eastAsia="仿宋"/>
                <w:kern w:val="0"/>
                <w:szCs w:val="21"/>
              </w:rPr>
              <w:t>1</w:t>
            </w:r>
            <w:r>
              <w:rPr>
                <w:rFonts w:hint="eastAsia" w:ascii="仿宋" w:hAnsi="仿宋" w:eastAsia="仿宋"/>
                <w:kern w:val="0"/>
                <w:szCs w:val="21"/>
                <w:lang w:val="en-US" w:eastAsia="zh-CN"/>
              </w:rPr>
              <w:t>5</w:t>
            </w:r>
          </w:p>
        </w:tc>
        <w:tc>
          <w:tcPr>
            <w:tcW w:w="1393" w:type="dxa"/>
            <w:gridSpan w:val="2"/>
            <w:vAlign w:val="center"/>
          </w:tcPr>
          <w:p w14:paraId="64082960">
            <w:pPr>
              <w:spacing w:afterLines="0" w:line="440" w:lineRule="exact"/>
              <w:jc w:val="center"/>
              <w:rPr>
                <w:rFonts w:hint="eastAsia" w:ascii="仿宋" w:hAnsi="仿宋" w:eastAsia="仿宋"/>
                <w:sz w:val="16"/>
                <w:szCs w:val="16"/>
              </w:rPr>
            </w:pPr>
          </w:p>
        </w:tc>
        <w:tc>
          <w:tcPr>
            <w:tcW w:w="1459" w:type="dxa"/>
            <w:gridSpan w:val="2"/>
            <w:vAlign w:val="center"/>
          </w:tcPr>
          <w:p w14:paraId="28282D54">
            <w:pPr>
              <w:spacing w:afterLines="0" w:line="440" w:lineRule="exact"/>
              <w:jc w:val="center"/>
              <w:rPr>
                <w:rFonts w:hint="eastAsia" w:ascii="仿宋" w:hAnsi="仿宋" w:eastAsia="仿宋"/>
                <w:sz w:val="16"/>
                <w:szCs w:val="16"/>
              </w:rPr>
            </w:pPr>
          </w:p>
        </w:tc>
        <w:tc>
          <w:tcPr>
            <w:tcW w:w="1784" w:type="dxa"/>
            <w:vAlign w:val="center"/>
          </w:tcPr>
          <w:p w14:paraId="285FC71C">
            <w:pPr>
              <w:pStyle w:val="41"/>
              <w:spacing w:after="78" w:line="640" w:lineRule="exact"/>
              <w:ind w:firstLine="0" w:firstLineChars="0"/>
              <w:jc w:val="center"/>
              <w:rPr>
                <w:rFonts w:hint="eastAsia" w:ascii="仿宋" w:hAnsi="仿宋" w:eastAsia="仿宋"/>
                <w:sz w:val="16"/>
                <w:szCs w:val="16"/>
              </w:rPr>
            </w:pPr>
          </w:p>
        </w:tc>
      </w:tr>
      <w:tr w14:paraId="79E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vAlign w:val="center"/>
          </w:tcPr>
          <w:p w14:paraId="56566B9A">
            <w:pPr>
              <w:pStyle w:val="58"/>
              <w:spacing w:afterLines="0" w:line="300" w:lineRule="exact"/>
              <w:ind w:firstLine="0" w:firstLineChars="0"/>
              <w:jc w:val="center"/>
              <w:rPr>
                <w:rFonts w:ascii="仿宋_GB2312" w:hAnsi="Times New Roman" w:eastAsia="仿宋_GB2312"/>
                <w:bCs/>
                <w:color w:val="000000"/>
                <w:sz w:val="22"/>
                <w:szCs w:val="22"/>
              </w:rPr>
            </w:pPr>
            <w:r>
              <w:rPr>
                <w:rFonts w:hint="eastAsia" w:ascii="仿宋_GB2312" w:hAnsi="Times New Roman" w:eastAsia="仿宋_GB2312"/>
                <w:bCs/>
                <w:color w:val="000000"/>
                <w:sz w:val="22"/>
                <w:szCs w:val="22"/>
              </w:rPr>
              <w:t>3</w:t>
            </w:r>
          </w:p>
        </w:tc>
        <w:tc>
          <w:tcPr>
            <w:tcW w:w="2183" w:type="dxa"/>
            <w:gridSpan w:val="2"/>
            <w:vAlign w:val="center"/>
          </w:tcPr>
          <w:p w14:paraId="4C6ADC5E">
            <w:pPr>
              <w:widowControl/>
              <w:spacing w:after="78"/>
              <w:jc w:val="center"/>
              <w:rPr>
                <w:rFonts w:hint="eastAsia" w:ascii="仿宋" w:hAnsi="仿宋" w:eastAsia="仿宋"/>
                <w:bCs/>
                <w:color w:val="000000"/>
                <w:szCs w:val="21"/>
              </w:rPr>
            </w:pPr>
            <w:r>
              <w:rPr>
                <w:rFonts w:hint="eastAsia" w:ascii="仿宋" w:hAnsi="仿宋" w:eastAsia="仿宋"/>
                <w:kern w:val="0"/>
                <w:szCs w:val="21"/>
              </w:rPr>
              <w:t>外运砂石、淤泥</w:t>
            </w:r>
          </w:p>
        </w:tc>
        <w:tc>
          <w:tcPr>
            <w:tcW w:w="1391" w:type="dxa"/>
            <w:vAlign w:val="center"/>
          </w:tcPr>
          <w:p w14:paraId="3A94F1CB">
            <w:pPr>
              <w:widowControl/>
              <w:spacing w:after="78"/>
              <w:jc w:val="center"/>
              <w:rPr>
                <w:rFonts w:hint="eastAsia" w:ascii="仿宋" w:hAnsi="仿宋" w:eastAsia="仿宋" w:cs="仿宋"/>
                <w:szCs w:val="21"/>
              </w:rPr>
            </w:pPr>
            <w:r>
              <w:rPr>
                <w:rFonts w:hint="eastAsia" w:ascii="仿宋" w:hAnsi="仿宋" w:eastAsia="仿宋"/>
                <w:kern w:val="0"/>
                <w:szCs w:val="21"/>
              </w:rPr>
              <w:t>立方米</w:t>
            </w:r>
          </w:p>
        </w:tc>
        <w:tc>
          <w:tcPr>
            <w:tcW w:w="857" w:type="dxa"/>
            <w:vAlign w:val="center"/>
          </w:tcPr>
          <w:p w14:paraId="7F0CC4F2">
            <w:pPr>
              <w:widowControl/>
              <w:spacing w:after="78"/>
              <w:jc w:val="center"/>
              <w:rPr>
                <w:rFonts w:hint="default" w:ascii="仿宋" w:hAnsi="仿宋" w:eastAsia="仿宋"/>
                <w:szCs w:val="21"/>
                <w:lang w:val="en-US" w:eastAsia="zh-CN"/>
              </w:rPr>
            </w:pPr>
            <w:r>
              <w:rPr>
                <w:rFonts w:hint="eastAsia" w:ascii="仿宋" w:hAnsi="仿宋" w:eastAsia="仿宋"/>
                <w:kern w:val="0"/>
                <w:szCs w:val="21"/>
                <w:lang w:val="en-US" w:eastAsia="zh-CN"/>
              </w:rPr>
              <w:t>310</w:t>
            </w:r>
          </w:p>
        </w:tc>
        <w:tc>
          <w:tcPr>
            <w:tcW w:w="1393" w:type="dxa"/>
            <w:gridSpan w:val="2"/>
            <w:vAlign w:val="center"/>
          </w:tcPr>
          <w:p w14:paraId="27EC6DB4">
            <w:pPr>
              <w:spacing w:afterLines="0" w:line="440" w:lineRule="exact"/>
              <w:jc w:val="center"/>
              <w:rPr>
                <w:rFonts w:hint="eastAsia" w:ascii="仿宋" w:hAnsi="仿宋" w:eastAsia="仿宋"/>
                <w:sz w:val="16"/>
                <w:szCs w:val="16"/>
              </w:rPr>
            </w:pPr>
          </w:p>
        </w:tc>
        <w:tc>
          <w:tcPr>
            <w:tcW w:w="1459" w:type="dxa"/>
            <w:gridSpan w:val="2"/>
            <w:vAlign w:val="center"/>
          </w:tcPr>
          <w:p w14:paraId="34395A8C">
            <w:pPr>
              <w:spacing w:afterLines="0" w:line="440" w:lineRule="exact"/>
              <w:jc w:val="center"/>
              <w:rPr>
                <w:rFonts w:hint="eastAsia" w:ascii="仿宋" w:hAnsi="仿宋" w:eastAsia="仿宋"/>
                <w:sz w:val="16"/>
                <w:szCs w:val="16"/>
              </w:rPr>
            </w:pPr>
          </w:p>
        </w:tc>
        <w:tc>
          <w:tcPr>
            <w:tcW w:w="1784" w:type="dxa"/>
            <w:vAlign w:val="center"/>
          </w:tcPr>
          <w:p w14:paraId="175383A1">
            <w:pPr>
              <w:pStyle w:val="41"/>
              <w:spacing w:after="78" w:line="640" w:lineRule="exact"/>
              <w:ind w:firstLine="0" w:firstLineChars="0"/>
              <w:jc w:val="center"/>
              <w:rPr>
                <w:rFonts w:hint="eastAsia" w:ascii="仿宋" w:hAnsi="仿宋" w:eastAsia="仿宋" w:cs="仿宋"/>
                <w:sz w:val="22"/>
                <w:szCs w:val="22"/>
                <w:lang w:bidi="ar"/>
              </w:rPr>
            </w:pPr>
          </w:p>
        </w:tc>
      </w:tr>
      <w:tr w14:paraId="23E0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vAlign w:val="center"/>
          </w:tcPr>
          <w:p w14:paraId="262180E7">
            <w:pPr>
              <w:pStyle w:val="58"/>
              <w:spacing w:afterLines="0" w:line="300" w:lineRule="exact"/>
              <w:ind w:firstLine="0" w:firstLineChars="0"/>
              <w:jc w:val="center"/>
              <w:rPr>
                <w:rFonts w:ascii="仿宋_GB2312" w:hAnsi="Times New Roman" w:eastAsia="仿宋_GB2312"/>
                <w:bCs/>
                <w:color w:val="000000"/>
                <w:sz w:val="22"/>
                <w:szCs w:val="22"/>
              </w:rPr>
            </w:pPr>
            <w:r>
              <w:rPr>
                <w:rFonts w:hint="eastAsia" w:ascii="仿宋_GB2312" w:hAnsi="Times New Roman" w:eastAsia="仿宋_GB2312"/>
                <w:bCs/>
                <w:color w:val="000000"/>
                <w:sz w:val="22"/>
                <w:szCs w:val="22"/>
              </w:rPr>
              <w:t>4</w:t>
            </w:r>
          </w:p>
        </w:tc>
        <w:tc>
          <w:tcPr>
            <w:tcW w:w="2183" w:type="dxa"/>
            <w:gridSpan w:val="2"/>
            <w:vAlign w:val="center"/>
          </w:tcPr>
          <w:p w14:paraId="6E5ADCC8">
            <w:pPr>
              <w:widowControl/>
              <w:spacing w:after="78"/>
              <w:jc w:val="center"/>
              <w:rPr>
                <w:rFonts w:hint="eastAsia" w:ascii="仿宋" w:hAnsi="仿宋" w:eastAsia="仿宋"/>
                <w:bCs/>
                <w:color w:val="000000"/>
                <w:szCs w:val="21"/>
              </w:rPr>
            </w:pPr>
            <w:r>
              <w:rPr>
                <w:rFonts w:hint="eastAsia" w:ascii="仿宋" w:hAnsi="仿宋" w:eastAsia="仿宋"/>
                <w:kern w:val="0"/>
                <w:szCs w:val="21"/>
              </w:rPr>
              <w:t>辅材</w:t>
            </w:r>
          </w:p>
        </w:tc>
        <w:tc>
          <w:tcPr>
            <w:tcW w:w="1391" w:type="dxa"/>
            <w:vAlign w:val="center"/>
          </w:tcPr>
          <w:p w14:paraId="2ED4CDB5">
            <w:pPr>
              <w:widowControl/>
              <w:spacing w:after="78"/>
              <w:jc w:val="center"/>
              <w:rPr>
                <w:rFonts w:hint="eastAsia" w:ascii="仿宋" w:hAnsi="仿宋" w:eastAsia="仿宋" w:cs="仿宋"/>
                <w:szCs w:val="21"/>
              </w:rPr>
            </w:pPr>
            <w:r>
              <w:rPr>
                <w:rFonts w:hint="eastAsia" w:ascii="仿宋" w:hAnsi="仿宋" w:eastAsia="仿宋"/>
                <w:kern w:val="0"/>
                <w:szCs w:val="21"/>
              </w:rPr>
              <w:t>项</w:t>
            </w:r>
          </w:p>
        </w:tc>
        <w:tc>
          <w:tcPr>
            <w:tcW w:w="857" w:type="dxa"/>
            <w:vAlign w:val="center"/>
          </w:tcPr>
          <w:p w14:paraId="34E465B5">
            <w:pPr>
              <w:widowControl/>
              <w:spacing w:after="78"/>
              <w:jc w:val="center"/>
              <w:rPr>
                <w:rFonts w:hint="eastAsia" w:ascii="仿宋" w:hAnsi="仿宋" w:eastAsia="仿宋"/>
                <w:szCs w:val="21"/>
              </w:rPr>
            </w:pPr>
            <w:r>
              <w:rPr>
                <w:rFonts w:hint="eastAsia" w:ascii="仿宋" w:hAnsi="仿宋" w:eastAsia="仿宋"/>
                <w:kern w:val="0"/>
                <w:szCs w:val="21"/>
              </w:rPr>
              <w:t>1</w:t>
            </w:r>
          </w:p>
        </w:tc>
        <w:tc>
          <w:tcPr>
            <w:tcW w:w="1393" w:type="dxa"/>
            <w:gridSpan w:val="2"/>
            <w:vAlign w:val="center"/>
          </w:tcPr>
          <w:p w14:paraId="391E9923">
            <w:pPr>
              <w:spacing w:afterLines="0" w:line="440" w:lineRule="exact"/>
              <w:jc w:val="center"/>
              <w:rPr>
                <w:rFonts w:hint="eastAsia" w:ascii="仿宋" w:hAnsi="仿宋" w:eastAsia="仿宋"/>
                <w:sz w:val="16"/>
                <w:szCs w:val="16"/>
              </w:rPr>
            </w:pPr>
          </w:p>
        </w:tc>
        <w:tc>
          <w:tcPr>
            <w:tcW w:w="1459" w:type="dxa"/>
            <w:gridSpan w:val="2"/>
            <w:vAlign w:val="center"/>
          </w:tcPr>
          <w:p w14:paraId="65E59906">
            <w:pPr>
              <w:spacing w:afterLines="0" w:line="440" w:lineRule="exact"/>
              <w:jc w:val="center"/>
              <w:rPr>
                <w:rFonts w:hint="eastAsia" w:ascii="仿宋" w:hAnsi="仿宋" w:eastAsia="仿宋"/>
                <w:sz w:val="16"/>
                <w:szCs w:val="16"/>
              </w:rPr>
            </w:pPr>
          </w:p>
        </w:tc>
        <w:tc>
          <w:tcPr>
            <w:tcW w:w="1784" w:type="dxa"/>
            <w:vAlign w:val="center"/>
          </w:tcPr>
          <w:p w14:paraId="342C55B2">
            <w:pPr>
              <w:pStyle w:val="41"/>
              <w:spacing w:after="78" w:line="640" w:lineRule="exact"/>
              <w:ind w:firstLine="0" w:firstLineChars="0"/>
              <w:jc w:val="center"/>
              <w:rPr>
                <w:rFonts w:hint="eastAsia" w:ascii="仿宋" w:hAnsi="仿宋" w:eastAsia="仿宋" w:cs="仿宋"/>
                <w:sz w:val="22"/>
                <w:szCs w:val="22"/>
                <w:lang w:bidi="ar"/>
              </w:rPr>
            </w:pPr>
          </w:p>
        </w:tc>
      </w:tr>
      <w:tr w14:paraId="6582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vAlign w:val="center"/>
          </w:tcPr>
          <w:p w14:paraId="6F9CB7D0">
            <w:pPr>
              <w:pStyle w:val="58"/>
              <w:spacing w:afterLines="0" w:line="300" w:lineRule="exact"/>
              <w:ind w:firstLine="0" w:firstLineChars="0"/>
              <w:jc w:val="center"/>
              <w:rPr>
                <w:rFonts w:hint="eastAsia" w:ascii="仿宋" w:hAnsi="仿宋" w:eastAsia="仿宋"/>
                <w:szCs w:val="21"/>
              </w:rPr>
            </w:pPr>
            <w:r>
              <w:rPr>
                <w:rFonts w:hint="eastAsia" w:ascii="仿宋" w:hAnsi="仿宋" w:eastAsia="仿宋"/>
                <w:szCs w:val="21"/>
              </w:rPr>
              <w:t>注</w:t>
            </w:r>
          </w:p>
        </w:tc>
        <w:tc>
          <w:tcPr>
            <w:tcW w:w="9067" w:type="dxa"/>
            <w:gridSpan w:val="9"/>
            <w:vAlign w:val="center"/>
          </w:tcPr>
          <w:p w14:paraId="6A449E85">
            <w:pPr>
              <w:spacing w:afterLines="0" w:line="440" w:lineRule="exact"/>
              <w:rPr>
                <w:rFonts w:hint="eastAsia" w:ascii="仿宋" w:hAnsi="仿宋" w:eastAsia="仿宋"/>
                <w:szCs w:val="21"/>
              </w:rPr>
            </w:pPr>
          </w:p>
        </w:tc>
      </w:tr>
      <w:tr w14:paraId="32D5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52D790A9">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3935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gridSpan w:val="2"/>
            <w:vAlign w:val="center"/>
          </w:tcPr>
          <w:p w14:paraId="4629165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619" w:type="dxa"/>
            <w:gridSpan w:val="4"/>
            <w:vAlign w:val="center"/>
          </w:tcPr>
          <w:p w14:paraId="314A601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92" w:type="dxa"/>
            <w:gridSpan w:val="2"/>
            <w:vAlign w:val="center"/>
          </w:tcPr>
          <w:p w14:paraId="0D5643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948" w:type="dxa"/>
            <w:gridSpan w:val="2"/>
            <w:vAlign w:val="center"/>
          </w:tcPr>
          <w:p w14:paraId="4160CA19">
            <w:pPr>
              <w:spacing w:afterLines="0" w:line="300" w:lineRule="exact"/>
              <w:jc w:val="center"/>
              <w:rPr>
                <w:rFonts w:hint="eastAsia" w:ascii="仿宋" w:hAnsi="仿宋" w:eastAsia="仿宋"/>
                <w:szCs w:val="21"/>
              </w:rPr>
            </w:pPr>
          </w:p>
        </w:tc>
      </w:tr>
      <w:tr w14:paraId="75A2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gridSpan w:val="2"/>
            <w:vAlign w:val="center"/>
          </w:tcPr>
          <w:p w14:paraId="65FF2BE1">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59" w:type="dxa"/>
            <w:gridSpan w:val="8"/>
            <w:vAlign w:val="center"/>
          </w:tcPr>
          <w:p w14:paraId="09434B08">
            <w:pPr>
              <w:spacing w:afterLines="0" w:line="300" w:lineRule="exact"/>
              <w:jc w:val="left"/>
              <w:rPr>
                <w:rFonts w:hint="eastAsia" w:ascii="仿宋" w:hAnsi="仿宋" w:eastAsia="仿宋"/>
                <w:szCs w:val="21"/>
              </w:rPr>
            </w:pPr>
            <w:r>
              <w:rPr>
                <w:rFonts w:ascii="仿宋" w:hAnsi="仿宋" w:eastAsia="仿宋"/>
                <w:szCs w:val="21"/>
              </w:rPr>
              <w:t>完成验收后，根据核准的工程量一次性结清实际费用</w:t>
            </w:r>
          </w:p>
        </w:tc>
      </w:tr>
      <w:tr w14:paraId="6AA2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67F6F87B">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A76639">
            <w:pPr>
              <w:spacing w:afterLines="0" w:line="300" w:lineRule="exact"/>
              <w:jc w:val="left"/>
              <w:rPr>
                <w:rFonts w:hint="eastAsia" w:ascii="仿宋" w:hAnsi="仿宋" w:eastAsia="仿宋"/>
                <w:szCs w:val="21"/>
              </w:rPr>
            </w:pPr>
            <w:r>
              <w:rPr>
                <w:rFonts w:hint="eastAsia" w:ascii="仿宋" w:hAnsi="仿宋" w:eastAsia="仿宋"/>
                <w:szCs w:val="21"/>
              </w:rPr>
              <w:t>2、供应商报价应包含完成本项目服务及合同义务所需的全部费用（含人工费、材料费、质保服务费、安全生产费、税费、装货费、运费、卸车费、保险费、废料处理费等全部费用）;</w:t>
            </w:r>
          </w:p>
          <w:p w14:paraId="19093C87">
            <w:pPr>
              <w:spacing w:afterLines="0" w:line="300" w:lineRule="exact"/>
              <w:jc w:val="left"/>
              <w:rPr>
                <w:rFonts w:hint="eastAsia" w:ascii="仿宋" w:hAnsi="仿宋" w:eastAsia="仿宋"/>
                <w:szCs w:val="21"/>
              </w:rPr>
            </w:pPr>
            <w:r>
              <w:rPr>
                <w:rFonts w:hint="eastAsia" w:ascii="仿宋" w:hAnsi="仿宋" w:eastAsia="仿宋"/>
                <w:szCs w:val="21"/>
              </w:rPr>
              <w:t>3、服务地址:</w:t>
            </w:r>
            <w:r>
              <w:rPr>
                <w:rFonts w:hint="eastAsia"/>
              </w:rPr>
              <w:t xml:space="preserve"> </w:t>
            </w:r>
            <w:r>
              <w:rPr>
                <w:rFonts w:hint="eastAsia" w:ascii="仿宋" w:hAnsi="仿宋" w:eastAsia="仿宋"/>
                <w:szCs w:val="21"/>
              </w:rPr>
              <w:t>深圳市龙岗区丁山河水质净化厂指定地点；</w:t>
            </w:r>
          </w:p>
          <w:p w14:paraId="1263B3C7">
            <w:pPr>
              <w:spacing w:afterLines="0" w:line="300" w:lineRule="exact"/>
              <w:jc w:val="left"/>
              <w:rPr>
                <w:rFonts w:hint="eastAsia" w:ascii="仿宋" w:hAnsi="仿宋" w:eastAsia="仿宋"/>
                <w:b/>
                <w:bCs/>
                <w:szCs w:val="21"/>
              </w:rPr>
            </w:pPr>
            <w:r>
              <w:rPr>
                <w:rFonts w:hint="eastAsia" w:ascii="仿宋" w:hAnsi="仿宋" w:eastAsia="仿宋"/>
                <w:szCs w:val="21"/>
              </w:rPr>
              <w:t>4、</w:t>
            </w:r>
            <w:bookmarkStart w:id="14" w:name="_Hlk187762091"/>
            <w:r>
              <w:rPr>
                <w:rFonts w:hint="eastAsia" w:ascii="仿宋" w:hAnsi="仿宋" w:eastAsia="仿宋"/>
                <w:szCs w:val="21"/>
              </w:rPr>
              <w:t>本采购项目以不含税价进行对比，</w:t>
            </w:r>
            <w:r>
              <w:rPr>
                <w:rFonts w:hint="eastAsia" w:ascii="仿宋" w:hAnsi="仿宋" w:eastAsia="仿宋"/>
                <w:b/>
                <w:bCs/>
                <w:szCs w:val="21"/>
              </w:rPr>
              <w:t>参选单位需填报不含税价及税率；</w:t>
            </w:r>
          </w:p>
          <w:p w14:paraId="15F49DA1">
            <w:pPr>
              <w:spacing w:afterLines="0" w:line="300" w:lineRule="exact"/>
              <w:jc w:val="left"/>
              <w:rPr>
                <w:rFonts w:hint="eastAsia" w:ascii="仿宋" w:hAnsi="仿宋" w:eastAsia="仿宋"/>
                <w:szCs w:val="21"/>
              </w:rPr>
            </w:pPr>
            <w:r>
              <w:rPr>
                <w:rFonts w:hint="eastAsia" w:ascii="仿宋" w:hAnsi="仿宋" w:eastAsia="仿宋"/>
                <w:szCs w:val="21"/>
              </w:rPr>
              <w:t>5、合同含税价计算方式：合同含税价=不含税价*（1+税率）；</w:t>
            </w:r>
          </w:p>
          <w:bookmarkEnd w:id="14"/>
          <w:p w14:paraId="644FF623">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7A5F6111">
      <w:pPr>
        <w:snapToGrid w:val="0"/>
        <w:spacing w:afterLines="0" w:line="360" w:lineRule="auto"/>
        <w:rPr>
          <w:rFonts w:hint="eastAsia" w:ascii="仿宋" w:hAnsi="仿宋" w:eastAsia="仿宋" w:cs="Arial"/>
        </w:rPr>
      </w:pPr>
    </w:p>
    <w:p w14:paraId="381BC88E">
      <w:pPr>
        <w:snapToGrid w:val="0"/>
        <w:spacing w:afterLines="0" w:line="360" w:lineRule="auto"/>
        <w:ind w:firstLine="525" w:firstLineChars="250"/>
        <w:jc w:val="right"/>
        <w:rPr>
          <w:rFonts w:hint="eastAsia" w:ascii="仿宋" w:hAnsi="仿宋" w:eastAsia="仿宋" w:cs="Arial"/>
        </w:rPr>
      </w:pPr>
    </w:p>
    <w:p w14:paraId="1CE9C156">
      <w:pPr>
        <w:snapToGrid w:val="0"/>
        <w:spacing w:afterLines="0" w:line="360" w:lineRule="auto"/>
        <w:ind w:firstLine="525" w:firstLineChars="250"/>
        <w:jc w:val="right"/>
        <w:rPr>
          <w:rFonts w:hint="eastAsia" w:ascii="仿宋" w:hAnsi="仿宋" w:eastAsia="仿宋" w:cs="Arial"/>
        </w:rPr>
      </w:pPr>
    </w:p>
    <w:p w14:paraId="4EAABA3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B78045">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8C07CD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5" w:name="_Toc133335897"/>
      <w:bookmarkStart w:id="16" w:name="_Toc116850266"/>
      <w:r>
        <w:rPr>
          <w:rFonts w:hint="eastAsia" w:ascii="仿宋" w:hAnsi="仿宋" w:eastAsia="仿宋"/>
          <w:b/>
          <w:bCs/>
          <w:kern w:val="0"/>
          <w:sz w:val="24"/>
        </w:rPr>
        <w:t>响应供应商认为有必要提供的其他材料</w:t>
      </w:r>
      <w:bookmarkEnd w:id="15"/>
      <w:bookmarkEnd w:id="16"/>
    </w:p>
    <w:p w14:paraId="1B81BFD6">
      <w:pPr>
        <w:spacing w:after="78" w:line="288" w:lineRule="auto"/>
        <w:rPr>
          <w:rFonts w:hint="eastAsia" w:ascii="仿宋" w:hAnsi="仿宋" w:eastAsia="仿宋"/>
          <w:b/>
          <w:szCs w:val="21"/>
        </w:rPr>
      </w:pPr>
    </w:p>
    <w:p w14:paraId="5BA94105">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舒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宋体"/>
        <w:sz w:val="21"/>
        <w:szCs w:val="24"/>
        <w:lang w:val="en-US" w:eastAsia="zh-CN" w:bidi="ar-SA"/>
      </w:rPr>
      <w:id w:val="147479389"/>
    </w:sdtPr>
    <w:sdtEndPr>
      <w:rPr>
        <w:rFonts w:ascii="Times New Roman" w:hAnsi="Times New Roman" w:eastAsia="宋体" w:cs="Times New Roman"/>
        <w:kern w:val="2"/>
        <w:sz w:val="18"/>
        <w:szCs w:val="18"/>
        <w:lang w:val="en-US" w:eastAsia="zh-CN" w:bidi="ar-SA"/>
      </w:rPr>
    </w:sdtEndPr>
    <w:sdtContent>
      <w:p w14:paraId="7DE6E500">
        <w:pPr>
          <w:shd w:val="clear" w:color="auto" w:fill="FFFFFF"/>
          <w:tabs>
            <w:tab w:val="left" w:pos="426"/>
            <w:tab w:val="center" w:pos="4153"/>
            <w:tab w:val="right" w:pos="8306"/>
          </w:tabs>
          <w:adjustRightInd w:val="0"/>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en-US" w:eastAsia="zh-CN" w:bidi="ar-SA"/>
          </w:rPr>
          <w:fldChar w:fldCharType="end"/>
        </w:r>
      </w:p>
    </w:sdtContent>
  </w:sdt>
  <w:p w14:paraId="48667F2E">
    <w:pPr>
      <w:shd w:val="clear" w:color="auto" w:fill="FFFFFF"/>
      <w:tabs>
        <w:tab w:val="left" w:pos="426"/>
        <w:tab w:val="center" w:pos="4153"/>
        <w:tab w:val="right" w:pos="8306"/>
      </w:tabs>
      <w:adjustRightInd w:val="0"/>
      <w:snapToGrid w:val="0"/>
      <w:spacing w:line="360" w:lineRule="auto"/>
      <w:ind w:right="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DBE">
    <w:pPr>
      <w:framePr w:wrap="around" w:vAnchor="text" w:hAnchor="margin" w:xAlign="right" w:y="1"/>
      <w:shd w:val="clear" w:color="auto" w:fill="FFFFFF"/>
      <w:tabs>
        <w:tab w:val="left" w:pos="426"/>
        <w:tab w:val="center" w:pos="4153"/>
        <w:tab w:val="right" w:pos="8306"/>
      </w:tabs>
      <w:adjustRightInd w:val="0"/>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宋体" w:hAnsi="宋体" w:eastAsia="宋体" w:cs="宋体"/>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宋体" w:hAnsi="宋体" w:eastAsia="宋体" w:cs="宋体"/>
        <w:kern w:val="2"/>
        <w:sz w:val="21"/>
        <w:szCs w:val="24"/>
        <w:lang w:val="en-US" w:eastAsia="zh-CN" w:bidi="ar-SA"/>
      </w:rPr>
      <w:t>12</w:t>
    </w:r>
    <w:r>
      <w:rPr>
        <w:rFonts w:ascii="Times New Roman" w:hAnsi="Times New Roman" w:eastAsia="宋体" w:cs="Times New Roman"/>
        <w:kern w:val="2"/>
        <w:sz w:val="18"/>
        <w:szCs w:val="18"/>
        <w:lang w:val="en-US" w:eastAsia="zh-CN" w:bidi="ar-SA"/>
      </w:rPr>
      <w:fldChar w:fldCharType="end"/>
    </w:r>
  </w:p>
  <w:p w14:paraId="5438CBC5">
    <w:pPr>
      <w:shd w:val="clear" w:color="auto" w:fill="FFFFFF"/>
      <w:tabs>
        <w:tab w:val="left" w:pos="426"/>
        <w:tab w:val="center" w:pos="4153"/>
        <w:tab w:val="right" w:pos="8306"/>
      </w:tabs>
      <w:adjustRightInd w:val="0"/>
      <w:snapToGrid w:val="0"/>
      <w:spacing w:line="360" w:lineRule="auto"/>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cs="宋体"/>
      </w:rPr>
      <w:id w:val="147460407"/>
    </w:sdtPr>
    <w:sdtEndPr>
      <w:rPr>
        <w:rFonts w:ascii="Times New Roman" w:hAnsi="Times New Roman" w:cs="Times New Roman"/>
        <w:sz w:val="18"/>
        <w:szCs w:val="18"/>
      </w:rPr>
    </w:sdtEndPr>
    <w:sdtContent>
      <w:p w14:paraId="3515C969">
        <w:pPr>
          <w:shd w:val="clear" w:color="auto" w:fill="FFFFFF"/>
          <w:tabs>
            <w:tab w:val="left" w:pos="426"/>
            <w:tab w:val="center" w:pos="4153"/>
            <w:tab w:val="right" w:pos="8306"/>
          </w:tabs>
          <w:adjustRightInd w:val="0"/>
          <w:snapToGrid w:val="0"/>
          <w:spacing w:after="60" w:line="360" w:lineRule="auto"/>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2</w:t>
        </w:r>
        <w:r>
          <w:rPr>
            <w:rFonts w:ascii="Times New Roman" w:hAnsi="Times New Roman"/>
            <w:sz w:val="18"/>
            <w:szCs w:val="18"/>
          </w:rPr>
          <w:fldChar w:fldCharType="end"/>
        </w:r>
      </w:p>
    </w:sdtContent>
  </w:sdt>
  <w:p w14:paraId="7CA0B349">
    <w:pPr>
      <w:shd w:val="clear" w:color="auto" w:fill="FFFFFF"/>
      <w:tabs>
        <w:tab w:val="left" w:pos="426"/>
        <w:tab w:val="center" w:pos="4153"/>
        <w:tab w:val="right" w:pos="8306"/>
      </w:tabs>
      <w:adjustRightInd w:val="0"/>
      <w:snapToGrid w:val="0"/>
      <w:spacing w:after="60" w:line="360" w:lineRule="auto"/>
      <w:ind w:right="360"/>
      <w:jc w:val="left"/>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3279">
    <w:pPr>
      <w:framePr w:wrap="around" w:vAnchor="text" w:hAnchor="margin" w:xAlign="right" w:y="1"/>
      <w:shd w:val="clear" w:color="auto" w:fill="FFFFFF"/>
      <w:tabs>
        <w:tab w:val="left" w:pos="426"/>
        <w:tab w:val="center" w:pos="4153"/>
        <w:tab w:val="right" w:pos="8306"/>
      </w:tabs>
      <w:adjustRightInd w:val="0"/>
      <w:snapToGrid w:val="0"/>
      <w:spacing w:after="60" w:line="360" w:lineRule="auto"/>
      <w:jc w:val="left"/>
      <w:rPr>
        <w:rFonts w:ascii="Times New Roman" w:hAnsi="Times New Roman"/>
        <w:sz w:val="18"/>
        <w:szCs w:val="18"/>
      </w:rPr>
    </w:pPr>
    <w:r>
      <w:rPr>
        <w:rFonts w:ascii="Times New Roman" w:hAnsi="Times New Roman"/>
        <w:sz w:val="18"/>
        <w:szCs w:val="18"/>
      </w:rPr>
      <w:fldChar w:fldCharType="begin"/>
    </w:r>
    <w:r>
      <w:rPr>
        <w:rFonts w:ascii="宋体" w:hAnsi="宋体" w:cs="宋体"/>
      </w:rPr>
      <w:instrText xml:space="preserve">PAGE  </w:instrText>
    </w:r>
    <w:r>
      <w:rPr>
        <w:rFonts w:ascii="Times New Roman" w:hAnsi="Times New Roman"/>
        <w:sz w:val="18"/>
        <w:szCs w:val="18"/>
      </w:rPr>
      <w:fldChar w:fldCharType="separate"/>
    </w:r>
    <w:r>
      <w:rPr>
        <w:rFonts w:ascii="Times New Roman" w:hAnsi="Times New Roman"/>
        <w:sz w:val="18"/>
        <w:szCs w:val="18"/>
      </w:rPr>
      <w:fldChar w:fldCharType="end"/>
    </w:r>
  </w:p>
  <w:p w14:paraId="1C7D9CF7">
    <w:pPr>
      <w:shd w:val="clear" w:color="auto" w:fill="FFFFFF"/>
      <w:tabs>
        <w:tab w:val="left" w:pos="426"/>
        <w:tab w:val="center" w:pos="4153"/>
        <w:tab w:val="right" w:pos="8306"/>
      </w:tabs>
      <w:adjustRightInd w:val="0"/>
      <w:snapToGrid w:val="0"/>
      <w:spacing w:after="60" w:line="360" w:lineRule="auto"/>
      <w:ind w:right="360"/>
      <w:jc w:val="left"/>
      <w:rPr>
        <w:rFonts w:ascii="Times New Roman" w:hAnsi="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267FD43">
        <w:pPr>
          <w:pStyle w:val="13"/>
          <w:spacing w:after="60"/>
        </w:pPr>
        <w:r>
          <w:t xml:space="preserve">     </w:t>
        </w:r>
      </w:p>
    </w:sdtContent>
  </w:sdt>
  <w:p w14:paraId="6A6B98E0">
    <w:pPr>
      <w:spacing w:after="6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5501">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182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26B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CC0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FB50">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3F6B8E"/>
    <w:rsid w:val="003F7FB6"/>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49E4"/>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57F6"/>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10F"/>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2F39"/>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9C1"/>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1533E7"/>
    <w:rsid w:val="05F8014F"/>
    <w:rsid w:val="06AC12EF"/>
    <w:rsid w:val="06DF0467"/>
    <w:rsid w:val="06F9F432"/>
    <w:rsid w:val="084F7ABA"/>
    <w:rsid w:val="08A87BEE"/>
    <w:rsid w:val="08DB330B"/>
    <w:rsid w:val="0A886720"/>
    <w:rsid w:val="0B0E30C9"/>
    <w:rsid w:val="0CC97A17"/>
    <w:rsid w:val="0D7F8C1E"/>
    <w:rsid w:val="0DAFDDD2"/>
    <w:rsid w:val="0E6B6F0D"/>
    <w:rsid w:val="0FD61205"/>
    <w:rsid w:val="10B93AD7"/>
    <w:rsid w:val="10DD77C5"/>
    <w:rsid w:val="11F508E9"/>
    <w:rsid w:val="12B72298"/>
    <w:rsid w:val="13165211"/>
    <w:rsid w:val="13AFEC81"/>
    <w:rsid w:val="161B3F59"/>
    <w:rsid w:val="17A305D2"/>
    <w:rsid w:val="19A00859"/>
    <w:rsid w:val="19C91652"/>
    <w:rsid w:val="1A2241B6"/>
    <w:rsid w:val="1B3C6FE2"/>
    <w:rsid w:val="1B3FC108"/>
    <w:rsid w:val="1BBF5AD0"/>
    <w:rsid w:val="1BFB4A9B"/>
    <w:rsid w:val="1BFE3282"/>
    <w:rsid w:val="1CDF630E"/>
    <w:rsid w:val="1D8C1793"/>
    <w:rsid w:val="1DC4251B"/>
    <w:rsid w:val="1EB24BAC"/>
    <w:rsid w:val="1ECA784C"/>
    <w:rsid w:val="1F0F1A56"/>
    <w:rsid w:val="1F7F9C30"/>
    <w:rsid w:val="1FB39FF7"/>
    <w:rsid w:val="1FB54372"/>
    <w:rsid w:val="1FFF4E3F"/>
    <w:rsid w:val="21A2429C"/>
    <w:rsid w:val="238C1B25"/>
    <w:rsid w:val="24574DD9"/>
    <w:rsid w:val="24A55982"/>
    <w:rsid w:val="257FF5EF"/>
    <w:rsid w:val="268016F7"/>
    <w:rsid w:val="279252BE"/>
    <w:rsid w:val="27BED872"/>
    <w:rsid w:val="27CE2AF4"/>
    <w:rsid w:val="27E54528"/>
    <w:rsid w:val="28781624"/>
    <w:rsid w:val="2991100F"/>
    <w:rsid w:val="29E9B391"/>
    <w:rsid w:val="2AE06094"/>
    <w:rsid w:val="2AFDB16C"/>
    <w:rsid w:val="2B7D8E96"/>
    <w:rsid w:val="2B9B7C50"/>
    <w:rsid w:val="2C87EFA4"/>
    <w:rsid w:val="2CEFA2BD"/>
    <w:rsid w:val="2D9E346A"/>
    <w:rsid w:val="2EFA5DEF"/>
    <w:rsid w:val="2EFF028F"/>
    <w:rsid w:val="2EFF0385"/>
    <w:rsid w:val="2FDFB298"/>
    <w:rsid w:val="2FEBB001"/>
    <w:rsid w:val="30BF60A9"/>
    <w:rsid w:val="30EE09A0"/>
    <w:rsid w:val="31372F12"/>
    <w:rsid w:val="322D045F"/>
    <w:rsid w:val="33207DEE"/>
    <w:rsid w:val="34081AC5"/>
    <w:rsid w:val="340E3EBE"/>
    <w:rsid w:val="342A4220"/>
    <w:rsid w:val="36B91E0A"/>
    <w:rsid w:val="36D679D7"/>
    <w:rsid w:val="371A2CE9"/>
    <w:rsid w:val="377B856B"/>
    <w:rsid w:val="37FEEEDA"/>
    <w:rsid w:val="391FB7C6"/>
    <w:rsid w:val="3956852C"/>
    <w:rsid w:val="397D4866"/>
    <w:rsid w:val="3A3B0BB3"/>
    <w:rsid w:val="3A51BFC5"/>
    <w:rsid w:val="3A7647DA"/>
    <w:rsid w:val="3AA67002"/>
    <w:rsid w:val="3AFD93B8"/>
    <w:rsid w:val="3B1F391F"/>
    <w:rsid w:val="3B404BC5"/>
    <w:rsid w:val="3B459C86"/>
    <w:rsid w:val="3B5F884B"/>
    <w:rsid w:val="3B95BADD"/>
    <w:rsid w:val="3BB63803"/>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1B773F"/>
    <w:rsid w:val="417EEE12"/>
    <w:rsid w:val="42652233"/>
    <w:rsid w:val="44292F68"/>
    <w:rsid w:val="46AD4503"/>
    <w:rsid w:val="473F1E4D"/>
    <w:rsid w:val="477F8B44"/>
    <w:rsid w:val="492F003E"/>
    <w:rsid w:val="499248EA"/>
    <w:rsid w:val="49C317F9"/>
    <w:rsid w:val="4ACDDF1D"/>
    <w:rsid w:val="4BBA3990"/>
    <w:rsid w:val="4DAC2D37"/>
    <w:rsid w:val="4DFF1032"/>
    <w:rsid w:val="4EFDA9D6"/>
    <w:rsid w:val="4EFF30A2"/>
    <w:rsid w:val="4F0D6048"/>
    <w:rsid w:val="4F10078B"/>
    <w:rsid w:val="4F155DA1"/>
    <w:rsid w:val="4F4F0D8E"/>
    <w:rsid w:val="4FF9BA94"/>
    <w:rsid w:val="4FFC2348"/>
    <w:rsid w:val="54AB25EF"/>
    <w:rsid w:val="557F0F30"/>
    <w:rsid w:val="559E5CE3"/>
    <w:rsid w:val="56C20C14"/>
    <w:rsid w:val="56DD8954"/>
    <w:rsid w:val="570959A2"/>
    <w:rsid w:val="5718258C"/>
    <w:rsid w:val="57AFC3C2"/>
    <w:rsid w:val="58E24953"/>
    <w:rsid w:val="599A28C8"/>
    <w:rsid w:val="59FF3A15"/>
    <w:rsid w:val="5AFFC0B6"/>
    <w:rsid w:val="5BFAA3C6"/>
    <w:rsid w:val="5C163B75"/>
    <w:rsid w:val="5C2F6274"/>
    <w:rsid w:val="5C451348"/>
    <w:rsid w:val="5C554EFF"/>
    <w:rsid w:val="5D69DE7E"/>
    <w:rsid w:val="5D7BEC1C"/>
    <w:rsid w:val="5DDB0F78"/>
    <w:rsid w:val="5E737D05"/>
    <w:rsid w:val="5E746D3A"/>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5B1164A"/>
    <w:rsid w:val="66261652"/>
    <w:rsid w:val="667E7C49"/>
    <w:rsid w:val="66B93803"/>
    <w:rsid w:val="67194FDD"/>
    <w:rsid w:val="6775E9D8"/>
    <w:rsid w:val="67F565AC"/>
    <w:rsid w:val="67F73327"/>
    <w:rsid w:val="68B20EDC"/>
    <w:rsid w:val="68FA8082"/>
    <w:rsid w:val="69BF38A2"/>
    <w:rsid w:val="69EFC425"/>
    <w:rsid w:val="6A236290"/>
    <w:rsid w:val="6A734BFB"/>
    <w:rsid w:val="6ACFA4E7"/>
    <w:rsid w:val="6B86ABFC"/>
    <w:rsid w:val="6BA92576"/>
    <w:rsid w:val="6BBD76DF"/>
    <w:rsid w:val="6BDA34B9"/>
    <w:rsid w:val="6BEF6F0A"/>
    <w:rsid w:val="6BF6364D"/>
    <w:rsid w:val="6C0B12C7"/>
    <w:rsid w:val="6C731664"/>
    <w:rsid w:val="6C9A6B64"/>
    <w:rsid w:val="6CD839F6"/>
    <w:rsid w:val="6CF75AD6"/>
    <w:rsid w:val="6D350F65"/>
    <w:rsid w:val="6D36FBAA"/>
    <w:rsid w:val="6DE7364E"/>
    <w:rsid w:val="6DF8FC16"/>
    <w:rsid w:val="6DFAD7F2"/>
    <w:rsid w:val="6DFE24B9"/>
    <w:rsid w:val="6E3B0980"/>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C1514E"/>
    <w:rsid w:val="73EFA308"/>
    <w:rsid w:val="73F957F0"/>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832F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1B0D2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link w:val="69"/>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正文文本缩进 字符"/>
    <w:basedOn w:val="22"/>
    <w:link w:val="9"/>
    <w:qFormat/>
    <w:uiPriority w:val="0"/>
    <w:rPr>
      <w:rFonts w:hint="default" w:ascii="Calibri" w:hAnsi="Calibri" w:cs="Calibri"/>
      <w:kern w:val="2"/>
      <w:sz w:val="21"/>
      <w:szCs w:val="22"/>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
    <w:name w:val="三级标题"/>
    <w:basedOn w:val="31"/>
    <w:qFormat/>
    <w:uiPriority w:val="0"/>
    <w:pPr>
      <w:widowControl/>
      <w:shd w:val="clear" w:color="auto" w:fill="FFFFFF"/>
      <w:tabs>
        <w:tab w:val="left" w:pos="340"/>
        <w:tab w:val="left" w:pos="426"/>
      </w:tabs>
      <w:adjustRightInd w:val="0"/>
      <w:snapToGrid w:val="0"/>
      <w:spacing w:line="360" w:lineRule="auto"/>
      <w:jc w:val="left"/>
      <w:outlineLvl w:val="2"/>
    </w:pPr>
    <w:rPr>
      <w:rFonts w:ascii="黑体" w:hAnsi="黑体" w:eastAsia="黑体"/>
      <w:sz w:val="24"/>
      <w:szCs w:val="32"/>
    </w:rPr>
  </w:style>
  <w:style w:type="paragraph" w:customStyle="1" w:styleId="72">
    <w:name w:val="￥正文"/>
    <w:basedOn w:val="1"/>
    <w:autoRedefine/>
    <w:qFormat/>
    <w:uiPriority w:val="0"/>
    <w:pPr>
      <w:tabs>
        <w:tab w:val="left" w:pos="426"/>
      </w:tabs>
      <w:ind w:firstLine="216" w:firstLineChars="90"/>
    </w:pPr>
    <w:rPr>
      <w:rFonts w:ascii="Calibri" w:hAnsi="Calibri"/>
      <w:sz w:val="24"/>
      <w:szCs w:val="20"/>
    </w:rPr>
  </w:style>
  <w:style w:type="paragraph" w:customStyle="1" w:styleId="73">
    <w:name w:val="二级标题"/>
    <w:basedOn w:val="31"/>
    <w:autoRedefine/>
    <w:qFormat/>
    <w:uiPriority w:val="0"/>
    <w:pPr>
      <w:tabs>
        <w:tab w:val="left" w:pos="340"/>
        <w:tab w:val="left" w:pos="426"/>
      </w:tabs>
      <w:spacing w:line="480" w:lineRule="auto"/>
      <w:ind w:firstLine="0" w:firstLineChars="0"/>
      <w:jc w:val="center"/>
      <w:outlineLvl w:val="1"/>
    </w:pPr>
    <w:rPr>
      <w:rFonts w:ascii="黑体" w:hAnsi="黑体" w:eastAsia="黑体"/>
      <w:sz w:val="36"/>
      <w:szCs w:val="36"/>
    </w:rPr>
  </w:style>
  <w:style w:type="paragraph" w:customStyle="1" w:styleId="74">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13648</Words>
  <Characters>14171</Characters>
  <Lines>12</Lines>
  <Paragraphs>30</Paragraphs>
  <TotalTime>11</TotalTime>
  <ScaleCrop>false</ScaleCrop>
  <LinksUpToDate>false</LinksUpToDate>
  <CharactersWithSpaces>14494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涂建华</cp:lastModifiedBy>
  <cp:lastPrinted>2025-03-04T09:11:00Z</cp:lastPrinted>
  <dcterms:modified xsi:type="dcterms:W3CDTF">2025-04-15T01:24:21Z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