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8"/>
        <w:jc w:val="center"/>
        <w:rPr>
          <w:rFonts w:ascii="Times New Roman" w:hAnsi="Times New Roman" w:eastAsia="方正小标宋简体"/>
          <w:bCs/>
          <w:sz w:val="32"/>
          <w:szCs w:val="32"/>
        </w:rPr>
      </w:pPr>
      <w:bookmarkStart w:id="63" w:name="_GoBack"/>
      <w:bookmarkEnd w:id="63"/>
    </w:p>
    <w:p>
      <w:pPr>
        <w:pStyle w:val="65"/>
        <w:spacing w:after="78"/>
        <w:rPr>
          <w:rFonts w:ascii="Times New Roman" w:hAnsi="Times New Roman" w:eastAsia="方正小标宋简体"/>
          <w:bCs/>
          <w:sz w:val="32"/>
          <w:szCs w:val="32"/>
        </w:rPr>
      </w:pPr>
    </w:p>
    <w:p>
      <w:pPr>
        <w:pStyle w:val="65"/>
        <w:spacing w:after="78"/>
        <w:rPr>
          <w:rFonts w:ascii="Times New Roman" w:hAnsi="Times New Roman" w:eastAsia="方正小标宋简体"/>
          <w:bCs/>
          <w:sz w:val="32"/>
          <w:szCs w:val="32"/>
        </w:rPr>
      </w:pPr>
    </w:p>
    <w:p>
      <w:pPr>
        <w:spacing w:after="78"/>
        <w:jc w:val="center"/>
        <w:rPr>
          <w:rFonts w:ascii="Times New Roman" w:hAnsi="Times New Roman" w:eastAsia="长城小"/>
          <w:b/>
          <w:sz w:val="44"/>
          <w:szCs w:val="44"/>
        </w:rPr>
      </w:pPr>
    </w:p>
    <w:p>
      <w:pPr>
        <w:spacing w:after="78"/>
        <w:jc w:val="center"/>
        <w:rPr>
          <w:rFonts w:ascii="Times New Roman" w:hAnsi="Times New Roman" w:eastAsia="长城小"/>
          <w:b/>
          <w:sz w:val="44"/>
          <w:szCs w:val="44"/>
        </w:rPr>
      </w:pPr>
    </w:p>
    <w:p>
      <w:pPr>
        <w:spacing w:after="78"/>
        <w:jc w:val="center"/>
        <w:rPr>
          <w:rFonts w:ascii="Times New Roman" w:hAnsi="Times New Roman" w:eastAsia="长城小"/>
          <w:b/>
          <w:sz w:val="44"/>
          <w:szCs w:val="44"/>
        </w:rPr>
      </w:pPr>
    </w:p>
    <w:p>
      <w:pPr>
        <w:spacing w:after="78"/>
        <w:rPr>
          <w:rFonts w:ascii="Times New Roman" w:hAnsi="Times New Roman" w:eastAsia="长城小"/>
          <w:b/>
          <w:sz w:val="44"/>
          <w:szCs w:val="44"/>
        </w:rPr>
      </w:pPr>
    </w:p>
    <w:p>
      <w:pPr>
        <w:spacing w:after="78" w:line="640" w:lineRule="exact"/>
        <w:jc w:val="center"/>
      </w:pPr>
      <w:r>
        <w:rPr>
          <w:rFonts w:hint="eastAsia" w:ascii="Times New Roman" w:hAnsi="Times New Roman" w:eastAsia="长城小标宋体"/>
          <w:b/>
          <w:bCs/>
          <w:sz w:val="44"/>
          <w:szCs w:val="44"/>
        </w:rPr>
        <w:t>深圳市深水水务咨询有限公司</w:t>
      </w:r>
    </w:p>
    <w:p>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汕头区域螺杆泵配件采购项目</w:t>
      </w:r>
    </w:p>
    <w:p>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spacing w:after="78"/>
      </w:pP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pStyle w:val="9"/>
        <w:rPr>
          <w:rFonts w:ascii="Times New Roman" w:hAnsi="Times New Roman" w:eastAsia="方正小标宋简体"/>
          <w:sz w:val="32"/>
          <w:szCs w:val="32"/>
        </w:rPr>
      </w:pPr>
    </w:p>
    <w:p>
      <w:pPr>
        <w:spacing w:after="78"/>
      </w:pPr>
    </w:p>
    <w:p>
      <w:pPr>
        <w:pStyle w:val="9"/>
      </w:pPr>
    </w:p>
    <w:p>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pPr>
        <w:pStyle w:val="42"/>
        <w:spacing w:afterLines="0" w:line="640" w:lineRule="exact"/>
        <w:ind w:firstLine="560"/>
        <w:rPr>
          <w:rFonts w:eastAsia="黑体"/>
          <w:sz w:val="28"/>
          <w:szCs w:val="28"/>
        </w:rPr>
      </w:pPr>
      <w:r>
        <w:rPr>
          <w:rFonts w:hint="eastAsia" w:eastAsia="黑体"/>
          <w:sz w:val="28"/>
          <w:szCs w:val="28"/>
        </w:rPr>
        <w:t>一、供货内容</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lang w:eastAsia="zh-CN"/>
        </w:rPr>
        <w:t>汕头区域螺杆泵配件采购项目</w:t>
      </w:r>
      <w:r>
        <w:rPr>
          <w:rFonts w:hint="eastAsia" w:ascii="Times New Roman" w:hAnsi="Times New Roman" w:eastAsia="仿宋_GB2312"/>
          <w:bCs/>
          <w:color w:val="000000"/>
          <w:sz w:val="28"/>
          <w:szCs w:val="28"/>
        </w:rPr>
        <w:t>。</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（二）采购需求：</w:t>
      </w:r>
    </w:p>
    <w:tbl>
      <w:tblPr>
        <w:tblStyle w:val="22"/>
        <w:tblW w:w="49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1"/>
        <w:gridCol w:w="2325"/>
        <w:gridCol w:w="2010"/>
        <w:gridCol w:w="166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品名</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NM090SY03S18V</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高压泵定子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耐磨NBR丁晴橡胶</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高压泵转子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304不锈钢+碳化钨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高压泵配套连接杆</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万向节组件</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机械密封</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合金弹簧</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NM105BY02S12V</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低压泵定子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耐磨NBR丁晴橡胶</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低压泵转子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304不锈钢+碳化钨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低压泵配套连接杆</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万向节组件</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机械密封</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合金弹簧</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NM105BY01L06B</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低压泵定子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耐磨NBR丁晴橡胶</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低压泵转子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304不锈钢+碳化钨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低压泵配套连接杆</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万向节组件</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机械密封</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合金弹簧</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NM090BY03S12B</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高压泵定子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耐磨NBR丁晴橡胶</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高压泵转子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304不锈钢+碳化钨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高压泵配套连接杆</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万向节组件</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机械密封</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合金弹簧</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BN35-12E</w:t>
            </w: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高压泵定子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耐磨NBR丁晴橡胶</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高压泵转子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304不锈钢+碳化钨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高压泵配套连接杆</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万向节组件</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机械密封</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合金弹簧</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BN130-6L</w:t>
            </w:r>
          </w:p>
        </w:tc>
        <w:tc>
          <w:tcPr>
            <w:tcW w:w="125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低压泵定子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耐磨NBR丁晴橡胶</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低压泵转子</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304不锈钢+碳化钨</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低压泵配套连接杆</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传动轴</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万向节组件</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125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机械密封</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合金弹簧</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1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宋体" w:hAnsi="宋体" w:eastAsia="宋体" w:cs="宋体"/>
                <w:i w:val="0"/>
                <w:iCs w:val="0"/>
                <w:color w:val="000000"/>
                <w:sz w:val="20"/>
                <w:szCs w:val="20"/>
                <w:u w:val="none"/>
              </w:rPr>
            </w:pPr>
          </w:p>
        </w:tc>
        <w:tc>
          <w:tcPr>
            <w:tcW w:w="2345"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现场安装</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bl>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eastAsia="仿宋_GB2312"/>
          <w:bCs/>
          <w:color w:val="000000"/>
          <w:sz w:val="28"/>
          <w:szCs w:val="28"/>
        </w:rPr>
        <w:t>（一）</w:t>
      </w:r>
      <w:r>
        <w:rPr>
          <w:rFonts w:hint="eastAsia" w:ascii="Times New Roman" w:hAnsi="Times New Roman" w:eastAsia="仿宋_GB2312"/>
          <w:bCs/>
          <w:color w:val="000000"/>
          <w:sz w:val="28"/>
          <w:szCs w:val="28"/>
        </w:rPr>
        <w:t>本项目的报价</w:t>
      </w:r>
      <w:bookmarkStart w:id="0" w:name="_Hlk180657437"/>
      <w:r>
        <w:rPr>
          <w:rFonts w:hint="eastAsia" w:ascii="Times New Roman" w:hAnsi="Times New Roman" w:eastAsia="仿宋_GB2312"/>
          <w:bCs/>
          <w:color w:val="000000"/>
          <w:sz w:val="28"/>
          <w:szCs w:val="28"/>
        </w:rPr>
        <w:t>为货物经采购人验收合格并交付使用所有可能发生的全部费用，包括货物送达采购人指定地点、经采购人验收合格及售后服务等所有可能发生的费用，包括货物费用、运输费（分批次送货）、装卸费（卸到指定地点）、利润、管理、采保、13%增值税费、质量保证期内验收费及售后服务等所有可能发生的费用。</w:t>
      </w:r>
      <w:bookmarkEnd w:id="0"/>
    </w:p>
    <w:p>
      <w:pPr>
        <w:widowControl/>
        <w:spacing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（三）</w:t>
      </w:r>
      <w:r>
        <w:rPr>
          <w:rFonts w:hint="eastAsia" w:ascii="仿宋_GB2312" w:hAnsi="仿宋_GB2312" w:eastAsia="仿宋_GB2312" w:cs="仿宋_GB2312"/>
          <w:bCs/>
          <w:color w:val="000000"/>
          <w:sz w:val="28"/>
          <w:szCs w:val="28"/>
        </w:rPr>
        <w:t>交货时间：成交供应商接到</w:t>
      </w:r>
      <w:bookmarkStart w:id="1" w:name="_Hlk180657476"/>
      <w:r>
        <w:rPr>
          <w:rFonts w:hint="eastAsia" w:ascii="仿宋_GB2312" w:hAnsi="仿宋_GB2312" w:eastAsia="仿宋_GB2312" w:cs="仿宋_GB2312"/>
          <w:bCs/>
          <w:color w:val="000000"/>
          <w:sz w:val="28"/>
          <w:szCs w:val="28"/>
        </w:rPr>
        <w:t>采购人的供货通知后须</w:t>
      </w:r>
      <w:r>
        <w:rPr>
          <w:rFonts w:hint="eastAsia" w:ascii="仿宋_GB2312" w:hAnsi="仿宋_GB2312" w:eastAsia="仿宋_GB2312" w:cs="仿宋_GB2312"/>
          <w:b/>
          <w:color w:val="000000"/>
          <w:sz w:val="28"/>
          <w:szCs w:val="28"/>
          <w:lang w:val="en-US" w:eastAsia="zh-CN"/>
        </w:rPr>
        <w:t>一周</w:t>
      </w:r>
      <w:r>
        <w:rPr>
          <w:rFonts w:hint="eastAsia" w:ascii="仿宋_GB2312" w:hAnsi="仿宋_GB2312" w:eastAsia="仿宋_GB2312" w:cs="仿宋_GB2312"/>
          <w:b/>
          <w:color w:val="000000"/>
          <w:sz w:val="28"/>
          <w:szCs w:val="28"/>
        </w:rPr>
        <w:t>内</w:t>
      </w:r>
      <w:r>
        <w:rPr>
          <w:rFonts w:hint="eastAsia" w:ascii="仿宋_GB2312" w:hAnsi="仿宋_GB2312" w:eastAsia="仿宋_GB2312" w:cs="仿宋_GB2312"/>
          <w:bCs/>
          <w:color w:val="000000"/>
          <w:sz w:val="28"/>
          <w:szCs w:val="28"/>
        </w:rPr>
        <w:t>送达</w:t>
      </w:r>
      <w:bookmarkEnd w:id="1"/>
      <w:r>
        <w:rPr>
          <w:rFonts w:hint="eastAsia" w:ascii="仿宋_GB2312" w:hAnsi="仿宋_GB2312" w:eastAsia="仿宋_GB2312" w:cs="仿宋_GB2312"/>
          <w:bCs/>
          <w:color w:val="000000"/>
          <w:sz w:val="28"/>
          <w:szCs w:val="28"/>
        </w:rPr>
        <w:t>。</w:t>
      </w:r>
    </w:p>
    <w:p>
      <w:pPr>
        <w:widowControl/>
        <w:spacing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val="en-US" w:eastAsia="zh-CN"/>
        </w:rPr>
        <w:t>四</w:t>
      </w:r>
      <w:r>
        <w:rPr>
          <w:rFonts w:hint="eastAsia" w:ascii="仿宋_GB2312" w:hAnsi="仿宋_GB2312" w:eastAsia="仿宋_GB2312" w:cs="仿宋_GB2312"/>
          <w:bCs/>
          <w:color w:val="000000"/>
          <w:sz w:val="28"/>
          <w:szCs w:val="28"/>
        </w:rPr>
        <w:t>）付款方式：</w:t>
      </w:r>
    </w:p>
    <w:p>
      <w:pPr>
        <w:widowControl/>
        <w:spacing w:line="560" w:lineRule="exact"/>
        <w:ind w:firstLine="560" w:firstLineChars="200"/>
        <w:jc w:val="left"/>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①</w:t>
      </w:r>
      <w:r>
        <w:rPr>
          <w:rFonts w:hint="eastAsia" w:ascii="仿宋_GB2312" w:hAnsi="仿宋_GB2312" w:eastAsia="仿宋_GB2312" w:cs="仿宋_GB2312"/>
          <w:bCs/>
          <w:color w:val="auto"/>
          <w:sz w:val="28"/>
          <w:szCs w:val="28"/>
        </w:rPr>
        <w:t>乙方将货物运送至甲方指定地点并经甲方签收货物并验收合格后，乙方开具该订单总金额的40%增值税专用发票(含13%增值税)，甲方审核通过后支付当批次货款的40%</w:t>
      </w:r>
      <w:r>
        <w:rPr>
          <w:rFonts w:hint="eastAsia" w:ascii="仿宋_GB2312" w:hAnsi="仿宋_GB2312" w:eastAsia="仿宋_GB2312" w:cs="仿宋_GB2312"/>
          <w:bCs/>
          <w:color w:val="auto"/>
          <w:sz w:val="28"/>
          <w:szCs w:val="28"/>
          <w:lang w:eastAsia="zh-CN"/>
        </w:rPr>
        <w:t>；</w:t>
      </w:r>
    </w:p>
    <w:p>
      <w:pPr>
        <w:widowControl/>
        <w:spacing w:line="560" w:lineRule="exact"/>
        <w:ind w:firstLine="560" w:firstLineChars="200"/>
        <w:jc w:val="left"/>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②</w:t>
      </w:r>
      <w:r>
        <w:rPr>
          <w:rFonts w:hint="eastAsia" w:ascii="仿宋_GB2312" w:hAnsi="仿宋_GB2312" w:eastAsia="仿宋_GB2312" w:cs="仿宋_GB2312"/>
          <w:bCs/>
          <w:color w:val="auto"/>
          <w:sz w:val="28"/>
          <w:szCs w:val="28"/>
        </w:rPr>
        <w:t>货到现场6个月后，乙方开具该订单总金额的40%增值税专用发票(含13%增值税)，甲方审核并验收通过后支付当批次货款的40%</w:t>
      </w:r>
      <w:r>
        <w:rPr>
          <w:rFonts w:hint="eastAsia" w:ascii="仿宋_GB2312" w:hAnsi="仿宋_GB2312" w:eastAsia="仿宋_GB2312" w:cs="仿宋_GB2312"/>
          <w:bCs/>
          <w:color w:val="auto"/>
          <w:sz w:val="28"/>
          <w:szCs w:val="28"/>
          <w:lang w:eastAsia="zh-CN"/>
        </w:rPr>
        <w:t>；</w:t>
      </w:r>
    </w:p>
    <w:p>
      <w:pPr>
        <w:widowControl/>
        <w:spacing w:line="560" w:lineRule="exact"/>
        <w:ind w:firstLine="560" w:firstLineChars="200"/>
        <w:jc w:val="left"/>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③</w:t>
      </w:r>
      <w:r>
        <w:rPr>
          <w:rFonts w:hint="eastAsia" w:ascii="仿宋_GB2312" w:hAnsi="仿宋_GB2312" w:eastAsia="仿宋_GB2312" w:cs="仿宋_GB2312"/>
          <w:bCs/>
          <w:color w:val="auto"/>
          <w:sz w:val="28"/>
          <w:szCs w:val="28"/>
        </w:rPr>
        <w:t>质保期满后，乙方开具该订单总金额的20%增值税专用发票(含13%增值税)，甲方审核通过后支付当批次货款的20%</w:t>
      </w:r>
      <w:r>
        <w:rPr>
          <w:rFonts w:hint="eastAsia" w:ascii="仿宋_GB2312" w:hAnsi="仿宋_GB2312" w:eastAsia="仿宋_GB2312" w:cs="仿宋_GB2312"/>
          <w:bCs/>
          <w:color w:val="auto"/>
          <w:sz w:val="28"/>
          <w:szCs w:val="28"/>
          <w:lang w:eastAsia="zh-CN"/>
        </w:rPr>
        <w:t>。</w:t>
      </w:r>
    </w:p>
    <w:p>
      <w:pPr>
        <w:widowControl/>
        <w:spacing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）供货地点：汕头市甲方指定地点。</w:t>
      </w:r>
    </w:p>
    <w:p>
      <w:pPr>
        <w:spacing w:afterLines="0" w:line="640" w:lineRule="exact"/>
        <w:ind w:firstLine="560" w:firstLineChars="200"/>
        <w:jc w:val="left"/>
        <w:rPr>
          <w:rFonts w:hint="eastAsia" w:ascii="黑体" w:hAnsi="黑体" w:eastAsia="黑体" w:cs="黑体"/>
          <w:bCs/>
          <w:color w:val="000000"/>
          <w:kern w:val="0"/>
          <w:sz w:val="28"/>
          <w:szCs w:val="28"/>
        </w:rPr>
      </w:pPr>
      <w:r>
        <w:rPr>
          <w:rFonts w:hint="eastAsia" w:ascii="Times New Roman" w:hAnsi="Times New Roman" w:eastAsia="黑体" w:cs="黑体"/>
          <w:bCs/>
          <w:color w:val="000000"/>
          <w:kern w:val="0"/>
          <w:sz w:val="28"/>
          <w:szCs w:val="28"/>
        </w:rPr>
        <w:t>二、资格要求及证明材料</w:t>
      </w:r>
    </w:p>
    <w:p>
      <w:pPr>
        <w:widowControl/>
        <w:spacing w:afterLines="0" w:line="560" w:lineRule="exact"/>
        <w:ind w:firstLine="560" w:firstLineChars="200"/>
        <w:jc w:val="left"/>
        <w:rPr>
          <w:rFonts w:ascii="Times New Roman" w:hAnsi="Times New Roman" w:eastAsia="仿宋_GB2312"/>
          <w:bCs/>
          <w:color w:val="000000"/>
          <w:sz w:val="28"/>
          <w:szCs w:val="28"/>
        </w:rPr>
      </w:pPr>
      <w:bookmarkStart w:id="2"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（一）须在中华人民共和国境内注册，具备独立承担民事责任的能力（报价文件内提供有效的营业执照复印件加盖参选单位公章或业务章）；</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（三）财务状况要求：近一年内或成立至今（成立不足一年的单位）财务状况无亏损或净资产大于0（由供应商在《承诺函》中作出声明）；</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（四）近两年内（2023年</w:t>
      </w:r>
      <w:r>
        <w:rPr>
          <w:rFonts w:hint="eastAsia" w:ascii="Times New Roman" w:hAnsi="Times New Roman" w:eastAsia="仿宋_GB2312"/>
          <w:bCs/>
          <w:color w:val="000000"/>
          <w:sz w:val="28"/>
          <w:szCs w:val="28"/>
          <w:lang w:val="en-US" w:eastAsia="zh-CN"/>
        </w:rPr>
        <w:t>4</w:t>
      </w:r>
      <w:r>
        <w:rPr>
          <w:rFonts w:hint="eastAsia" w:ascii="Times New Roman" w:hAnsi="Times New Roman" w:eastAsia="仿宋_GB2312"/>
          <w:bCs/>
          <w:color w:val="000000"/>
          <w:sz w:val="28"/>
          <w:szCs w:val="28"/>
        </w:rPr>
        <w:t>月至今）或成立至今（成立不足两年的单位）至少具备一项正在实施或已完成的类似业绩（由供应商在《承诺函》中作出声明）；</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（七）特定资格要求：无。</w:t>
      </w:r>
    </w:p>
    <w:bookmarkEnd w:id="2"/>
    <w:p>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三、参选文件要求</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pPr>
        <w:widowControl/>
        <w:spacing w:afterLines="0" w:line="560" w:lineRule="exact"/>
        <w:ind w:firstLine="560" w:firstLineChars="200"/>
        <w:jc w:val="left"/>
        <w:rPr>
          <w:rFonts w:ascii="Times New Roman" w:hAnsi="Times New Roman" w:eastAsia="仿宋_GB2312"/>
          <w:bCs/>
          <w:color w:val="000000"/>
          <w:sz w:val="28"/>
          <w:szCs w:val="28"/>
        </w:rPr>
      </w:pPr>
      <w:bookmarkStart w:id="3" w:name="_Hlk173767070"/>
      <w:r>
        <w:rPr>
          <w:rFonts w:hint="eastAsia" w:ascii="Times New Roman" w:hAnsi="Times New Roman" w:eastAsia="仿宋_GB2312"/>
          <w:bCs/>
          <w:color w:val="000000"/>
          <w:sz w:val="28"/>
          <w:szCs w:val="28"/>
        </w:rPr>
        <w:t>1.供应商基本情况表；</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2.资质文件（承诺函、营业执照等）；</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报价文件格式，以上资料均需加盖公章或业务章，并在截止时间前完成报价。</w:t>
      </w:r>
    </w:p>
    <w:bookmarkEnd w:id="3"/>
    <w:p>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四、选聘程序</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五、选聘材料提交</w:t>
      </w:r>
    </w:p>
    <w:p>
      <w:pPr>
        <w:spacing w:afterLines="0" w:line="560" w:lineRule="exact"/>
        <w:ind w:firstLine="280" w:firstLineChars="100"/>
        <w:jc w:val="left"/>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9</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pPr>
        <w:spacing w:afterLines="0" w:line="560" w:lineRule="exact"/>
        <w:ind w:firstLine="280" w:firstLineChars="100"/>
        <w:jc w:val="left"/>
        <w:rPr>
          <w:rFonts w:eastAsia="仿宋_GB2312"/>
          <w:sz w:val="20"/>
          <w:szCs w:val="22"/>
        </w:rPr>
      </w:pPr>
      <w:r>
        <w:rPr>
          <w:rFonts w:hint="eastAsia" w:ascii="仿宋_GB2312" w:hAnsi="仿宋" w:eastAsia="仿宋_GB2312"/>
          <w:bCs/>
          <w:color w:val="000000"/>
          <w:sz w:val="28"/>
          <w:szCs w:val="28"/>
        </w:rPr>
        <w:t>（二）响应文件递交方式</w:t>
      </w:r>
    </w:p>
    <w:p>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pPr>
        <w:pStyle w:val="9"/>
        <w:spacing w:after="0" w:afterLines="0" w:line="640" w:lineRule="exact"/>
        <w:ind w:firstLine="560" w:firstLineChars="200"/>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六、评分规则</w:t>
      </w:r>
    </w:p>
    <w:p>
      <w:pPr>
        <w:spacing w:afterLines="0" w:line="560" w:lineRule="exact"/>
        <w:ind w:firstLine="560" w:firstLineChars="200"/>
        <w:jc w:val="left"/>
        <w:rPr>
          <w:rFonts w:ascii="Times New Roman" w:hAnsi="Times New Roman" w:eastAsia="仿宋_GB2312"/>
          <w:color w:val="000000"/>
          <w:sz w:val="28"/>
          <w:szCs w:val="28"/>
        </w:rPr>
      </w:pPr>
      <w:r>
        <w:rPr>
          <w:rFonts w:ascii="Times New Roman" w:hAnsi="Times New Roman" w:eastAsia="仿宋_GB2312"/>
          <w:sz w:val="28"/>
          <w:szCs w:val="22"/>
        </w:rPr>
        <w:t>本次评审</w:t>
      </w:r>
      <w:r>
        <w:rPr>
          <w:rFonts w:hint="eastAsia" w:ascii="Times New Roman" w:hAnsi="Times New Roman" w:eastAsia="仿宋_GB2312"/>
          <w:sz w:val="28"/>
          <w:szCs w:val="22"/>
        </w:rPr>
        <w:t>设一轮报价，</w:t>
      </w:r>
      <w:r>
        <w:rPr>
          <w:rFonts w:ascii="Times New Roman" w:hAnsi="Times New Roman" w:eastAsia="仿宋_GB2312"/>
          <w:sz w:val="28"/>
          <w:szCs w:val="22"/>
        </w:rPr>
        <w:t>采用最低投标价法</w:t>
      </w:r>
      <w:r>
        <w:rPr>
          <w:rFonts w:hint="eastAsia" w:ascii="Times New Roman" w:hAnsi="Times New Roman" w:eastAsia="仿宋_GB2312"/>
          <w:sz w:val="28"/>
          <w:szCs w:val="22"/>
        </w:rPr>
        <w:t>。</w:t>
      </w:r>
      <w:r>
        <w:rPr>
          <w:rFonts w:hint="eastAsia" w:ascii="Times New Roman" w:hAnsi="Times New Roman" w:eastAsia="仿宋_GB2312"/>
          <w:color w:val="000000"/>
          <w:sz w:val="28"/>
          <w:szCs w:val="28"/>
        </w:rPr>
        <w:t>采购人对所有参选供应商进行资格审查，资格审查合格的供应商报价成立，根据最低价法确定中选人。参选供应商报价税率不同，按不含税价格对比。</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本采购项目以不含税价进行对比，供应商需填报含税价、税率；不含税价计算方式：不含税价=含税价/（1+税率）。</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如出现并列最低报价，以报价文件递交时间在先者优先中选。若中选供应商放弃资格，则按报价由低到高顺序依次递补。</w:t>
      </w:r>
    </w:p>
    <w:p>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七、澄清及修改</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4" w:name="_Hlk173242607"/>
      <w:r>
        <w:rPr>
          <w:rFonts w:hint="eastAsia" w:ascii="Times New Roman" w:hAnsi="Times New Roman" w:eastAsia="仿宋_GB2312"/>
          <w:bCs/>
          <w:color w:val="000000"/>
          <w:sz w:val="28"/>
          <w:szCs w:val="28"/>
        </w:rPr>
        <w:t>深圳市深水水务咨询有限公司官网（http://www.szsszx.com/）</w:t>
      </w:r>
      <w:bookmarkEnd w:id="4"/>
      <w:r>
        <w:rPr>
          <w:rFonts w:hint="eastAsia" w:ascii="Times New Roman" w:hAnsi="Times New Roman" w:eastAsia="仿宋_GB2312"/>
          <w:color w:val="000000"/>
          <w:sz w:val="28"/>
          <w:szCs w:val="28"/>
        </w:rPr>
        <w:t>发布更正公告，该澄清或修改内容为询价文件的组成部分。</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2025</w:t>
      </w:r>
      <w:r>
        <w:rPr>
          <w:rFonts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4</w:t>
      </w:r>
      <w:r>
        <w:rPr>
          <w:rFonts w:ascii="Times New Roman" w:hAnsi="Times New Roman" w:eastAsia="仿宋_GB2312"/>
          <w:bCs/>
          <w:color w:val="000000"/>
          <w:sz w:val="28"/>
          <w:szCs w:val="28"/>
        </w:rPr>
        <w:t>月</w:t>
      </w:r>
      <w:r>
        <w:rPr>
          <w:rFonts w:hint="eastAsia" w:ascii="Times New Roman" w:hAnsi="Times New Roman" w:eastAsia="仿宋_GB2312"/>
          <w:bCs/>
          <w:color w:val="000000"/>
          <w:sz w:val="28"/>
          <w:szCs w:val="28"/>
          <w:lang w:val="en-US" w:eastAsia="zh-CN"/>
        </w:rPr>
        <w:t>9</w:t>
      </w:r>
      <w:r>
        <w:rPr>
          <w:rFonts w:ascii="Times New Roman" w:hAnsi="Times New Roman" w:eastAsia="仿宋_GB2312"/>
          <w:bCs/>
          <w:color w:val="000000"/>
          <w:sz w:val="28"/>
          <w:szCs w:val="28"/>
        </w:rPr>
        <w:t>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八、其他</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pPr>
        <w:spacing w:afterLines="0" w:line="640" w:lineRule="exact"/>
        <w:ind w:firstLine="560" w:firstLineChars="200"/>
        <w:jc w:val="left"/>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九、联系方式</w:t>
      </w:r>
    </w:p>
    <w:p>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联系人：吴工、吴工</w:t>
      </w:r>
    </w:p>
    <w:p>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话：13180500258、15889553918</w:t>
      </w:r>
    </w:p>
    <w:p>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箱：sszxhjcaigou@163.com</w:t>
      </w:r>
    </w:p>
    <w:p>
      <w:pPr>
        <w:pStyle w:val="9"/>
        <w:spacing w:after="0" w:afterLines="0" w:line="560" w:lineRule="exact"/>
        <w:jc w:val="right"/>
        <w:rPr>
          <w:rFonts w:ascii="Times New Roman" w:hAnsi="Times New Roman" w:eastAsia="仿宋_GB2312"/>
          <w:color w:val="000000"/>
          <w:kern w:val="0"/>
          <w:sz w:val="32"/>
          <w:szCs w:val="32"/>
        </w:rPr>
      </w:pPr>
      <w:bookmarkStart w:id="5" w:name="_Hlk173242670"/>
    </w:p>
    <w:p>
      <w:pPr>
        <w:pStyle w:val="9"/>
        <w:spacing w:after="0" w:afterLines="0" w:line="560" w:lineRule="exact"/>
        <w:jc w:val="right"/>
        <w:rPr>
          <w:rFonts w:ascii="Times New Roman" w:hAnsi="Times New Roman" w:eastAsia="仿宋_GB2312"/>
          <w:color w:val="000000"/>
          <w:kern w:val="0"/>
          <w:sz w:val="32"/>
          <w:szCs w:val="32"/>
        </w:rPr>
      </w:pPr>
    </w:p>
    <w:p>
      <w:pPr>
        <w:widowControl/>
        <w:spacing w:afterLines="0" w:line="560" w:lineRule="exact"/>
        <w:ind w:firstLine="560" w:firstLineChars="200"/>
        <w:jc w:val="righ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深圳市深水水务咨询有限公司</w:t>
      </w:r>
      <w:bookmarkEnd w:id="5"/>
    </w:p>
    <w:p>
      <w:pPr>
        <w:widowControl/>
        <w:spacing w:afterLines="0" w:line="560" w:lineRule="exact"/>
        <w:ind w:firstLine="560" w:firstLineChars="200"/>
        <w:jc w:val="right"/>
      </w:pPr>
      <w:bookmarkStart w:id="6" w:name="_Hlk173242679"/>
      <w:r>
        <w:rPr>
          <w:rFonts w:hint="eastAsia" w:ascii="Times New Roman" w:hAnsi="Times New Roman" w:eastAsia="仿宋_GB2312"/>
          <w:color w:val="000000"/>
          <w:sz w:val="28"/>
          <w:szCs w:val="28"/>
        </w:rPr>
        <w:t>2025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4</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日</w:t>
      </w:r>
      <w:bookmarkEnd w:id="6"/>
      <w:r>
        <w:br w:type="page"/>
      </w:r>
    </w:p>
    <w:p>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pPr>
        <w:spacing w:after="78"/>
        <w:jc w:val="left"/>
        <w:rPr>
          <w:rFonts w:hint="eastAsia" w:ascii="黑体" w:hAnsi="黑体" w:eastAsia="黑体" w:cs="黑体"/>
          <w:color w:val="000000"/>
          <w:sz w:val="28"/>
          <w:szCs w:val="28"/>
          <w:u w:val="single"/>
        </w:rPr>
      </w:pPr>
      <w:bookmarkStart w:id="7" w:name="_Toc201743097"/>
      <w:bookmarkStart w:id="8"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pPr>
        <w:spacing w:after="78"/>
        <w:jc w:val="center"/>
        <w:rPr>
          <w:rFonts w:hint="eastAsia" w:ascii="黑体" w:hAnsi="黑体" w:eastAsia="黑体" w:cs="黑体"/>
          <w:color w:val="000000"/>
          <w:sz w:val="28"/>
          <w:szCs w:val="28"/>
          <w:u w:val="single"/>
        </w:rPr>
      </w:pPr>
    </w:p>
    <w:p>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pPr>
        <w:spacing w:after="78"/>
        <w:jc w:val="center"/>
        <w:rPr>
          <w:rFonts w:hint="eastAsia" w:ascii="黑体" w:hAnsi="黑体" w:eastAsia="黑体" w:cs="黑体"/>
          <w:color w:val="000000"/>
          <w:sz w:val="72"/>
          <w:szCs w:val="72"/>
          <w:shd w:val="clear" w:color="auto" w:fill="FFFFFF"/>
        </w:rPr>
      </w:pPr>
    </w:p>
    <w:p>
      <w:pPr>
        <w:spacing w:after="78"/>
        <w:jc w:val="center"/>
        <w:rPr>
          <w:rFonts w:hint="eastAsia" w:ascii="黑体" w:hAnsi="黑体" w:eastAsia="黑体" w:cs="黑体"/>
          <w:color w:val="000000"/>
          <w:sz w:val="72"/>
          <w:szCs w:val="72"/>
          <w:shd w:val="clear" w:color="auto" w:fill="FFFFFF"/>
        </w:rPr>
      </w:pPr>
    </w:p>
    <w:p>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u w:val="single"/>
          <w:shd w:val="clear" w:color="auto" w:fill="FFFFFF"/>
        </w:rPr>
        <w:t xml:space="preserve"> XXX  </w:t>
      </w:r>
      <w:r>
        <w:rPr>
          <w:rFonts w:hint="eastAsia" w:ascii="黑体" w:hAnsi="黑体" w:eastAsia="黑体" w:cs="黑体"/>
          <w:color w:val="000000"/>
          <w:sz w:val="72"/>
          <w:szCs w:val="72"/>
          <w:shd w:val="clear" w:color="auto" w:fill="FFFFFF"/>
        </w:rPr>
        <w:t>采购合同</w:t>
      </w:r>
    </w:p>
    <w:p>
      <w:pPr>
        <w:spacing w:after="78"/>
        <w:jc w:val="center"/>
        <w:rPr>
          <w:rFonts w:hint="eastAsia" w:ascii="黑体" w:hAnsi="黑体" w:eastAsia="黑体" w:cs="黑体"/>
          <w:color w:val="000000"/>
          <w:sz w:val="28"/>
          <w:szCs w:val="28"/>
          <w:u w:val="single"/>
        </w:rPr>
      </w:pPr>
    </w:p>
    <w:p>
      <w:pPr>
        <w:spacing w:after="78"/>
        <w:jc w:val="center"/>
        <w:rPr>
          <w:rFonts w:hint="eastAsia" w:ascii="黑体" w:hAnsi="黑体" w:eastAsia="黑体" w:cs="黑体"/>
          <w:color w:val="000000"/>
          <w:sz w:val="32"/>
          <w:szCs w:val="32"/>
          <w:shd w:val="clear" w:color="auto" w:fill="FFFFFF"/>
        </w:rPr>
      </w:pPr>
    </w:p>
    <w:p>
      <w:pPr>
        <w:spacing w:after="78"/>
        <w:jc w:val="center"/>
      </w:pPr>
    </w:p>
    <w:p>
      <w:pPr>
        <w:spacing w:after="78"/>
      </w:pPr>
    </w:p>
    <w:p>
      <w:pPr>
        <w:spacing w:after="78"/>
      </w:pPr>
    </w:p>
    <w:p>
      <w:pPr>
        <w:spacing w:after="78"/>
      </w:pPr>
    </w:p>
    <w:p>
      <w:pPr>
        <w:spacing w:after="78"/>
        <w:jc w:val="center"/>
        <w:rPr>
          <w:rFonts w:hint="eastAsia"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pPr>
        <w:spacing w:after="78"/>
        <w:jc w:val="center"/>
        <w:rPr>
          <w:rFonts w:hint="eastAsia" w:ascii="黑体" w:hAnsi="黑体" w:eastAsia="黑体" w:cs="黑体"/>
          <w:color w:val="000000"/>
          <w:sz w:val="32"/>
          <w:szCs w:val="32"/>
          <w:shd w:val="clear" w:color="auto" w:fill="FFFFFF"/>
        </w:rPr>
      </w:pPr>
    </w:p>
    <w:p>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ascii="Times New Roman" w:hAnsi="Times New Roman" w:eastAsia="黑体"/>
          <w:spacing w:val="-4"/>
          <w:sz w:val="44"/>
          <w:szCs w:val="44"/>
        </w:rPr>
        <w:t>货物</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7"/>
      <w:bookmarkEnd w:id="8"/>
    </w:p>
    <w:p>
      <w:pPr>
        <w:spacing w:after="78" w:line="360" w:lineRule="auto"/>
        <w:ind w:firstLine="482" w:firstLineChars="200"/>
        <w:jc w:val="left"/>
        <w:rPr>
          <w:rFonts w:hint="eastAsia" w:ascii="宋体" w:hAnsi="宋体" w:cs="宋体"/>
          <w:b/>
          <w:bCs/>
          <w:color w:val="000000"/>
          <w:sz w:val="24"/>
          <w:u w:val="single"/>
        </w:rPr>
      </w:pPr>
    </w:p>
    <w:p>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甲方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pPr>
        <w:spacing w:after="78" w:line="360" w:lineRule="auto"/>
        <w:ind w:firstLine="482" w:firstLineChars="200"/>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pPr>
        <w:spacing w:after="78" w:line="360" w:lineRule="auto"/>
        <w:ind w:firstLine="482" w:firstLineChars="200"/>
        <w:rPr>
          <w:rFonts w:hint="eastAsia" w:ascii="宋体" w:hAnsi="宋体" w:cs="宋体"/>
          <w:b/>
          <w:bCs/>
          <w:color w:val="000000"/>
          <w:sz w:val="24"/>
        </w:rPr>
      </w:pPr>
    </w:p>
    <w:p>
      <w:pPr>
        <w:spacing w:after="78" w:line="360" w:lineRule="auto"/>
        <w:ind w:firstLine="482" w:firstLineChars="200"/>
        <w:rPr>
          <w:rFonts w:hint="eastAsia" w:ascii="宋体" w:hAnsi="宋体" w:cs="宋体"/>
          <w:b/>
          <w:bCs/>
          <w:color w:val="000000"/>
          <w:sz w:val="24"/>
          <w:u w:val="single"/>
        </w:rPr>
      </w:pPr>
      <w:r>
        <w:rPr>
          <w:rFonts w:hint="eastAsia" w:ascii="宋体" w:hAnsi="宋体" w:cs="宋体"/>
          <w:b/>
          <w:bCs/>
          <w:color w:val="000000"/>
          <w:sz w:val="24"/>
        </w:rPr>
        <w:t>乙方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pPr>
        <w:spacing w:after="78" w:line="360" w:lineRule="auto"/>
        <w:ind w:firstLine="482" w:firstLineChars="200"/>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pPr>
        <w:spacing w:after="78" w:line="360" w:lineRule="auto"/>
        <w:ind w:firstLine="482" w:firstLineChars="200"/>
        <w:jc w:val="left"/>
        <w:rPr>
          <w:rFonts w:hint="eastAsia" w:ascii="宋体" w:hAnsi="宋体" w:cs="宋体"/>
          <w:b/>
          <w:bCs/>
          <w:color w:val="000000"/>
          <w:sz w:val="24"/>
          <w:u w:val="single"/>
        </w:rPr>
      </w:pPr>
    </w:p>
    <w:p>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pPr>
        <w:pStyle w:val="2"/>
        <w:spacing w:before="156" w:beforeLines="50" w:after="156" w:afterLines="50" w:line="360" w:lineRule="auto"/>
        <w:ind w:left="420" w:leftChars="200"/>
        <w:jc w:val="left"/>
        <w:rPr>
          <w:rFonts w:hint="eastAsia" w:ascii="宋体" w:hAnsi="宋体" w:cs="宋体"/>
          <w:color w:val="000000"/>
          <w:szCs w:val="24"/>
        </w:rPr>
      </w:pPr>
      <w:bookmarkStart w:id="9" w:name="_Toc199215931"/>
      <w:bookmarkStart w:id="10" w:name="_Toc201401643"/>
      <w:bookmarkStart w:id="11" w:name="_Toc201719103"/>
      <w:bookmarkStart w:id="12" w:name="_Toc199213728"/>
      <w:bookmarkStart w:id="13" w:name="_Toc201743099"/>
      <w:bookmarkStart w:id="14" w:name="_Toc201997927"/>
      <w:bookmarkStart w:id="15" w:name="_Toc201742844"/>
      <w:bookmarkStart w:id="16" w:name="_Toc199215763"/>
      <w:r>
        <w:rPr>
          <w:rFonts w:hint="eastAsia" w:ascii="宋体" w:hAnsi="宋体" w:cs="宋体"/>
          <w:color w:val="000000"/>
          <w:szCs w:val="24"/>
          <w:lang w:eastAsia="zh-Hans"/>
        </w:rPr>
        <w:t>一、</w:t>
      </w:r>
      <w:r>
        <w:rPr>
          <w:rFonts w:hint="eastAsia" w:ascii="宋体" w:hAnsi="宋体" w:cs="宋体"/>
          <w:color w:val="000000"/>
          <w:szCs w:val="24"/>
        </w:rPr>
        <w:t>货物和数量</w:t>
      </w:r>
      <w:bookmarkEnd w:id="9"/>
      <w:bookmarkEnd w:id="10"/>
      <w:bookmarkEnd w:id="11"/>
      <w:bookmarkEnd w:id="12"/>
      <w:bookmarkEnd w:id="13"/>
      <w:bookmarkEnd w:id="14"/>
      <w:bookmarkEnd w:id="15"/>
      <w:bookmarkEnd w:id="16"/>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9"/>
        <w:gridCol w:w="1365"/>
        <w:gridCol w:w="1125"/>
        <w:gridCol w:w="1008"/>
        <w:gridCol w:w="1064"/>
        <w:gridCol w:w="1569"/>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品名</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192" w:type="pct"/>
            <w:gridSpan w:val="3"/>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w:t>
            </w:r>
          </w:p>
        </w:tc>
        <w:tc>
          <w:tcPr>
            <w:tcW w:w="28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192" w:type="pct"/>
            <w:gridSpan w:val="3"/>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宋体" w:hAnsi="宋体" w:cs="宋体"/>
                <w:b/>
                <w:bCs/>
                <w:i w:val="0"/>
                <w:iCs w:val="0"/>
                <w:color w:val="000000"/>
                <w:kern w:val="0"/>
                <w:sz w:val="24"/>
                <w:szCs w:val="24"/>
                <w:u w:val="none"/>
                <w:lang w:val="en-US" w:eastAsia="zh-CN" w:bidi="ar"/>
              </w:rPr>
            </w:pPr>
          </w:p>
        </w:tc>
        <w:tc>
          <w:tcPr>
            <w:tcW w:w="28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（大写）</w:t>
            </w:r>
          </w:p>
        </w:tc>
      </w:tr>
    </w:tbl>
    <w:p>
      <w:pPr>
        <w:pStyle w:val="69"/>
        <w:spacing w:line="360" w:lineRule="auto"/>
        <w:ind w:firstLine="480"/>
        <w:rPr>
          <w:lang w:eastAsia="zh-Hans"/>
        </w:rPr>
      </w:pPr>
      <w:r>
        <w:rPr>
          <w:rFonts w:hint="eastAsia"/>
        </w:rPr>
        <w:t>本合同为</w:t>
      </w:r>
      <w:r>
        <w:rPr>
          <w:rFonts w:hint="eastAsia"/>
          <w:lang w:val="en-US" w:eastAsia="zh-CN"/>
        </w:rPr>
        <w:t>总价</w:t>
      </w:r>
      <w:r>
        <w:rPr>
          <w:rFonts w:hint="eastAsia"/>
        </w:rPr>
        <w:t>合同，上述</w:t>
      </w:r>
      <w:r>
        <w:rPr>
          <w:rFonts w:hint="eastAsia"/>
          <w:lang w:val="en-US" w:eastAsia="zh-CN"/>
        </w:rPr>
        <w:t>总</w:t>
      </w:r>
      <w:r>
        <w:rPr>
          <w:rFonts w:hint="eastAsia"/>
        </w:rPr>
        <w:t>价是指货物运到乙方指定地址的交货价，包括但不限于货物生产前准备、生产、运输、转运、保护、装卸、保险、13%增值税费、验收(含出厂及到货验收)、质量抽检、售后服务(包括产品合格证、检测报告的提供、质保期保障等)的全部费用。</w:t>
      </w:r>
    </w:p>
    <w:p>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pPr>
        <w:pStyle w:val="69"/>
        <w:spacing w:line="360" w:lineRule="auto"/>
        <w:ind w:firstLine="480"/>
      </w:pPr>
      <w:r>
        <w:rPr>
          <w:rFonts w:hint="eastAsia"/>
        </w:rPr>
        <w:t>液压油为全新（原装）产品，产品质量执行</w:t>
      </w:r>
      <w:bookmarkStart w:id="17" w:name="OLE_LINK1"/>
      <w:r>
        <w:rPr>
          <w:rFonts w:hint="eastAsia"/>
        </w:rPr>
        <w:t>行业标准</w:t>
      </w:r>
      <w:r>
        <w:rPr>
          <w:rFonts w:hint="eastAsia" w:ascii="宋体" w:hAnsi="宋体" w:cs="宋体"/>
          <w:color w:val="333333"/>
          <w:shd w:val="clear" w:color="auto" w:fill="FFFFFF"/>
        </w:rPr>
        <w:t>GB11118.1-2011</w:t>
      </w:r>
      <w:bookmarkEnd w:id="17"/>
      <w:r>
        <w:rPr>
          <w:rFonts w:ascii="Arial" w:hAnsi="Arial" w:eastAsia="Arial" w:cs="Arial"/>
          <w:color w:val="333333"/>
          <w:sz w:val="21"/>
          <w:szCs w:val="21"/>
          <w:shd w:val="clear" w:color="auto" w:fill="FFFFFF"/>
        </w:rPr>
        <w:t>‌</w:t>
      </w:r>
      <w:r>
        <w:rPr>
          <w:rFonts w:hint="eastAsia"/>
        </w:rPr>
        <w:t>(如有更新，以最新版为准。）；随货应附质保书、产品出厂合格证、出厂检验证明、检验证明（第三方、若有）等；乙方所供货物性能和数量须满足甲方要求，并完全符合强制性的国家技术质量规范和合同规定的质量、规格、性能和技术规范等的要求。</w:t>
      </w:r>
    </w:p>
    <w:p>
      <w:pPr>
        <w:pStyle w:val="2"/>
        <w:spacing w:before="156" w:beforeLines="50" w:after="156" w:afterLines="50" w:line="360" w:lineRule="auto"/>
        <w:ind w:left="420" w:leftChars="200"/>
        <w:jc w:val="left"/>
        <w:rPr>
          <w:rFonts w:hint="eastAsia" w:ascii="宋体" w:hAnsi="宋体" w:cs="宋体"/>
          <w:color w:val="000000"/>
          <w:szCs w:val="24"/>
        </w:rPr>
      </w:pPr>
      <w:bookmarkStart w:id="18" w:name="_Toc201401645"/>
      <w:bookmarkStart w:id="19" w:name="_Toc199213730"/>
      <w:bookmarkStart w:id="20" w:name="_Toc201743101"/>
      <w:bookmarkStart w:id="21" w:name="_Toc201997929"/>
      <w:bookmarkStart w:id="22" w:name="_Toc199215933"/>
      <w:bookmarkStart w:id="23" w:name="_Toc199215765"/>
      <w:bookmarkStart w:id="24" w:name="_Toc201719105"/>
      <w:bookmarkStart w:id="25" w:name="_Toc201742846"/>
      <w:r>
        <w:rPr>
          <w:rFonts w:hint="eastAsia" w:ascii="宋体" w:hAnsi="宋体" w:cs="宋体"/>
          <w:color w:val="000000"/>
          <w:szCs w:val="24"/>
          <w:lang w:eastAsia="zh-Hans"/>
        </w:rPr>
        <w:t>三、</w:t>
      </w:r>
      <w:r>
        <w:rPr>
          <w:rFonts w:hint="eastAsia" w:ascii="宋体" w:hAnsi="宋体" w:cs="宋体"/>
          <w:color w:val="000000"/>
          <w:szCs w:val="24"/>
        </w:rPr>
        <w:t>合同期限及结算方式</w:t>
      </w:r>
      <w:bookmarkEnd w:id="18"/>
      <w:bookmarkEnd w:id="19"/>
      <w:bookmarkEnd w:id="20"/>
      <w:bookmarkEnd w:id="21"/>
      <w:bookmarkEnd w:id="22"/>
      <w:bookmarkEnd w:id="23"/>
      <w:bookmarkEnd w:id="24"/>
      <w:bookmarkEnd w:id="25"/>
    </w:p>
    <w:p>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1.合同期限：一年，自【     】年【    】月【    】日起至【     】年【    】月【    】日止。甲方有权随时终止合同，乙方不得因合同终止向甲方主张责任或要求赔偿预期利益等损失。</w:t>
      </w:r>
    </w:p>
    <w:p>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2.买卖双方的账户名称、开户银行及帐号以本合同提供的为准。双方因本合同发生的一切费用均以人民币结算及支付。</w:t>
      </w:r>
    </w:p>
    <w:p>
      <w:pPr>
        <w:spacing w:before="156" w:beforeLines="50" w:after="156" w:afterLines="50"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甲方开票信息</w:t>
      </w:r>
    </w:p>
    <w:p>
      <w:pPr>
        <w:spacing w:afterLines="0" w:line="360" w:lineRule="auto"/>
        <w:ind w:firstLine="480" w:firstLineChars="200"/>
        <w:rPr>
          <w:rFonts w:hint="eastAsia" w:ascii="宋体" w:hAnsi="宋体" w:cs="宋体"/>
          <w:sz w:val="24"/>
        </w:rPr>
      </w:pPr>
      <w:r>
        <w:rPr>
          <w:rFonts w:hint="eastAsia" w:ascii="宋体" w:hAnsi="宋体" w:cs="宋体"/>
          <w:sz w:val="24"/>
        </w:rPr>
        <w:t>名称:深圳市深水水务咨询有限公司</w:t>
      </w:r>
    </w:p>
    <w:p>
      <w:pPr>
        <w:spacing w:afterLines="0" w:line="360" w:lineRule="auto"/>
        <w:ind w:firstLine="480" w:firstLineChars="200"/>
        <w:rPr>
          <w:rFonts w:hint="eastAsia" w:ascii="宋体" w:hAnsi="宋体" w:cs="宋体"/>
          <w:sz w:val="24"/>
        </w:rPr>
      </w:pPr>
      <w:r>
        <w:rPr>
          <w:rFonts w:hint="eastAsia" w:ascii="宋体" w:hAnsi="宋体" w:cs="宋体"/>
          <w:sz w:val="24"/>
        </w:rPr>
        <w:t>税号:91440300708411905B</w:t>
      </w:r>
    </w:p>
    <w:p>
      <w:pPr>
        <w:spacing w:afterLines="0" w:line="360" w:lineRule="auto"/>
        <w:ind w:firstLine="480" w:firstLineChars="200"/>
        <w:rPr>
          <w:rFonts w:hint="eastAsia" w:ascii="宋体" w:hAnsi="宋体" w:cs="宋体"/>
          <w:sz w:val="24"/>
        </w:rPr>
      </w:pPr>
      <w:r>
        <w:rPr>
          <w:rFonts w:hint="eastAsia" w:ascii="宋体" w:hAnsi="宋体" w:cs="宋体"/>
          <w:sz w:val="24"/>
        </w:rPr>
        <w:t>单位地址:深圳市罗湖区清水河街道清水河社区清水河一路112号罗湖投资控股大厦裙楼401</w:t>
      </w:r>
    </w:p>
    <w:p>
      <w:pPr>
        <w:spacing w:afterLines="0" w:line="360" w:lineRule="auto"/>
        <w:ind w:firstLine="480" w:firstLineChars="200"/>
        <w:rPr>
          <w:rFonts w:hint="eastAsia" w:ascii="宋体" w:hAnsi="宋体" w:cs="宋体"/>
          <w:sz w:val="24"/>
        </w:rPr>
      </w:pPr>
      <w:r>
        <w:rPr>
          <w:rFonts w:hint="eastAsia" w:ascii="宋体" w:hAnsi="宋体" w:cs="宋体"/>
          <w:sz w:val="24"/>
        </w:rPr>
        <w:t>电话:0755-22385906</w:t>
      </w:r>
    </w:p>
    <w:p>
      <w:pPr>
        <w:spacing w:afterLines="0" w:line="360" w:lineRule="auto"/>
        <w:ind w:firstLine="480" w:firstLineChars="200"/>
        <w:rPr>
          <w:rFonts w:hint="eastAsia" w:ascii="宋体" w:hAnsi="宋体" w:cs="宋体"/>
          <w:sz w:val="24"/>
        </w:rPr>
      </w:pPr>
      <w:r>
        <w:rPr>
          <w:rFonts w:hint="eastAsia" w:ascii="宋体" w:hAnsi="宋体" w:cs="宋体"/>
          <w:sz w:val="24"/>
        </w:rPr>
        <w:t>开户银行:交通银行深圳金叶支行</w:t>
      </w:r>
    </w:p>
    <w:p>
      <w:pPr>
        <w:spacing w:afterLines="0" w:line="360" w:lineRule="auto"/>
        <w:ind w:firstLine="480" w:firstLineChars="200"/>
        <w:rPr>
          <w:rFonts w:hint="eastAsia" w:ascii="宋体" w:hAnsi="宋体" w:cs="宋体"/>
          <w:sz w:val="24"/>
        </w:rPr>
      </w:pPr>
      <w:r>
        <w:rPr>
          <w:rFonts w:hint="eastAsia" w:ascii="宋体" w:hAnsi="宋体" w:cs="宋体"/>
          <w:sz w:val="24"/>
        </w:rPr>
        <w:t>银行账户:443899991010003343618</w:t>
      </w:r>
    </w:p>
    <w:p>
      <w:pPr>
        <w:spacing w:before="156" w:beforeLines="50" w:after="156" w:afterLines="50" w:line="360" w:lineRule="auto"/>
        <w:ind w:firstLine="482" w:firstLineChars="200"/>
      </w:pPr>
      <w:r>
        <w:rPr>
          <w:rFonts w:hint="eastAsia"/>
          <w:b/>
          <w:bCs/>
          <w:sz w:val="24"/>
        </w:rPr>
        <w:t>乙方开户行和账号</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p>
    <w:p>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 xml:space="preserve">帐    号：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p>
    <w:p>
      <w:pPr>
        <w:pStyle w:val="74"/>
        <w:spacing w:before="93" w:after="78" w:line="360" w:lineRule="auto"/>
        <w:ind w:firstLine="480"/>
        <w:rPr>
          <w:rFonts w:hint="eastAsia" w:ascii="宋体" w:hAnsi="宋体" w:cs="宋体"/>
          <w:color w:val="000000"/>
          <w:sz w:val="24"/>
        </w:rPr>
      </w:pPr>
      <w:r>
        <w:rPr>
          <w:rFonts w:hint="eastAsia" w:ascii="宋体" w:hAnsi="宋体" w:cs="宋体"/>
          <w:color w:val="000000"/>
          <w:sz w:val="24"/>
        </w:rPr>
        <w:t>3.付款方式</w:t>
      </w:r>
    </w:p>
    <w:p>
      <w:pPr>
        <w:widowControl/>
        <w:spacing w:line="360" w:lineRule="auto"/>
        <w:ind w:firstLine="480" w:firstLineChars="200"/>
        <w:jc w:val="left"/>
        <w:rPr>
          <w:rFonts w:hint="eastAsia" w:ascii="宋体" w:hAnsi="宋体" w:eastAsia="宋体" w:cs="宋体"/>
          <w:bCs/>
          <w:color w:val="auto"/>
          <w:sz w:val="24"/>
          <w:szCs w:val="24"/>
          <w:lang w:eastAsia="zh-CN"/>
        </w:rPr>
      </w:pPr>
      <w:bookmarkStart w:id="26" w:name="_Toc201401646"/>
      <w:bookmarkStart w:id="27" w:name="_Toc199215934"/>
      <w:bookmarkStart w:id="28" w:name="_Toc201719106"/>
      <w:bookmarkStart w:id="29" w:name="_Toc201742847"/>
      <w:bookmarkStart w:id="30" w:name="_Toc201997930"/>
      <w:bookmarkStart w:id="31" w:name="_Toc199215766"/>
      <w:bookmarkStart w:id="32" w:name="_Toc201743102"/>
      <w:bookmarkStart w:id="33" w:name="_Toc199213731"/>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乙方将货物运送至甲方指定地点并经甲方签收货物并验收合格后，乙方开具该订单总金额的40%增值税专用发票(含13%增值税)，甲方审核通过后支付当批次货款的40%</w:t>
      </w:r>
      <w:r>
        <w:rPr>
          <w:rFonts w:hint="eastAsia" w:ascii="宋体" w:hAnsi="宋体" w:eastAsia="宋体" w:cs="宋体"/>
          <w:bCs/>
          <w:color w:val="auto"/>
          <w:sz w:val="24"/>
          <w:szCs w:val="24"/>
          <w:lang w:eastAsia="zh-CN"/>
        </w:rPr>
        <w:t>；</w:t>
      </w:r>
    </w:p>
    <w:p>
      <w:pPr>
        <w:widowControl/>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货到现场6个月后，乙方开具该订单总金额的40%增值税专用发票(含13%增值税)，甲方审核并验收通过后支付当批次货款的40%</w:t>
      </w:r>
      <w:r>
        <w:rPr>
          <w:rFonts w:hint="eastAsia" w:ascii="宋体" w:hAnsi="宋体" w:eastAsia="宋体" w:cs="宋体"/>
          <w:bCs/>
          <w:color w:val="auto"/>
          <w:sz w:val="24"/>
          <w:szCs w:val="24"/>
          <w:lang w:eastAsia="zh-CN"/>
        </w:rPr>
        <w:t>；</w:t>
      </w:r>
    </w:p>
    <w:p>
      <w:pPr>
        <w:widowControl/>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质保期满后，乙方开具该订单总金额的20%增值税专用发票(含13%增值税)，甲方审核通过后支付当批次货款的20%</w:t>
      </w:r>
      <w:r>
        <w:rPr>
          <w:rFonts w:hint="eastAsia" w:ascii="宋体" w:hAnsi="宋体" w:eastAsia="宋体" w:cs="宋体"/>
          <w:bCs/>
          <w:color w:val="auto"/>
          <w:sz w:val="24"/>
          <w:szCs w:val="24"/>
          <w:lang w:eastAsia="zh-CN"/>
        </w:rPr>
        <w:t>。</w:t>
      </w:r>
    </w:p>
    <w:p>
      <w:pPr>
        <w:pStyle w:val="2"/>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lang w:eastAsia="zh-Hans"/>
        </w:rPr>
        <w:t>四</w:t>
      </w:r>
      <w:r>
        <w:rPr>
          <w:rFonts w:hint="eastAsia" w:ascii="宋体" w:hAnsi="宋体" w:cs="宋体"/>
          <w:color w:val="000000"/>
          <w:szCs w:val="24"/>
        </w:rPr>
        <w:t>、包装物与标识</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1.所有交付货物应具有适合内陆运输、多次搬运与装卸、耐热带高温高湿气候的包装，并根据货物的特点和需要，采取防潮、防雨、防锈、防震、防腐蚀等的保护措施，以保证货物安全无损的运抵安装地点。如由于包装原因引起货物毁损、锈蚀、丢失，</w:t>
      </w:r>
      <w:r>
        <w:rPr>
          <w:rFonts w:hint="eastAsia" w:ascii="宋体" w:hAnsi="宋体" w:cs="宋体"/>
          <w:color w:val="000000"/>
          <w:sz w:val="24"/>
        </w:rPr>
        <w:t>乙方</w:t>
      </w:r>
      <w:r>
        <w:rPr>
          <w:rFonts w:hint="eastAsia" w:ascii="宋体" w:hAnsi="宋体" w:cs="宋体"/>
          <w:color w:val="000000"/>
          <w:sz w:val="24"/>
          <w:lang w:eastAsia="zh-Hans"/>
        </w:rPr>
        <w:t>应承担因此发生的一切责任。裸装货应在货物的装箱单中清楚标明。</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2.包装时，</w:t>
      </w:r>
      <w:r>
        <w:rPr>
          <w:rFonts w:hint="eastAsia" w:ascii="宋体" w:hAnsi="宋体" w:cs="宋体"/>
          <w:color w:val="000000"/>
          <w:sz w:val="24"/>
        </w:rPr>
        <w:t>乙方</w:t>
      </w:r>
      <w:r>
        <w:rPr>
          <w:rFonts w:hint="eastAsia" w:ascii="宋体" w:hAnsi="宋体" w:cs="宋体"/>
          <w:color w:val="000000"/>
          <w:sz w:val="24"/>
          <w:lang w:eastAsia="zh-Hans"/>
        </w:rPr>
        <w:t>须采取防盗措施:裸装、托盘及框架装货物应捆扎结实，包装内各件货物应不易抽出、取走或拆下;箱装货物应封闭严密，包装箱不易撬开。</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3.</w:t>
      </w:r>
      <w:r>
        <w:rPr>
          <w:rFonts w:hint="eastAsia" w:ascii="宋体" w:hAnsi="宋体" w:cs="宋体"/>
          <w:color w:val="000000"/>
          <w:sz w:val="24"/>
        </w:rPr>
        <w:t>乙方</w:t>
      </w:r>
      <w:r>
        <w:rPr>
          <w:rFonts w:hint="eastAsia" w:ascii="宋体" w:hAnsi="宋体" w:cs="宋体"/>
          <w:color w:val="000000"/>
          <w:sz w:val="24"/>
          <w:lang w:eastAsia="zh-Hans"/>
        </w:rPr>
        <w:t>已经考虑了本合同确定的运输方式对合同货物的包装要求。</w:t>
      </w:r>
    </w:p>
    <w:p>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rPr>
        <w:t>乙方</w:t>
      </w:r>
      <w:r>
        <w:rPr>
          <w:rFonts w:hint="eastAsia" w:ascii="宋体" w:hAnsi="宋体" w:cs="宋体"/>
          <w:color w:val="000000"/>
          <w:sz w:val="24"/>
          <w:lang w:eastAsia="zh-Hans"/>
        </w:rPr>
        <w:t>有义务采用最合适的包装方式，在合理的情况下，减少合同</w:t>
      </w:r>
      <w:r>
        <w:rPr>
          <w:rFonts w:hint="eastAsia" w:ascii="宋体" w:hAnsi="宋体" w:cs="宋体"/>
          <w:color w:val="000000"/>
          <w:sz w:val="24"/>
        </w:rPr>
        <w:t>货物</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货物</w:t>
      </w:r>
      <w:r>
        <w:rPr>
          <w:rFonts w:hint="eastAsia" w:ascii="宋体" w:hAnsi="宋体" w:cs="宋体"/>
          <w:color w:val="000000"/>
          <w:sz w:val="24"/>
          <w:lang w:eastAsia="zh-Hans"/>
        </w:rPr>
        <w:t>应按外形、直径大小进行合理包装。</w:t>
      </w:r>
    </w:p>
    <w:p>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pPr>
        <w:pStyle w:val="2"/>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6"/>
      <w:bookmarkEnd w:id="27"/>
      <w:bookmarkEnd w:id="28"/>
      <w:bookmarkEnd w:id="29"/>
      <w:bookmarkEnd w:id="30"/>
      <w:bookmarkEnd w:id="31"/>
      <w:bookmarkEnd w:id="32"/>
      <w:bookmarkEnd w:id="33"/>
    </w:p>
    <w:p>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乙方负责运输和保险，将货物运抵交货地点。有关运输、保险等一切的费用由乙方承担。</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w:t>
      </w:r>
      <w:r>
        <w:rPr>
          <w:rFonts w:hint="eastAsia" w:ascii="宋体" w:hAnsi="宋体" w:cs="宋体"/>
          <w:color w:val="000000"/>
          <w:sz w:val="24"/>
          <w:u w:val="single"/>
        </w:rPr>
        <w:t>乙方</w:t>
      </w:r>
      <w:r>
        <w:rPr>
          <w:rFonts w:hint="eastAsia" w:ascii="宋体" w:hAnsi="宋体" w:cs="宋体"/>
          <w:color w:val="000000"/>
          <w:sz w:val="24"/>
          <w:u w:val="single"/>
          <w:lang w:eastAsia="zh-Hans"/>
        </w:rPr>
        <w:t>负责安排</w:t>
      </w:r>
      <w:r>
        <w:rPr>
          <w:rFonts w:hint="eastAsia" w:ascii="宋体" w:hAnsi="宋体" w:cs="宋体"/>
          <w:color w:val="000000"/>
          <w:sz w:val="24"/>
          <w:u w:val="single"/>
        </w:rPr>
        <w:t xml:space="preserve">  </w:t>
      </w:r>
      <w:r>
        <w:rPr>
          <w:rFonts w:hint="eastAsia" w:ascii="宋体" w:hAnsi="宋体" w:cs="宋体"/>
          <w:color w:val="000000"/>
          <w:sz w:val="24"/>
        </w:rPr>
        <w:t>。</w:t>
      </w:r>
    </w:p>
    <w:p>
      <w:pPr>
        <w:pStyle w:val="69"/>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 xml:space="preserve">                                   </w:t>
      </w:r>
      <w:r>
        <w:rPr>
          <w:rFonts w:ascii="宋体" w:hAnsi="宋体" w:cs="宋体"/>
          <w:color w:val="000000"/>
          <w:u w:val="single"/>
        </w:rPr>
        <w:t xml:space="preserve">   </w:t>
      </w:r>
    </w:p>
    <w:p>
      <w:pPr>
        <w:pStyle w:val="69"/>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p>
    <w:p>
      <w:pPr>
        <w:pStyle w:val="69"/>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pPr>
        <w:pStyle w:val="69"/>
        <w:spacing w:line="360" w:lineRule="auto"/>
        <w:ind w:firstLine="480"/>
        <w:rPr>
          <w:rFonts w:hint="eastAsia" w:ascii="宋体" w:hAnsi="宋体" w:cs="宋体"/>
          <w:color w:val="000000"/>
          <w:lang w:eastAsia="zh-Hans"/>
        </w:rPr>
      </w:pPr>
      <w:r>
        <w:rPr>
          <w:rFonts w:hint="eastAsia" w:ascii="宋体" w:hAnsi="宋体" w:cs="宋体"/>
          <w:color w:val="000000"/>
        </w:rPr>
        <w:t>4.货物</w:t>
      </w:r>
      <w:r>
        <w:rPr>
          <w:rFonts w:hint="eastAsia" w:ascii="宋体" w:hAnsi="宋体" w:cs="宋体"/>
          <w:color w:val="000000"/>
          <w:lang w:eastAsia="zh-Hans"/>
        </w:rPr>
        <w:t>交付给</w:t>
      </w:r>
      <w:r>
        <w:rPr>
          <w:rFonts w:hint="eastAsia" w:ascii="宋体" w:hAnsi="宋体" w:cs="宋体"/>
          <w:color w:val="000000"/>
        </w:rPr>
        <w:t>甲方</w:t>
      </w:r>
      <w:r>
        <w:rPr>
          <w:rFonts w:hint="eastAsia" w:ascii="宋体" w:hAnsi="宋体" w:cs="宋体"/>
          <w:color w:val="000000"/>
          <w:lang w:eastAsia="zh-Hans"/>
        </w:rPr>
        <w:t>前，毁损、灭失的风险，由</w:t>
      </w:r>
      <w:r>
        <w:rPr>
          <w:rFonts w:hint="eastAsia" w:ascii="宋体" w:hAnsi="宋体" w:cs="宋体"/>
          <w:color w:val="000000"/>
        </w:rPr>
        <w:t>乙方</w:t>
      </w:r>
      <w:r>
        <w:rPr>
          <w:rFonts w:hint="eastAsia" w:ascii="宋体" w:hAnsi="宋体" w:cs="宋体"/>
          <w:color w:val="000000"/>
          <w:lang w:eastAsia="zh-Hans"/>
        </w:rPr>
        <w:t>承担；交付给</w:t>
      </w:r>
      <w:r>
        <w:rPr>
          <w:rFonts w:hint="eastAsia" w:ascii="宋体" w:hAnsi="宋体" w:cs="宋体"/>
          <w:color w:val="000000"/>
        </w:rPr>
        <w:t>甲方</w:t>
      </w:r>
      <w:r>
        <w:rPr>
          <w:rFonts w:hint="eastAsia" w:ascii="宋体" w:hAnsi="宋体" w:cs="宋体"/>
          <w:color w:val="000000"/>
          <w:lang w:eastAsia="zh-Hans"/>
        </w:rPr>
        <w:t>后，毁损、灭失的风险，由</w:t>
      </w:r>
      <w:r>
        <w:rPr>
          <w:rFonts w:hint="eastAsia" w:ascii="宋体" w:hAnsi="宋体" w:cs="宋体"/>
          <w:color w:val="000000"/>
        </w:rPr>
        <w:t>甲方</w:t>
      </w:r>
      <w:r>
        <w:rPr>
          <w:rFonts w:hint="eastAsia" w:ascii="宋体" w:hAnsi="宋体" w:cs="宋体"/>
          <w:color w:val="000000"/>
          <w:lang w:eastAsia="zh-Hans"/>
        </w:rPr>
        <w:t>承担，本合同另有约定的，从其约定。</w:t>
      </w:r>
    </w:p>
    <w:p>
      <w:pPr>
        <w:pStyle w:val="2"/>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2.甲方在验收中如发现材料的品种、型号、规格和质量等不符合约定，应自收到货物后 15日内向乙方提出异议。乙方在接到甲方通知后，必须在2日内给甲方书面答复处理方案，及时采取补救措施，以使合同的标的物数量、规格及品质符合合同约定，相关费用由乙方承担。3.验收数量按现场实际供货量结算，乙方有义务提供真实的供货数量。供货数量少于通知的数量时，乙方负责将数量不足的部分补齐，并在甲方通知后2日内到货。</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4.如产品质量出现问题经甲乙双方确认需更换后，乙方应随时予以更换，更换货物必须2日内到</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货。</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5.乙方保证合同项下提供的货物不侵犯任何第三方的知识产权或其他权益。否则，乙方须承担对</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第三方的侵权责任并承担因此而发生的所有赔偿、费用。6.甲方有权对乙方每批送达的货物进行抽样检验，检验检测费用由乙方承担。发现不符合国家标准要求的,甲方有权拒绝继续支付货款并随时与乙方解除合同,因此给甲方造成的一切损失由乙方承担。7.乙方须有能力按甲方的实际需求供货，抢修配件不论数量多少必须按抢修要求随时供货到甲方指定地点，不得影响甲方的抢修恢复生产进度，若乙方无能力履行甲方的供货要求，甲方有权拒绝继续支付货款并随时与乙方解除合同，因此给甲方造成的一切损失由乙方承担。</w:t>
      </w:r>
    </w:p>
    <w:p>
      <w:pPr>
        <w:keepNext w:val="0"/>
        <w:keepLines w:val="0"/>
        <w:pageBreakBefore w:val="0"/>
        <w:widowControl w:val="0"/>
        <w:numPr>
          <w:ilvl w:val="0"/>
          <w:numId w:val="3"/>
        </w:numPr>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乙方货物经过双方验收认可后，签署验收单，由乙方提供产品保修文件。</w:t>
      </w:r>
    </w:p>
    <w:p>
      <w:pPr>
        <w:keepNext w:val="0"/>
        <w:keepLines w:val="0"/>
        <w:pageBreakBefore w:val="0"/>
        <w:widowControl w:val="0"/>
        <w:numPr>
          <w:ilvl w:val="0"/>
          <w:numId w:val="3"/>
        </w:numPr>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当满足以下条件时，甲方才向乙方签发货物验收报告</w:t>
      </w:r>
      <w:r>
        <w:rPr>
          <w:rFonts w:hint="eastAsia" w:ascii="宋体" w:hAnsi="宋体" w:cs="宋体"/>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(1)乙方已按照合同规定提供了全部产品及完整的技术资料。</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(2)货物符合招标文件技术规格书的要求，性能满足要求。</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sz w:val="24"/>
          <w:szCs w:val="24"/>
        </w:rPr>
      </w:pPr>
      <w:r>
        <w:rPr>
          <w:rFonts w:hint="eastAsia" w:ascii="宋体" w:hAnsi="宋体" w:cs="宋体"/>
          <w:color w:val="000000"/>
          <w:sz w:val="24"/>
          <w:szCs w:val="24"/>
        </w:rPr>
        <w:t>(3)货物具备产品合格证。</w:t>
      </w:r>
    </w:p>
    <w:p>
      <w:pPr>
        <w:pStyle w:val="2"/>
        <w:spacing w:before="156" w:beforeLines="50" w:after="156" w:afterLines="50" w:line="360" w:lineRule="auto"/>
        <w:ind w:left="420" w:leftChars="200"/>
        <w:jc w:val="left"/>
        <w:rPr>
          <w:rFonts w:hint="eastAsia" w:ascii="宋体" w:hAnsi="宋体" w:cs="宋体"/>
          <w:color w:val="000000"/>
          <w:szCs w:val="24"/>
        </w:rPr>
      </w:pPr>
      <w:bookmarkStart w:id="34" w:name="_Toc199215767"/>
      <w:bookmarkStart w:id="35" w:name="_Toc201997931"/>
      <w:bookmarkStart w:id="36" w:name="_Toc199213732"/>
      <w:bookmarkStart w:id="37" w:name="_Toc201719107"/>
      <w:bookmarkStart w:id="38" w:name="_Toc201401647"/>
      <w:bookmarkStart w:id="39" w:name="_Toc201742848"/>
      <w:bookmarkStart w:id="40" w:name="_Toc201743103"/>
      <w:bookmarkStart w:id="41" w:name="_Toc199215935"/>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pPr>
        <w:pStyle w:val="75"/>
        <w:numPr>
          <w:ilvl w:val="0"/>
          <w:numId w:val="4"/>
        </w:numPr>
        <w:spacing w:after="78" w:line="360" w:lineRule="auto"/>
        <w:ind w:left="0" w:firstLine="480"/>
        <w:rPr>
          <w:rFonts w:hint="eastAsia" w:ascii="宋体" w:hAnsi="宋体" w:cs="宋体"/>
          <w:color w:val="000000"/>
          <w:sz w:val="24"/>
        </w:rPr>
      </w:pPr>
      <w:r>
        <w:rPr>
          <w:rFonts w:hint="eastAsia" w:ascii="宋体" w:hAnsi="宋体" w:cs="宋体"/>
          <w:color w:val="000000"/>
          <w:sz w:val="24"/>
        </w:rPr>
        <w:t>乙方有责任按本合同的要求，按时、保质、保量地提供合同货物和技术资料。</w:t>
      </w:r>
    </w:p>
    <w:p>
      <w:pPr>
        <w:pStyle w:val="75"/>
        <w:numPr>
          <w:ilvl w:val="0"/>
          <w:numId w:val="4"/>
        </w:numPr>
        <w:spacing w:after="78" w:line="360" w:lineRule="auto"/>
        <w:ind w:left="0" w:firstLine="480"/>
        <w:rPr>
          <w:rFonts w:hint="eastAsia" w:ascii="宋体" w:hAnsi="宋体" w:cs="宋体"/>
          <w:color w:val="000000"/>
          <w:sz w:val="24"/>
        </w:rPr>
      </w:pPr>
      <w:r>
        <w:rPr>
          <w:rFonts w:hint="eastAsia" w:ascii="宋体" w:hAnsi="宋体" w:cs="宋体"/>
          <w:color w:val="000000"/>
          <w:sz w:val="24"/>
        </w:rPr>
        <w:t>乙方供货货物应保证满足甲方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技术（质量）、数量要求，对有缺陷的零件、部件和货物，乙方同意免费更换，以达到合同规定的规格、质量和性能。</w:t>
      </w:r>
    </w:p>
    <w:p>
      <w:pPr>
        <w:pStyle w:val="75"/>
        <w:numPr>
          <w:ilvl w:val="0"/>
          <w:numId w:val="4"/>
        </w:numPr>
        <w:spacing w:afterLines="0" w:line="360" w:lineRule="auto"/>
        <w:ind w:left="0" w:firstLine="480"/>
        <w:rPr>
          <w:rFonts w:hint="eastAsia" w:ascii="宋体" w:hAnsi="宋体" w:cs="宋体"/>
          <w:color w:val="000000"/>
          <w:sz w:val="24"/>
          <w:lang w:eastAsia="zh-Hans"/>
        </w:rPr>
      </w:pPr>
      <w:r>
        <w:rPr>
          <w:rFonts w:hint="eastAsia" w:ascii="宋体" w:hAnsi="宋体" w:cs="宋体"/>
          <w:color w:val="000000"/>
          <w:sz w:val="24"/>
        </w:rPr>
        <w:t>乙方有责任将合同货物在合同约定地点交验。</w:t>
      </w:r>
    </w:p>
    <w:p>
      <w:pPr>
        <w:pStyle w:val="75"/>
        <w:spacing w:afterLines="0"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pPr>
        <w:pStyle w:val="75"/>
        <w:spacing w:afterLines="0" w:line="360" w:lineRule="auto"/>
        <w:ind w:firstLine="480"/>
        <w:rPr>
          <w:rFonts w:hint="eastAsia" w:ascii="宋体" w:hAnsi="宋体" w:cs="宋体"/>
          <w:color w:val="000000"/>
          <w:sz w:val="24"/>
          <w:u w:val="single"/>
        </w:rPr>
      </w:pPr>
      <w:r>
        <w:rPr>
          <w:rFonts w:hint="eastAsia" w:ascii="宋体" w:hAnsi="宋体" w:cs="宋体"/>
          <w:color w:val="000000"/>
          <w:sz w:val="24"/>
          <w:lang w:eastAsia="zh-Hans"/>
        </w:rPr>
        <w:t>5.如乙方因本合同违背国家和地方各项法律、法规及各相关部门规章、规定。发生群体性事件、市民投诉、上访等问题，属乙方严重违约，中方有权单方面提前终止合同，可扣除或不支付相应的项目费用。若乙方的违约行为同时导致行政罚款及经济赔款或造成任何法律或经济纠纷，一概由乙方负责。</w:t>
      </w:r>
    </w:p>
    <w:p>
      <w:pPr>
        <w:pStyle w:val="2"/>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rPr>
        <w:t>1.乙方如有下列行为之一视为违约，甲方有权解除合同，乙方赔偿甲方的一切损失</w:t>
      </w:r>
      <w:r>
        <w:rPr>
          <w:rFonts w:hint="eastAsia" w:ascii="宋体" w:hAnsi="宋体" w:cs="宋体"/>
          <w:color w:val="000000"/>
          <w:sz w:val="24"/>
          <w:lang w:eastAsia="zh-CN"/>
        </w:rPr>
        <w:t>。</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eastAsia="宋体" w:cs="宋体"/>
          <w:color w:val="000000"/>
          <w:sz w:val="24"/>
          <w:lang w:eastAsia="zh-CN"/>
        </w:rPr>
      </w:pPr>
      <w:r>
        <w:rPr>
          <w:rFonts w:hint="eastAsia" w:ascii="宋体" w:hAnsi="宋体" w:cs="宋体"/>
          <w:color w:val="000000"/>
          <w:sz w:val="24"/>
        </w:rPr>
        <w:t>(1)所提供的设备、配件与合同文件的约定不相符</w:t>
      </w:r>
      <w:r>
        <w:rPr>
          <w:rFonts w:hint="eastAsia" w:ascii="宋体" w:hAnsi="宋体" w:cs="宋体"/>
          <w:color w:val="000000"/>
          <w:sz w:val="24"/>
          <w:lang w:eastAsia="zh-CN"/>
        </w:rPr>
        <w:t>；</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rPr>
        <w:t>(2)乙方存在违反合同文件规定的质量、性能、质保和售后服务的内容行为</w:t>
      </w:r>
      <w:r>
        <w:rPr>
          <w:rFonts w:hint="eastAsia" w:ascii="宋体" w:hAnsi="宋体" w:cs="宋体"/>
          <w:color w:val="000000"/>
          <w:sz w:val="24"/>
          <w:lang w:eastAsia="zh-CN"/>
        </w:rPr>
        <w:t>；</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rPr>
      </w:pPr>
      <w:r>
        <w:rPr>
          <w:rFonts w:hint="eastAsia" w:ascii="宋体" w:hAnsi="宋体" w:cs="宋体"/>
          <w:color w:val="000000"/>
          <w:sz w:val="24"/>
        </w:rPr>
        <w:t>(3)乙方违反双方签署合同书的其他主要条款。</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rPr>
      </w:pPr>
      <w:r>
        <w:rPr>
          <w:rFonts w:hint="eastAsia" w:ascii="宋体" w:hAnsi="宋体" w:cs="宋体"/>
          <w:color w:val="000000"/>
          <w:sz w:val="24"/>
        </w:rPr>
        <w:t>2.甲方付款前，乙方应向甲方提供足额的当期发票和相关付款申请材料，乙方不提供或不及时提供发票和相关付款申请材料期间，甲方拒付货款不承担任何违约责任。</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rPr>
      </w:pPr>
      <w:r>
        <w:rPr>
          <w:rFonts w:hint="eastAsia" w:ascii="宋体" w:hAnsi="宋体" w:cs="宋体"/>
          <w:color w:val="000000"/>
          <w:sz w:val="24"/>
        </w:rPr>
        <w:t>3.乙方在设备运输、装卸等各种环节中产生的一切意外事故，包括不可抗力因素造成的事故，造成设备或配件的损坏概由乙方负责。</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rPr>
      </w:pPr>
      <w:r>
        <w:rPr>
          <w:rFonts w:hint="eastAsia" w:ascii="宋体" w:hAnsi="宋体" w:cs="宋体"/>
          <w:color w:val="000000"/>
          <w:sz w:val="24"/>
        </w:rPr>
        <w:t>4.乙方未按本合同规定的交货时间按期按批交货，供货期延误5日以内的，乙方向甲方支付该订单总额 2%/日的违约金;供货期延误5至10日的(含本数)，从延误开始之日起，乙方向甲方支付该订单总额 5%/日的违约金;(3)供货期延误10日以上的，甲方有权单方面终止合同，并要求乙方按当次订单总价 30%向甲方支付违约金及由此为甲方带来的一切经济损失。</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rPr>
      </w:pPr>
      <w:r>
        <w:rPr>
          <w:rFonts w:hint="eastAsia" w:ascii="宋体" w:hAnsi="宋体" w:cs="宋体"/>
          <w:color w:val="000000"/>
          <w:sz w:val="24"/>
        </w:rPr>
        <w:t>5.设备、配件未能通过本合同约定的任一项验收，则甲方同意由乙方予以整改更换，并在3天内更换不合格货物重新组织验收;经2次验收不合格的，甲方有权单方面终止合同，要求乙方按当次订单总价30%向甲方支付违约金。</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rPr>
        <w:t>6.乙方所供货物验收后出现质量问题，乙方收到甲方通知后</w:t>
      </w:r>
      <w:r>
        <w:rPr>
          <w:rFonts w:hint="eastAsia" w:ascii="宋体" w:hAnsi="宋体" w:cs="宋体"/>
          <w:color w:val="000000"/>
          <w:sz w:val="24"/>
          <w:u w:val="single"/>
        </w:rPr>
        <w:t xml:space="preserve"> 24 </w:t>
      </w:r>
      <w:r>
        <w:rPr>
          <w:rFonts w:hint="eastAsia" w:ascii="宋体" w:hAnsi="宋体" w:cs="宋体"/>
          <w:color w:val="000000"/>
          <w:sz w:val="24"/>
        </w:rPr>
        <w:t>小时内回复甲方，</w:t>
      </w:r>
      <w:r>
        <w:rPr>
          <w:rFonts w:hint="eastAsia" w:ascii="宋体" w:hAnsi="宋体" w:cs="宋体"/>
          <w:color w:val="000000"/>
          <w:sz w:val="24"/>
          <w:u w:val="single"/>
        </w:rPr>
        <w:t xml:space="preserve">3 </w:t>
      </w:r>
      <w:r>
        <w:rPr>
          <w:rFonts w:hint="eastAsia" w:ascii="宋体" w:hAnsi="宋体" w:cs="宋体"/>
          <w:color w:val="000000"/>
          <w:sz w:val="24"/>
        </w:rPr>
        <w:t>天内更换不合格货物，甲方将对乙方处以该订单总额</w:t>
      </w:r>
      <w:r>
        <w:rPr>
          <w:rFonts w:hint="eastAsia" w:ascii="宋体" w:hAnsi="宋体" w:cs="宋体"/>
          <w:color w:val="000000"/>
          <w:sz w:val="24"/>
          <w:u w:val="single"/>
        </w:rPr>
        <w:t xml:space="preserve"> 30%</w:t>
      </w:r>
      <w:r>
        <w:rPr>
          <w:rFonts w:hint="eastAsia" w:ascii="宋体" w:hAnsi="宋体" w:cs="宋体"/>
          <w:color w:val="000000"/>
          <w:sz w:val="24"/>
          <w:u w:val="single"/>
          <w:lang w:val="en-US" w:eastAsia="zh-CN"/>
        </w:rPr>
        <w:t xml:space="preserve"> </w:t>
      </w:r>
      <w:r>
        <w:rPr>
          <w:rFonts w:hint="eastAsia" w:ascii="宋体" w:hAnsi="宋体" w:cs="宋体"/>
          <w:color w:val="000000"/>
          <w:sz w:val="24"/>
        </w:rPr>
        <w:t>的违约金。甲方有权随时对货物进行质量抽检，若抽检发现货物质量不合格除对乙方处以该订单总额</w:t>
      </w:r>
      <w:r>
        <w:rPr>
          <w:rFonts w:hint="eastAsia" w:ascii="宋体" w:hAnsi="宋体" w:cs="宋体"/>
          <w:color w:val="000000"/>
          <w:sz w:val="24"/>
          <w:u w:val="single"/>
        </w:rPr>
        <w:t xml:space="preserve"> 30%</w:t>
      </w:r>
      <w:r>
        <w:rPr>
          <w:rFonts w:hint="eastAsia" w:ascii="宋体" w:hAnsi="宋体" w:cs="宋体"/>
          <w:color w:val="000000"/>
          <w:sz w:val="24"/>
          <w:u w:val="single"/>
          <w:lang w:val="en-US" w:eastAsia="zh-CN"/>
        </w:rPr>
        <w:t xml:space="preserve"> </w:t>
      </w:r>
      <w:r>
        <w:rPr>
          <w:rFonts w:hint="eastAsia" w:ascii="宋体" w:hAnsi="宋体" w:cs="宋体"/>
          <w:color w:val="000000"/>
          <w:sz w:val="24"/>
        </w:rPr>
        <w:t>罚款金额外，甲方还将追究由当批货物给甲方造成的其他损失:如造成生产运营方面的损失、造成工人窝工等所发生的一切费用将由乙方承担，乙方不得以任何理由拒绝，甲方在书面通知乙方后</w:t>
      </w:r>
      <w:r>
        <w:rPr>
          <w:rFonts w:hint="eastAsia" w:ascii="宋体" w:hAnsi="宋体" w:cs="宋体"/>
          <w:color w:val="000000"/>
          <w:sz w:val="24"/>
          <w:u w:val="single"/>
        </w:rPr>
        <w:t xml:space="preserve"> 24</w:t>
      </w:r>
      <w:r>
        <w:rPr>
          <w:rFonts w:hint="eastAsia" w:ascii="宋体" w:hAnsi="宋体" w:cs="宋体"/>
          <w:color w:val="000000"/>
          <w:sz w:val="24"/>
          <w:u w:val="single"/>
          <w:lang w:val="en-US" w:eastAsia="zh-CN"/>
        </w:rPr>
        <w:t xml:space="preserve"> </w:t>
      </w:r>
      <w:r>
        <w:rPr>
          <w:rFonts w:hint="eastAsia" w:ascii="宋体" w:hAnsi="宋体" w:cs="宋体"/>
          <w:color w:val="000000"/>
          <w:sz w:val="24"/>
        </w:rPr>
        <w:t>小时内，乙方无任何书面回复的，甲方有权随时终止合同，并将在货款中予以直接扣除</w:t>
      </w:r>
      <w:r>
        <w:rPr>
          <w:rFonts w:hint="eastAsia" w:ascii="宋体" w:hAnsi="宋体" w:cs="宋体"/>
          <w:color w:val="000000"/>
          <w:sz w:val="24"/>
          <w:lang w:eastAsia="zh-CN"/>
        </w:rPr>
        <w:t>。</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7.质保期内，如乙方未按照本合同第十一质保要求在规定时间内指导解决货物问题，甲方有权自行处理，相关费用及因此造成的损失全部由乙方承担，且不免除乙方对货物的缺陷责任，此外，甲方有权要求乙方按照前述相关费用的</w:t>
      </w:r>
      <w:r>
        <w:rPr>
          <w:rFonts w:hint="eastAsia" w:ascii="宋体" w:hAnsi="宋体" w:cs="宋体"/>
          <w:color w:val="000000"/>
          <w:sz w:val="24"/>
          <w:u w:val="single"/>
          <w:lang w:eastAsia="zh-CN"/>
        </w:rPr>
        <w:t xml:space="preserve"> 0.5</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CN"/>
        </w:rPr>
        <w:t>倍支付补偿金，并有权在尾款中扣除相关费用、损失、补偿、违约金。</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8.如乙方出现</w:t>
      </w:r>
      <w:r>
        <w:rPr>
          <w:rFonts w:hint="eastAsia" w:ascii="宋体" w:hAnsi="宋体" w:cs="宋体"/>
          <w:color w:val="000000"/>
          <w:sz w:val="24"/>
          <w:u w:val="single"/>
          <w:lang w:eastAsia="zh-CN"/>
        </w:rPr>
        <w:t>2</w:t>
      </w:r>
      <w:r>
        <w:rPr>
          <w:rFonts w:hint="eastAsia" w:ascii="宋体" w:hAnsi="宋体" w:cs="宋体"/>
          <w:color w:val="000000"/>
          <w:sz w:val="24"/>
          <w:lang w:eastAsia="zh-CN"/>
        </w:rPr>
        <w:t>次未按合同约定履行质保服务现象或出现1次设备(配件)使用寿命未达到承诺质保期限的</w:t>
      </w:r>
      <w:r>
        <w:rPr>
          <w:rFonts w:hint="eastAsia" w:ascii="宋体" w:hAnsi="宋体" w:cs="宋体"/>
          <w:color w:val="000000"/>
          <w:sz w:val="24"/>
          <w:u w:val="single"/>
          <w:lang w:eastAsia="zh-CN"/>
        </w:rPr>
        <w:t xml:space="preserve"> 50%</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CN"/>
        </w:rPr>
        <w:t>，并未免费为甲方维修、更换，甲方有权单方终止合同。因乙方原因导致甲方行使解除合同权的，甲方有权未支付款项不再进行支付，同时要求乙方支付违约金，违约金为该合同年度已发生费用的</w:t>
      </w:r>
      <w:r>
        <w:rPr>
          <w:rFonts w:hint="eastAsia" w:ascii="宋体" w:hAnsi="宋体" w:cs="宋体"/>
          <w:color w:val="000000"/>
          <w:sz w:val="24"/>
          <w:u w:val="single"/>
          <w:lang w:eastAsia="zh-CN"/>
        </w:rPr>
        <w:t xml:space="preserve"> 30%</w:t>
      </w:r>
      <w:r>
        <w:rPr>
          <w:rFonts w:hint="eastAsia" w:ascii="宋体" w:hAnsi="宋体" w:cs="宋体"/>
          <w:color w:val="000000"/>
          <w:sz w:val="24"/>
          <w:u w:val="single"/>
          <w:lang w:val="en-US" w:eastAsia="zh-CN"/>
        </w:rPr>
        <w:t xml:space="preserve"> </w:t>
      </w:r>
      <w:r>
        <w:rPr>
          <w:rFonts w:hint="eastAsia" w:ascii="宋体" w:hAnsi="宋体" w:cs="宋体"/>
          <w:color w:val="000000"/>
          <w:sz w:val="24"/>
          <w:lang w:eastAsia="zh-CN"/>
        </w:rPr>
        <w:t>且不少于</w:t>
      </w:r>
      <w:r>
        <w:rPr>
          <w:rFonts w:hint="eastAsia" w:ascii="宋体" w:hAnsi="宋体" w:cs="宋体"/>
          <w:color w:val="000000"/>
          <w:sz w:val="24"/>
          <w:u w:val="single"/>
          <w:lang w:eastAsia="zh-CN"/>
        </w:rPr>
        <w:t>3万元</w:t>
      </w:r>
      <w:r>
        <w:rPr>
          <w:rFonts w:hint="eastAsia" w:ascii="宋体" w:hAnsi="宋体" w:cs="宋体"/>
          <w:color w:val="000000"/>
          <w:sz w:val="24"/>
          <w:lang w:eastAsia="zh-CN"/>
        </w:rPr>
        <w:t>。因乙方未履行质保服务导致甲方遭受损失，甲方有权要求乙方赔偿相应的损失，包括但不限于直接经济损失和可能的间接损失。</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9.乙方在无法律依据或合同依据的情况下单方解除本合同，甲方有权按照已发生费用的10%向甲方支付违约金且不少于</w:t>
      </w:r>
      <w:r>
        <w:rPr>
          <w:rFonts w:hint="eastAsia" w:ascii="宋体" w:hAnsi="宋体" w:cs="宋体"/>
          <w:color w:val="000000"/>
          <w:sz w:val="24"/>
          <w:u w:val="single"/>
          <w:lang w:eastAsia="zh-CN"/>
        </w:rPr>
        <w:t>3万元</w:t>
      </w:r>
      <w:r>
        <w:rPr>
          <w:rFonts w:hint="eastAsia" w:ascii="宋体" w:hAnsi="宋体" w:cs="宋体"/>
          <w:color w:val="000000"/>
          <w:sz w:val="24"/>
          <w:lang w:eastAsia="zh-CN"/>
        </w:rPr>
        <w:t>，并赔偿因此给甲方造成的损失。</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10按合同规定应赔付的违约金，赔偿及其他经济损失，应当在明确责任后15日内付给对方，否则按逾期付款处理。</w:t>
      </w:r>
    </w:p>
    <w:p>
      <w:pPr>
        <w:pStyle w:val="75"/>
        <w:keepNext w:val="0"/>
        <w:keepLines w:val="0"/>
        <w:pageBreakBefore w:val="0"/>
        <w:widowControl w:val="0"/>
        <w:kinsoku/>
        <w:wordWrap/>
        <w:overflowPunct/>
        <w:topLinePunct w:val="0"/>
        <w:autoSpaceDE/>
        <w:autoSpaceDN/>
        <w:bidi w:val="0"/>
        <w:adjustRightInd w:val="0"/>
        <w:snapToGrid w:val="0"/>
        <w:spacing w:afterLines="0" w:line="360" w:lineRule="auto"/>
        <w:ind w:firstLine="480"/>
        <w:textAlignment w:val="auto"/>
        <w:rPr>
          <w:rFonts w:hint="eastAsia" w:ascii="宋体" w:hAnsi="宋体" w:eastAsia="宋体" w:cs="宋体"/>
          <w:color w:val="000000"/>
          <w:sz w:val="24"/>
          <w:lang w:eastAsia="zh-CN"/>
        </w:rPr>
      </w:pPr>
      <w:r>
        <w:rPr>
          <w:rFonts w:hint="eastAsia" w:ascii="宋体" w:hAnsi="宋体" w:cs="宋体"/>
          <w:color w:val="000000"/>
          <w:sz w:val="24"/>
          <w:lang w:eastAsia="zh-CN"/>
        </w:rPr>
        <w:t>11.一方因追究违约方法律责任而支付的案件受理费、保全费、执行费、公告费、律师费、保全担保费/保险费、公证费，由违约方承担。</w:t>
      </w:r>
    </w:p>
    <w:p>
      <w:pPr>
        <w:pStyle w:val="2"/>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4"/>
      <w:bookmarkEnd w:id="35"/>
      <w:bookmarkEnd w:id="36"/>
      <w:bookmarkEnd w:id="37"/>
      <w:bookmarkEnd w:id="38"/>
      <w:bookmarkEnd w:id="39"/>
      <w:bookmarkEnd w:id="40"/>
      <w:bookmarkEnd w:id="41"/>
      <w:r>
        <w:rPr>
          <w:rFonts w:hint="eastAsia" w:ascii="宋体" w:hAnsi="宋体" w:cs="宋体"/>
          <w:color w:val="000000"/>
          <w:szCs w:val="24"/>
        </w:rPr>
        <w:t>保密</w:t>
      </w:r>
    </w:p>
    <w:p>
      <w:pPr>
        <w:spacing w:afterLines="0" w:line="360" w:lineRule="auto"/>
        <w:ind w:firstLine="480" w:firstLineChars="200"/>
        <w:rPr>
          <w:rFonts w:hint="eastAsia" w:ascii="宋体" w:hAnsi="宋体" w:cs="宋体"/>
          <w:sz w:val="24"/>
        </w:rPr>
      </w:pPr>
      <w:r>
        <w:rPr>
          <w:rFonts w:hint="eastAsia" w:ascii="宋体" w:hAnsi="宋体" w:cs="宋体"/>
          <w:sz w:val="24"/>
        </w:rPr>
        <w:t>对于在合同履行过程中所获得或知悉的、关于甲方的所有未公开的信息、商业秘密(包括项目信息、资料、人力资源等)，乙方及乙方员工均负有保密义务，否则应赔偿人民币5万元。保密期限，自己方知悉该资料或信息之日起至公众可通过合法途径获得、知悉相关资料、信息之日止。</w:t>
      </w:r>
    </w:p>
    <w:p>
      <w:pPr>
        <w:pStyle w:val="2"/>
        <w:spacing w:before="156" w:beforeLines="50" w:after="156" w:afterLines="50" w:line="360" w:lineRule="auto"/>
        <w:ind w:left="420" w:leftChars="200"/>
        <w:jc w:val="left"/>
        <w:rPr>
          <w:rFonts w:hint="eastAsia" w:ascii="宋体" w:hAnsi="宋体" w:cs="宋体"/>
          <w:color w:val="000000"/>
          <w:szCs w:val="24"/>
        </w:rPr>
      </w:pPr>
      <w:bookmarkStart w:id="42" w:name="_Toc201742854"/>
      <w:bookmarkStart w:id="43" w:name="_Toc199215941"/>
      <w:bookmarkStart w:id="44" w:name="_Toc201719113"/>
      <w:bookmarkStart w:id="45" w:name="_Toc201401653"/>
      <w:bookmarkStart w:id="46" w:name="_Toc199213738"/>
      <w:bookmarkStart w:id="47" w:name="_Toc201743109"/>
      <w:bookmarkStart w:id="48" w:name="_Toc199215773"/>
      <w:bookmarkStart w:id="49" w:name="_Toc201997937"/>
      <w:r>
        <w:rPr>
          <w:rFonts w:hint="eastAsia" w:ascii="宋体" w:hAnsi="宋体" w:cs="宋体"/>
          <w:color w:val="000000"/>
          <w:szCs w:val="24"/>
        </w:rPr>
        <w:t>十</w:t>
      </w:r>
      <w:r>
        <w:rPr>
          <w:rFonts w:hint="eastAsia" w:ascii="宋体" w:hAnsi="宋体" w:cs="宋体"/>
          <w:color w:val="000000"/>
          <w:szCs w:val="24"/>
          <w:lang w:eastAsia="zh-Hans"/>
        </w:rPr>
        <w:t>、</w:t>
      </w:r>
      <w:bookmarkEnd w:id="42"/>
      <w:bookmarkEnd w:id="43"/>
      <w:bookmarkEnd w:id="44"/>
      <w:bookmarkEnd w:id="45"/>
      <w:bookmarkEnd w:id="46"/>
      <w:bookmarkEnd w:id="47"/>
      <w:bookmarkEnd w:id="48"/>
      <w:bookmarkEnd w:id="49"/>
      <w:r>
        <w:rPr>
          <w:rFonts w:hint="eastAsia" w:ascii="宋体" w:hAnsi="宋体" w:cs="宋体"/>
          <w:color w:val="000000"/>
          <w:szCs w:val="24"/>
        </w:rPr>
        <w:t>质保</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bookmarkStart w:id="50" w:name="_Toc201401655"/>
      <w:bookmarkStart w:id="51" w:name="_Toc201719115"/>
      <w:bookmarkStart w:id="52" w:name="_Toc199215943"/>
      <w:bookmarkStart w:id="53" w:name="_Toc201743111"/>
      <w:bookmarkStart w:id="54" w:name="_Toc201742856"/>
      <w:bookmarkStart w:id="55" w:name="_Toc199215775"/>
      <w:bookmarkStart w:id="56" w:name="_Toc199213740"/>
      <w:bookmarkStart w:id="57" w:name="_Toc201997939"/>
      <w:r>
        <w:rPr>
          <w:rFonts w:hint="eastAsia" w:ascii="宋体" w:hAnsi="宋体" w:eastAsia="宋体" w:cs="宋体"/>
          <w:sz w:val="24"/>
          <w:szCs w:val="24"/>
        </w:rPr>
        <w:t>1.货物质保判定标准</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出现下列情况之一则视为不达质保标准:</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(1)空载流量低于初始流量的 50%</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(2)压力低于进料设定压力(一级能效泵约0.6MPa，二级能效泵约1.2MPa，三级能效泵约1.8MPa);</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(3)出现明显震动及异响。</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保修期:自货到现场之日起，碳化钨工艺质保12个月，自然损耗及人为损坏除外。在质保期内，如发生产品质量故障，乙方在接到甲方通知后12小时内到达甲方现场进行处理并提供免费保修服务。质保期内出现的因制造产生的质量缺陷,乙方三日内完成免费维修或免费更换。因甲方保管不当或人为操作不当因素造成的产品损坏或性能下降,乙方可以予以维修，但因此产生的人工、材料费由甲方承担。</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3.保修期内所发生的因乙方原因引起的货物质量问题和供货问题等，乙方须及时响应解决，直至质量保证期满为止。</w:t>
      </w:r>
    </w:p>
    <w:p>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提供的合同货物，应在保修期内提供免费的上门维修和更新服务，不收取任何费用。5.如因运输不当致使货物损坏，应由乙方免费更换。在货物安装过程及保修期内，如发生质量问题、因运输不当或乙方未全面进行安装调试而致使货物损坏，应由乙方免费进行维修或更换</w:t>
      </w:r>
    </w:p>
    <w:p>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肆</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贰</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签章并加盖合同章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50"/>
      <w:bookmarkEnd w:id="51"/>
      <w:bookmarkEnd w:id="52"/>
      <w:bookmarkEnd w:id="53"/>
      <w:bookmarkEnd w:id="54"/>
      <w:bookmarkEnd w:id="55"/>
      <w:bookmarkEnd w:id="56"/>
      <w:bookmarkEnd w:id="57"/>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1.本合同未尽事宜，双方可在本合同框架内，经协商一致签订补充合同，补充协议签订后并经双方签字盖章后生效，与本合同具有同等法律效力。</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p>
    <w:p>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w:t>
      </w:r>
      <w:r>
        <w:rPr>
          <w:rFonts w:hint="eastAsia" w:ascii="宋体" w:hAnsi="宋体" w:cs="宋体"/>
          <w:color w:val="000000"/>
          <w:sz w:val="24"/>
        </w:rPr>
        <w:t>甲方</w:t>
      </w:r>
      <w:r>
        <w:rPr>
          <w:rFonts w:hint="eastAsia" w:ascii="宋体" w:hAnsi="宋体" w:cs="宋体"/>
          <w:color w:val="000000"/>
          <w:sz w:val="24"/>
          <w:lang w:eastAsia="zh-Hans"/>
        </w:rPr>
        <w:t>所在地有管辖权的人民法院提起诉讼。</w:t>
      </w:r>
    </w:p>
    <w:p>
      <w:pPr>
        <w:spacing w:after="78"/>
      </w:pPr>
    </w:p>
    <w:p>
      <w:pPr>
        <w:spacing w:after="78"/>
        <w:rPr>
          <w:lang w:eastAsia="zh-Hans"/>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pPr>
              <w:spacing w:before="156" w:beforeLines="50" w:after="78" w:line="360" w:lineRule="auto"/>
              <w:rPr>
                <w:rFonts w:hint="eastAsia"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tcPr>
          <w:p>
            <w:pPr>
              <w:spacing w:before="156" w:beforeLines="50" w:after="78" w:line="360" w:lineRule="auto"/>
              <w:rPr>
                <w:rFonts w:hint="eastAsia" w:ascii="宋体" w:hAnsi="宋体" w:cs="宋体"/>
                <w:color w:val="000000"/>
                <w:sz w:val="24"/>
              </w:rPr>
            </w:pPr>
            <w:r>
              <w:rPr>
                <w:rFonts w:hint="eastAsia" w:ascii="宋体" w:hAnsi="宋体" w:cs="宋体"/>
                <w:color w:val="000000"/>
                <w:sz w:val="24"/>
              </w:rPr>
              <w:t>乙方（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pPr>
              <w:spacing w:before="156" w:beforeLines="50" w:after="78" w:line="360" w:lineRule="auto"/>
              <w:rPr>
                <w:rFonts w:hint="eastAsia"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pPr>
              <w:spacing w:before="156" w:beforeLines="50" w:after="78" w:line="360" w:lineRule="auto"/>
              <w:rPr>
                <w:rFonts w:hint="eastAsia" w:ascii="宋体" w:hAnsi="宋体" w:cs="宋体"/>
                <w:color w:val="000000"/>
                <w:sz w:val="24"/>
              </w:rPr>
            </w:pPr>
          </w:p>
        </w:tc>
        <w:tc>
          <w:tcPr>
            <w:tcW w:w="4389" w:type="dxa"/>
          </w:tcPr>
          <w:p>
            <w:pPr>
              <w:spacing w:before="156" w:beforeLines="50" w:after="78" w:line="360" w:lineRule="auto"/>
              <w:rPr>
                <w:rFonts w:hint="eastAsia"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pPr>
              <w:spacing w:before="156" w:beforeLines="50" w:after="78" w:line="360" w:lineRule="auto"/>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pPr>
        <w:spacing w:after="78"/>
      </w:pPr>
      <w:bookmarkStart w:id="58" w:name="_Toc416353562"/>
    </w:p>
    <w:bookmarkEnd w:id="58"/>
    <w:p>
      <w:pPr>
        <w:rPr>
          <w:rFonts w:ascii="黑体" w:eastAsia="黑体"/>
          <w:b/>
          <w:color w:val="000000"/>
          <w:sz w:val="30"/>
          <w:szCs w:val="30"/>
        </w:rPr>
      </w:pPr>
      <w:bookmarkStart w:id="59" w:name="_Hlk111222939"/>
      <w:r>
        <w:rPr>
          <w:rFonts w:ascii="黑体" w:eastAsia="黑体"/>
          <w:b/>
          <w:color w:val="000000"/>
          <w:sz w:val="30"/>
          <w:szCs w:val="30"/>
        </w:rPr>
        <w:br w:type="page"/>
      </w:r>
    </w:p>
    <w:p>
      <w:pPr>
        <w:spacing w:before="240" w:after="78" w:line="360" w:lineRule="auto"/>
        <w:jc w:val="left"/>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pPr>
        <w:spacing w:after="78" w:line="360" w:lineRule="auto"/>
        <w:ind w:firstLine="723" w:firstLineChars="200"/>
        <w:jc w:val="center"/>
        <w:rPr>
          <w:rFonts w:hint="eastAsia" w:ascii="宋体" w:hAnsi="宋体"/>
          <w:b/>
          <w:sz w:val="36"/>
          <w:szCs w:val="36"/>
        </w:rPr>
      </w:pPr>
    </w:p>
    <w:p>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pPr>
        <w:numPr>
          <w:ilvl w:val="0"/>
          <w:numId w:val="5"/>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严禁甲方人员有以下行为：</w:t>
      </w:r>
    </w:p>
    <w:p>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pPr>
        <w:numPr>
          <w:ilvl w:val="0"/>
          <w:numId w:val="5"/>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乙方不可以有以下行为：</w:t>
      </w:r>
    </w:p>
    <w:p>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pPr>
        <w:spacing w:after="78" w:line="360" w:lineRule="auto"/>
        <w:ind w:firstLine="480" w:firstLineChars="200"/>
        <w:rPr>
          <w:rFonts w:hint="eastAsia" w:ascii="宋体" w:hAnsi="宋体"/>
          <w:sz w:val="24"/>
        </w:rPr>
      </w:pPr>
    </w:p>
    <w:p>
      <w:pPr>
        <w:spacing w:after="78" w:line="360" w:lineRule="auto"/>
        <w:ind w:left="561" w:leftChars="267" w:firstLine="480" w:firstLineChars="200"/>
        <w:rPr>
          <w:rFonts w:hint="eastAsia" w:ascii="宋体" w:hAnsi="宋体"/>
          <w:sz w:val="24"/>
        </w:rPr>
      </w:pPr>
    </w:p>
    <w:p>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pPr>
        <w:pStyle w:val="21"/>
        <w:spacing w:after="78" w:line="360" w:lineRule="auto"/>
        <w:ind w:firstLine="480"/>
        <w:rPr>
          <w:rStyle w:val="60"/>
          <w:rFonts w:hint="eastAsia" w:ascii="宋体" w:hAnsi="宋体"/>
          <w:sz w:val="52"/>
        </w:rPr>
      </w:pPr>
      <w:r>
        <w:rPr>
          <w:rFonts w:hint="eastAsia" w:ascii="宋体" w:hAnsi="宋体"/>
          <w:sz w:val="24"/>
        </w:rPr>
        <w:t>年</w:t>
      </w:r>
      <w:r>
        <w:rPr>
          <w:rFonts w:ascii="宋体" w:hAnsi="宋体"/>
          <w:sz w:val="24"/>
        </w:rPr>
        <w:t xml:space="preserve">  月   日                                年     月   日</w:t>
      </w:r>
      <w:bookmarkEnd w:id="59"/>
    </w:p>
    <w:p>
      <w:pPr>
        <w:spacing w:after="78"/>
      </w:pPr>
      <w:r>
        <w:rPr>
          <w:rFonts w:hint="eastAsia" w:ascii="黑体" w:hAnsi="黑体" w:eastAsia="黑体"/>
          <w:sz w:val="32"/>
          <w:szCs w:val="32"/>
        </w:rPr>
        <w:br w:type="page"/>
      </w:r>
    </w:p>
    <w:p>
      <w:pPr>
        <w:pStyle w:val="3"/>
        <w:numPr>
          <w:ilvl w:val="0"/>
          <w:numId w:val="2"/>
        </w:numPr>
        <w:spacing w:after="78"/>
        <w:jc w:val="center"/>
      </w:pPr>
      <w:r>
        <w:rPr>
          <w:rFonts w:hint="eastAsia" w:ascii="黑体" w:hAnsi="黑体" w:eastAsia="黑体"/>
          <w:sz w:val="32"/>
          <w:szCs w:val="32"/>
        </w:rPr>
        <w:t>报价文件格式</w:t>
      </w:r>
    </w:p>
    <w:p>
      <w:pPr>
        <w:spacing w:after="78"/>
        <w:jc w:val="center"/>
        <w:rPr>
          <w:b/>
          <w:bCs/>
          <w:sz w:val="44"/>
          <w:szCs w:val="44"/>
        </w:rPr>
      </w:pPr>
      <w:r>
        <w:rPr>
          <w:rFonts w:hint="eastAsia"/>
          <w:b/>
          <w:bCs/>
          <w:sz w:val="44"/>
          <w:szCs w:val="44"/>
        </w:rPr>
        <w:t>深圳市深水水务咨询有限公司</w:t>
      </w:r>
    </w:p>
    <w:p>
      <w:pPr>
        <w:spacing w:after="78"/>
        <w:jc w:val="center"/>
        <w:rPr>
          <w:rFonts w:hint="eastAsia" w:eastAsia="宋体"/>
          <w:b/>
          <w:bCs/>
          <w:sz w:val="40"/>
          <w:szCs w:val="40"/>
          <w:lang w:eastAsia="zh-CN"/>
        </w:rPr>
      </w:pPr>
      <w:r>
        <w:rPr>
          <w:rFonts w:hint="eastAsia"/>
          <w:b/>
          <w:bCs/>
          <w:sz w:val="40"/>
          <w:szCs w:val="40"/>
          <w:lang w:eastAsia="zh-CN"/>
        </w:rPr>
        <w:t>汕头区域螺杆泵配件采购项目</w:t>
      </w:r>
    </w:p>
    <w:p>
      <w:pPr>
        <w:spacing w:after="78"/>
      </w:pPr>
    </w:p>
    <w:p>
      <w:pPr>
        <w:spacing w:after="78"/>
        <w:rPr>
          <w:b/>
          <w:bCs/>
          <w:sz w:val="40"/>
          <w:szCs w:val="40"/>
        </w:rPr>
      </w:pPr>
    </w:p>
    <w:p>
      <w:pPr>
        <w:spacing w:after="78"/>
        <w:rPr>
          <w:sz w:val="40"/>
          <w:szCs w:val="40"/>
        </w:rPr>
      </w:pPr>
    </w:p>
    <w:p>
      <w:pPr>
        <w:spacing w:after="78"/>
        <w:jc w:val="center"/>
        <w:rPr>
          <w:b/>
          <w:bCs/>
          <w:sz w:val="48"/>
          <w:szCs w:val="48"/>
        </w:rPr>
      </w:pPr>
    </w:p>
    <w:p>
      <w:pPr>
        <w:spacing w:after="78"/>
        <w:jc w:val="center"/>
        <w:rPr>
          <w:b/>
          <w:bCs/>
          <w:sz w:val="48"/>
          <w:szCs w:val="48"/>
        </w:rPr>
      </w:pPr>
      <w:r>
        <w:rPr>
          <w:rFonts w:hint="eastAsia"/>
          <w:b/>
          <w:bCs/>
          <w:sz w:val="48"/>
          <w:szCs w:val="48"/>
        </w:rPr>
        <w:t>报价文件</w:t>
      </w:r>
    </w:p>
    <w:p>
      <w:pPr>
        <w:spacing w:after="78"/>
        <w:rPr>
          <w:sz w:val="40"/>
          <w:szCs w:val="40"/>
        </w:rPr>
      </w:pPr>
    </w:p>
    <w:p>
      <w:pPr>
        <w:spacing w:after="78"/>
        <w:rPr>
          <w:sz w:val="40"/>
          <w:szCs w:val="40"/>
        </w:rPr>
      </w:pPr>
    </w:p>
    <w:p>
      <w:pPr>
        <w:spacing w:after="78"/>
      </w:pPr>
    </w:p>
    <w:p>
      <w:pPr>
        <w:spacing w:after="78"/>
      </w:pPr>
    </w:p>
    <w:p>
      <w:pPr>
        <w:spacing w:after="78"/>
        <w:rPr>
          <w:sz w:val="40"/>
          <w:szCs w:val="40"/>
        </w:rPr>
      </w:pPr>
    </w:p>
    <w:p>
      <w:pPr>
        <w:spacing w:after="78"/>
        <w:rPr>
          <w:sz w:val="40"/>
          <w:szCs w:val="40"/>
        </w:rPr>
      </w:pPr>
    </w:p>
    <w:p>
      <w:pPr>
        <w:spacing w:after="78"/>
        <w:ind w:left="1050" w:leftChars="500"/>
        <w:rPr>
          <w:sz w:val="32"/>
          <w:szCs w:val="32"/>
        </w:rPr>
      </w:pPr>
      <w:r>
        <w:rPr>
          <w:rFonts w:hint="eastAsia"/>
          <w:sz w:val="32"/>
          <w:szCs w:val="32"/>
        </w:rPr>
        <w:t>报价单位：</w:t>
      </w:r>
    </w:p>
    <w:p>
      <w:pPr>
        <w:spacing w:after="78"/>
        <w:ind w:left="1050" w:leftChars="500"/>
        <w:rPr>
          <w:sz w:val="32"/>
          <w:szCs w:val="32"/>
        </w:rPr>
      </w:pPr>
      <w:r>
        <w:rPr>
          <w:rFonts w:hint="eastAsia"/>
          <w:sz w:val="32"/>
          <w:szCs w:val="32"/>
        </w:rPr>
        <w:t>联系人：</w:t>
      </w:r>
    </w:p>
    <w:p>
      <w:pPr>
        <w:spacing w:after="78"/>
        <w:ind w:left="1050" w:leftChars="500"/>
        <w:rPr>
          <w:sz w:val="32"/>
          <w:szCs w:val="32"/>
        </w:rPr>
      </w:pPr>
      <w:r>
        <w:rPr>
          <w:rFonts w:hint="eastAsia"/>
          <w:sz w:val="32"/>
          <w:szCs w:val="32"/>
        </w:rPr>
        <w:t>联系电话：</w:t>
      </w:r>
    </w:p>
    <w:p>
      <w:pPr>
        <w:spacing w:after="78"/>
        <w:ind w:left="1050" w:leftChars="500"/>
        <w:rPr>
          <w:sz w:val="32"/>
          <w:szCs w:val="32"/>
        </w:rPr>
      </w:pPr>
      <w:r>
        <w:rPr>
          <w:rFonts w:hint="eastAsia"/>
          <w:sz w:val="32"/>
          <w:szCs w:val="32"/>
        </w:rPr>
        <w:t>日期：</w:t>
      </w:r>
    </w:p>
    <w:p>
      <w:pPr>
        <w:spacing w:after="78"/>
      </w:pPr>
    </w:p>
    <w:p>
      <w:pPr>
        <w:spacing w:after="78"/>
        <w:rPr>
          <w:rFonts w:hint="eastAsia" w:ascii="黑体" w:hAnsi="黑体" w:eastAsia="黑体"/>
          <w:sz w:val="32"/>
          <w:szCs w:val="32"/>
        </w:rPr>
      </w:pPr>
      <w:r>
        <w:rPr>
          <w:rFonts w:hint="eastAsia" w:ascii="黑体" w:hAnsi="黑体" w:eastAsia="黑体"/>
          <w:sz w:val="32"/>
          <w:szCs w:val="32"/>
        </w:rPr>
        <w:br w:type="page"/>
      </w:r>
    </w:p>
    <w:p>
      <w:pPr>
        <w:pStyle w:val="62"/>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pPr>
              <w:widowControl/>
              <w:spacing w:after="78" w:line="360" w:lineRule="atLeast"/>
              <w:jc w:val="center"/>
              <w:rPr>
                <w:rFonts w:hint="eastAsia" w:ascii="仿宋" w:hAnsi="仿宋" w:eastAsia="仿宋" w:cs="仿宋"/>
                <w:sz w:val="24"/>
                <w:szCs w:val="20"/>
              </w:rPr>
            </w:pPr>
          </w:p>
        </w:tc>
      </w:tr>
    </w:tbl>
    <w:p>
      <w:pPr>
        <w:spacing w:after="78"/>
        <w:rPr>
          <w:rFonts w:hint="eastAsia" w:ascii="仿宋" w:hAnsi="仿宋" w:eastAsia="仿宋" w:cs="Arial"/>
        </w:rPr>
      </w:pPr>
      <w:r>
        <w:br w:type="page"/>
      </w:r>
    </w:p>
    <w:p>
      <w:pPr>
        <w:pStyle w:val="62"/>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szCs w:val="21"/>
          <w:u w:val="single"/>
          <w:lang w:eastAsia="zh-CN"/>
        </w:rPr>
        <w:t>汕头区域螺杆泵配件采购项目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szCs w:val="21"/>
          <w:u w:val="single"/>
          <w:lang w:eastAsia="zh-CN"/>
        </w:rPr>
        <w:t>汕头区域螺杆泵配件采购项目</w:t>
      </w:r>
      <w:r>
        <w:rPr>
          <w:rFonts w:hint="eastAsia" w:ascii="仿宋" w:hAnsi="仿宋" w:eastAsia="仿宋"/>
          <w:bCs/>
          <w:color w:val="000000"/>
          <w:szCs w:val="21"/>
        </w:rPr>
        <w:t>报价</w:t>
      </w:r>
      <w:r>
        <w:rPr>
          <w:rFonts w:ascii="仿宋" w:hAnsi="仿宋" w:eastAsia="仿宋"/>
          <w:color w:val="000000"/>
          <w:szCs w:val="21"/>
        </w:rPr>
        <w:t>，作出以下承诺：</w:t>
      </w:r>
    </w:p>
    <w:p>
      <w:pPr>
        <w:pStyle w:val="64"/>
        <w:numPr>
          <w:ilvl w:val="0"/>
          <w:numId w:val="7"/>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pPr>
        <w:pStyle w:val="21"/>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pPr>
        <w:tabs>
          <w:tab w:val="left" w:pos="7665"/>
        </w:tabs>
        <w:spacing w:after="78" w:line="276" w:lineRule="auto"/>
        <w:ind w:firstLine="420" w:firstLineChars="200"/>
        <w:rPr>
          <w:rFonts w:hint="eastAsia" w:ascii="仿宋" w:hAnsi="仿宋" w:eastAsia="仿宋"/>
          <w:szCs w:val="21"/>
        </w:rPr>
      </w:pPr>
      <w:bookmarkStart w:id="60"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60"/>
    <w:p>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pPr>
        <w:pStyle w:val="64"/>
        <w:numPr>
          <w:ilvl w:val="0"/>
          <w:numId w:val="7"/>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szCs w:val="21"/>
          <w:u w:val="single"/>
          <w:lang w:eastAsia="zh-CN"/>
        </w:rPr>
        <w:t>汕头区域螺杆泵配件采购项目</w:t>
      </w:r>
      <w:r>
        <w:rPr>
          <w:rFonts w:ascii="仿宋" w:hAnsi="仿宋" w:eastAsia="仿宋"/>
          <w:szCs w:val="21"/>
        </w:rPr>
        <w:t>选聘，特承诺如下：</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tabs>
          <w:tab w:val="left" w:pos="1110"/>
        </w:tabs>
        <w:spacing w:after="78" w:line="276" w:lineRule="auto"/>
        <w:ind w:firstLine="420" w:firstLineChars="200"/>
        <w:rPr>
          <w:rFonts w:hint="eastAsia" w:ascii="仿宋" w:hAnsi="仿宋" w:eastAsia="仿宋"/>
          <w:color w:val="000000"/>
          <w:szCs w:val="21"/>
        </w:rPr>
      </w:pPr>
    </w:p>
    <w:p>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1312;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pPr>
                        <w:spacing w:after="78"/>
                      </w:pPr>
                    </w:p>
                  </w:txbxContent>
                </v:textbox>
              </v:shape>
            </w:pict>
          </mc:Fallback>
        </mc:AlternateContent>
      </w:r>
      <w:r>
        <w:rPr>
          <w:rFonts w:hint="eastAsia" w:ascii="仿宋" w:hAnsi="仿宋" w:eastAsia="仿宋" w:cs="宋体"/>
          <w:color w:val="000000"/>
          <w:sz w:val="24"/>
          <w:szCs w:val="21"/>
        </w:rPr>
        <w:t>营业执照</w:t>
      </w:r>
    </w:p>
    <w:p>
      <w:pPr>
        <w:tabs>
          <w:tab w:val="left" w:pos="1110"/>
        </w:tabs>
        <w:spacing w:after="78" w:line="276" w:lineRule="auto"/>
        <w:ind w:firstLine="480" w:firstLineChars="200"/>
        <w:rPr>
          <w:rFonts w:hint="eastAsia" w:ascii="仿宋" w:hAnsi="仿宋" w:eastAsia="仿宋" w:cs="宋体"/>
          <w:color w:val="000000"/>
          <w:sz w:val="24"/>
          <w:szCs w:val="21"/>
        </w:rPr>
      </w:pPr>
    </w:p>
    <w:p>
      <w:pPr>
        <w:pStyle w:val="28"/>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8"/>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8"/>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8"/>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8"/>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spacing w:after="78"/>
      </w:pPr>
    </w:p>
    <w:p>
      <w:pPr>
        <w:spacing w:after="78"/>
      </w:pP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pPr>
        <w:pStyle w:val="28"/>
        <w:spacing w:after="78"/>
        <w:ind w:left="2940"/>
        <w:rPr>
          <w:rFonts w:hint="eastAsia" w:ascii="仿宋" w:hAnsi="仿宋" w:eastAsia="仿宋"/>
          <w:szCs w:val="21"/>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pP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pPr>
        <w:pStyle w:val="28"/>
        <w:spacing w:after="78"/>
        <w:ind w:left="2940"/>
        <w:rPr>
          <w:rFonts w:hint="eastAsia" w:ascii="仿宋" w:hAnsi="仿宋" w:eastAsia="仿宋"/>
          <w:szCs w:val="21"/>
        </w:rPr>
      </w:pPr>
      <w: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2336;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pStyle w:val="28"/>
        <w:spacing w:after="78"/>
        <w:ind w:left="0" w:leftChars="0"/>
      </w:pPr>
    </w:p>
    <w:p>
      <w:pPr>
        <w:spacing w:after="78"/>
      </w:pPr>
    </w:p>
    <w:p>
      <w:pPr>
        <w:pStyle w:val="28"/>
        <w:spacing w:after="78"/>
        <w:ind w:left="2940"/>
      </w:pPr>
    </w:p>
    <w:p>
      <w:pPr>
        <w:spacing w:after="78"/>
      </w:pPr>
    </w:p>
    <w:p>
      <w:pPr>
        <w:pStyle w:val="28"/>
        <w:spacing w:after="78"/>
        <w:ind w:left="2940"/>
      </w:pPr>
    </w:p>
    <w:p>
      <w:pPr>
        <w:spacing w:after="78"/>
      </w:pPr>
    </w:p>
    <w:p>
      <w:pPr>
        <w:pStyle w:val="28"/>
        <w:spacing w:after="78"/>
        <w:ind w:left="2940"/>
      </w:pPr>
    </w:p>
    <w:p>
      <w:pPr>
        <w:spacing w:after="78"/>
      </w:pPr>
    </w:p>
    <w:p>
      <w:pPr>
        <w:pStyle w:val="28"/>
        <w:spacing w:after="78"/>
        <w:ind w:left="0" w:leftChars="0"/>
      </w:pPr>
    </w:p>
    <w:p>
      <w:pPr>
        <w:spacing w:after="78"/>
      </w:pPr>
    </w:p>
    <w:p>
      <w:pPr>
        <w:spacing w:after="78"/>
      </w:pPr>
      <w:r>
        <w:rPr>
          <w:rFonts w:hint="eastAsia"/>
        </w:rPr>
        <w:br w:type="page"/>
      </w: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中国执行信息公开网（http://zxgk.court.gov.cn/）</w:t>
      </w:r>
    </w:p>
    <w:p>
      <w:pPr>
        <w:pStyle w:val="28"/>
        <w:spacing w:after="78"/>
        <w:ind w:left="2940"/>
        <w:rPr>
          <w:rFonts w:hint="eastAsia" w:ascii="仿宋" w:hAnsi="仿宋" w:eastAsia="仿宋"/>
          <w:szCs w:val="21"/>
        </w:rPr>
      </w:pPr>
      <w: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591.65pt;width:413.35pt;z-index:251660288;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spacing w:after="78"/>
        <w:rPr>
          <w:rFonts w:hint="eastAsia" w:ascii="仿宋" w:hAnsi="仿宋" w:eastAsia="仿宋"/>
          <w:szCs w:val="21"/>
        </w:rPr>
      </w:pPr>
    </w:p>
    <w:p>
      <w:pPr>
        <w:pStyle w:val="28"/>
        <w:spacing w:after="78"/>
        <w:ind w:left="2940"/>
        <w:rPr>
          <w:rFonts w:hint="eastAsia" w:ascii="仿宋" w:hAnsi="仿宋" w:eastAsia="仿宋"/>
          <w:szCs w:val="21"/>
        </w:rPr>
      </w:pPr>
    </w:p>
    <w:p>
      <w:pPr>
        <w:pStyle w:val="28"/>
        <w:spacing w:after="78"/>
        <w:ind w:left="0" w:leftChars="0"/>
      </w:pPr>
    </w:p>
    <w:p>
      <w:pPr>
        <w:spacing w:after="78"/>
      </w:pPr>
    </w:p>
    <w:p>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pPr>
        <w:pStyle w:val="62"/>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sz w:val="24"/>
          <w:lang w:eastAsia="zh-CN"/>
        </w:rPr>
        <w:t>汕头区域螺杆泵配件采购项目</w:t>
      </w:r>
      <w:r>
        <w:rPr>
          <w:rFonts w:hint="eastAsia" w:ascii="仿宋" w:hAnsi="仿宋" w:eastAsia="仿宋"/>
          <w:b/>
          <w:bCs/>
          <w:kern w:val="0"/>
          <w:sz w:val="24"/>
        </w:rPr>
        <w:t>报价一览表</w:t>
      </w:r>
    </w:p>
    <w:tbl>
      <w:tblPr>
        <w:tblStyle w:val="23"/>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378"/>
        <w:gridCol w:w="1916"/>
        <w:gridCol w:w="757"/>
        <w:gridCol w:w="671"/>
        <w:gridCol w:w="1412"/>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报价内容</w:t>
            </w:r>
          </w:p>
        </w:tc>
        <w:tc>
          <w:tcPr>
            <w:tcW w:w="7523" w:type="dxa"/>
            <w:gridSpan w:val="6"/>
            <w:vAlign w:val="center"/>
          </w:tcPr>
          <w:p>
            <w:pPr>
              <w:pageBreakBefore w:val="0"/>
              <w:kinsoku/>
              <w:wordWrap/>
              <w:overflowPunct/>
              <w:topLinePunct w:val="0"/>
              <w:bidi w:val="0"/>
              <w:spacing w:afterLines="0" w:line="240" w:lineRule="auto"/>
              <w:jc w:val="center"/>
              <w:rPr>
                <w:rFonts w:hint="eastAsia" w:ascii="仿宋" w:hAnsi="仿宋" w:eastAsia="仿宋"/>
                <w:bCs/>
                <w:szCs w:val="21"/>
              </w:rPr>
            </w:pPr>
            <w:r>
              <w:rPr>
                <w:rFonts w:hint="eastAsia" w:ascii="仿宋" w:hAnsi="仿宋" w:eastAsia="仿宋" w:cs="仿宋"/>
                <w:b/>
                <w:bCs/>
                <w:szCs w:val="21"/>
                <w:lang w:eastAsia="zh-CN"/>
              </w:rPr>
              <w:t>汕头区域螺杆泵配件采购项目</w:t>
            </w:r>
            <w:r>
              <w:rPr>
                <w:rFonts w:hint="eastAsia" w:ascii="仿宋" w:hAnsi="仿宋" w:eastAsia="仿宋"/>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vMerge w:val="restart"/>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采购单位</w:t>
            </w:r>
          </w:p>
        </w:tc>
        <w:tc>
          <w:tcPr>
            <w:tcW w:w="3294" w:type="dxa"/>
            <w:gridSpan w:val="2"/>
            <w:vMerge w:val="restart"/>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深圳市深水水务咨询有限公司</w:t>
            </w:r>
          </w:p>
        </w:tc>
        <w:tc>
          <w:tcPr>
            <w:tcW w:w="1428"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801" w:type="dxa"/>
            <w:gridSpan w:val="2"/>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81" w:type="dxa"/>
            <w:vMerge w:val="continue"/>
            <w:vAlign w:val="center"/>
          </w:tcPr>
          <w:p>
            <w:pPr>
              <w:pageBreakBefore w:val="0"/>
              <w:kinsoku/>
              <w:wordWrap/>
              <w:overflowPunct/>
              <w:topLinePunct w:val="0"/>
              <w:bidi w:val="0"/>
              <w:spacing w:afterLines="0" w:line="240" w:lineRule="auto"/>
              <w:jc w:val="center"/>
              <w:rPr>
                <w:rFonts w:hint="eastAsia" w:ascii="仿宋" w:hAnsi="仿宋" w:eastAsia="仿宋"/>
                <w:szCs w:val="21"/>
              </w:rPr>
            </w:pPr>
          </w:p>
        </w:tc>
        <w:tc>
          <w:tcPr>
            <w:tcW w:w="3294" w:type="dxa"/>
            <w:gridSpan w:val="2"/>
            <w:vMerge w:val="continue"/>
            <w:vAlign w:val="center"/>
          </w:tcPr>
          <w:p>
            <w:pPr>
              <w:pageBreakBefore w:val="0"/>
              <w:kinsoku/>
              <w:wordWrap/>
              <w:overflowPunct/>
              <w:topLinePunct w:val="0"/>
              <w:bidi w:val="0"/>
              <w:spacing w:afterLines="0" w:line="240" w:lineRule="auto"/>
              <w:jc w:val="center"/>
              <w:rPr>
                <w:rFonts w:hint="eastAsia" w:ascii="仿宋" w:hAnsi="仿宋" w:eastAsia="仿宋"/>
                <w:szCs w:val="21"/>
              </w:rPr>
            </w:pPr>
          </w:p>
        </w:tc>
        <w:tc>
          <w:tcPr>
            <w:tcW w:w="1428"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801" w:type="dxa"/>
            <w:gridSpan w:val="2"/>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送货地址</w:t>
            </w:r>
          </w:p>
        </w:tc>
        <w:tc>
          <w:tcPr>
            <w:tcW w:w="3294"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汕头市</w:t>
            </w:r>
          </w:p>
        </w:tc>
        <w:tc>
          <w:tcPr>
            <w:tcW w:w="1428"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801" w:type="dxa"/>
            <w:gridSpan w:val="2"/>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104" w:type="dxa"/>
            <w:gridSpan w:val="7"/>
            <w:vAlign w:val="center"/>
          </w:tcPr>
          <w:p>
            <w:pPr>
              <w:pageBreakBefore w:val="0"/>
              <w:kinsoku/>
              <w:wordWrap/>
              <w:overflowPunct/>
              <w:topLinePunct w:val="0"/>
              <w:bidi w:val="0"/>
              <w:spacing w:afterLines="0" w:line="240" w:lineRule="auto"/>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b/>
                <w:szCs w:val="21"/>
                <w:lang w:eastAsia="zh-CN"/>
              </w:rPr>
            </w:pPr>
            <w:r>
              <w:rPr>
                <w:rFonts w:hint="eastAsia" w:ascii="仿宋" w:hAnsi="仿宋" w:eastAsia="仿宋"/>
                <w:b/>
                <w:szCs w:val="21"/>
                <w:lang w:val="en-US" w:eastAsia="zh-CN"/>
              </w:rPr>
              <w:t>型号</w:t>
            </w:r>
          </w:p>
        </w:tc>
        <w:tc>
          <w:tcPr>
            <w:tcW w:w="1378" w:type="dxa"/>
            <w:vAlign w:val="center"/>
          </w:tcPr>
          <w:p>
            <w:pPr>
              <w:pageBreakBefore w:val="0"/>
              <w:kinsoku/>
              <w:wordWrap/>
              <w:overflowPunct/>
              <w:topLinePunct w:val="0"/>
              <w:bidi w:val="0"/>
              <w:spacing w:afterLines="0" w:line="240" w:lineRule="auto"/>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品名</w:t>
            </w:r>
          </w:p>
        </w:tc>
        <w:tc>
          <w:tcPr>
            <w:tcW w:w="1916" w:type="dxa"/>
            <w:vAlign w:val="center"/>
          </w:tcPr>
          <w:p>
            <w:pPr>
              <w:pageBreakBefore w:val="0"/>
              <w:kinsoku/>
              <w:wordWrap/>
              <w:overflowPunct/>
              <w:topLinePunct w:val="0"/>
              <w:bidi w:val="0"/>
              <w:spacing w:afterLines="0" w:line="240" w:lineRule="auto"/>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材质</w:t>
            </w:r>
          </w:p>
        </w:tc>
        <w:tc>
          <w:tcPr>
            <w:tcW w:w="757" w:type="dxa"/>
            <w:vAlign w:val="center"/>
          </w:tcPr>
          <w:p>
            <w:pPr>
              <w:pageBreakBefore w:val="0"/>
              <w:kinsoku/>
              <w:wordWrap/>
              <w:overflowPunct/>
              <w:topLinePunct w:val="0"/>
              <w:bidi w:val="0"/>
              <w:spacing w:afterLines="0" w:line="240" w:lineRule="auto"/>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671" w:type="dxa"/>
            <w:vAlign w:val="center"/>
          </w:tcPr>
          <w:p>
            <w:pPr>
              <w:pageBreakBefore w:val="0"/>
              <w:kinsoku/>
              <w:wordWrap/>
              <w:overflowPunct/>
              <w:topLinePunct w:val="0"/>
              <w:bidi w:val="0"/>
              <w:spacing w:afterLines="0" w:line="240" w:lineRule="auto"/>
              <w:jc w:val="center"/>
              <w:rPr>
                <w:rFonts w:hint="eastAsia" w:ascii="仿宋" w:hAnsi="仿宋" w:eastAsia="仿宋"/>
                <w:b/>
                <w:szCs w:val="21"/>
                <w:lang w:val="en-US" w:eastAsia="zh-CN"/>
              </w:rPr>
            </w:pPr>
            <w:r>
              <w:rPr>
                <w:rFonts w:hint="eastAsia" w:ascii="仿宋" w:hAnsi="仿宋" w:eastAsia="仿宋"/>
                <w:b/>
                <w:szCs w:val="21"/>
                <w:lang w:val="en-US" w:eastAsia="zh-CN"/>
              </w:rPr>
              <w:t>单位</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szCs w:val="21"/>
              </w:rPr>
            </w:pPr>
            <w:r>
              <w:rPr>
                <w:rFonts w:hint="eastAsia" w:ascii="仿宋" w:hAnsi="仿宋" w:eastAsia="仿宋"/>
                <w:b/>
                <w:szCs w:val="21"/>
              </w:rPr>
              <w:t>*含税</w:t>
            </w:r>
          </w:p>
          <w:p>
            <w:pPr>
              <w:pageBreakBefore w:val="0"/>
              <w:kinsoku/>
              <w:wordWrap/>
              <w:overflowPunct/>
              <w:topLinePunct w:val="0"/>
              <w:bidi w:val="0"/>
              <w:spacing w:afterLines="0" w:line="240" w:lineRule="auto"/>
              <w:jc w:val="center"/>
              <w:rPr>
                <w:rFonts w:hint="eastAsia" w:ascii="仿宋" w:hAnsi="仿宋" w:eastAsia="仿宋"/>
                <w:b/>
                <w:szCs w:val="21"/>
              </w:rPr>
            </w:pPr>
            <w:r>
              <w:rPr>
                <w:rFonts w:ascii="仿宋" w:hAnsi="仿宋" w:eastAsia="仿宋"/>
                <w:b/>
                <w:szCs w:val="21"/>
              </w:rPr>
              <w:t>单价</w:t>
            </w:r>
            <w:r>
              <w:rPr>
                <w:rFonts w:hint="eastAsia" w:ascii="仿宋" w:hAnsi="仿宋" w:eastAsia="仿宋"/>
                <w:b/>
                <w:szCs w:val="21"/>
              </w:rPr>
              <w:t>（元）</w:t>
            </w:r>
          </w:p>
        </w:tc>
        <w:tc>
          <w:tcPr>
            <w:tcW w:w="1389" w:type="dxa"/>
            <w:vAlign w:val="center"/>
          </w:tcPr>
          <w:p>
            <w:pPr>
              <w:pageBreakBefore w:val="0"/>
              <w:kinsoku/>
              <w:wordWrap/>
              <w:overflowPunct/>
              <w:topLinePunct w:val="0"/>
              <w:bidi w:val="0"/>
              <w:spacing w:afterLines="0" w:line="240" w:lineRule="auto"/>
              <w:jc w:val="center"/>
              <w:rPr>
                <w:rFonts w:hint="eastAsia" w:ascii="仿宋" w:hAnsi="仿宋" w:eastAsia="仿宋"/>
                <w:b/>
                <w:szCs w:val="21"/>
              </w:rPr>
            </w:pPr>
            <w:r>
              <w:rPr>
                <w:rFonts w:hint="eastAsia" w:ascii="仿宋" w:hAnsi="仿宋" w:eastAsia="仿宋"/>
                <w:b/>
                <w:szCs w:val="21"/>
              </w:rPr>
              <w:t>*含税</w:t>
            </w:r>
          </w:p>
          <w:p>
            <w:pPr>
              <w:pageBreakBefore w:val="0"/>
              <w:kinsoku/>
              <w:wordWrap/>
              <w:overflowPunct/>
              <w:topLinePunct w:val="0"/>
              <w:bidi w:val="0"/>
              <w:spacing w:afterLines="0" w:line="240" w:lineRule="auto"/>
              <w:jc w:val="center"/>
              <w:rPr>
                <w:rFonts w:hint="eastAsia" w:ascii="仿宋" w:hAnsi="仿宋" w:eastAsia="仿宋"/>
                <w:b/>
                <w:szCs w:val="21"/>
              </w:rPr>
            </w:pPr>
            <w:r>
              <w:rPr>
                <w:rFonts w:hint="eastAsia" w:ascii="仿宋" w:hAnsi="仿宋" w:eastAsia="仿宋"/>
                <w:b/>
                <w:szCs w:val="21"/>
                <w:lang w:val="en-US" w:eastAsia="zh-CN"/>
              </w:rPr>
              <w:t>小计</w:t>
            </w:r>
            <w:r>
              <w:rPr>
                <w:rFonts w:hint="eastAsia" w:ascii="仿宋" w:hAnsi="仿宋" w:eastAsia="仿宋"/>
                <w:b/>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NM090SY03S18V</w:t>
            </w: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高压泵定子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耐磨NBR丁晴橡胶</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高压泵转子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304不锈钢+碳化钨</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高压泵配套连接杆</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传动轴</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万向节组件</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机械密封</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合金弹簧</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NM105BY02S12V</w:t>
            </w: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低压泵定子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耐磨NBR丁晴橡胶</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低压泵转子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304不锈钢+碳化钨</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低压泵配套连接杆</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传动轴</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万向节组件</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机械密封</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合金弹簧</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NM105BY01L06B</w:t>
            </w: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低压泵定子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耐磨NBR丁晴橡胶</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低压泵转子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304不锈钢+碳化钨</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低压泵配套连接杆</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传动轴</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万向节组件</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机械密封</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合金弹簧</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NM090BY03S12B</w:t>
            </w: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高压泵定子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耐磨NBR丁晴橡胶</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高压泵转子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304不锈钢+碳化钨</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高压泵配套连接杆</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传动轴</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万向节组件</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机械密封</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合金弹簧</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2</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BN35-12E</w:t>
            </w: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高压泵定子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耐磨NBR丁晴橡胶</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高压泵转子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304不锈钢+碳化钨</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高压泵配套连接杆</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传动轴</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万向节组件</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机械密封</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合金弹簧</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BN130-6L</w:t>
            </w: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低压泵定子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耐磨NBR丁晴橡胶</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个</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低压泵转子</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304不锈钢+碳化钨</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低压泵配套连接杆</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传动轴</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根</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Merge w:val="continue"/>
            <w:vAlign w:val="center"/>
          </w:tcPr>
          <w:p>
            <w:pPr>
              <w:keepNext w:val="0"/>
              <w:keepLines w:val="0"/>
              <w:pageBreakBefore w:val="0"/>
              <w:widowControl/>
              <w:kinsoku/>
              <w:wordWrap/>
              <w:overflowPunct/>
              <w:topLinePunct w:val="0"/>
              <w:autoSpaceDE/>
              <w:autoSpaceDN/>
              <w:bidi w:val="0"/>
              <w:adjustRightInd/>
              <w:snapToGrid/>
              <w:spacing w:afterLines="0" w:line="240" w:lineRule="auto"/>
              <w:jc w:val="center"/>
              <w:rPr>
                <w:rFonts w:hint="eastAsia" w:ascii="仿宋" w:hAnsi="仿宋" w:eastAsia="仿宋" w:cs="仿宋"/>
                <w:sz w:val="21"/>
                <w:szCs w:val="21"/>
              </w:rPr>
            </w:pPr>
          </w:p>
        </w:tc>
        <w:tc>
          <w:tcPr>
            <w:tcW w:w="1378"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万向节组件</w:t>
            </w:r>
          </w:p>
        </w:tc>
        <w:tc>
          <w:tcPr>
            <w:tcW w:w="1916"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left"/>
              <w:textAlignment w:val="center"/>
              <w:rPr>
                <w:rFonts w:hint="eastAsia" w:ascii="仿宋" w:hAnsi="仿宋" w:eastAsia="仿宋" w:cs="仿宋"/>
                <w:b w:val="0"/>
                <w:bCs w:val="0"/>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合金钢</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671" w:type="dxa"/>
            <w:vAlign w:val="center"/>
          </w:tcPr>
          <w:p>
            <w:pPr>
              <w:keepNext w:val="0"/>
              <w:keepLines w:val="0"/>
              <w:pageBreakBefore w:val="0"/>
              <w:widowControl/>
              <w:suppressLineNumbers w:val="0"/>
              <w:kinsoku/>
              <w:wordWrap/>
              <w:overflowPunct/>
              <w:topLinePunct w:val="0"/>
              <w:autoSpaceDE/>
              <w:autoSpaceDN/>
              <w:bidi w:val="0"/>
              <w:adjustRightInd/>
              <w:snapToGrid/>
              <w:spacing w:afterLines="0" w:line="240" w:lineRule="auto"/>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vAlign w:val="center"/>
          </w:tcPr>
          <w:p>
            <w:pPr>
              <w:pStyle w:val="59"/>
              <w:pageBreakBefore w:val="0"/>
              <w:kinsoku/>
              <w:wordWrap/>
              <w:overflowPunct/>
              <w:topLinePunct w:val="0"/>
              <w:autoSpaceDE w:val="0"/>
              <w:autoSpaceDN w:val="0"/>
              <w:bidi w:val="0"/>
              <w:adjustRightInd w:val="0"/>
              <w:snapToGrid w:val="0"/>
              <w:spacing w:afterLines="0" w:line="240" w:lineRule="auto"/>
              <w:ind w:firstLine="0" w:firstLineChars="0"/>
              <w:jc w:val="center"/>
              <w:rPr>
                <w:rFonts w:hint="eastAsia" w:ascii="仿宋" w:hAnsi="仿宋" w:eastAsia="仿宋"/>
                <w:szCs w:val="21"/>
                <w:lang w:val="en-US" w:eastAsia="zh-CN"/>
              </w:rPr>
            </w:pPr>
            <w:r>
              <w:rPr>
                <w:rFonts w:hint="eastAsia" w:ascii="仿宋" w:hAnsi="仿宋" w:eastAsia="仿宋"/>
                <w:szCs w:val="21"/>
                <w:lang w:val="en-US" w:eastAsia="zh-CN"/>
              </w:rPr>
              <w:t>其他</w:t>
            </w:r>
          </w:p>
        </w:tc>
        <w:tc>
          <w:tcPr>
            <w:tcW w:w="3294" w:type="dxa"/>
            <w:gridSpan w:val="2"/>
            <w:vAlign w:val="center"/>
          </w:tcPr>
          <w:p>
            <w:pPr>
              <w:pStyle w:val="2"/>
              <w:pageBreakBefore w:val="0"/>
              <w:kinsoku/>
              <w:wordWrap/>
              <w:overflowPunct/>
              <w:topLinePunct w:val="0"/>
              <w:bidi w:val="0"/>
              <w:spacing w:before="0" w:after="0" w:afterLines="0" w:line="240" w:lineRule="auto"/>
              <w:jc w:val="left"/>
              <w:rPr>
                <w:rFonts w:hint="eastAsia" w:ascii="仿宋" w:hAnsi="仿宋" w:eastAsia="仿宋" w:cs="仿宋"/>
                <w:b w:val="0"/>
                <w:bCs w:val="0"/>
                <w:color w:val="000000"/>
                <w:kern w:val="0"/>
                <w:sz w:val="21"/>
                <w:szCs w:val="21"/>
                <w:lang w:bidi="ar"/>
              </w:rPr>
            </w:pPr>
            <w:r>
              <w:rPr>
                <w:rFonts w:hint="eastAsia" w:ascii="仿宋" w:hAnsi="仿宋" w:eastAsia="仿宋" w:cs="仿宋"/>
                <w:b w:val="0"/>
                <w:bCs w:val="0"/>
                <w:color w:val="000000"/>
                <w:kern w:val="0"/>
                <w:sz w:val="21"/>
                <w:szCs w:val="21"/>
                <w:lang w:val="en-US" w:eastAsia="zh-CN" w:bidi="ar"/>
              </w:rPr>
              <w:t>现场安装</w:t>
            </w:r>
          </w:p>
        </w:tc>
        <w:tc>
          <w:tcPr>
            <w:tcW w:w="757" w:type="dxa"/>
            <w:vAlign w:val="center"/>
          </w:tcPr>
          <w:p>
            <w:pPr>
              <w:pageBreakBefore w:val="0"/>
              <w:widowControl/>
              <w:kinsoku/>
              <w:wordWrap/>
              <w:overflowPunct/>
              <w:topLinePunct w:val="0"/>
              <w:bidi w:val="0"/>
              <w:spacing w:afterLines="0" w:line="240" w:lineRule="auto"/>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671" w:type="dxa"/>
            <w:vAlign w:val="center"/>
          </w:tcPr>
          <w:p>
            <w:pPr>
              <w:pageBreakBefore w:val="0"/>
              <w:kinsoku/>
              <w:wordWrap/>
              <w:overflowPunct/>
              <w:topLinePunct w:val="0"/>
              <w:bidi w:val="0"/>
              <w:spacing w:afterLines="0" w:line="240" w:lineRule="auto"/>
              <w:jc w:val="center"/>
              <w:rPr>
                <w:rFonts w:hint="eastAsia" w:ascii="仿宋" w:hAnsi="仿宋" w:eastAsia="仿宋"/>
                <w:szCs w:val="21"/>
                <w:lang w:val="en-US" w:eastAsia="zh-CN"/>
              </w:rPr>
            </w:pPr>
            <w:r>
              <w:rPr>
                <w:rFonts w:hint="eastAsia" w:ascii="仿宋" w:hAnsi="仿宋" w:eastAsia="仿宋"/>
                <w:szCs w:val="21"/>
                <w:lang w:val="en-US" w:eastAsia="zh-CN"/>
              </w:rPr>
              <w:t>套</w:t>
            </w:r>
          </w:p>
        </w:tc>
        <w:tc>
          <w:tcPr>
            <w:tcW w:w="1412" w:type="dxa"/>
            <w:vAlign w:val="center"/>
          </w:tcPr>
          <w:p>
            <w:pPr>
              <w:pageBreakBefore w:val="0"/>
              <w:kinsoku/>
              <w:wordWrap/>
              <w:overflowPunct/>
              <w:topLinePunct w:val="0"/>
              <w:bidi w:val="0"/>
              <w:spacing w:afterLines="0" w:line="240" w:lineRule="auto"/>
              <w:jc w:val="center"/>
              <w:rPr>
                <w:rFonts w:hint="eastAsia" w:ascii="仿宋" w:hAnsi="仿宋" w:eastAsia="仿宋"/>
                <w:b/>
                <w:bCs/>
                <w:color w:val="FF0000"/>
                <w:szCs w:val="21"/>
              </w:rPr>
            </w:pPr>
          </w:p>
        </w:tc>
        <w:tc>
          <w:tcPr>
            <w:tcW w:w="1389" w:type="dxa"/>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294"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增值税专用发票</w:t>
            </w:r>
          </w:p>
        </w:tc>
        <w:tc>
          <w:tcPr>
            <w:tcW w:w="1428"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801" w:type="dxa"/>
            <w:gridSpan w:val="2"/>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付款方式</w:t>
            </w:r>
          </w:p>
        </w:tc>
        <w:tc>
          <w:tcPr>
            <w:tcW w:w="7523" w:type="dxa"/>
            <w:gridSpan w:val="6"/>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付款方式：</w:t>
            </w:r>
            <w:r>
              <w:rPr>
                <w:rFonts w:hint="eastAsia" w:ascii="仿宋" w:hAnsi="仿宋" w:eastAsia="仿宋" w:cs="仿宋"/>
                <w:bCs/>
                <w:color w:val="000000"/>
                <w:szCs w:val="21"/>
              </w:rPr>
              <w:t>货到付款，双方对验收合格的货物及配件数量进行核对，中选人提供费用付款申请、经双方验收核对无误的证明文件及国家税务正式的 13%增值税专用发票至采购人，经采购人审核通过后付款。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报价有效期</w:t>
            </w:r>
          </w:p>
        </w:tc>
        <w:tc>
          <w:tcPr>
            <w:tcW w:w="3294" w:type="dxa"/>
            <w:gridSpan w:val="2"/>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90天</w:t>
            </w:r>
          </w:p>
        </w:tc>
        <w:tc>
          <w:tcPr>
            <w:tcW w:w="1428" w:type="dxa"/>
            <w:gridSpan w:val="2"/>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质保期</w:t>
            </w:r>
          </w:p>
        </w:tc>
        <w:tc>
          <w:tcPr>
            <w:tcW w:w="2801" w:type="dxa"/>
            <w:gridSpan w:val="2"/>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581" w:type="dxa"/>
            <w:vAlign w:val="center"/>
          </w:tcPr>
          <w:p>
            <w:pPr>
              <w:pageBreakBefore w:val="0"/>
              <w:kinsoku/>
              <w:wordWrap/>
              <w:overflowPunct/>
              <w:topLinePunct w:val="0"/>
              <w:bidi w:val="0"/>
              <w:spacing w:afterLines="0" w:line="240" w:lineRule="auto"/>
              <w:jc w:val="center"/>
              <w:rPr>
                <w:rFonts w:hint="eastAsia" w:ascii="仿宋" w:hAnsi="仿宋" w:eastAsia="仿宋"/>
                <w:szCs w:val="21"/>
              </w:rPr>
            </w:pPr>
            <w:r>
              <w:rPr>
                <w:rFonts w:hint="eastAsia" w:ascii="仿宋" w:hAnsi="仿宋" w:eastAsia="仿宋"/>
                <w:szCs w:val="21"/>
              </w:rPr>
              <w:t>*供货期</w:t>
            </w:r>
          </w:p>
        </w:tc>
        <w:tc>
          <w:tcPr>
            <w:tcW w:w="3294" w:type="dxa"/>
            <w:gridSpan w:val="2"/>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72小时内</w:t>
            </w:r>
            <w:r>
              <w:rPr>
                <w:rFonts w:hint="eastAsia" w:ascii="仿宋" w:hAnsi="仿宋" w:eastAsia="仿宋"/>
                <w:szCs w:val="21"/>
              </w:rPr>
              <w:t>送达。</w:t>
            </w:r>
          </w:p>
        </w:tc>
        <w:tc>
          <w:tcPr>
            <w:tcW w:w="1428" w:type="dxa"/>
            <w:gridSpan w:val="2"/>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其他</w:t>
            </w:r>
          </w:p>
        </w:tc>
        <w:tc>
          <w:tcPr>
            <w:tcW w:w="2801" w:type="dxa"/>
            <w:gridSpan w:val="2"/>
            <w:vAlign w:val="center"/>
          </w:tcPr>
          <w:p>
            <w:pPr>
              <w:pageBreakBefore w:val="0"/>
              <w:kinsoku/>
              <w:wordWrap/>
              <w:overflowPunct/>
              <w:topLinePunct w:val="0"/>
              <w:bidi w:val="0"/>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1、如使用本报价单模板，标“*”为必填项;</w:t>
            </w:r>
          </w:p>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rPr>
              <w:t>2、供应商报价为</w:t>
            </w:r>
            <w:r>
              <w:rPr>
                <w:rFonts w:hint="eastAsia" w:ascii="仿宋" w:hAnsi="仿宋" w:eastAsia="仿宋" w:cs="仿宋"/>
                <w:bCs/>
                <w:color w:val="000000"/>
                <w:szCs w:val="21"/>
              </w:rPr>
              <w:t>货物经采购人验收合格并交付使用所有可能发生的全部费用，包括货物送达采购人指定地点、经采购人验收合格及售后服务等所有可能发生的费用，包括货物费用、运输费（分批次送货）、装卸费（卸到指定地点）、利润、管理、采保、13%增值税费、质量保证期内验收费及售后服务等所有可能发生的费用</w:t>
            </w:r>
            <w:r>
              <w:rPr>
                <w:rFonts w:hint="eastAsia" w:ascii="仿宋" w:hAnsi="仿宋" w:eastAsia="仿宋" w:cs="仿宋"/>
                <w:szCs w:val="21"/>
              </w:rPr>
              <w:t>;</w:t>
            </w:r>
          </w:p>
          <w:p>
            <w:pPr>
              <w:pageBreakBefore w:val="0"/>
              <w:kinsoku/>
              <w:wordWrap/>
              <w:overflowPunct/>
              <w:topLinePunct w:val="0"/>
              <w:bidi w:val="0"/>
              <w:spacing w:afterLines="0" w:line="240" w:lineRule="auto"/>
              <w:jc w:val="left"/>
              <w:rPr>
                <w:rFonts w:hint="eastAsia" w:ascii="仿宋" w:hAnsi="仿宋" w:eastAsia="仿宋"/>
                <w:b/>
                <w:bCs/>
                <w:szCs w:val="21"/>
              </w:rPr>
            </w:pPr>
            <w:r>
              <w:rPr>
                <w:rFonts w:hint="eastAsia" w:ascii="仿宋" w:hAnsi="仿宋" w:eastAsia="仿宋"/>
                <w:b/>
                <w:bCs/>
                <w:szCs w:val="21"/>
              </w:rPr>
              <w:t xml:space="preserve">3、本采购项目以不含税价进行对比，参选单位需填报含税价及税率； </w:t>
            </w:r>
          </w:p>
          <w:p>
            <w:pPr>
              <w:pageBreakBefore w:val="0"/>
              <w:kinsoku/>
              <w:wordWrap/>
              <w:overflowPunct/>
              <w:topLinePunct w:val="0"/>
              <w:bidi w:val="0"/>
              <w:spacing w:afterLines="0" w:line="240" w:lineRule="auto"/>
              <w:jc w:val="left"/>
              <w:rPr>
                <w:rFonts w:hint="eastAsia" w:ascii="仿宋" w:hAnsi="仿宋" w:eastAsia="仿宋"/>
                <w:b/>
                <w:bCs/>
                <w:szCs w:val="21"/>
              </w:rPr>
            </w:pPr>
            <w:r>
              <w:rPr>
                <w:rFonts w:hint="eastAsia" w:ascii="仿宋" w:hAnsi="仿宋" w:eastAsia="仿宋"/>
                <w:b/>
                <w:bCs/>
                <w:szCs w:val="21"/>
                <w:lang w:val="en-US" w:eastAsia="zh-CN"/>
              </w:rPr>
              <w:t>4</w:t>
            </w:r>
            <w:r>
              <w:rPr>
                <w:rFonts w:hint="eastAsia" w:ascii="仿宋" w:hAnsi="仿宋" w:eastAsia="仿宋"/>
                <w:b/>
                <w:bCs/>
                <w:szCs w:val="21"/>
              </w:rPr>
              <w:t>.不含税价计算方式:不含税价=含税价/(1+税率)；</w:t>
            </w:r>
          </w:p>
          <w:p>
            <w:pPr>
              <w:pageBreakBefore w:val="0"/>
              <w:kinsoku/>
              <w:wordWrap/>
              <w:overflowPunct/>
              <w:topLinePunct w:val="0"/>
              <w:bidi w:val="0"/>
              <w:spacing w:afterLines="0" w:line="240" w:lineRule="auto"/>
              <w:jc w:val="left"/>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pPr>
        <w:snapToGrid w:val="0"/>
        <w:spacing w:afterLines="0" w:line="360" w:lineRule="auto"/>
        <w:rPr>
          <w:rFonts w:hint="eastAsia" w:ascii="仿宋" w:hAnsi="仿宋" w:eastAsia="仿宋" w:cs="Arial"/>
        </w:rPr>
      </w:pPr>
    </w:p>
    <w:p>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pPr>
        <w:spacing w:after="78"/>
        <w:rPr>
          <w:rFonts w:hint="eastAsia" w:ascii="仿宋" w:hAnsi="仿宋" w:eastAsia="仿宋"/>
          <w:b/>
          <w:szCs w:val="21"/>
        </w:rPr>
      </w:pPr>
      <w:r>
        <w:rPr>
          <w:rFonts w:hint="eastAsia" w:ascii="仿宋" w:hAnsi="仿宋" w:eastAsia="仿宋" w:cs="Arial"/>
        </w:rPr>
        <w:br w:type="page"/>
      </w:r>
    </w:p>
    <w:p>
      <w:pPr>
        <w:pStyle w:val="62"/>
        <w:keepNext/>
        <w:keepLines/>
        <w:numPr>
          <w:ilvl w:val="0"/>
          <w:numId w:val="6"/>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61" w:name="_Toc133335897"/>
      <w:bookmarkStart w:id="62" w:name="_Toc116850266"/>
      <w:r>
        <w:rPr>
          <w:rFonts w:hint="eastAsia" w:ascii="仿宋" w:hAnsi="仿宋" w:eastAsia="仿宋"/>
          <w:b/>
          <w:bCs/>
          <w:kern w:val="0"/>
          <w:sz w:val="24"/>
        </w:rPr>
        <w:t>响应供应商认为有必要提供的其他材料</w:t>
      </w:r>
      <w:bookmarkEnd w:id="61"/>
      <w:bookmarkEnd w:id="62"/>
    </w:p>
    <w:p>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17" w:right="1417" w:bottom="1417"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jc w:val="lef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57007"/>
    <w:multiLevelType w:val="singleLevel"/>
    <w:tmpl w:val="A5F57007"/>
    <w:lvl w:ilvl="0" w:tentative="0">
      <w:start w:val="8"/>
      <w:numFmt w:val="decimal"/>
      <w:lvlText w:val="%1."/>
      <w:lvlJc w:val="left"/>
      <w:pPr>
        <w:tabs>
          <w:tab w:val="left" w:pos="312"/>
        </w:tabs>
      </w:p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4">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A34"/>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67C31"/>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3AD3"/>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C44"/>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46"/>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04E0"/>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0D2"/>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0B52"/>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2D3B"/>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2CC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3A04"/>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23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57FED"/>
    <w:rsid w:val="00E61235"/>
    <w:rsid w:val="00E63830"/>
    <w:rsid w:val="00E6397A"/>
    <w:rsid w:val="00E63F65"/>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463"/>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9BD783D"/>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1A352AD"/>
    <w:rsid w:val="23884315"/>
    <w:rsid w:val="247022A7"/>
    <w:rsid w:val="24B95082"/>
    <w:rsid w:val="24C1046C"/>
    <w:rsid w:val="257FF5EF"/>
    <w:rsid w:val="26DC0652"/>
    <w:rsid w:val="27BED872"/>
    <w:rsid w:val="27C81105"/>
    <w:rsid w:val="28537521"/>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5B754C"/>
    <w:rsid w:val="4C8F4F48"/>
    <w:rsid w:val="4D7C132B"/>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C6C1B71"/>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1D12A69"/>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DB6524"/>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9"/>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unhideWhenUsed/>
    <w:qFormat/>
    <w:uiPriority w:val="0"/>
    <w:pPr>
      <w:keepNext/>
      <w:keepLines/>
      <w:spacing w:before="280" w:after="290" w:afterLines="0" w:line="372" w:lineRule="auto"/>
      <w:outlineLvl w:val="4"/>
    </w:pPr>
    <w:rPr>
      <w:b/>
      <w:sz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annotation text"/>
    <w:basedOn w:val="1"/>
    <w:link w:val="35"/>
    <w:autoRedefine/>
    <w:qFormat/>
    <w:uiPriority w:val="99"/>
    <w:pPr>
      <w:spacing w:afterLines="0" w:line="240" w:lineRule="auto"/>
      <w:jc w:val="left"/>
    </w:pPr>
    <w:rPr>
      <w:rFonts w:ascii="Times New Roman" w:hAnsi="Times New Roman"/>
    </w:rPr>
  </w:style>
  <w:style w:type="paragraph" w:styleId="9">
    <w:name w:val="Body Text"/>
    <w:basedOn w:val="1"/>
    <w:autoRedefine/>
    <w:qFormat/>
    <w:uiPriority w:val="99"/>
    <w:pPr>
      <w:tabs>
        <w:tab w:val="left" w:pos="4760"/>
      </w:tabs>
      <w:spacing w:after="78"/>
      <w:jc w:val="left"/>
    </w:pPr>
  </w:style>
  <w:style w:type="paragraph" w:styleId="10">
    <w:name w:val="Body Text Indent"/>
    <w:basedOn w:val="9"/>
    <w:autoRedefine/>
    <w:qFormat/>
    <w:uiPriority w:val="0"/>
    <w:pPr>
      <w:spacing w:after="120"/>
      <w:ind w:left="420" w:leftChars="200"/>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3"/>
    <w:autoRedefine/>
    <w:semiHidden/>
    <w:unhideWhenUsed/>
    <w:qFormat/>
    <w:uiPriority w:val="0"/>
    <w:pPr>
      <w:spacing w:after="120" w:line="480" w:lineRule="auto"/>
      <w:ind w:left="420" w:leftChars="200"/>
    </w:pPr>
  </w:style>
  <w:style w:type="paragraph" w:styleId="13">
    <w:name w:val="Balloon Text"/>
    <w:basedOn w:val="1"/>
    <w:link w:val="34"/>
    <w:autoRedefine/>
    <w:qFormat/>
    <w:uiPriority w:val="0"/>
    <w:pPr>
      <w:spacing w:line="240" w:lineRule="auto"/>
    </w:pPr>
    <w:rPr>
      <w:sz w:val="18"/>
      <w:szCs w:val="18"/>
    </w:rPr>
  </w:style>
  <w:style w:type="paragraph" w:styleId="14">
    <w:name w:val="footer"/>
    <w:basedOn w:val="1"/>
    <w:link w:val="39"/>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autoRedefine/>
    <w:qFormat/>
    <w:uiPriority w:val="0"/>
    <w:pPr>
      <w:spacing w:afterLines="25" w:line="300" w:lineRule="auto"/>
    </w:pPr>
    <w:rPr>
      <w:rFonts w:ascii="Arial" w:hAnsi="Arial"/>
      <w:b/>
      <w:bCs/>
    </w:rPr>
  </w:style>
  <w:style w:type="paragraph" w:styleId="21">
    <w:name w:val="Body Text First Indent 2"/>
    <w:basedOn w:val="10"/>
    <w:link w:val="57"/>
    <w:autoRedefine/>
    <w:qFormat/>
    <w:uiPriority w:val="99"/>
    <w:pPr>
      <w:ind w:firstLine="420" w:firstLineChars="2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Index8"/>
    <w:basedOn w:val="1"/>
    <w:next w:val="1"/>
    <w:autoRedefine/>
    <w:qFormat/>
    <w:uiPriority w:val="0"/>
    <w:pPr>
      <w:ind w:left="3920" w:leftChars="1400"/>
      <w:jc w:val="left"/>
      <w:textAlignment w:val="baseline"/>
    </w:pPr>
  </w:style>
  <w:style w:type="character" w:customStyle="1" w:styleId="29">
    <w:name w:val="标题 1 Char"/>
    <w:autoRedefine/>
    <w:qFormat/>
    <w:uiPriority w:val="0"/>
    <w:rPr>
      <w:rFonts w:ascii="宋体" w:hAnsi="宋体" w:eastAsia="黑体"/>
      <w:b/>
      <w:bCs/>
      <w:kern w:val="44"/>
      <w:sz w:val="28"/>
      <w:szCs w:val="44"/>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character" w:customStyle="1" w:styleId="31">
    <w:name w:val="NormalCharacter"/>
    <w:autoRedefine/>
    <w:qFormat/>
    <w:uiPriority w:val="0"/>
  </w:style>
  <w:style w:type="paragraph" w:customStyle="1" w:styleId="32">
    <w:name w:val="列出段落1"/>
    <w:basedOn w:val="1"/>
    <w:autoRedefine/>
    <w:unhideWhenUsed/>
    <w:qFormat/>
    <w:uiPriority w:val="99"/>
    <w:pPr>
      <w:ind w:firstLine="420" w:firstLineChars="200"/>
    </w:pPr>
  </w:style>
  <w:style w:type="character" w:customStyle="1" w:styleId="33">
    <w:name w:val="标题 1 Char2"/>
    <w:autoRedefine/>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autoRedefine/>
    <w:qFormat/>
    <w:uiPriority w:val="0"/>
    <w:rPr>
      <w:rFonts w:ascii="Arial" w:hAnsi="Arial" w:eastAsia="宋体" w:cs="Times New Roman"/>
      <w:kern w:val="2"/>
      <w:sz w:val="18"/>
      <w:szCs w:val="18"/>
    </w:rPr>
  </w:style>
  <w:style w:type="character" w:customStyle="1" w:styleId="35">
    <w:name w:val="批注文字 字符"/>
    <w:basedOn w:val="24"/>
    <w:link w:val="8"/>
    <w:autoRedefine/>
    <w:qFormat/>
    <w:uiPriority w:val="99"/>
    <w:rPr>
      <w:rFonts w:ascii="Times New Roman" w:hAnsi="Times New Roman" w:eastAsia="宋体" w:cs="Times New Roman"/>
      <w:kern w:val="2"/>
      <w:sz w:val="21"/>
      <w:szCs w:val="24"/>
    </w:rPr>
  </w:style>
  <w:style w:type="character" w:customStyle="1" w:styleId="36">
    <w:name w:val="批注主题 字符"/>
    <w:basedOn w:val="35"/>
    <w:link w:val="20"/>
    <w:autoRedefine/>
    <w:qFormat/>
    <w:uiPriority w:val="0"/>
    <w:rPr>
      <w:rFonts w:ascii="Arial" w:hAnsi="Arial" w:eastAsia="宋体" w:cs="Times New Roman"/>
      <w:b/>
      <w:bCs/>
      <w:kern w:val="2"/>
      <w:sz w:val="21"/>
      <w:szCs w:val="24"/>
    </w:rPr>
  </w:style>
  <w:style w:type="character" w:customStyle="1" w:styleId="37">
    <w:name w:val="font01"/>
    <w:basedOn w:val="24"/>
    <w:autoRedefine/>
    <w:qFormat/>
    <w:uiPriority w:val="0"/>
    <w:rPr>
      <w:rFonts w:hint="eastAsia" w:ascii="宋体" w:hAnsi="宋体" w:eastAsia="宋体"/>
      <w:color w:val="000000"/>
      <w:sz w:val="20"/>
      <w:szCs w:val="20"/>
      <w:u w:val="none"/>
      <w:vertAlign w:val="superscript"/>
    </w:rPr>
  </w:style>
  <w:style w:type="character" w:customStyle="1" w:styleId="38">
    <w:name w:val="font31"/>
    <w:basedOn w:val="24"/>
    <w:autoRedefine/>
    <w:qFormat/>
    <w:uiPriority w:val="0"/>
    <w:rPr>
      <w:rFonts w:hint="eastAsia" w:ascii="宋体" w:hAnsi="宋体" w:eastAsia="宋体"/>
      <w:color w:val="000000"/>
      <w:sz w:val="20"/>
      <w:szCs w:val="20"/>
      <w:u w:val="none"/>
    </w:rPr>
  </w:style>
  <w:style w:type="character" w:customStyle="1" w:styleId="39">
    <w:name w:val="页脚 字符"/>
    <w:basedOn w:val="24"/>
    <w:link w:val="14"/>
    <w:autoRedefine/>
    <w:qFormat/>
    <w:uiPriority w:val="99"/>
    <w:rPr>
      <w:rFonts w:ascii="Arial" w:hAnsi="Arial" w:eastAsia="楷体_GB2312" w:cs="Times New Roman"/>
      <w:sz w:val="18"/>
      <w:szCs w:val="18"/>
    </w:rPr>
  </w:style>
  <w:style w:type="character" w:customStyle="1" w:styleId="40">
    <w:name w:val="页眉 字符"/>
    <w:basedOn w:val="24"/>
    <w:link w:val="15"/>
    <w:autoRedefine/>
    <w:qFormat/>
    <w:uiPriority w:val="99"/>
    <w:rPr>
      <w:rFonts w:ascii="Arial" w:hAnsi="Arial" w:eastAsia="楷体_GB2312" w:cs="Times New Roman"/>
      <w:kern w:val="2"/>
      <w:sz w:val="18"/>
      <w:szCs w:val="18"/>
    </w:rPr>
  </w:style>
  <w:style w:type="paragraph" w:customStyle="1" w:styleId="41">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autoRedefine/>
    <w:unhideWhenUsed/>
    <w:qFormat/>
    <w:uiPriority w:val="99"/>
    <w:pPr>
      <w:ind w:firstLine="420" w:firstLineChars="200"/>
    </w:pPr>
  </w:style>
  <w:style w:type="character" w:customStyle="1" w:styleId="43">
    <w:name w:val="15"/>
    <w:basedOn w:val="24"/>
    <w:autoRedefine/>
    <w:qFormat/>
    <w:uiPriority w:val="0"/>
    <w:rPr>
      <w:rFonts w:hint="default" w:ascii="Calibri" w:hAnsi="Calibri" w:cs="Calibri"/>
      <w:color w:val="0000FF"/>
      <w:u w:val="single"/>
    </w:rPr>
  </w:style>
  <w:style w:type="paragraph" w:customStyle="1" w:styleId="44">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autoRedefine/>
    <w:unhideWhenUsed/>
    <w:qFormat/>
    <w:uiPriority w:val="99"/>
    <w:pPr>
      <w:ind w:firstLine="420" w:firstLineChars="200"/>
    </w:pPr>
  </w:style>
  <w:style w:type="paragraph" w:customStyle="1" w:styleId="46">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autoRedefine/>
    <w:unhideWhenUsed/>
    <w:qFormat/>
    <w:uiPriority w:val="99"/>
    <w:pPr>
      <w:ind w:firstLine="420" w:firstLineChars="200"/>
    </w:pPr>
  </w:style>
  <w:style w:type="character" w:customStyle="1" w:styleId="49">
    <w:name w:val="标题 4 字符"/>
    <w:basedOn w:val="24"/>
    <w:link w:val="5"/>
    <w:autoRedefine/>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autoRedefine/>
    <w:unhideWhenUsed/>
    <w:qFormat/>
    <w:uiPriority w:val="34"/>
    <w:pPr>
      <w:ind w:firstLine="420" w:firstLineChars="200"/>
    </w:pPr>
  </w:style>
  <w:style w:type="character" w:customStyle="1" w:styleId="52">
    <w:name w:val="font21"/>
    <w:basedOn w:val="24"/>
    <w:autoRedefine/>
    <w:qFormat/>
    <w:uiPriority w:val="0"/>
    <w:rPr>
      <w:rFonts w:hint="eastAsia" w:ascii="宋体" w:hAnsi="宋体" w:eastAsia="宋体"/>
      <w:color w:val="000000"/>
      <w:sz w:val="18"/>
      <w:szCs w:val="18"/>
      <w:u w:val="none"/>
    </w:rPr>
  </w:style>
  <w:style w:type="character" w:customStyle="1" w:styleId="53">
    <w:name w:val="font11"/>
    <w:basedOn w:val="24"/>
    <w:autoRedefine/>
    <w:qFormat/>
    <w:uiPriority w:val="0"/>
    <w:rPr>
      <w:rFonts w:hint="eastAsia" w:ascii="宋体" w:hAnsi="宋体" w:eastAsia="宋体"/>
      <w:color w:val="000000"/>
      <w:sz w:val="18"/>
      <w:szCs w:val="18"/>
      <w:u w:val="none"/>
    </w:rPr>
  </w:style>
  <w:style w:type="paragraph" w:customStyle="1" w:styleId="54">
    <w:name w:val="列出段落7"/>
    <w:basedOn w:val="1"/>
    <w:autoRedefine/>
    <w:unhideWhenUsed/>
    <w:qFormat/>
    <w:uiPriority w:val="99"/>
    <w:pPr>
      <w:ind w:firstLine="420" w:firstLineChars="200"/>
    </w:pPr>
  </w:style>
  <w:style w:type="paragraph" w:customStyle="1" w:styleId="55">
    <w:name w:val="列出段落8"/>
    <w:basedOn w:val="1"/>
    <w:autoRedefine/>
    <w:unhideWhenUsed/>
    <w:qFormat/>
    <w:uiPriority w:val="99"/>
    <w:pPr>
      <w:ind w:firstLine="420" w:firstLineChars="200"/>
    </w:pPr>
  </w:style>
  <w:style w:type="paragraph" w:customStyle="1" w:styleId="56">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autoRedefine/>
    <w:qFormat/>
    <w:uiPriority w:val="99"/>
    <w:rPr>
      <w:rFonts w:ascii="Arial" w:hAnsi="Arial"/>
      <w:kern w:val="2"/>
      <w:sz w:val="21"/>
      <w:szCs w:val="24"/>
    </w:rPr>
  </w:style>
  <w:style w:type="paragraph" w:customStyle="1" w:styleId="58">
    <w:name w:val="修订5"/>
    <w:autoRedefine/>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autoRedefine/>
    <w:qFormat/>
    <w:uiPriority w:val="99"/>
    <w:pPr>
      <w:ind w:firstLine="420" w:firstLineChars="200"/>
    </w:pPr>
  </w:style>
  <w:style w:type="character" w:customStyle="1" w:styleId="60">
    <w:name w:val="标题 1 字符"/>
    <w:link w:val="3"/>
    <w:autoRedefine/>
    <w:qFormat/>
    <w:uiPriority w:val="0"/>
    <w:rPr>
      <w:rFonts w:ascii="Arial" w:hAnsi="Arial"/>
      <w:b/>
      <w:bCs/>
      <w:kern w:val="44"/>
      <w:sz w:val="44"/>
      <w:szCs w:val="44"/>
    </w:rPr>
  </w:style>
  <w:style w:type="paragraph" w:customStyle="1" w:styleId="61">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autoRedefine/>
    <w:qFormat/>
    <w:uiPriority w:val="99"/>
    <w:pPr>
      <w:ind w:firstLine="420" w:firstLineChars="200"/>
    </w:pPr>
  </w:style>
  <w:style w:type="character" w:customStyle="1" w:styleId="63">
    <w:name w:val="正文文本缩进 2 字符"/>
    <w:basedOn w:val="24"/>
    <w:link w:val="12"/>
    <w:autoRedefine/>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autoRedefine/>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autoRedefine/>
    <w:qFormat/>
    <w:uiPriority w:val="0"/>
    <w:pPr>
      <w:widowControl/>
      <w:tabs>
        <w:tab w:val="left" w:pos="3780"/>
      </w:tabs>
      <w:spacing w:before="156" w:beforeLines="50" w:afterLines="0" w:line="360" w:lineRule="auto"/>
      <w:jc w:val="left"/>
    </w:pPr>
  </w:style>
  <w:style w:type="paragraph" w:customStyle="1" w:styleId="69">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70">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1">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4">
    <w:name w:val="列表段落11"/>
    <w:basedOn w:val="1"/>
    <w:autoRedefine/>
    <w:unhideWhenUsed/>
    <w:qFormat/>
    <w:uiPriority w:val="99"/>
    <w:pPr>
      <w:ind w:firstLine="420" w:firstLineChars="200"/>
    </w:pPr>
  </w:style>
  <w:style w:type="paragraph" w:customStyle="1" w:styleId="75">
    <w:name w:val="列表段落1"/>
    <w:basedOn w:val="1"/>
    <w:autoRedefine/>
    <w:unhideWhenUsed/>
    <w:qFormat/>
    <w:uiPriority w:val="99"/>
    <w:pPr>
      <w:ind w:firstLine="420" w:firstLineChars="200"/>
    </w:pPr>
  </w:style>
  <w:style w:type="paragraph" w:customStyle="1" w:styleId="76">
    <w:name w:val="修订10"/>
    <w:autoRedefine/>
    <w:hidden/>
    <w:unhideWhenUsed/>
    <w:qFormat/>
    <w:uiPriority w:val="99"/>
    <w:rPr>
      <w:rFonts w:ascii="Arial" w:hAnsi="Arial" w:eastAsia="宋体" w:cs="Times New Roman"/>
      <w:kern w:val="2"/>
      <w:sz w:val="21"/>
      <w:szCs w:val="24"/>
      <w:lang w:val="en-US" w:eastAsia="zh-CN" w:bidi="ar-SA"/>
    </w:rPr>
  </w:style>
  <w:style w:type="paragraph" w:customStyle="1" w:styleId="77">
    <w:name w:val="Revision"/>
    <w:autoRedefine/>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1500</Words>
  <Characters>8556</Characters>
  <Lines>71</Lines>
  <Paragraphs>20</Paragraphs>
  <TotalTime>4</TotalTime>
  <ScaleCrop>false</ScaleCrop>
  <LinksUpToDate>false</LinksUpToDate>
  <CharactersWithSpaces>10036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2025-04-03T09:15:57Z</cp:lastPrinted>
  <dcterms:modified xsi:type="dcterms:W3CDTF">2025-04-03T09:16:13Z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