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AC1DBC">
      <w:pPr>
        <w:tabs>
          <w:tab w:val="clear" w:pos="426"/>
        </w:tabs>
      </w:pPr>
    </w:p>
    <w:p w14:paraId="04992C5F">
      <w:pPr>
        <w:tabs>
          <w:tab w:val="clear" w:pos="426"/>
        </w:tabs>
      </w:pPr>
    </w:p>
    <w:p w14:paraId="519D410E">
      <w:pPr>
        <w:tabs>
          <w:tab w:val="clear" w:pos="426"/>
        </w:tabs>
        <w:jc w:val="right"/>
        <w:rPr>
          <w:b/>
          <w:u w:val="single"/>
        </w:rPr>
      </w:pPr>
      <w:r>
        <w:rPr>
          <w:rFonts w:hint="eastAsia"/>
        </w:rPr>
        <w:t xml:space="preserve">                                                     项目编号：</w:t>
      </w:r>
      <w:r>
        <w:rPr>
          <w:rFonts w:hint="eastAsia"/>
          <w:b/>
          <w:u w:val="single"/>
        </w:rPr>
        <w:t>SSZX2025-025</w:t>
      </w:r>
    </w:p>
    <w:p w14:paraId="673A5737">
      <w:pPr>
        <w:tabs>
          <w:tab w:val="clear" w:pos="426"/>
        </w:tabs>
      </w:pPr>
    </w:p>
    <w:p w14:paraId="0DAEF44F">
      <w:pPr>
        <w:tabs>
          <w:tab w:val="clear" w:pos="426"/>
        </w:tabs>
      </w:pPr>
    </w:p>
    <w:p w14:paraId="177EA2F1">
      <w:pPr>
        <w:tabs>
          <w:tab w:val="clear" w:pos="426"/>
        </w:tabs>
      </w:pPr>
    </w:p>
    <w:p w14:paraId="311185A2">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hint="eastAsia" w:cs="Times New Roman"/>
          <w:spacing w:val="26"/>
          <w:kern w:val="2"/>
          <w:sz w:val="72"/>
          <w:szCs w:val="20"/>
        </w:rPr>
        <w:t>公开招标</w:t>
      </w:r>
    </w:p>
    <w:p w14:paraId="3A5CBCB3">
      <w:pPr>
        <w:widowControl w:val="0"/>
        <w:shd w:val="clear" w:color="auto" w:fill="auto"/>
        <w:tabs>
          <w:tab w:val="clear" w:pos="426"/>
        </w:tabs>
        <w:adjustRightInd/>
        <w:snapToGrid/>
        <w:spacing w:line="300" w:lineRule="auto"/>
        <w:jc w:val="center"/>
        <w:rPr>
          <w:rFonts w:cs="Times New Roman"/>
          <w:spacing w:val="26"/>
          <w:kern w:val="2"/>
          <w:sz w:val="72"/>
          <w:szCs w:val="20"/>
        </w:rPr>
      </w:pPr>
      <w:r>
        <w:rPr>
          <w:rFonts w:hint="eastAsia" w:cs="Times New Roman"/>
          <w:spacing w:val="26"/>
          <w:kern w:val="2"/>
          <w:sz w:val="72"/>
          <w:szCs w:val="20"/>
        </w:rPr>
        <w:t>招标文件</w:t>
      </w:r>
    </w:p>
    <w:p w14:paraId="4DA7DA5B">
      <w:pPr>
        <w:tabs>
          <w:tab w:val="clear" w:pos="426"/>
        </w:tabs>
      </w:pPr>
    </w:p>
    <w:p w14:paraId="6DE1BE79">
      <w:pPr>
        <w:tabs>
          <w:tab w:val="clear" w:pos="426"/>
        </w:tabs>
      </w:pPr>
    </w:p>
    <w:p w14:paraId="52718E91">
      <w:pPr>
        <w:tabs>
          <w:tab w:val="clear" w:pos="426"/>
        </w:tabs>
      </w:pPr>
    </w:p>
    <w:p w14:paraId="428CF2B9">
      <w:pPr>
        <w:tabs>
          <w:tab w:val="clear" w:pos="426"/>
        </w:tabs>
        <w:jc w:val="center"/>
        <w:rPr>
          <w:rFonts w:ascii="黑体" w:eastAsia="黑体" w:cs="Arial"/>
          <w:sz w:val="52"/>
          <w:szCs w:val="52"/>
        </w:rPr>
      </w:pPr>
      <w:r>
        <w:rPr>
          <w:rFonts w:hint="eastAsia" w:ascii="黑体" w:eastAsia="黑体" w:cs="Arial"/>
          <w:sz w:val="52"/>
          <w:szCs w:val="52"/>
        </w:rPr>
        <w:t>【服务类】</w:t>
      </w:r>
    </w:p>
    <w:p w14:paraId="6F3A12E5">
      <w:pPr>
        <w:tabs>
          <w:tab w:val="clear" w:pos="426"/>
        </w:tabs>
      </w:pPr>
    </w:p>
    <w:p w14:paraId="40314020">
      <w:pPr>
        <w:tabs>
          <w:tab w:val="clear" w:pos="426"/>
        </w:tabs>
      </w:pPr>
    </w:p>
    <w:p w14:paraId="6E91C758">
      <w:pPr>
        <w:tabs>
          <w:tab w:val="clear" w:pos="426"/>
        </w:tabs>
      </w:pPr>
    </w:p>
    <w:p w14:paraId="6FA6741D">
      <w:pPr>
        <w:tabs>
          <w:tab w:val="clear" w:pos="426"/>
        </w:tabs>
      </w:pPr>
    </w:p>
    <w:p w14:paraId="5B59FE68">
      <w:pPr>
        <w:tabs>
          <w:tab w:val="clear" w:pos="426"/>
        </w:tabs>
      </w:pPr>
    </w:p>
    <w:p w14:paraId="6914FE7F">
      <w:pPr>
        <w:tabs>
          <w:tab w:val="clear" w:pos="426"/>
        </w:tabs>
      </w:pPr>
    </w:p>
    <w:p w14:paraId="327FF09F">
      <w:pPr>
        <w:widowControl w:val="0"/>
        <w:shd w:val="clear" w:color="auto" w:fill="auto"/>
        <w:tabs>
          <w:tab w:val="clear" w:pos="426"/>
        </w:tabs>
        <w:adjustRightInd/>
        <w:snapToGrid/>
        <w:spacing w:line="300" w:lineRule="auto"/>
        <w:ind w:left="1798" w:leftChars="142" w:hanging="1500" w:hangingChars="500"/>
        <w:rPr>
          <w:rFonts w:cs="Times New Roman"/>
          <w:kern w:val="2"/>
          <w:sz w:val="30"/>
          <w:szCs w:val="20"/>
        </w:rPr>
      </w:pPr>
      <w:r>
        <w:rPr>
          <w:rFonts w:hint="eastAsia" w:cs="Times New Roman"/>
          <w:kern w:val="2"/>
          <w:sz w:val="30"/>
          <w:szCs w:val="20"/>
        </w:rPr>
        <w:t>项目名称：</w:t>
      </w:r>
      <w:r>
        <w:rPr>
          <w:rFonts w:hint="eastAsia" w:cs="Times New Roman"/>
          <w:kern w:val="2"/>
          <w:sz w:val="30"/>
          <w:szCs w:val="20"/>
          <w:u w:val="single"/>
        </w:rPr>
        <w:t>广东省深圳市消防救援支队特勤大队2025年深中通道消防站物业管理服务采购项目</w:t>
      </w:r>
    </w:p>
    <w:p w14:paraId="32817F13">
      <w:pPr>
        <w:widowControl w:val="0"/>
        <w:shd w:val="clear" w:color="auto" w:fill="auto"/>
        <w:tabs>
          <w:tab w:val="clear" w:pos="426"/>
        </w:tabs>
        <w:adjustRightInd/>
        <w:snapToGrid/>
        <w:spacing w:line="300" w:lineRule="auto"/>
        <w:ind w:left="1500" w:hanging="1500" w:hangingChars="500"/>
        <w:rPr>
          <w:rFonts w:cs="Times New Roman"/>
          <w:kern w:val="2"/>
          <w:sz w:val="30"/>
          <w:szCs w:val="20"/>
        </w:rPr>
      </w:pPr>
    </w:p>
    <w:p w14:paraId="65AD63CB">
      <w:pPr>
        <w:widowControl w:val="0"/>
        <w:shd w:val="clear" w:color="auto" w:fill="auto"/>
        <w:tabs>
          <w:tab w:val="clear" w:pos="426"/>
        </w:tabs>
        <w:adjustRightInd/>
        <w:snapToGrid/>
        <w:spacing w:line="300" w:lineRule="auto"/>
        <w:ind w:left="1498" w:leftChars="142" w:hanging="1200" w:hangingChars="400"/>
        <w:rPr>
          <w:rFonts w:cs="Times New Roman"/>
          <w:kern w:val="2"/>
          <w:sz w:val="30"/>
          <w:szCs w:val="20"/>
        </w:rPr>
      </w:pPr>
      <w:r>
        <w:rPr>
          <w:rFonts w:hint="eastAsia" w:cs="Times New Roman"/>
          <w:kern w:val="2"/>
          <w:sz w:val="30"/>
          <w:szCs w:val="20"/>
        </w:rPr>
        <w:t>采购人名称：</w:t>
      </w:r>
      <w:r>
        <w:rPr>
          <w:rFonts w:hint="eastAsia" w:cs="Times New Roman"/>
          <w:kern w:val="2"/>
          <w:sz w:val="30"/>
          <w:szCs w:val="20"/>
          <w:u w:val="single"/>
        </w:rPr>
        <w:t>深圳市消防救援支队特勤大队</w:t>
      </w:r>
    </w:p>
    <w:p w14:paraId="7C5335BA">
      <w:pPr>
        <w:widowControl w:val="0"/>
        <w:shd w:val="clear" w:color="auto" w:fill="auto"/>
        <w:tabs>
          <w:tab w:val="clear" w:pos="426"/>
        </w:tabs>
        <w:adjustRightInd/>
        <w:snapToGrid/>
        <w:spacing w:line="300" w:lineRule="auto"/>
        <w:ind w:left="1500" w:hanging="1500" w:hangingChars="500"/>
        <w:rPr>
          <w:rFonts w:cs="Times New Roman"/>
          <w:kern w:val="2"/>
          <w:sz w:val="30"/>
          <w:szCs w:val="20"/>
        </w:rPr>
      </w:pPr>
    </w:p>
    <w:p w14:paraId="40720511">
      <w:pPr>
        <w:widowControl w:val="0"/>
        <w:shd w:val="clear" w:color="auto" w:fill="auto"/>
        <w:tabs>
          <w:tab w:val="clear" w:pos="426"/>
        </w:tabs>
        <w:adjustRightInd/>
        <w:snapToGrid/>
        <w:spacing w:line="300" w:lineRule="auto"/>
        <w:ind w:left="1498" w:leftChars="142" w:hanging="1200" w:hangingChars="400"/>
        <w:rPr>
          <w:rFonts w:cs="Times New Roman"/>
          <w:kern w:val="2"/>
          <w:sz w:val="30"/>
          <w:szCs w:val="20"/>
          <w:u w:val="single"/>
        </w:rPr>
      </w:pPr>
      <w:r>
        <w:rPr>
          <w:rFonts w:hint="eastAsia" w:cs="Times New Roman"/>
          <w:kern w:val="2"/>
          <w:sz w:val="30"/>
          <w:szCs w:val="20"/>
        </w:rPr>
        <w:t>采购代理机构名称：</w:t>
      </w:r>
      <w:r>
        <w:rPr>
          <w:rFonts w:hint="eastAsia" w:cs="Times New Roman"/>
          <w:kern w:val="2"/>
          <w:sz w:val="30"/>
          <w:szCs w:val="20"/>
          <w:u w:val="single"/>
        </w:rPr>
        <w:t>深圳市深水水务咨询有限公司</w:t>
      </w:r>
    </w:p>
    <w:p w14:paraId="57FCA1C9">
      <w:pPr>
        <w:widowControl w:val="0"/>
        <w:shd w:val="clear" w:color="auto" w:fill="auto"/>
        <w:tabs>
          <w:tab w:val="clear" w:pos="426"/>
        </w:tabs>
        <w:adjustRightInd/>
        <w:snapToGrid/>
        <w:spacing w:line="300" w:lineRule="auto"/>
        <w:ind w:left="1498" w:leftChars="142" w:hanging="1200" w:hangingChars="400"/>
        <w:rPr>
          <w:rFonts w:cs="Times New Roman"/>
          <w:kern w:val="2"/>
          <w:sz w:val="30"/>
          <w:szCs w:val="20"/>
          <w:u w:val="single"/>
        </w:rPr>
      </w:pPr>
    </w:p>
    <w:p w14:paraId="5553C46D">
      <w:pPr>
        <w:widowControl w:val="0"/>
        <w:shd w:val="clear" w:color="auto" w:fill="auto"/>
        <w:tabs>
          <w:tab w:val="clear" w:pos="426"/>
        </w:tabs>
        <w:adjustRightInd/>
        <w:snapToGrid/>
        <w:spacing w:line="300" w:lineRule="auto"/>
        <w:ind w:left="1498" w:leftChars="142" w:hanging="1200" w:hangingChars="400"/>
        <w:rPr>
          <w:rFonts w:cs="Times New Roman"/>
          <w:kern w:val="2"/>
          <w:sz w:val="30"/>
          <w:szCs w:val="20"/>
          <w:u w:val="single"/>
        </w:rPr>
      </w:pPr>
    </w:p>
    <w:p w14:paraId="40A38B80">
      <w:pPr>
        <w:widowControl w:val="0"/>
        <w:shd w:val="clear" w:color="auto" w:fill="auto"/>
        <w:tabs>
          <w:tab w:val="clear" w:pos="426"/>
        </w:tabs>
        <w:adjustRightInd/>
        <w:snapToGrid/>
        <w:spacing w:line="300" w:lineRule="auto"/>
        <w:ind w:left="1503" w:leftChars="142" w:hanging="1205" w:hangingChars="400"/>
        <w:jc w:val="center"/>
        <w:rPr>
          <w:b/>
          <w:bCs/>
        </w:rPr>
      </w:pPr>
      <w:r>
        <w:rPr>
          <w:rFonts w:hint="eastAsia" w:cs="Times New Roman"/>
          <w:b/>
          <w:bCs/>
          <w:kern w:val="2"/>
          <w:sz w:val="30"/>
          <w:szCs w:val="20"/>
        </w:rPr>
        <w:t>2025年2月</w:t>
      </w:r>
    </w:p>
    <w:p w14:paraId="682A41BA">
      <w:pPr>
        <w:tabs>
          <w:tab w:val="clear" w:pos="426"/>
        </w:tabs>
        <w:jc w:val="center"/>
        <w:rPr>
          <w:b/>
          <w:sz w:val="32"/>
          <w:szCs w:val="32"/>
        </w:rPr>
      </w:pPr>
      <w:r>
        <w:br w:type="page"/>
      </w:r>
      <w:r>
        <w:rPr>
          <w:rFonts w:hint="eastAsia"/>
          <w:b/>
          <w:sz w:val="32"/>
          <w:szCs w:val="32"/>
        </w:rPr>
        <w:t>目      录</w:t>
      </w:r>
    </w:p>
    <w:p w14:paraId="53D0DC09">
      <w:pPr>
        <w:tabs>
          <w:tab w:val="clear" w:pos="426"/>
        </w:tabs>
        <w:jc w:val="center"/>
        <w:rPr>
          <w:sz w:val="32"/>
          <w:szCs w:val="32"/>
        </w:rPr>
      </w:pPr>
    </w:p>
    <w:p w14:paraId="3677D4EF">
      <w:pPr>
        <w:pStyle w:val="57"/>
        <w:rPr>
          <w:rFonts w:asciiTheme="minorHAnsi" w:hAnsiTheme="minorHAnsi" w:eastAsiaTheme="minorEastAsia" w:cstheme="minorBidi"/>
          <w:b w:val="0"/>
          <w:bCs w:val="0"/>
          <w:caps w:val="0"/>
          <w:kern w:val="2"/>
          <w:sz w:val="21"/>
          <w:szCs w:val="22"/>
          <w14:ligatures w14:val="standardContextual"/>
        </w:rPr>
      </w:pPr>
      <w:r>
        <w:fldChar w:fldCharType="begin"/>
      </w:r>
      <w:r>
        <w:instrText xml:space="preserve"> TOC \o "1-3" \h \z \u </w:instrText>
      </w:r>
      <w:r>
        <w:fldChar w:fldCharType="separate"/>
      </w:r>
      <w:r>
        <w:fldChar w:fldCharType="begin"/>
      </w:r>
      <w:r>
        <w:instrText xml:space="preserve"> HYPERLINK \l "_Toc152759215" </w:instrText>
      </w:r>
      <w:r>
        <w:fldChar w:fldCharType="separate"/>
      </w:r>
      <w:r>
        <w:rPr>
          <w:rStyle w:val="98"/>
          <w:color w:val="auto"/>
        </w:rPr>
        <w:t>项目关键信息</w:t>
      </w:r>
      <w:r>
        <w:tab/>
      </w:r>
      <w:r>
        <w:fldChar w:fldCharType="begin"/>
      </w:r>
      <w:r>
        <w:instrText xml:space="preserve"> PAGEREF _Toc152759215 \h </w:instrText>
      </w:r>
      <w:r>
        <w:fldChar w:fldCharType="separate"/>
      </w:r>
      <w:r>
        <w:t>1</w:t>
      </w:r>
      <w:r>
        <w:fldChar w:fldCharType="end"/>
      </w:r>
      <w:r>
        <w:fldChar w:fldCharType="end"/>
      </w:r>
    </w:p>
    <w:p w14:paraId="36FF08D8">
      <w:pPr>
        <w:pStyle w:val="57"/>
        <w:rPr>
          <w:rFonts w:asciiTheme="minorHAnsi" w:hAnsiTheme="minorHAnsi" w:eastAsiaTheme="minorEastAsia" w:cstheme="minorBidi"/>
          <w:b w:val="0"/>
          <w:bCs w:val="0"/>
          <w:caps w:val="0"/>
          <w:kern w:val="2"/>
          <w:sz w:val="21"/>
          <w:szCs w:val="22"/>
          <w14:ligatures w14:val="standardContextual"/>
        </w:rPr>
      </w:pPr>
      <w:r>
        <w:fldChar w:fldCharType="begin"/>
      </w:r>
      <w:r>
        <w:instrText xml:space="preserve"> HYPERLINK \l "_Toc152759216" </w:instrText>
      </w:r>
      <w:r>
        <w:fldChar w:fldCharType="separate"/>
      </w:r>
      <w:r>
        <w:rPr>
          <w:rStyle w:val="98"/>
          <w:color w:val="auto"/>
        </w:rPr>
        <w:t>资格、符合性评审条款</w:t>
      </w:r>
      <w:r>
        <w:tab/>
      </w:r>
      <w:r>
        <w:fldChar w:fldCharType="begin"/>
      </w:r>
      <w:r>
        <w:instrText xml:space="preserve"> PAGEREF _Toc152759216 \h </w:instrText>
      </w:r>
      <w:r>
        <w:fldChar w:fldCharType="separate"/>
      </w:r>
      <w:r>
        <w:t>2</w:t>
      </w:r>
      <w:r>
        <w:fldChar w:fldCharType="end"/>
      </w:r>
      <w:r>
        <w:fldChar w:fldCharType="end"/>
      </w:r>
    </w:p>
    <w:p w14:paraId="45260ACE">
      <w:pPr>
        <w:pStyle w:val="57"/>
        <w:rPr>
          <w:rFonts w:asciiTheme="minorHAnsi" w:hAnsiTheme="minorHAnsi" w:eastAsiaTheme="minorEastAsia" w:cstheme="minorBidi"/>
          <w:b w:val="0"/>
          <w:bCs w:val="0"/>
          <w:caps w:val="0"/>
          <w:kern w:val="2"/>
          <w:sz w:val="21"/>
          <w:szCs w:val="22"/>
          <w14:ligatures w14:val="standardContextual"/>
        </w:rPr>
      </w:pPr>
      <w:r>
        <w:fldChar w:fldCharType="begin"/>
      </w:r>
      <w:r>
        <w:instrText xml:space="preserve"> HYPERLINK \l "_Toc152759217" </w:instrText>
      </w:r>
      <w:r>
        <w:fldChar w:fldCharType="separate"/>
      </w:r>
      <w:r>
        <w:rPr>
          <w:rStyle w:val="98"/>
          <w:color w:val="auto"/>
        </w:rPr>
        <w:t>评标信息</w:t>
      </w:r>
      <w:r>
        <w:tab/>
      </w:r>
      <w:r>
        <w:fldChar w:fldCharType="begin"/>
      </w:r>
      <w:r>
        <w:instrText xml:space="preserve"> PAGEREF _Toc152759217 \h </w:instrText>
      </w:r>
      <w:r>
        <w:fldChar w:fldCharType="separate"/>
      </w:r>
      <w:r>
        <w:t>3</w:t>
      </w:r>
      <w:r>
        <w:fldChar w:fldCharType="end"/>
      </w:r>
      <w:r>
        <w:fldChar w:fldCharType="end"/>
      </w:r>
    </w:p>
    <w:p w14:paraId="3274CD10">
      <w:pPr>
        <w:pStyle w:val="57"/>
        <w:rPr>
          <w:rFonts w:asciiTheme="minorHAnsi" w:hAnsiTheme="minorHAnsi" w:eastAsiaTheme="minorEastAsia" w:cstheme="minorBidi"/>
          <w:b w:val="0"/>
          <w:bCs w:val="0"/>
          <w:caps w:val="0"/>
          <w:kern w:val="2"/>
          <w:sz w:val="21"/>
          <w:szCs w:val="22"/>
          <w14:ligatures w14:val="standardContextual"/>
        </w:rPr>
      </w:pPr>
      <w:r>
        <w:fldChar w:fldCharType="begin"/>
      </w:r>
      <w:r>
        <w:instrText xml:space="preserve"> HYPERLINK \l "_Toc152759218" </w:instrText>
      </w:r>
      <w:r>
        <w:fldChar w:fldCharType="separate"/>
      </w:r>
      <w:r>
        <w:rPr>
          <w:rStyle w:val="98"/>
          <w:color w:val="auto"/>
        </w:rPr>
        <w:t>评分细则表</w:t>
      </w:r>
      <w:r>
        <w:tab/>
      </w:r>
      <w:r>
        <w:fldChar w:fldCharType="begin"/>
      </w:r>
      <w:r>
        <w:instrText xml:space="preserve"> PAGEREF _Toc152759218 \h </w:instrText>
      </w:r>
      <w:r>
        <w:fldChar w:fldCharType="separate"/>
      </w:r>
      <w:r>
        <w:t>4</w:t>
      </w:r>
      <w:r>
        <w:fldChar w:fldCharType="end"/>
      </w:r>
      <w:r>
        <w:fldChar w:fldCharType="end"/>
      </w:r>
    </w:p>
    <w:p w14:paraId="3CCBB285">
      <w:pPr>
        <w:pStyle w:val="57"/>
        <w:rPr>
          <w:rFonts w:asciiTheme="minorHAnsi" w:hAnsiTheme="minorHAnsi" w:eastAsiaTheme="minorEastAsia" w:cstheme="minorBidi"/>
          <w:b w:val="0"/>
          <w:bCs w:val="0"/>
          <w:caps w:val="0"/>
          <w:kern w:val="2"/>
          <w:sz w:val="21"/>
          <w:szCs w:val="22"/>
          <w14:ligatures w14:val="standardContextual"/>
        </w:rPr>
      </w:pPr>
      <w:r>
        <w:fldChar w:fldCharType="begin"/>
      </w:r>
      <w:r>
        <w:instrText xml:space="preserve"> HYPERLINK \l "_Toc152759219" </w:instrText>
      </w:r>
      <w:r>
        <w:fldChar w:fldCharType="separate"/>
      </w:r>
      <w:r>
        <w:rPr>
          <w:rStyle w:val="98"/>
          <w:color w:val="auto"/>
        </w:rPr>
        <w:t>第一册</w:t>
      </w:r>
      <w:r>
        <w:rPr>
          <w:rStyle w:val="98"/>
          <w:rFonts w:hint="eastAsia"/>
          <w:color w:val="auto"/>
        </w:rPr>
        <w:t xml:space="preserve"> </w:t>
      </w:r>
      <w:r>
        <w:rPr>
          <w:rStyle w:val="98"/>
          <w:color w:val="auto"/>
        </w:rPr>
        <w:t>专用条款</w:t>
      </w:r>
      <w:r>
        <w:tab/>
      </w:r>
      <w:r>
        <w:fldChar w:fldCharType="begin"/>
      </w:r>
      <w:r>
        <w:instrText xml:space="preserve"> PAGEREF _Toc152759219 \h </w:instrText>
      </w:r>
      <w:r>
        <w:fldChar w:fldCharType="separate"/>
      </w:r>
      <w:r>
        <w:t>8</w:t>
      </w:r>
      <w:r>
        <w:fldChar w:fldCharType="end"/>
      </w:r>
      <w:r>
        <w:fldChar w:fldCharType="end"/>
      </w:r>
    </w:p>
    <w:p w14:paraId="3B953BA7">
      <w:pPr>
        <w:pStyle w:val="71"/>
        <w:ind w:left="105"/>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"_Toc152759220" </w:instrText>
      </w:r>
      <w:r>
        <w:fldChar w:fldCharType="separate"/>
      </w:r>
      <w:r>
        <w:rPr>
          <w:rStyle w:val="98"/>
          <w:color w:val="auto"/>
        </w:rPr>
        <w:t>第一章</w:t>
      </w:r>
      <w:r>
        <w:rPr>
          <w:rStyle w:val="98"/>
          <w:rFonts w:hint="eastAsia"/>
          <w:color w:val="auto"/>
        </w:rPr>
        <w:t xml:space="preserve"> </w:t>
      </w:r>
      <w:r>
        <w:rPr>
          <w:rStyle w:val="98"/>
          <w:color w:val="auto"/>
        </w:rPr>
        <w:t>招标公告</w:t>
      </w:r>
      <w:r>
        <w:tab/>
      </w:r>
      <w:r>
        <w:fldChar w:fldCharType="begin"/>
      </w:r>
      <w:r>
        <w:instrText xml:space="preserve"> PAGEREF _Toc152759220 \h </w:instrText>
      </w:r>
      <w:r>
        <w:fldChar w:fldCharType="separate"/>
      </w:r>
      <w:r>
        <w:t>8</w:t>
      </w:r>
      <w:r>
        <w:fldChar w:fldCharType="end"/>
      </w:r>
      <w:r>
        <w:fldChar w:fldCharType="end"/>
      </w:r>
    </w:p>
    <w:p w14:paraId="79A84771">
      <w:pPr>
        <w:pStyle w:val="71"/>
        <w:ind w:left="105"/>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"_Toc152759228" </w:instrText>
      </w:r>
      <w:r>
        <w:fldChar w:fldCharType="separate"/>
      </w:r>
      <w:r>
        <w:rPr>
          <w:rStyle w:val="98"/>
          <w:color w:val="auto"/>
        </w:rPr>
        <w:t>第二章</w:t>
      </w:r>
      <w:r>
        <w:rPr>
          <w:rStyle w:val="98"/>
          <w:rFonts w:hint="eastAsia"/>
          <w:color w:val="auto"/>
        </w:rPr>
        <w:t xml:space="preserve"> </w:t>
      </w:r>
      <w:r>
        <w:rPr>
          <w:rStyle w:val="98"/>
          <w:color w:val="auto"/>
        </w:rPr>
        <w:t>投标须知前附表</w:t>
      </w:r>
      <w:r>
        <w:tab/>
      </w:r>
      <w:r>
        <w:fldChar w:fldCharType="begin"/>
      </w:r>
      <w:r>
        <w:instrText xml:space="preserve"> PAGEREF _Toc152759228 \h </w:instrText>
      </w:r>
      <w:r>
        <w:fldChar w:fldCharType="separate"/>
      </w:r>
      <w:r>
        <w:t>12</w:t>
      </w:r>
      <w:r>
        <w:fldChar w:fldCharType="end"/>
      </w:r>
      <w:r>
        <w:fldChar w:fldCharType="end"/>
      </w:r>
    </w:p>
    <w:p w14:paraId="5ADD140D">
      <w:pPr>
        <w:pStyle w:val="71"/>
        <w:ind w:left="105"/>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"_Toc152759229" </w:instrText>
      </w:r>
      <w:r>
        <w:fldChar w:fldCharType="separate"/>
      </w:r>
      <w:r>
        <w:rPr>
          <w:rStyle w:val="98"/>
          <w:color w:val="auto"/>
        </w:rPr>
        <w:t>第三章</w:t>
      </w:r>
      <w:r>
        <w:rPr>
          <w:rStyle w:val="98"/>
          <w:rFonts w:hint="eastAsia"/>
          <w:color w:val="auto"/>
        </w:rPr>
        <w:t xml:space="preserve"> </w:t>
      </w:r>
      <w:r>
        <w:rPr>
          <w:rStyle w:val="98"/>
          <w:color w:val="auto"/>
        </w:rPr>
        <w:t>项目需求</w:t>
      </w:r>
      <w:r>
        <w:tab/>
      </w:r>
      <w:r>
        <w:fldChar w:fldCharType="begin"/>
      </w:r>
      <w:r>
        <w:instrText xml:space="preserve"> PAGEREF _Toc152759229 \h </w:instrText>
      </w:r>
      <w:r>
        <w:fldChar w:fldCharType="separate"/>
      </w:r>
      <w:r>
        <w:t>13</w:t>
      </w:r>
      <w:r>
        <w:fldChar w:fldCharType="end"/>
      </w:r>
      <w:r>
        <w:fldChar w:fldCharType="end"/>
      </w:r>
    </w:p>
    <w:p w14:paraId="4CC34C90">
      <w:pPr>
        <w:pStyle w:val="71"/>
        <w:ind w:left="105"/>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"_Toc152759235" </w:instrText>
      </w:r>
      <w:r>
        <w:fldChar w:fldCharType="separate"/>
      </w:r>
      <w:r>
        <w:rPr>
          <w:rStyle w:val="98"/>
          <w:color w:val="auto"/>
        </w:rPr>
        <w:t>第四章</w:t>
      </w:r>
      <w:r>
        <w:rPr>
          <w:rStyle w:val="98"/>
          <w:rFonts w:hint="eastAsia"/>
          <w:color w:val="auto"/>
        </w:rPr>
        <w:t xml:space="preserve"> </w:t>
      </w:r>
      <w:r>
        <w:rPr>
          <w:rStyle w:val="98"/>
          <w:color w:val="auto"/>
        </w:rPr>
        <w:t>采购合同的签订、履约及验收</w:t>
      </w:r>
      <w:r>
        <w:tab/>
      </w:r>
      <w:r>
        <w:fldChar w:fldCharType="begin"/>
      </w:r>
      <w:r>
        <w:instrText xml:space="preserve"> PAGEREF _Toc152759235 \h </w:instrText>
      </w:r>
      <w:r>
        <w:fldChar w:fldCharType="separate"/>
      </w:r>
      <w:r>
        <w:t>21</w:t>
      </w:r>
      <w:r>
        <w:fldChar w:fldCharType="end"/>
      </w:r>
      <w:r>
        <w:fldChar w:fldCharType="end"/>
      </w:r>
    </w:p>
    <w:p w14:paraId="0843E27D">
      <w:pPr>
        <w:pStyle w:val="71"/>
        <w:ind w:left="105"/>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"_Toc152759236" </w:instrText>
      </w:r>
      <w:r>
        <w:fldChar w:fldCharType="separate"/>
      </w:r>
      <w:r>
        <w:rPr>
          <w:rStyle w:val="98"/>
          <w:color w:val="auto"/>
        </w:rPr>
        <w:t>第五章</w:t>
      </w:r>
      <w:r>
        <w:rPr>
          <w:rStyle w:val="98"/>
          <w:rFonts w:hint="eastAsia"/>
          <w:color w:val="auto"/>
        </w:rPr>
        <w:t xml:space="preserve"> </w:t>
      </w:r>
      <w:r>
        <w:rPr>
          <w:rStyle w:val="98"/>
          <w:color w:val="auto"/>
        </w:rPr>
        <w:t>投标文件格式、附件</w:t>
      </w:r>
      <w:r>
        <w:tab/>
      </w:r>
      <w:r>
        <w:fldChar w:fldCharType="begin"/>
      </w:r>
      <w:r>
        <w:instrText xml:space="preserve"> PAGEREF _Toc152759236 \h </w:instrText>
      </w:r>
      <w:r>
        <w:fldChar w:fldCharType="separate"/>
      </w:r>
      <w:r>
        <w:t>28</w:t>
      </w:r>
      <w:r>
        <w:fldChar w:fldCharType="end"/>
      </w:r>
      <w:r>
        <w:fldChar w:fldCharType="end"/>
      </w:r>
    </w:p>
    <w:p w14:paraId="378D1CB3">
      <w:pPr>
        <w:pStyle w:val="57"/>
        <w:rPr>
          <w:rFonts w:asciiTheme="minorHAnsi" w:hAnsiTheme="minorHAnsi" w:eastAsiaTheme="minorEastAsia" w:cstheme="minorBidi"/>
          <w:b w:val="0"/>
          <w:bCs w:val="0"/>
          <w:caps w:val="0"/>
          <w:kern w:val="2"/>
          <w:sz w:val="21"/>
          <w:szCs w:val="22"/>
          <w14:ligatures w14:val="standardContextual"/>
        </w:rPr>
      </w:pPr>
      <w:r>
        <w:fldChar w:fldCharType="begin"/>
      </w:r>
      <w:r>
        <w:instrText xml:space="preserve"> HYPERLINK \l "_Toc152759237" </w:instrText>
      </w:r>
      <w:r>
        <w:fldChar w:fldCharType="separate"/>
      </w:r>
      <w:r>
        <w:rPr>
          <w:rStyle w:val="98"/>
          <w:color w:val="auto"/>
        </w:rPr>
        <w:t>第二册</w:t>
      </w:r>
      <w:r>
        <w:rPr>
          <w:rStyle w:val="98"/>
          <w:rFonts w:hint="eastAsia"/>
          <w:color w:val="auto"/>
        </w:rPr>
        <w:t xml:space="preserve"> </w:t>
      </w:r>
      <w:r>
        <w:rPr>
          <w:rStyle w:val="98"/>
          <w:color w:val="auto"/>
        </w:rPr>
        <w:t>通用条款</w:t>
      </w:r>
      <w:r>
        <w:tab/>
      </w:r>
      <w:r>
        <w:fldChar w:fldCharType="begin"/>
      </w:r>
      <w:r>
        <w:instrText xml:space="preserve"> PAGEREF _Toc152759237 \h </w:instrText>
      </w:r>
      <w:r>
        <w:fldChar w:fldCharType="separate"/>
      </w:r>
      <w:r>
        <w:t>50</w:t>
      </w:r>
      <w:r>
        <w:fldChar w:fldCharType="end"/>
      </w:r>
      <w:r>
        <w:fldChar w:fldCharType="end"/>
      </w:r>
    </w:p>
    <w:p w14:paraId="23CEEFBA">
      <w:pPr>
        <w:pStyle w:val="71"/>
        <w:tabs>
          <w:tab w:val="left" w:pos="630"/>
        </w:tabs>
        <w:ind w:left="105"/>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"_Toc152759238" </w:instrText>
      </w:r>
      <w:r>
        <w:fldChar w:fldCharType="separate"/>
      </w:r>
      <w:r>
        <w:rPr>
          <w:rStyle w:val="98"/>
          <w:color w:val="auto"/>
        </w:rPr>
        <w:t>第一章</w:t>
      </w:r>
      <w:r>
        <w:rPr>
          <w:rStyle w:val="98"/>
          <w:rFonts w:hint="eastAsia"/>
          <w:color w:val="auto"/>
        </w:rPr>
        <w:t xml:space="preserve"> </w:t>
      </w:r>
      <w:r>
        <w:rPr>
          <w:rStyle w:val="98"/>
          <w:color w:val="auto"/>
        </w:rPr>
        <w:t>总则</w:t>
      </w:r>
      <w:r>
        <w:tab/>
      </w:r>
      <w:r>
        <w:fldChar w:fldCharType="begin"/>
      </w:r>
      <w:r>
        <w:instrText xml:space="preserve"> PAGEREF _Toc152759238 \h </w:instrText>
      </w:r>
      <w:r>
        <w:fldChar w:fldCharType="separate"/>
      </w:r>
      <w:r>
        <w:t>50</w:t>
      </w:r>
      <w:r>
        <w:fldChar w:fldCharType="end"/>
      </w:r>
      <w:r>
        <w:fldChar w:fldCharType="end"/>
      </w:r>
    </w:p>
    <w:p w14:paraId="18E04C3E">
      <w:pPr>
        <w:pStyle w:val="71"/>
        <w:tabs>
          <w:tab w:val="left" w:pos="630"/>
        </w:tabs>
        <w:ind w:left="105"/>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"_Toc152759239" </w:instrText>
      </w:r>
      <w:r>
        <w:fldChar w:fldCharType="separate"/>
      </w:r>
      <w:r>
        <w:rPr>
          <w:rStyle w:val="98"/>
          <w:color w:val="auto"/>
        </w:rPr>
        <w:t>第二章</w:t>
      </w:r>
      <w:r>
        <w:rPr>
          <w:rStyle w:val="98"/>
          <w:rFonts w:hint="eastAsia"/>
          <w:color w:val="auto"/>
        </w:rPr>
        <w:t xml:space="preserve"> </w:t>
      </w:r>
      <w:r>
        <w:rPr>
          <w:rStyle w:val="98"/>
          <w:color w:val="auto"/>
        </w:rPr>
        <w:t>招标文件</w:t>
      </w:r>
      <w:r>
        <w:tab/>
      </w:r>
      <w:r>
        <w:fldChar w:fldCharType="begin"/>
      </w:r>
      <w:r>
        <w:instrText xml:space="preserve"> PAGEREF _Toc152759239 \h </w:instrText>
      </w:r>
      <w:r>
        <w:fldChar w:fldCharType="separate"/>
      </w:r>
      <w:r>
        <w:t>52</w:t>
      </w:r>
      <w:r>
        <w:fldChar w:fldCharType="end"/>
      </w:r>
      <w:r>
        <w:fldChar w:fldCharType="end"/>
      </w:r>
    </w:p>
    <w:p w14:paraId="19C06764">
      <w:pPr>
        <w:pStyle w:val="71"/>
        <w:tabs>
          <w:tab w:val="left" w:pos="630"/>
        </w:tabs>
        <w:ind w:left="105"/>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"_Toc152759240" </w:instrText>
      </w:r>
      <w:r>
        <w:fldChar w:fldCharType="separate"/>
      </w:r>
      <w:r>
        <w:rPr>
          <w:rStyle w:val="98"/>
          <w:color w:val="auto"/>
        </w:rPr>
        <w:t>第三章</w:t>
      </w:r>
      <w:r>
        <w:rPr>
          <w:rStyle w:val="98"/>
          <w:rFonts w:hint="eastAsia"/>
          <w:color w:val="auto"/>
        </w:rPr>
        <w:t xml:space="preserve"> </w:t>
      </w:r>
      <w:r>
        <w:rPr>
          <w:rStyle w:val="98"/>
          <w:color w:val="auto"/>
        </w:rPr>
        <w:t>投标文件的编制与递交</w:t>
      </w:r>
      <w:r>
        <w:tab/>
      </w:r>
      <w:r>
        <w:fldChar w:fldCharType="begin"/>
      </w:r>
      <w:r>
        <w:instrText xml:space="preserve"> PAGEREF _Toc152759240 \h </w:instrText>
      </w:r>
      <w:r>
        <w:fldChar w:fldCharType="separate"/>
      </w:r>
      <w:r>
        <w:t>54</w:t>
      </w:r>
      <w:r>
        <w:fldChar w:fldCharType="end"/>
      </w:r>
      <w:r>
        <w:fldChar w:fldCharType="end"/>
      </w:r>
    </w:p>
    <w:p w14:paraId="3C3586C5">
      <w:pPr>
        <w:pStyle w:val="71"/>
        <w:tabs>
          <w:tab w:val="left" w:pos="630"/>
        </w:tabs>
        <w:ind w:left="105"/>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"_Toc152759241" </w:instrText>
      </w:r>
      <w:r>
        <w:fldChar w:fldCharType="separate"/>
      </w:r>
      <w:r>
        <w:rPr>
          <w:rStyle w:val="98"/>
          <w:color w:val="auto"/>
        </w:rPr>
        <w:t>第四章</w:t>
      </w:r>
      <w:r>
        <w:rPr>
          <w:rStyle w:val="98"/>
          <w:rFonts w:hint="eastAsia"/>
          <w:color w:val="auto"/>
        </w:rPr>
        <w:t xml:space="preserve"> </w:t>
      </w:r>
      <w:r>
        <w:rPr>
          <w:rStyle w:val="98"/>
          <w:color w:val="auto"/>
        </w:rPr>
        <w:t>开标</w:t>
      </w:r>
      <w:r>
        <w:tab/>
      </w:r>
      <w:r>
        <w:fldChar w:fldCharType="begin"/>
      </w:r>
      <w:r>
        <w:instrText xml:space="preserve"> PAGEREF _Toc152759241 \h </w:instrText>
      </w:r>
      <w:r>
        <w:fldChar w:fldCharType="separate"/>
      </w:r>
      <w:r>
        <w:t>58</w:t>
      </w:r>
      <w:r>
        <w:fldChar w:fldCharType="end"/>
      </w:r>
      <w:r>
        <w:fldChar w:fldCharType="end"/>
      </w:r>
    </w:p>
    <w:p w14:paraId="540B2955">
      <w:pPr>
        <w:pStyle w:val="71"/>
        <w:tabs>
          <w:tab w:val="left" w:pos="630"/>
        </w:tabs>
        <w:ind w:left="105"/>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"_Toc152759242" </w:instrText>
      </w:r>
      <w:r>
        <w:fldChar w:fldCharType="separate"/>
      </w:r>
      <w:r>
        <w:rPr>
          <w:rStyle w:val="98"/>
          <w:color w:val="auto"/>
        </w:rPr>
        <w:t>第五章</w:t>
      </w:r>
      <w:r>
        <w:rPr>
          <w:rStyle w:val="98"/>
          <w:rFonts w:hint="eastAsia"/>
          <w:color w:val="auto"/>
        </w:rPr>
        <w:t xml:space="preserve"> </w:t>
      </w:r>
      <w:r>
        <w:rPr>
          <w:rStyle w:val="98"/>
          <w:color w:val="auto"/>
        </w:rPr>
        <w:t>评标要求</w:t>
      </w:r>
      <w:r>
        <w:tab/>
      </w:r>
      <w:r>
        <w:fldChar w:fldCharType="begin"/>
      </w:r>
      <w:r>
        <w:instrText xml:space="preserve"> PAGEREF _Toc152759242 \h </w:instrText>
      </w:r>
      <w:r>
        <w:fldChar w:fldCharType="separate"/>
      </w:r>
      <w:r>
        <w:t>59</w:t>
      </w:r>
      <w:r>
        <w:fldChar w:fldCharType="end"/>
      </w:r>
      <w:r>
        <w:fldChar w:fldCharType="end"/>
      </w:r>
    </w:p>
    <w:p w14:paraId="1BD4C846">
      <w:pPr>
        <w:pStyle w:val="71"/>
        <w:tabs>
          <w:tab w:val="left" w:pos="630"/>
        </w:tabs>
        <w:ind w:left="105"/>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"_Toc152759243" </w:instrText>
      </w:r>
      <w:r>
        <w:fldChar w:fldCharType="separate"/>
      </w:r>
      <w:r>
        <w:rPr>
          <w:rStyle w:val="98"/>
          <w:color w:val="auto"/>
        </w:rPr>
        <w:t>第六章</w:t>
      </w:r>
      <w:r>
        <w:rPr>
          <w:rStyle w:val="98"/>
          <w:rFonts w:hint="eastAsia"/>
          <w:color w:val="auto"/>
        </w:rPr>
        <w:t xml:space="preserve"> </w:t>
      </w:r>
      <w:r>
        <w:rPr>
          <w:rStyle w:val="98"/>
          <w:color w:val="auto"/>
        </w:rPr>
        <w:t>评标程序及评标方法</w:t>
      </w:r>
      <w:r>
        <w:tab/>
      </w:r>
      <w:r>
        <w:fldChar w:fldCharType="begin"/>
      </w:r>
      <w:r>
        <w:instrText xml:space="preserve"> PAGEREF _Toc152759243 \h </w:instrText>
      </w:r>
      <w:r>
        <w:fldChar w:fldCharType="separate"/>
      </w:r>
      <w:r>
        <w:t>60</w:t>
      </w:r>
      <w:r>
        <w:fldChar w:fldCharType="end"/>
      </w:r>
      <w:r>
        <w:fldChar w:fldCharType="end"/>
      </w:r>
    </w:p>
    <w:p w14:paraId="36C3091B">
      <w:pPr>
        <w:pStyle w:val="71"/>
        <w:tabs>
          <w:tab w:val="left" w:pos="630"/>
        </w:tabs>
        <w:ind w:left="105"/>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"_Toc152759244" </w:instrText>
      </w:r>
      <w:r>
        <w:fldChar w:fldCharType="separate"/>
      </w:r>
      <w:r>
        <w:rPr>
          <w:rStyle w:val="98"/>
          <w:color w:val="auto"/>
        </w:rPr>
        <w:t>第七章</w:t>
      </w:r>
      <w:r>
        <w:rPr>
          <w:rStyle w:val="98"/>
          <w:rFonts w:hint="eastAsia"/>
          <w:color w:val="auto"/>
        </w:rPr>
        <w:t xml:space="preserve"> </w:t>
      </w:r>
      <w:r>
        <w:rPr>
          <w:rStyle w:val="98"/>
          <w:color w:val="auto"/>
        </w:rPr>
        <w:t>定标及公示</w:t>
      </w:r>
      <w:r>
        <w:tab/>
      </w:r>
      <w:r>
        <w:fldChar w:fldCharType="begin"/>
      </w:r>
      <w:r>
        <w:instrText xml:space="preserve"> PAGEREF _Toc152759244 \h </w:instrText>
      </w:r>
      <w:r>
        <w:fldChar w:fldCharType="separate"/>
      </w:r>
      <w:r>
        <w:t>63</w:t>
      </w:r>
      <w:r>
        <w:fldChar w:fldCharType="end"/>
      </w:r>
      <w:r>
        <w:fldChar w:fldCharType="end"/>
      </w:r>
    </w:p>
    <w:p w14:paraId="61C7063C">
      <w:pPr>
        <w:pStyle w:val="71"/>
        <w:tabs>
          <w:tab w:val="left" w:pos="630"/>
        </w:tabs>
        <w:ind w:left="105"/>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"_Toc152759245" </w:instrText>
      </w:r>
      <w:r>
        <w:fldChar w:fldCharType="separate"/>
      </w:r>
      <w:r>
        <w:rPr>
          <w:rStyle w:val="98"/>
          <w:color w:val="auto"/>
        </w:rPr>
        <w:t>第八章</w:t>
      </w:r>
      <w:r>
        <w:rPr>
          <w:rStyle w:val="98"/>
          <w:rFonts w:hint="eastAsia"/>
          <w:color w:val="auto"/>
        </w:rPr>
        <w:t xml:space="preserve"> </w:t>
      </w:r>
      <w:r>
        <w:rPr>
          <w:rStyle w:val="98"/>
          <w:color w:val="auto"/>
        </w:rPr>
        <w:t>公开招标失败的后续处理</w:t>
      </w:r>
      <w:r>
        <w:tab/>
      </w:r>
      <w:r>
        <w:fldChar w:fldCharType="begin"/>
      </w:r>
      <w:r>
        <w:instrText xml:space="preserve"> PAGEREF _Toc152759245 \h </w:instrText>
      </w:r>
      <w:r>
        <w:fldChar w:fldCharType="separate"/>
      </w:r>
      <w:r>
        <w:t>64</w:t>
      </w:r>
      <w:r>
        <w:fldChar w:fldCharType="end"/>
      </w:r>
      <w:r>
        <w:fldChar w:fldCharType="end"/>
      </w:r>
    </w:p>
    <w:p w14:paraId="4AF556BD">
      <w:pPr>
        <w:pStyle w:val="71"/>
        <w:tabs>
          <w:tab w:val="left" w:pos="630"/>
        </w:tabs>
        <w:ind w:left="105"/>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"_Toc152759246" </w:instrText>
      </w:r>
      <w:r>
        <w:fldChar w:fldCharType="separate"/>
      </w:r>
      <w:r>
        <w:rPr>
          <w:rStyle w:val="98"/>
          <w:color w:val="auto"/>
        </w:rPr>
        <w:t>第九章</w:t>
      </w:r>
      <w:r>
        <w:rPr>
          <w:rStyle w:val="98"/>
          <w:rFonts w:hint="eastAsia"/>
          <w:color w:val="auto"/>
        </w:rPr>
        <w:t xml:space="preserve"> </w:t>
      </w:r>
      <w:r>
        <w:rPr>
          <w:rStyle w:val="98"/>
          <w:color w:val="auto"/>
        </w:rPr>
        <w:t>合同的授予与备案</w:t>
      </w:r>
      <w:r>
        <w:tab/>
      </w:r>
      <w:r>
        <w:fldChar w:fldCharType="begin"/>
      </w:r>
      <w:r>
        <w:instrText xml:space="preserve"> PAGEREF _Toc152759246 \h </w:instrText>
      </w:r>
      <w:r>
        <w:fldChar w:fldCharType="separate"/>
      </w:r>
      <w:r>
        <w:t>67</w:t>
      </w:r>
      <w:r>
        <w:fldChar w:fldCharType="end"/>
      </w:r>
      <w:r>
        <w:fldChar w:fldCharType="end"/>
      </w:r>
    </w:p>
    <w:p w14:paraId="6C44FBAA">
      <w:pPr>
        <w:pStyle w:val="71"/>
        <w:tabs>
          <w:tab w:val="left" w:pos="840"/>
        </w:tabs>
        <w:ind w:left="105"/>
        <w:rPr>
          <w:rFonts w:asciiTheme="minorHAnsi" w:hAnsiTheme="minorHAnsi" w:eastAsiaTheme="minorEastAsia" w:cstheme="minorBidi"/>
          <w:smallCaps w:val="0"/>
          <w:kern w:val="2"/>
          <w:sz w:val="21"/>
          <w:szCs w:val="22"/>
          <w14:ligatures w14:val="standardContextual"/>
        </w:rPr>
      </w:pPr>
      <w:r>
        <w:fldChar w:fldCharType="begin"/>
      </w:r>
      <w:r>
        <w:instrText xml:space="preserve"> HYPERLINK \l "_Toc152759247" </w:instrText>
      </w:r>
      <w:r>
        <w:fldChar w:fldCharType="separate"/>
      </w:r>
      <w:r>
        <w:rPr>
          <w:rStyle w:val="98"/>
          <w:color w:val="auto"/>
        </w:rPr>
        <w:t>第十章</w:t>
      </w:r>
      <w:r>
        <w:rPr>
          <w:rStyle w:val="98"/>
          <w:rFonts w:hint="eastAsia"/>
          <w:color w:val="auto"/>
        </w:rPr>
        <w:t xml:space="preserve"> </w:t>
      </w:r>
      <w:r>
        <w:rPr>
          <w:rStyle w:val="98"/>
          <w:color w:val="auto"/>
        </w:rPr>
        <w:t>质疑受理</w:t>
      </w:r>
      <w:r>
        <w:tab/>
      </w:r>
      <w:r>
        <w:fldChar w:fldCharType="begin"/>
      </w:r>
      <w:r>
        <w:instrText xml:space="preserve"> PAGEREF _Toc152759247 \h </w:instrText>
      </w:r>
      <w:r>
        <w:fldChar w:fldCharType="separate"/>
      </w:r>
      <w:r>
        <w:t>67</w:t>
      </w:r>
      <w:r>
        <w:fldChar w:fldCharType="end"/>
      </w:r>
      <w:r>
        <w:fldChar w:fldCharType="end"/>
      </w:r>
    </w:p>
    <w:p w14:paraId="5757A5CC">
      <w:pPr>
        <w:pStyle w:val="57"/>
        <w:rPr>
          <w:rFonts w:asciiTheme="minorHAnsi" w:hAnsiTheme="minorHAnsi" w:eastAsiaTheme="minorEastAsia" w:cstheme="minorBidi"/>
          <w:b w:val="0"/>
          <w:bCs w:val="0"/>
          <w:caps w:val="0"/>
          <w:kern w:val="2"/>
          <w:sz w:val="21"/>
          <w:szCs w:val="22"/>
          <w14:ligatures w14:val="standardContextual"/>
        </w:rPr>
      </w:pPr>
      <w:r>
        <w:fldChar w:fldCharType="begin"/>
      </w:r>
      <w:r>
        <w:instrText xml:space="preserve"> HYPERLINK \l "_Toc152759248" </w:instrText>
      </w:r>
      <w:r>
        <w:fldChar w:fldCharType="separate"/>
      </w:r>
      <w:r>
        <w:rPr>
          <w:rStyle w:val="98"/>
          <w:color w:val="auto"/>
        </w:rPr>
        <w:t>招标代理服务取费说明</w:t>
      </w:r>
      <w:r>
        <w:tab/>
      </w:r>
      <w:r>
        <w:fldChar w:fldCharType="begin"/>
      </w:r>
      <w:r>
        <w:instrText xml:space="preserve"> PAGEREF _Toc152759248 \h </w:instrText>
      </w:r>
      <w:r>
        <w:fldChar w:fldCharType="separate"/>
      </w:r>
      <w:r>
        <w:t>70</w:t>
      </w:r>
      <w:r>
        <w:fldChar w:fldCharType="end"/>
      </w:r>
      <w:r>
        <w:fldChar w:fldCharType="end"/>
      </w:r>
    </w:p>
    <w:p w14:paraId="3B9B8DF4">
      <w:pPr>
        <w:tabs>
          <w:tab w:val="right" w:leader="dot" w:pos="8820"/>
          <w:tab w:val="right" w:leader="dot" w:pos="9240"/>
          <w:tab w:val="clear" w:pos="426"/>
        </w:tabs>
        <w:sectPr>
          <w:headerReference r:id="rId6" w:type="first"/>
          <w:headerReference r:id="rId5" w:type="default"/>
          <w:footerReference r:id="rId7" w:type="even"/>
          <w:pgSz w:w="11906" w:h="16838"/>
          <w:pgMar w:top="1134" w:right="1134" w:bottom="1134" w:left="1418" w:header="851" w:footer="992" w:gutter="0"/>
          <w:pgNumType w:start="0"/>
          <w:cols w:space="720" w:num="1"/>
          <w:titlePg/>
          <w:docGrid w:linePitch="462" w:charSpace="0"/>
        </w:sectPr>
      </w:pPr>
      <w:r>
        <w:rPr>
          <w:smallCaps/>
          <w:sz w:val="28"/>
        </w:rPr>
        <w:fldChar w:fldCharType="end"/>
      </w:r>
    </w:p>
    <w:p w14:paraId="5A7E2653">
      <w:pPr>
        <w:pStyle w:val="62"/>
        <w:widowControl w:val="0"/>
        <w:shd w:val="clear" w:color="auto" w:fill="auto"/>
        <w:tabs>
          <w:tab w:val="clear" w:pos="426"/>
        </w:tabs>
        <w:adjustRightInd/>
        <w:snapToGrid/>
        <w:outlineLvl w:val="0"/>
        <w:rPr>
          <w:rFonts w:ascii="宋体"/>
          <w:bCs w:val="0"/>
          <w:sz w:val="36"/>
          <w:szCs w:val="36"/>
        </w:rPr>
      </w:pPr>
      <w:bookmarkStart w:id="0" w:name="_Toc152759215"/>
      <w:bookmarkStart w:id="1" w:name="_Toc432592808"/>
      <w:r>
        <w:rPr>
          <w:rFonts w:hint="eastAsia" w:ascii="宋体"/>
          <w:bCs w:val="0"/>
          <w:sz w:val="36"/>
          <w:szCs w:val="36"/>
        </w:rPr>
        <w:t>项目关键信息</w:t>
      </w:r>
      <w:bookmarkEnd w:id="0"/>
      <w:bookmarkEnd w:id="1"/>
    </w:p>
    <w:tbl>
      <w:tblPr>
        <w:tblStyle w:val="85"/>
        <w:tblW w:w="85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6152"/>
      </w:tblGrid>
      <w:tr w14:paraId="1B8F8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14:paraId="5B858CBE">
            <w:pPr>
              <w:tabs>
                <w:tab w:val="clear" w:pos="426"/>
              </w:tabs>
              <w:adjustRightInd/>
              <w:snapToGrid/>
              <w:spacing w:line="240" w:lineRule="auto"/>
              <w:rPr>
                <w:szCs w:val="21"/>
              </w:rPr>
            </w:pPr>
            <w:r>
              <w:rPr>
                <w:rFonts w:hint="eastAsia"/>
                <w:szCs w:val="21"/>
              </w:rPr>
              <w:t>项目编号</w:t>
            </w:r>
          </w:p>
        </w:tc>
        <w:tc>
          <w:tcPr>
            <w:tcW w:w="6152" w:type="dxa"/>
            <w:vAlign w:val="center"/>
          </w:tcPr>
          <w:p w14:paraId="38404DCF">
            <w:pPr>
              <w:tabs>
                <w:tab w:val="clear" w:pos="426"/>
              </w:tabs>
              <w:adjustRightInd/>
              <w:snapToGrid/>
              <w:spacing w:line="240" w:lineRule="auto"/>
              <w:rPr>
                <w:szCs w:val="21"/>
              </w:rPr>
            </w:pPr>
            <w:r>
              <w:rPr>
                <w:rFonts w:hint="eastAsia"/>
                <w:szCs w:val="21"/>
              </w:rPr>
              <w:t>SSZX2025-025</w:t>
            </w:r>
          </w:p>
        </w:tc>
      </w:tr>
      <w:tr w14:paraId="4EBA1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14:paraId="0968D794">
            <w:pPr>
              <w:tabs>
                <w:tab w:val="clear" w:pos="426"/>
              </w:tabs>
              <w:adjustRightInd/>
              <w:snapToGrid/>
              <w:spacing w:line="240" w:lineRule="auto"/>
              <w:rPr>
                <w:szCs w:val="21"/>
              </w:rPr>
            </w:pPr>
            <w:r>
              <w:rPr>
                <w:rFonts w:hint="eastAsia"/>
                <w:szCs w:val="21"/>
              </w:rPr>
              <w:t>项目名称</w:t>
            </w:r>
          </w:p>
        </w:tc>
        <w:tc>
          <w:tcPr>
            <w:tcW w:w="6152" w:type="dxa"/>
            <w:vAlign w:val="center"/>
          </w:tcPr>
          <w:p w14:paraId="0EABA265">
            <w:pPr>
              <w:tabs>
                <w:tab w:val="clear" w:pos="426"/>
              </w:tabs>
              <w:adjustRightInd/>
              <w:snapToGrid/>
              <w:spacing w:line="240" w:lineRule="auto"/>
              <w:rPr>
                <w:szCs w:val="21"/>
              </w:rPr>
            </w:pPr>
            <w:r>
              <w:rPr>
                <w:rFonts w:hint="eastAsia"/>
                <w:szCs w:val="21"/>
              </w:rPr>
              <w:t>广东省深圳市消防救援支队特勤大队2025年深中通道消防站物业管理服务采购项目</w:t>
            </w:r>
          </w:p>
        </w:tc>
      </w:tr>
      <w:tr w14:paraId="76273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14:paraId="52FF39C1">
            <w:pPr>
              <w:tabs>
                <w:tab w:val="clear" w:pos="426"/>
              </w:tabs>
              <w:adjustRightInd/>
              <w:snapToGrid/>
              <w:spacing w:line="240" w:lineRule="auto"/>
              <w:rPr>
                <w:szCs w:val="21"/>
              </w:rPr>
            </w:pPr>
            <w:r>
              <w:rPr>
                <w:rFonts w:hint="eastAsia"/>
                <w:szCs w:val="21"/>
              </w:rPr>
              <w:t>项目类型</w:t>
            </w:r>
          </w:p>
        </w:tc>
        <w:tc>
          <w:tcPr>
            <w:tcW w:w="6152" w:type="dxa"/>
            <w:vAlign w:val="center"/>
          </w:tcPr>
          <w:p w14:paraId="45FF3751">
            <w:pPr>
              <w:tabs>
                <w:tab w:val="clear" w:pos="426"/>
              </w:tabs>
              <w:adjustRightInd/>
              <w:snapToGrid/>
              <w:spacing w:line="240" w:lineRule="auto"/>
              <w:rPr>
                <w:szCs w:val="21"/>
              </w:rPr>
            </w:pPr>
            <w:r>
              <w:rPr>
                <w:rFonts w:hint="eastAsia"/>
                <w:szCs w:val="21"/>
              </w:rPr>
              <w:t>服务类</w:t>
            </w:r>
          </w:p>
        </w:tc>
      </w:tr>
      <w:tr w14:paraId="77A86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14:paraId="04F11996">
            <w:pPr>
              <w:tabs>
                <w:tab w:val="clear" w:pos="426"/>
              </w:tabs>
              <w:adjustRightInd/>
              <w:snapToGrid/>
              <w:spacing w:line="240" w:lineRule="auto"/>
              <w:rPr>
                <w:szCs w:val="21"/>
              </w:rPr>
            </w:pPr>
            <w:r>
              <w:rPr>
                <w:rFonts w:hint="eastAsia"/>
                <w:szCs w:val="21"/>
              </w:rPr>
              <w:t>采购方式</w:t>
            </w:r>
          </w:p>
        </w:tc>
        <w:tc>
          <w:tcPr>
            <w:tcW w:w="6152" w:type="dxa"/>
            <w:vAlign w:val="center"/>
          </w:tcPr>
          <w:p w14:paraId="4282CE5C">
            <w:pPr>
              <w:tabs>
                <w:tab w:val="clear" w:pos="426"/>
              </w:tabs>
              <w:adjustRightInd/>
              <w:snapToGrid/>
              <w:spacing w:line="240" w:lineRule="auto"/>
              <w:rPr>
                <w:szCs w:val="21"/>
              </w:rPr>
            </w:pPr>
            <w:r>
              <w:rPr>
                <w:rFonts w:hint="eastAsia"/>
                <w:szCs w:val="21"/>
              </w:rPr>
              <w:t>公开招标</w:t>
            </w:r>
          </w:p>
        </w:tc>
      </w:tr>
      <w:tr w14:paraId="54F8F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14:paraId="45AD7B74">
            <w:pPr>
              <w:tabs>
                <w:tab w:val="clear" w:pos="426"/>
              </w:tabs>
              <w:adjustRightInd/>
              <w:snapToGrid/>
              <w:spacing w:line="240" w:lineRule="auto"/>
              <w:rPr>
                <w:szCs w:val="21"/>
              </w:rPr>
            </w:pPr>
            <w:r>
              <w:rPr>
                <w:rFonts w:hint="eastAsia"/>
                <w:szCs w:val="21"/>
              </w:rPr>
              <w:t>货币类型</w:t>
            </w:r>
          </w:p>
        </w:tc>
        <w:tc>
          <w:tcPr>
            <w:tcW w:w="6152" w:type="dxa"/>
            <w:vAlign w:val="center"/>
          </w:tcPr>
          <w:p w14:paraId="53B78AAD">
            <w:pPr>
              <w:tabs>
                <w:tab w:val="clear" w:pos="426"/>
              </w:tabs>
              <w:adjustRightInd/>
              <w:snapToGrid/>
              <w:spacing w:line="240" w:lineRule="auto"/>
              <w:rPr>
                <w:szCs w:val="21"/>
              </w:rPr>
            </w:pPr>
            <w:r>
              <w:rPr>
                <w:rFonts w:hint="eastAsia"/>
                <w:szCs w:val="21"/>
              </w:rPr>
              <w:t>人民币</w:t>
            </w:r>
          </w:p>
        </w:tc>
      </w:tr>
      <w:tr w14:paraId="7262B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14:paraId="188715A7">
            <w:pPr>
              <w:tabs>
                <w:tab w:val="clear" w:pos="426"/>
              </w:tabs>
              <w:adjustRightInd/>
              <w:snapToGrid/>
              <w:spacing w:line="240" w:lineRule="auto"/>
              <w:rPr>
                <w:szCs w:val="21"/>
              </w:rPr>
            </w:pPr>
            <w:r>
              <w:rPr>
                <w:rFonts w:hint="eastAsia"/>
                <w:szCs w:val="21"/>
              </w:rPr>
              <w:t>预算限额</w:t>
            </w:r>
          </w:p>
        </w:tc>
        <w:tc>
          <w:tcPr>
            <w:tcW w:w="6152" w:type="dxa"/>
            <w:vAlign w:val="center"/>
          </w:tcPr>
          <w:p w14:paraId="353D37E9">
            <w:pPr>
              <w:tabs>
                <w:tab w:val="clear" w:pos="426"/>
              </w:tabs>
              <w:adjustRightInd/>
              <w:snapToGrid/>
              <w:spacing w:line="240" w:lineRule="auto"/>
              <w:rPr>
                <w:szCs w:val="21"/>
              </w:rPr>
            </w:pPr>
            <w:r>
              <w:rPr>
                <w:rFonts w:hint="eastAsia"/>
                <w:szCs w:val="21"/>
              </w:rPr>
              <w:t>¥241112.70 （人民币贰拾肆万壹仟壹佰壹拾贰元柒角）</w:t>
            </w:r>
          </w:p>
        </w:tc>
      </w:tr>
      <w:tr w14:paraId="1E4E0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14:paraId="0C2DC9AC">
            <w:pPr>
              <w:tabs>
                <w:tab w:val="clear" w:pos="426"/>
              </w:tabs>
              <w:adjustRightInd/>
              <w:snapToGrid/>
              <w:spacing w:line="240" w:lineRule="auto"/>
            </w:pPr>
            <w:r>
              <w:rPr>
                <w:rFonts w:hint="eastAsia"/>
              </w:rPr>
              <w:t>评定分离</w:t>
            </w:r>
          </w:p>
        </w:tc>
        <w:tc>
          <w:tcPr>
            <w:tcW w:w="6152" w:type="dxa"/>
            <w:vAlign w:val="center"/>
          </w:tcPr>
          <w:p w14:paraId="7ED43242">
            <w:pPr>
              <w:tabs>
                <w:tab w:val="clear" w:pos="426"/>
              </w:tabs>
              <w:adjustRightInd/>
              <w:snapToGrid/>
              <w:spacing w:line="240" w:lineRule="auto"/>
            </w:pPr>
            <w:r>
              <w:rPr>
                <w:rFonts w:hint="eastAsia"/>
              </w:rPr>
              <w:t>■否</w:t>
            </w:r>
          </w:p>
        </w:tc>
      </w:tr>
      <w:tr w14:paraId="63354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14:paraId="7A29AC8D">
            <w:pPr>
              <w:tabs>
                <w:tab w:val="clear" w:pos="426"/>
              </w:tabs>
              <w:adjustRightInd/>
              <w:snapToGrid/>
              <w:spacing w:line="240" w:lineRule="auto"/>
              <w:rPr>
                <w:bCs/>
                <w:szCs w:val="21"/>
              </w:rPr>
            </w:pPr>
            <w:r>
              <w:rPr>
                <w:rFonts w:hint="eastAsia"/>
                <w:bCs/>
                <w:szCs w:val="21"/>
              </w:rPr>
              <w:t>评标方法</w:t>
            </w:r>
          </w:p>
        </w:tc>
        <w:tc>
          <w:tcPr>
            <w:tcW w:w="6152" w:type="dxa"/>
            <w:vAlign w:val="center"/>
          </w:tcPr>
          <w:p w14:paraId="160CA469">
            <w:pPr>
              <w:tabs>
                <w:tab w:val="clear" w:pos="426"/>
              </w:tabs>
              <w:adjustRightInd/>
              <w:snapToGrid/>
              <w:spacing w:line="240" w:lineRule="auto"/>
              <w:rPr>
                <w:szCs w:val="21"/>
              </w:rPr>
            </w:pPr>
            <w:r>
              <w:rPr>
                <w:rFonts w:hint="eastAsia"/>
              </w:rPr>
              <w:t>■</w:t>
            </w:r>
            <w:r>
              <w:rPr>
                <w:rFonts w:hint="eastAsia"/>
                <w:szCs w:val="21"/>
              </w:rPr>
              <w:t>综合评分法</w:t>
            </w:r>
          </w:p>
        </w:tc>
      </w:tr>
      <w:tr w14:paraId="13D5E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14:paraId="5B71B1C0">
            <w:pPr>
              <w:tabs>
                <w:tab w:val="clear" w:pos="426"/>
              </w:tabs>
              <w:adjustRightInd/>
              <w:snapToGrid/>
              <w:spacing w:line="240" w:lineRule="auto"/>
              <w:rPr>
                <w:bCs/>
                <w:szCs w:val="21"/>
              </w:rPr>
            </w:pPr>
            <w:r>
              <w:rPr>
                <w:rFonts w:hint="eastAsia"/>
                <w:bCs/>
                <w:szCs w:val="21"/>
              </w:rPr>
              <w:t>定标方法</w:t>
            </w:r>
          </w:p>
        </w:tc>
        <w:tc>
          <w:tcPr>
            <w:tcW w:w="6152" w:type="dxa"/>
            <w:vAlign w:val="center"/>
          </w:tcPr>
          <w:p w14:paraId="01D714C9">
            <w:pPr>
              <w:tabs>
                <w:tab w:val="clear" w:pos="426"/>
              </w:tabs>
              <w:adjustRightInd/>
              <w:snapToGrid/>
              <w:spacing w:line="240" w:lineRule="auto"/>
              <w:rPr>
                <w:szCs w:val="21"/>
              </w:rPr>
            </w:pPr>
            <w:r>
              <w:t>/</w:t>
            </w:r>
          </w:p>
        </w:tc>
      </w:tr>
      <w:tr w14:paraId="65E6E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14:paraId="423DAD3C">
            <w:pPr>
              <w:tabs>
                <w:tab w:val="clear" w:pos="426"/>
              </w:tabs>
              <w:adjustRightInd/>
              <w:snapToGrid/>
              <w:spacing w:line="240" w:lineRule="auto"/>
            </w:pPr>
            <w:r>
              <w:rPr>
                <w:rFonts w:hint="eastAsia"/>
              </w:rPr>
              <w:t>投标供应商的替代方案</w:t>
            </w:r>
          </w:p>
        </w:tc>
        <w:tc>
          <w:tcPr>
            <w:tcW w:w="6152" w:type="dxa"/>
            <w:vAlign w:val="center"/>
          </w:tcPr>
          <w:p w14:paraId="4B4CBFF1">
            <w:pPr>
              <w:tabs>
                <w:tab w:val="clear" w:pos="426"/>
              </w:tabs>
              <w:adjustRightInd/>
              <w:snapToGrid/>
              <w:spacing w:line="240" w:lineRule="auto"/>
              <w:rPr>
                <w:u w:val="single"/>
              </w:rPr>
            </w:pPr>
            <w:r>
              <w:rPr>
                <w:rFonts w:hint="eastAsia"/>
                <w:szCs w:val="21"/>
              </w:rPr>
              <w:t>不允许</w:t>
            </w:r>
          </w:p>
        </w:tc>
      </w:tr>
      <w:tr w14:paraId="5EC06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14:paraId="192E9A6E">
            <w:pPr>
              <w:tabs>
                <w:tab w:val="clear" w:pos="426"/>
              </w:tabs>
              <w:adjustRightInd/>
              <w:snapToGrid/>
              <w:spacing w:line="240" w:lineRule="auto"/>
            </w:pPr>
            <w:r>
              <w:rPr>
                <w:rFonts w:hint="eastAsia"/>
              </w:rPr>
              <w:t>投标有效期</w:t>
            </w:r>
          </w:p>
        </w:tc>
        <w:tc>
          <w:tcPr>
            <w:tcW w:w="6152" w:type="dxa"/>
            <w:vAlign w:val="center"/>
          </w:tcPr>
          <w:p w14:paraId="758BE6C3">
            <w:pPr>
              <w:tabs>
                <w:tab w:val="clear" w:pos="426"/>
              </w:tabs>
              <w:adjustRightInd/>
              <w:snapToGrid/>
              <w:spacing w:line="240" w:lineRule="auto"/>
              <w:rPr>
                <w:szCs w:val="21"/>
              </w:rPr>
            </w:pPr>
            <w:r>
              <w:rPr>
                <w:szCs w:val="21"/>
              </w:rPr>
              <w:t>120</w:t>
            </w:r>
            <w:r>
              <w:rPr>
                <w:rFonts w:hint="eastAsia"/>
                <w:szCs w:val="21"/>
              </w:rPr>
              <w:t>天</w:t>
            </w:r>
          </w:p>
        </w:tc>
      </w:tr>
      <w:tr w14:paraId="4EAEA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jc w:val="center"/>
        </w:trPr>
        <w:tc>
          <w:tcPr>
            <w:tcW w:w="2376" w:type="dxa"/>
            <w:vAlign w:val="center"/>
          </w:tcPr>
          <w:p w14:paraId="38387F1D">
            <w:pPr>
              <w:tabs>
                <w:tab w:val="clear" w:pos="426"/>
              </w:tabs>
              <w:adjustRightInd/>
              <w:snapToGrid/>
              <w:spacing w:line="240" w:lineRule="auto"/>
            </w:pPr>
            <w:r>
              <w:rPr>
                <w:rFonts w:hint="eastAsia"/>
              </w:rPr>
              <w:t>投标保证金</w:t>
            </w:r>
          </w:p>
        </w:tc>
        <w:tc>
          <w:tcPr>
            <w:tcW w:w="6152" w:type="dxa"/>
            <w:vAlign w:val="center"/>
          </w:tcPr>
          <w:p w14:paraId="7EC65987">
            <w:pPr>
              <w:tabs>
                <w:tab w:val="clear" w:pos="426"/>
              </w:tabs>
              <w:adjustRightInd/>
              <w:snapToGrid/>
              <w:spacing w:line="240" w:lineRule="auto"/>
            </w:pPr>
            <w:r>
              <w:rPr>
                <w:rFonts w:hint="eastAsia"/>
              </w:rPr>
              <w:t>■不提交</w:t>
            </w:r>
          </w:p>
        </w:tc>
      </w:tr>
      <w:tr w14:paraId="7C4D4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2376" w:type="dxa"/>
            <w:vAlign w:val="center"/>
          </w:tcPr>
          <w:p w14:paraId="27142DB5">
            <w:pPr>
              <w:tabs>
                <w:tab w:val="clear" w:pos="426"/>
              </w:tabs>
              <w:adjustRightInd/>
              <w:snapToGrid/>
              <w:spacing w:line="240" w:lineRule="auto"/>
            </w:pPr>
            <w:r>
              <w:rPr>
                <w:rFonts w:hint="eastAsia"/>
              </w:rPr>
              <w:t>履约担保金额</w:t>
            </w:r>
          </w:p>
        </w:tc>
        <w:tc>
          <w:tcPr>
            <w:tcW w:w="6152" w:type="dxa"/>
            <w:vAlign w:val="center"/>
          </w:tcPr>
          <w:p w14:paraId="628CA457">
            <w:pPr>
              <w:tabs>
                <w:tab w:val="clear" w:pos="426"/>
              </w:tabs>
              <w:adjustRightInd/>
              <w:snapToGrid/>
              <w:spacing w:line="240" w:lineRule="auto"/>
            </w:pPr>
            <w:r>
              <w:rPr>
                <w:rFonts w:hint="eastAsia"/>
              </w:rPr>
              <w:t>■不提交</w:t>
            </w:r>
          </w:p>
        </w:tc>
      </w:tr>
      <w:tr w14:paraId="1364A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14:paraId="330E6C15">
            <w:pPr>
              <w:tabs>
                <w:tab w:val="clear" w:pos="426"/>
              </w:tabs>
              <w:adjustRightInd/>
              <w:snapToGrid/>
              <w:spacing w:line="240" w:lineRule="auto"/>
            </w:pPr>
            <w:r>
              <w:rPr>
                <w:rFonts w:hint="eastAsia"/>
              </w:rPr>
              <w:t>投标文件份数</w:t>
            </w:r>
          </w:p>
        </w:tc>
        <w:tc>
          <w:tcPr>
            <w:tcW w:w="6152" w:type="dxa"/>
            <w:vAlign w:val="center"/>
          </w:tcPr>
          <w:p w14:paraId="486327A0">
            <w:pPr>
              <w:tabs>
                <w:tab w:val="clear" w:pos="426"/>
              </w:tabs>
              <w:adjustRightInd/>
              <w:snapToGrid/>
              <w:spacing w:line="240" w:lineRule="auto"/>
            </w:pPr>
            <w:r>
              <w:rPr>
                <w:rFonts w:hint="eastAsia"/>
              </w:rPr>
              <w:t>纸质投标文件一正、四副，开标信封一份</w:t>
            </w:r>
          </w:p>
        </w:tc>
      </w:tr>
      <w:tr w14:paraId="7590E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14:paraId="6ED0CEF2">
            <w:pPr>
              <w:tabs>
                <w:tab w:val="clear" w:pos="426"/>
              </w:tabs>
              <w:adjustRightInd/>
              <w:snapToGrid/>
              <w:spacing w:line="240" w:lineRule="auto"/>
            </w:pPr>
            <w:r>
              <w:rPr>
                <w:rFonts w:hint="eastAsia"/>
              </w:rPr>
              <w:t>投标文件电子档</w:t>
            </w:r>
          </w:p>
        </w:tc>
        <w:tc>
          <w:tcPr>
            <w:tcW w:w="6152" w:type="dxa"/>
            <w:vAlign w:val="center"/>
          </w:tcPr>
          <w:p w14:paraId="39E80FF8">
            <w:pPr>
              <w:tabs>
                <w:tab w:val="clear" w:pos="426"/>
              </w:tabs>
              <w:adjustRightInd/>
              <w:snapToGrid/>
              <w:spacing w:line="240" w:lineRule="auto"/>
            </w:pPr>
            <w:r>
              <w:rPr>
                <w:rFonts w:hint="eastAsia"/>
              </w:rPr>
              <w:t>U盘一个（</w:t>
            </w:r>
            <w:r>
              <w:t>WORD</w:t>
            </w:r>
            <w:r>
              <w:rPr>
                <w:rFonts w:hint="eastAsia"/>
              </w:rPr>
              <w:t>及投标文件正本盖章后的彩色扫描件，</w:t>
            </w:r>
            <w:r>
              <w:t>PDF</w:t>
            </w:r>
            <w:r>
              <w:rPr>
                <w:rFonts w:hint="eastAsia"/>
              </w:rPr>
              <w:t>格式）</w:t>
            </w:r>
          </w:p>
        </w:tc>
      </w:tr>
      <w:tr w14:paraId="6FA44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376" w:type="dxa"/>
            <w:vAlign w:val="center"/>
          </w:tcPr>
          <w:p w14:paraId="14BF7965">
            <w:pPr>
              <w:tabs>
                <w:tab w:val="clear" w:pos="426"/>
              </w:tabs>
              <w:adjustRightInd/>
              <w:snapToGrid/>
              <w:spacing w:line="240" w:lineRule="auto"/>
            </w:pPr>
            <w:r>
              <w:rPr>
                <w:rFonts w:hint="eastAsia"/>
              </w:rPr>
              <w:t>是否长期服务</w:t>
            </w:r>
          </w:p>
        </w:tc>
        <w:tc>
          <w:tcPr>
            <w:tcW w:w="6152" w:type="dxa"/>
            <w:vAlign w:val="center"/>
          </w:tcPr>
          <w:p w14:paraId="3F5D84F3">
            <w:pPr>
              <w:tabs>
                <w:tab w:val="clear" w:pos="426"/>
              </w:tabs>
              <w:adjustRightInd/>
              <w:snapToGrid/>
              <w:spacing w:line="240" w:lineRule="auto"/>
            </w:pPr>
            <w:r>
              <w:rPr>
                <w:rFonts w:hint="eastAsia"/>
              </w:rPr>
              <w:t>否</w:t>
            </w:r>
          </w:p>
        </w:tc>
      </w:tr>
    </w:tbl>
    <w:p w14:paraId="6BCA8D56">
      <w:pPr>
        <w:widowControl w:val="0"/>
        <w:shd w:val="clear" w:color="auto" w:fill="auto"/>
        <w:tabs>
          <w:tab w:val="clear" w:pos="426"/>
        </w:tabs>
        <w:adjustRightInd/>
        <w:snapToGrid/>
        <w:spacing w:line="240" w:lineRule="auto"/>
        <w:ind w:left="3040" w:hanging="3040" w:hangingChars="950"/>
        <w:rPr>
          <w:rFonts w:cs="Times New Roman"/>
          <w:kern w:val="2"/>
          <w:sz w:val="32"/>
          <w:szCs w:val="20"/>
        </w:rPr>
      </w:pPr>
    </w:p>
    <w:p w14:paraId="11000280">
      <w:pPr>
        <w:pStyle w:val="62"/>
        <w:widowControl w:val="0"/>
        <w:shd w:val="clear" w:color="auto" w:fill="auto"/>
        <w:tabs>
          <w:tab w:val="clear" w:pos="426"/>
        </w:tabs>
        <w:adjustRightInd/>
        <w:snapToGrid/>
        <w:outlineLvl w:val="0"/>
        <w:rPr>
          <w:rFonts w:ascii="宋体"/>
          <w:bCs w:val="0"/>
          <w:sz w:val="36"/>
          <w:szCs w:val="36"/>
        </w:rPr>
      </w:pPr>
      <w:r>
        <w:br w:type="page"/>
      </w:r>
      <w:bookmarkStart w:id="2" w:name="_Toc152759216"/>
      <w:r>
        <w:rPr>
          <w:rFonts w:hint="eastAsia" w:ascii="宋体"/>
          <w:bCs w:val="0"/>
          <w:sz w:val="36"/>
          <w:szCs w:val="36"/>
        </w:rPr>
        <w:t>资格、符合性评审条款</w:t>
      </w:r>
      <w:bookmarkEnd w:id="2"/>
    </w:p>
    <w:p w14:paraId="6CF4058E">
      <w:pPr>
        <w:spacing w:before="120" w:beforeLines="50" w:after="120" w:afterLines="50"/>
        <w:jc w:val="center"/>
        <w:rPr>
          <w:rFonts w:ascii="黑体" w:eastAsia="黑体"/>
          <w:sz w:val="28"/>
          <w:szCs w:val="28"/>
        </w:rPr>
      </w:pPr>
      <w:r>
        <w:rPr>
          <w:rFonts w:hint="eastAsia"/>
          <w:b/>
        </w:rPr>
        <w:t>（凡有下列情形之一的，投标文件无效，投标作无效标处理</w:t>
      </w:r>
      <w:r>
        <w:rPr>
          <w:rFonts w:hint="eastAsia" w:ascii="黑体" w:eastAsia="黑体"/>
          <w:szCs w:val="21"/>
        </w:rPr>
        <w:t>）</w:t>
      </w:r>
    </w:p>
    <w:tbl>
      <w:tblPr>
        <w:tblStyle w:val="85"/>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7883"/>
      </w:tblGrid>
      <w:tr w14:paraId="031F8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645" w:type="dxa"/>
            <w:vAlign w:val="center"/>
          </w:tcPr>
          <w:p w14:paraId="7BAB680B">
            <w:pPr>
              <w:tabs>
                <w:tab w:val="clear" w:pos="426"/>
              </w:tabs>
              <w:adjustRightInd/>
              <w:snapToGrid/>
              <w:spacing w:line="240" w:lineRule="auto"/>
              <w:jc w:val="center"/>
              <w:rPr>
                <w:b/>
              </w:rPr>
            </w:pPr>
            <w:r>
              <w:rPr>
                <w:rFonts w:hint="eastAsia"/>
                <w:b/>
              </w:rPr>
              <w:t>序号</w:t>
            </w:r>
          </w:p>
        </w:tc>
        <w:tc>
          <w:tcPr>
            <w:tcW w:w="7883" w:type="dxa"/>
            <w:vAlign w:val="center"/>
          </w:tcPr>
          <w:p w14:paraId="203C393C">
            <w:pPr>
              <w:tabs>
                <w:tab w:val="clear" w:pos="426"/>
              </w:tabs>
              <w:adjustRightInd/>
              <w:snapToGrid/>
              <w:spacing w:line="240" w:lineRule="auto"/>
              <w:jc w:val="center"/>
              <w:rPr>
                <w:b/>
              </w:rPr>
            </w:pPr>
            <w:r>
              <w:rPr>
                <w:rFonts w:hint="eastAsia"/>
                <w:b/>
              </w:rPr>
              <w:t>评审内容</w:t>
            </w:r>
          </w:p>
        </w:tc>
      </w:tr>
      <w:tr w14:paraId="26B75B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528" w:type="dxa"/>
            <w:gridSpan w:val="2"/>
            <w:vAlign w:val="center"/>
          </w:tcPr>
          <w:p w14:paraId="4F141116">
            <w:pPr>
              <w:tabs>
                <w:tab w:val="clear" w:pos="426"/>
              </w:tabs>
              <w:adjustRightInd/>
              <w:snapToGrid/>
              <w:spacing w:line="240" w:lineRule="auto"/>
              <w:jc w:val="center"/>
              <w:rPr>
                <w:b/>
              </w:rPr>
            </w:pPr>
            <w:r>
              <w:rPr>
                <w:rFonts w:hint="eastAsia"/>
              </w:rPr>
              <w:t>资格性检查表</w:t>
            </w:r>
          </w:p>
        </w:tc>
      </w:tr>
      <w:tr w14:paraId="70D25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trPr>
        <w:tc>
          <w:tcPr>
            <w:tcW w:w="645" w:type="dxa"/>
            <w:vAlign w:val="center"/>
          </w:tcPr>
          <w:p w14:paraId="1AA8462D">
            <w:pPr>
              <w:numPr>
                <w:ilvl w:val="0"/>
                <w:numId w:val="32"/>
              </w:numPr>
              <w:tabs>
                <w:tab w:val="clear" w:pos="426"/>
              </w:tabs>
              <w:adjustRightInd/>
              <w:snapToGrid/>
              <w:spacing w:line="240" w:lineRule="auto"/>
              <w:ind w:left="0" w:firstLine="0"/>
              <w:jc w:val="center"/>
            </w:pPr>
          </w:p>
        </w:tc>
        <w:tc>
          <w:tcPr>
            <w:tcW w:w="7883" w:type="dxa"/>
            <w:vAlign w:val="center"/>
          </w:tcPr>
          <w:p w14:paraId="22F66114">
            <w:pPr>
              <w:tabs>
                <w:tab w:val="clear" w:pos="426"/>
              </w:tabs>
              <w:adjustRightInd/>
              <w:snapToGrid/>
              <w:spacing w:line="240" w:lineRule="auto"/>
            </w:pPr>
            <w:r>
              <w:rPr>
                <w:rFonts w:hint="eastAsia"/>
              </w:rPr>
              <w:t>投标供应商不具备招标资质要求，或未提交相应资质证明材料；</w:t>
            </w:r>
            <w:r>
              <w:t>(</w:t>
            </w:r>
            <w:r>
              <w:rPr>
                <w:rFonts w:hint="eastAsia"/>
              </w:rPr>
              <w:t>详见招标公告“申请人的资格要求”，其中未列示的资格要求不得导致废标。</w:t>
            </w:r>
            <w:r>
              <w:t>)</w:t>
            </w:r>
          </w:p>
        </w:tc>
      </w:tr>
      <w:tr w14:paraId="5B6A5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8528" w:type="dxa"/>
            <w:gridSpan w:val="2"/>
            <w:vAlign w:val="center"/>
          </w:tcPr>
          <w:p w14:paraId="17230207">
            <w:pPr>
              <w:tabs>
                <w:tab w:val="clear" w:pos="426"/>
              </w:tabs>
              <w:adjustRightInd/>
              <w:snapToGrid/>
              <w:spacing w:line="240" w:lineRule="auto"/>
              <w:jc w:val="center"/>
            </w:pPr>
            <w:r>
              <w:rPr>
                <w:rFonts w:hint="eastAsia"/>
              </w:rPr>
              <w:t>符合性检查表</w:t>
            </w:r>
          </w:p>
        </w:tc>
      </w:tr>
      <w:tr w14:paraId="068A8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14:paraId="371882F6">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4E804AD1">
            <w:pPr>
              <w:tabs>
                <w:tab w:val="clear" w:pos="426"/>
              </w:tabs>
              <w:adjustRightInd/>
              <w:snapToGrid/>
              <w:spacing w:line="240" w:lineRule="auto"/>
            </w:pPr>
            <w:r>
              <w:rPr>
                <w:rFonts w:hint="eastAsia"/>
              </w:rPr>
              <w:t>将一个包或一个包的内容拆开投标；</w:t>
            </w:r>
          </w:p>
        </w:tc>
      </w:tr>
      <w:tr w14:paraId="63EE46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14:paraId="666B6113">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149D6BF3">
            <w:pPr>
              <w:tabs>
                <w:tab w:val="clear" w:pos="426"/>
              </w:tabs>
              <w:adjustRightInd/>
              <w:snapToGrid/>
              <w:spacing w:line="240" w:lineRule="auto"/>
            </w:pPr>
            <w:r>
              <w:rPr>
                <w:rFonts w:hint="eastAsia"/>
              </w:rPr>
              <w:t>投标文件及开标一览表未按招标文件规定密封、签字、盖章；</w:t>
            </w:r>
          </w:p>
        </w:tc>
      </w:tr>
      <w:tr w14:paraId="03757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14:paraId="32FB3DE7">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4930A5E9">
            <w:pPr>
              <w:tabs>
                <w:tab w:val="clear" w:pos="426"/>
              </w:tabs>
              <w:adjustRightInd/>
              <w:snapToGrid/>
              <w:spacing w:line="240" w:lineRule="auto"/>
            </w:pPr>
            <w:r>
              <w:rPr>
                <w:rFonts w:hint="eastAsia"/>
                <w:szCs w:val="21"/>
              </w:rPr>
              <w:t>对同一项目投标时，提供两套以上的投标方案（招标文件另有规定的除外）；</w:t>
            </w:r>
          </w:p>
        </w:tc>
      </w:tr>
      <w:tr w14:paraId="180BC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4" w:hRule="atLeast"/>
        </w:trPr>
        <w:tc>
          <w:tcPr>
            <w:tcW w:w="645" w:type="dxa"/>
            <w:vAlign w:val="center"/>
          </w:tcPr>
          <w:p w14:paraId="4385958E">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437EE9C1">
            <w:pPr>
              <w:tabs>
                <w:tab w:val="clear" w:pos="426"/>
              </w:tabs>
              <w:adjustRightInd/>
              <w:snapToGrid/>
              <w:spacing w:line="240" w:lineRule="auto"/>
            </w:pPr>
            <w:r>
              <w:rPr>
                <w:rFonts w:hint="eastAsia"/>
              </w:rPr>
              <w:t>未按招标文件所提供的样式填写《投标函》；未按招标文件所提供的《政府采购投标及履约承诺函》进行承诺；</w:t>
            </w:r>
          </w:p>
        </w:tc>
      </w:tr>
      <w:tr w14:paraId="1B109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trPr>
        <w:tc>
          <w:tcPr>
            <w:tcW w:w="645" w:type="dxa"/>
            <w:vAlign w:val="center"/>
          </w:tcPr>
          <w:p w14:paraId="6578D871">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4A068703">
            <w:pPr>
              <w:tabs>
                <w:tab w:val="clear" w:pos="426"/>
              </w:tabs>
              <w:adjustRightInd/>
              <w:snapToGrid/>
              <w:spacing w:line="240" w:lineRule="auto"/>
            </w:pPr>
            <w:r>
              <w:rPr>
                <w:rFonts w:hint="eastAsia"/>
              </w:rPr>
              <w:t>未按照招标文件规定要求签署、盖章或投标文件没有法定代表人签字，或签字人没有法定代表人有效授权书的；</w:t>
            </w:r>
          </w:p>
        </w:tc>
      </w:tr>
      <w:tr w14:paraId="390BE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14:paraId="20DF11FE">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679EA60E">
            <w:pPr>
              <w:tabs>
                <w:tab w:val="clear" w:pos="426"/>
              </w:tabs>
              <w:adjustRightInd/>
              <w:snapToGrid/>
              <w:spacing w:line="240" w:lineRule="auto"/>
            </w:pPr>
            <w:r>
              <w:rPr>
                <w:rFonts w:hint="eastAsia"/>
              </w:rPr>
              <w:t>投标总价或分项报价高于预算金额（最高投标限价）；</w:t>
            </w:r>
          </w:p>
        </w:tc>
      </w:tr>
      <w:tr w14:paraId="00D03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14:paraId="3F6F66A5">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19658801">
            <w:pPr>
              <w:tabs>
                <w:tab w:val="clear" w:pos="426"/>
              </w:tabs>
              <w:adjustRightInd/>
              <w:snapToGrid/>
              <w:spacing w:line="240" w:lineRule="auto"/>
            </w:pPr>
            <w:r>
              <w:rPr>
                <w:rFonts w:hint="eastAsia"/>
                <w:szCs w:val="21"/>
              </w:rPr>
              <w:t>同一项目出现两个及以上报价，且按规定无法确定哪个是有效报价；</w:t>
            </w:r>
          </w:p>
        </w:tc>
      </w:tr>
      <w:tr w14:paraId="433F8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14:paraId="7A90319E">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7CC5031D">
            <w:pPr>
              <w:tabs>
                <w:tab w:val="clear" w:pos="426"/>
              </w:tabs>
              <w:adjustRightInd/>
              <w:snapToGrid/>
              <w:spacing w:line="240" w:lineRule="auto"/>
            </w:pPr>
            <w:r>
              <w:rPr>
                <w:rFonts w:hint="eastAsia"/>
              </w:rPr>
              <w:t>评标委员会认为投标供应商的报价明显低于其他通过符合性审查投标供应商的报价，有可能影响产品质量或者不能诚信履约的，且不能在合理的时间内提供书面说明，或无法提交相关证明材料，投标供应商不能证明其报价合理性的；</w:t>
            </w:r>
          </w:p>
        </w:tc>
      </w:tr>
      <w:tr w14:paraId="23E283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14:paraId="6F146271">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7C45DD40">
            <w:pPr>
              <w:tabs>
                <w:tab w:val="clear" w:pos="426"/>
              </w:tabs>
              <w:adjustRightInd/>
              <w:snapToGrid/>
              <w:spacing w:line="240" w:lineRule="auto"/>
            </w:pPr>
            <w:r>
              <w:rPr>
                <w:rFonts w:hint="eastAsia"/>
              </w:rPr>
              <w:t>所投产品、工程、服务在商务、技术等方面没有实质性满足招标文件要求的（是否实质性满足招标文件要求，由评标委员会根据《实质性响应条款偏离表》做出评判；</w:t>
            </w:r>
          </w:p>
        </w:tc>
      </w:tr>
      <w:tr w14:paraId="45EC4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14:paraId="1B3CFD4D">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57730ED3">
            <w:pPr>
              <w:tabs>
                <w:tab w:val="clear" w:pos="426"/>
              </w:tabs>
              <w:adjustRightInd/>
              <w:snapToGrid/>
              <w:spacing w:line="240" w:lineRule="auto"/>
            </w:pPr>
            <w:r>
              <w:rPr>
                <w:rFonts w:hint="eastAsia"/>
              </w:rPr>
              <w:t>投标报价有严重缺漏项目或对招标文件规定的服务清单项目及数量进行修改；</w:t>
            </w:r>
          </w:p>
        </w:tc>
      </w:tr>
      <w:tr w14:paraId="4E8CE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14:paraId="01807741">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1824EE29">
            <w:pPr>
              <w:tabs>
                <w:tab w:val="clear" w:pos="426"/>
              </w:tabs>
              <w:adjustRightInd/>
              <w:snapToGrid/>
              <w:spacing w:line="240" w:lineRule="auto"/>
            </w:pPr>
            <w:r>
              <w:rPr>
                <w:rFonts w:hint="eastAsia"/>
              </w:rPr>
              <w:t>投标文件存在招标文件中规定的其它无效投标条款的；</w:t>
            </w:r>
          </w:p>
        </w:tc>
      </w:tr>
      <w:tr w14:paraId="285F0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trPr>
        <w:tc>
          <w:tcPr>
            <w:tcW w:w="645" w:type="dxa"/>
            <w:vAlign w:val="center"/>
          </w:tcPr>
          <w:p w14:paraId="461211F1">
            <w:pPr>
              <w:widowControl w:val="0"/>
              <w:numPr>
                <w:ilvl w:val="0"/>
                <w:numId w:val="33"/>
              </w:numPr>
              <w:shd w:val="clear" w:color="auto" w:fill="auto"/>
              <w:tabs>
                <w:tab w:val="clear" w:pos="426"/>
              </w:tabs>
              <w:adjustRightInd/>
              <w:snapToGrid/>
              <w:spacing w:line="240" w:lineRule="auto"/>
              <w:ind w:left="0" w:firstLine="0"/>
              <w:jc w:val="center"/>
            </w:pPr>
          </w:p>
        </w:tc>
        <w:tc>
          <w:tcPr>
            <w:tcW w:w="7883" w:type="dxa"/>
            <w:vAlign w:val="center"/>
          </w:tcPr>
          <w:p w14:paraId="19F3A84F">
            <w:pPr>
              <w:tabs>
                <w:tab w:val="clear" w:pos="426"/>
              </w:tabs>
              <w:adjustRightInd/>
              <w:snapToGrid/>
              <w:spacing w:line="240" w:lineRule="auto"/>
            </w:pPr>
            <w:r>
              <w:rPr>
                <w:rFonts w:hint="eastAsia"/>
              </w:rPr>
              <w:t>法律、法规规定的属于投标无效的其他情形。</w:t>
            </w:r>
          </w:p>
        </w:tc>
      </w:tr>
    </w:tbl>
    <w:p w14:paraId="2F630A17">
      <w:pPr>
        <w:pStyle w:val="62"/>
        <w:widowControl w:val="0"/>
        <w:shd w:val="clear" w:color="auto" w:fill="auto"/>
        <w:tabs>
          <w:tab w:val="clear" w:pos="426"/>
        </w:tabs>
        <w:adjustRightInd/>
        <w:snapToGrid/>
        <w:jc w:val="both"/>
        <w:outlineLvl w:val="9"/>
        <w:rPr>
          <w:sz w:val="21"/>
          <w:szCs w:val="21"/>
        </w:rPr>
      </w:pPr>
    </w:p>
    <w:p w14:paraId="7075630A">
      <w:pPr>
        <w:pStyle w:val="62"/>
        <w:widowControl w:val="0"/>
        <w:shd w:val="clear" w:color="auto" w:fill="auto"/>
        <w:tabs>
          <w:tab w:val="clear" w:pos="426"/>
        </w:tabs>
        <w:adjustRightInd/>
        <w:snapToGrid/>
        <w:outlineLvl w:val="0"/>
        <w:rPr>
          <w:rFonts w:ascii="宋体"/>
          <w:bCs w:val="0"/>
          <w:sz w:val="36"/>
          <w:szCs w:val="36"/>
        </w:rPr>
      </w:pPr>
      <w:r>
        <w:rPr>
          <w:sz w:val="24"/>
        </w:rPr>
        <w:br w:type="page"/>
      </w:r>
      <w:bookmarkStart w:id="3" w:name="_Toc152759217"/>
      <w:bookmarkStart w:id="4" w:name="_Toc435514846"/>
      <w:r>
        <w:rPr>
          <w:rFonts w:hint="eastAsia" w:ascii="宋体"/>
          <w:bCs w:val="0"/>
          <w:sz w:val="36"/>
          <w:szCs w:val="36"/>
        </w:rPr>
        <w:t>评标信息</w:t>
      </w:r>
      <w:bookmarkEnd w:id="3"/>
    </w:p>
    <w:bookmarkEnd w:id="4"/>
    <w:p w14:paraId="61F3D539">
      <w:pPr>
        <w:widowControl w:val="0"/>
        <w:shd w:val="clear" w:color="auto" w:fill="auto"/>
        <w:tabs>
          <w:tab w:val="clear" w:pos="426"/>
        </w:tabs>
        <w:adjustRightInd/>
        <w:snapToGrid/>
        <w:spacing w:line="300" w:lineRule="auto"/>
        <w:ind w:firstLine="422" w:firstLineChars="200"/>
        <w:rPr>
          <w:b/>
          <w:szCs w:val="21"/>
        </w:rPr>
      </w:pPr>
      <w:r>
        <w:rPr>
          <w:rFonts w:hint="eastAsia"/>
          <w:b/>
          <w:szCs w:val="21"/>
        </w:rPr>
        <w:t>本招标文件所述评标方法和定标方法与招标文件《通用条款》所述不一致之处，以以下方法为准。</w:t>
      </w:r>
    </w:p>
    <w:p w14:paraId="6E525439">
      <w:pPr>
        <w:widowControl w:val="0"/>
        <w:shd w:val="clear" w:color="auto" w:fill="auto"/>
        <w:tabs>
          <w:tab w:val="clear" w:pos="426"/>
        </w:tabs>
        <w:adjustRightInd/>
        <w:snapToGrid/>
        <w:spacing w:line="300" w:lineRule="auto"/>
        <w:ind w:firstLine="422" w:firstLineChars="200"/>
        <w:rPr>
          <w:b/>
          <w:szCs w:val="21"/>
        </w:rPr>
      </w:pPr>
      <w:r>
        <w:rPr>
          <w:rFonts w:hint="eastAsia"/>
          <w:b/>
          <w:szCs w:val="21"/>
        </w:rPr>
        <w:t>一、</w:t>
      </w:r>
      <w:r>
        <w:rPr>
          <w:b/>
          <w:szCs w:val="21"/>
        </w:rPr>
        <w:t>本项目</w:t>
      </w:r>
      <w:r>
        <w:rPr>
          <w:rFonts w:hint="eastAsia"/>
          <w:b/>
          <w:szCs w:val="21"/>
        </w:rPr>
        <w:t>评标方法为</w:t>
      </w:r>
      <w:r>
        <w:rPr>
          <w:b/>
          <w:szCs w:val="21"/>
        </w:rPr>
        <w:t>：</w:t>
      </w:r>
      <w:r>
        <w:rPr>
          <w:rFonts w:hint="eastAsia"/>
          <w:b/>
          <w:szCs w:val="21"/>
        </w:rPr>
        <w:t>综合评分法</w:t>
      </w:r>
    </w:p>
    <w:p w14:paraId="0632D0BD">
      <w:pPr>
        <w:widowControl w:val="0"/>
        <w:shd w:val="clear" w:color="auto" w:fill="auto"/>
        <w:tabs>
          <w:tab w:val="clear" w:pos="426"/>
        </w:tabs>
        <w:adjustRightInd/>
        <w:snapToGrid/>
        <w:spacing w:line="300" w:lineRule="auto"/>
        <w:ind w:firstLine="422" w:firstLineChars="200"/>
        <w:rPr>
          <w:b/>
          <w:bCs/>
          <w:szCs w:val="21"/>
        </w:rPr>
      </w:pPr>
      <w:r>
        <w:rPr>
          <w:b/>
          <w:bCs/>
          <w:szCs w:val="21"/>
        </w:rPr>
        <w:t>中标人数量为：1家</w:t>
      </w:r>
      <w:r>
        <w:rPr>
          <w:rFonts w:hint="eastAsia"/>
          <w:b/>
          <w:bCs/>
          <w:szCs w:val="21"/>
        </w:rPr>
        <w:t>；中标候选人数量为：</w:t>
      </w:r>
      <w:r>
        <w:rPr>
          <w:b/>
          <w:bCs/>
          <w:szCs w:val="21"/>
        </w:rPr>
        <w:t>3</w:t>
      </w:r>
      <w:r>
        <w:rPr>
          <w:rFonts w:hint="eastAsia"/>
          <w:b/>
          <w:bCs/>
          <w:szCs w:val="21"/>
        </w:rPr>
        <w:t>家。</w:t>
      </w:r>
    </w:p>
    <w:p w14:paraId="79C05290">
      <w:pPr>
        <w:widowControl w:val="0"/>
        <w:shd w:val="clear" w:color="auto" w:fill="auto"/>
        <w:tabs>
          <w:tab w:val="clear" w:pos="426"/>
        </w:tabs>
        <w:adjustRightInd/>
        <w:snapToGrid/>
        <w:spacing w:line="300" w:lineRule="auto"/>
        <w:ind w:firstLine="420" w:firstLineChars="200"/>
        <w:rPr>
          <w:szCs w:val="21"/>
        </w:rPr>
      </w:pPr>
      <w:r>
        <w:rPr>
          <w:rFonts w:hint="eastAsia"/>
          <w:szCs w:val="21"/>
        </w:rPr>
        <w:t>综合评分法，是指投标文件满足招标文件全部实质性要求，且按照评审因素的量化指标评审得分最高的投标人为候选中标人的评标方法。</w:t>
      </w:r>
    </w:p>
    <w:p w14:paraId="211EAA39">
      <w:pPr>
        <w:widowControl w:val="0"/>
        <w:shd w:val="clear" w:color="auto" w:fill="auto"/>
        <w:tabs>
          <w:tab w:val="clear" w:pos="426"/>
        </w:tabs>
        <w:adjustRightInd/>
        <w:snapToGrid/>
        <w:spacing w:line="300" w:lineRule="auto"/>
        <w:ind w:firstLine="420" w:firstLineChars="200"/>
        <w:rPr>
          <w:szCs w:val="21"/>
        </w:rPr>
      </w:pPr>
      <w:r>
        <w:rPr>
          <w:rFonts w:hint="eastAsia"/>
          <w:szCs w:val="21"/>
        </w:rPr>
        <w:t>评标时，评标委员会各成员应当独立对每个通过资格性审查和符合性审查且报价不超过预算控制金额的投标人的投标文件进行评价，并汇总每个投标人每项评分因素的评分、评标委员会各成员对每个投标人评分的和，取算术平均值确定每个投标人的评审总得分，评审总得分最高的前三名投标人将被推荐为中标候选人，并作出评审结论</w:t>
      </w:r>
      <w:r>
        <w:rPr>
          <w:rFonts w:hint="eastAsia"/>
          <w:bCs/>
          <w:szCs w:val="21"/>
        </w:rPr>
        <w:t>。经采购人同意后，确定排名第一的</w:t>
      </w:r>
      <w:r>
        <w:rPr>
          <w:rFonts w:hint="eastAsia"/>
          <w:szCs w:val="21"/>
        </w:rPr>
        <w:t>中标候选人</w:t>
      </w:r>
      <w:r>
        <w:rPr>
          <w:rFonts w:hint="eastAsia"/>
          <w:bCs/>
          <w:szCs w:val="21"/>
        </w:rPr>
        <w:t>为中标人。</w:t>
      </w:r>
    </w:p>
    <w:p w14:paraId="6AD17083">
      <w:pPr>
        <w:tabs>
          <w:tab w:val="clear" w:pos="426"/>
        </w:tabs>
        <w:spacing w:line="300" w:lineRule="auto"/>
        <w:ind w:firstLine="420" w:firstLineChars="200"/>
        <w:rPr>
          <w:rFonts w:cs="Times New Roman"/>
          <w:bCs/>
          <w:kern w:val="2"/>
          <w:szCs w:val="21"/>
        </w:rPr>
      </w:pPr>
      <w:r>
        <w:rPr>
          <w:rFonts w:hint="eastAsia"/>
          <w:szCs w:val="21"/>
        </w:rPr>
        <w:t>候选中标人按评审后得分由高到低顺序排列；得分相同的，按投标报价由低到高顺序排列；得分且投标报价相同的，按技术指标或服务方案优劣顺序排列。得分且投标报价相同的且技术指标或服务方案优劣相同的，</w:t>
      </w:r>
      <w:r>
        <w:rPr>
          <w:rFonts w:cs="Times New Roman"/>
          <w:bCs/>
          <w:kern w:val="2"/>
          <w:szCs w:val="21"/>
        </w:rPr>
        <w:t>采取随机抽取方式确定</w:t>
      </w:r>
      <w:r>
        <w:rPr>
          <w:rFonts w:hint="eastAsia" w:cs="Times New Roman"/>
          <w:bCs/>
          <w:kern w:val="2"/>
          <w:szCs w:val="21"/>
        </w:rPr>
        <w:t>候选中标人</w:t>
      </w:r>
      <w:r>
        <w:rPr>
          <w:rFonts w:cs="Times New Roman"/>
          <w:bCs/>
          <w:kern w:val="2"/>
          <w:szCs w:val="21"/>
        </w:rPr>
        <w:t>推荐资格</w:t>
      </w:r>
      <w:r>
        <w:rPr>
          <w:rFonts w:hint="eastAsia" w:cs="Times New Roman"/>
          <w:bCs/>
          <w:kern w:val="2"/>
          <w:szCs w:val="21"/>
        </w:rPr>
        <w:t>。</w:t>
      </w:r>
    </w:p>
    <w:p w14:paraId="66E3ED79">
      <w:pPr>
        <w:tabs>
          <w:tab w:val="clear" w:pos="426"/>
        </w:tabs>
        <w:spacing w:line="300" w:lineRule="auto"/>
        <w:ind w:firstLine="420" w:firstLineChars="200"/>
      </w:pPr>
      <w:r>
        <w:rPr>
          <w:rFonts w:hint="eastAsia"/>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若评审委员会成员对是否须由投标人作出报价合理性说明，以及书面说明是否采纳等判断不一致的，按照“少数服从多数”的原则确定评审委员会的意见）。</w:t>
      </w:r>
    </w:p>
    <w:p w14:paraId="6081AC85">
      <w:pPr>
        <w:widowControl w:val="0"/>
        <w:shd w:val="clear" w:color="auto" w:fill="auto"/>
        <w:tabs>
          <w:tab w:val="clear" w:pos="426"/>
        </w:tabs>
        <w:adjustRightInd/>
        <w:snapToGrid/>
        <w:spacing w:line="300" w:lineRule="auto"/>
        <w:ind w:firstLine="422" w:firstLineChars="200"/>
        <w:rPr>
          <w:b/>
          <w:szCs w:val="21"/>
        </w:rPr>
      </w:pPr>
      <w:r>
        <w:rPr>
          <w:rFonts w:hint="eastAsia"/>
          <w:b/>
          <w:szCs w:val="21"/>
        </w:rPr>
        <w:t>二、</w:t>
      </w:r>
      <w:r>
        <w:rPr>
          <w:b/>
          <w:szCs w:val="21"/>
        </w:rPr>
        <w:t>价格分计算方法：</w:t>
      </w:r>
    </w:p>
    <w:p w14:paraId="3F45ECA1">
      <w:pPr>
        <w:tabs>
          <w:tab w:val="clear" w:pos="426"/>
        </w:tabs>
        <w:spacing w:line="300" w:lineRule="auto"/>
        <w:ind w:firstLine="420" w:firstLineChars="200"/>
        <w:rPr>
          <w:szCs w:val="21"/>
        </w:rPr>
      </w:pPr>
      <w:r>
        <w:rPr>
          <w:rFonts w:hint="eastAsia"/>
          <w:szCs w:val="21"/>
        </w:rPr>
        <w:t xml:space="preserve">综合评分法中的价格分统一采用低价优先法计算,即满足招标文件要求且投标总价格最低的投标总报价为评标基准价,其价格分为满分。其他投标人的价格分统一按照下列公式计算：   </w:t>
      </w:r>
    </w:p>
    <w:p w14:paraId="629C4FA4">
      <w:pPr>
        <w:tabs>
          <w:tab w:val="clear" w:pos="426"/>
        </w:tabs>
        <w:spacing w:line="300" w:lineRule="auto"/>
        <w:ind w:firstLine="420" w:firstLineChars="200"/>
        <w:rPr>
          <w:szCs w:val="21"/>
        </w:rPr>
      </w:pPr>
      <w:r>
        <w:rPr>
          <w:rFonts w:hint="eastAsia"/>
          <w:szCs w:val="21"/>
        </w:rPr>
        <w:t>投标报价得分=(评标基准价/投标总报价)×</w:t>
      </w:r>
      <w:r>
        <w:rPr>
          <w:szCs w:val="21"/>
        </w:rPr>
        <w:t>1</w:t>
      </w:r>
      <w:r>
        <w:rPr>
          <w:rFonts w:hint="eastAsia"/>
          <w:szCs w:val="21"/>
        </w:rPr>
        <w:t>0</w:t>
      </w:r>
    </w:p>
    <w:p w14:paraId="7507CF59">
      <w:pPr>
        <w:tabs>
          <w:tab w:val="clear" w:pos="426"/>
        </w:tabs>
        <w:spacing w:line="300" w:lineRule="auto"/>
        <w:ind w:firstLine="422" w:firstLineChars="200"/>
        <w:rPr>
          <w:b/>
          <w:bCs/>
          <w:szCs w:val="21"/>
        </w:rPr>
      </w:pPr>
      <w:r>
        <w:rPr>
          <w:rFonts w:hint="eastAsia"/>
          <w:b/>
          <w:bCs/>
          <w:szCs w:val="21"/>
        </w:rPr>
        <w:t>三、评标优惠政策</w:t>
      </w:r>
    </w:p>
    <w:p w14:paraId="6B2C3B5C">
      <w:pPr>
        <w:tabs>
          <w:tab w:val="clear" w:pos="426"/>
        </w:tabs>
        <w:spacing w:line="300" w:lineRule="auto"/>
        <w:ind w:firstLine="422" w:firstLineChars="200"/>
        <w:rPr>
          <w:rFonts w:cs="Times New Roman"/>
          <w:b/>
          <w:bCs/>
          <w:kern w:val="2"/>
          <w:szCs w:val="21"/>
        </w:rPr>
      </w:pPr>
      <w:r>
        <w:rPr>
          <w:rFonts w:hint="eastAsia" w:cs="Times New Roman"/>
          <w:b/>
          <w:bCs/>
          <w:kern w:val="2"/>
          <w:szCs w:val="21"/>
        </w:rPr>
        <w:t>本项目采购标的(服务)对应的中小企业划分标准所属行业为</w:t>
      </w:r>
      <w:r>
        <w:rPr>
          <w:rFonts w:hint="eastAsia" w:cs="Times New Roman"/>
          <w:b/>
          <w:bCs/>
          <w:kern w:val="2"/>
          <w:szCs w:val="21"/>
          <w:u w:val="single"/>
        </w:rPr>
        <w:t>物业管理服务</w:t>
      </w:r>
      <w:r>
        <w:rPr>
          <w:rFonts w:hint="eastAsia" w:cs="Times New Roman"/>
          <w:b/>
          <w:bCs/>
          <w:kern w:val="2"/>
          <w:szCs w:val="21"/>
        </w:rPr>
        <w:t>。</w:t>
      </w:r>
    </w:p>
    <w:p w14:paraId="007341F5">
      <w:pPr>
        <w:shd w:val="clear" w:color="auto" w:fill="auto"/>
        <w:tabs>
          <w:tab w:val="clear" w:pos="426"/>
        </w:tabs>
        <w:spacing w:line="300" w:lineRule="auto"/>
        <w:ind w:firstLine="422" w:firstLineChars="200"/>
        <w:rPr>
          <w:b/>
          <w:bCs/>
          <w:szCs w:val="21"/>
        </w:rPr>
      </w:pPr>
      <w:r>
        <w:rPr>
          <w:rFonts w:hint="eastAsia"/>
          <w:b/>
          <w:bCs/>
          <w:szCs w:val="21"/>
        </w:rPr>
        <w:t>专门面向中小企业采购的项目不再进行价格折扣。</w:t>
      </w:r>
    </w:p>
    <w:p w14:paraId="258D92EC">
      <w:pPr>
        <w:tabs>
          <w:tab w:val="clear" w:pos="426"/>
        </w:tabs>
        <w:spacing w:line="300" w:lineRule="auto"/>
        <w:ind w:firstLine="420" w:firstLineChars="200"/>
        <w:rPr>
          <w:szCs w:val="21"/>
        </w:rPr>
      </w:pPr>
      <w:r>
        <w:rPr>
          <w:rFonts w:hint="eastAsia"/>
          <w:szCs w:val="21"/>
        </w:rPr>
        <w:t>四、</w:t>
      </w:r>
      <w:r>
        <w:rPr>
          <w:szCs w:val="21"/>
        </w:rPr>
        <w:t>评标专家应对通过投标文件初审进入评标程序的投标文件先评技术标、再评商务标；</w:t>
      </w:r>
    </w:p>
    <w:p w14:paraId="4C21AC29">
      <w:pPr>
        <w:tabs>
          <w:tab w:val="clear" w:pos="426"/>
        </w:tabs>
        <w:spacing w:line="300" w:lineRule="auto"/>
        <w:ind w:firstLine="420" w:firstLineChars="200"/>
        <w:rPr>
          <w:szCs w:val="21"/>
        </w:rPr>
      </w:pPr>
      <w:r>
        <w:rPr>
          <w:rFonts w:hint="eastAsia"/>
          <w:szCs w:val="21"/>
        </w:rPr>
        <w:t>五、</w:t>
      </w:r>
      <w:r>
        <w:rPr>
          <w:szCs w:val="21"/>
        </w:rPr>
        <w:t>评标专家需按招标文件规定的评审标准对投标</w:t>
      </w:r>
      <w:r>
        <w:rPr>
          <w:rFonts w:hint="eastAsia"/>
          <w:szCs w:val="21"/>
        </w:rPr>
        <w:t>供应商</w:t>
      </w:r>
      <w:r>
        <w:rPr>
          <w:szCs w:val="21"/>
        </w:rPr>
        <w:t>提交的投标文件进行评审，投标文件中与评审标准无关的内容不作为评审内容</w:t>
      </w:r>
      <w:r>
        <w:rPr>
          <w:rFonts w:hint="eastAsia"/>
          <w:szCs w:val="21"/>
        </w:rPr>
        <w:t>。</w:t>
      </w:r>
    </w:p>
    <w:p w14:paraId="65118FDE">
      <w:pPr>
        <w:tabs>
          <w:tab w:val="clear" w:pos="426"/>
        </w:tabs>
        <w:spacing w:line="300" w:lineRule="auto"/>
        <w:ind w:firstLine="420" w:firstLineChars="200"/>
        <w:rPr>
          <w:rFonts w:hAnsi="宋体"/>
          <w:szCs w:val="21"/>
        </w:rPr>
      </w:pPr>
      <w:r>
        <w:rPr>
          <w:rFonts w:hint="eastAsia"/>
          <w:szCs w:val="21"/>
        </w:rPr>
        <w:t>六、评标委员会在评标时，应按照以下量化的评审因素，对各投标文件进行分析和比较</w:t>
      </w:r>
      <w:r>
        <w:rPr>
          <w:rFonts w:hint="eastAsia" w:hAnsi="宋体"/>
          <w:szCs w:val="21"/>
        </w:rPr>
        <w:t>：</w:t>
      </w:r>
    </w:p>
    <w:p w14:paraId="0C771C00">
      <w:pPr>
        <w:shd w:val="clear" w:color="auto" w:fill="auto"/>
        <w:tabs>
          <w:tab w:val="clear" w:pos="426"/>
        </w:tabs>
        <w:adjustRightInd/>
        <w:snapToGrid/>
        <w:spacing w:line="240" w:lineRule="auto"/>
        <w:jc w:val="left"/>
        <w:rPr>
          <w:rFonts w:hAnsi="宋体"/>
          <w:szCs w:val="21"/>
        </w:rPr>
      </w:pPr>
      <w:r>
        <w:rPr>
          <w:rFonts w:hAnsi="宋体"/>
          <w:szCs w:val="21"/>
        </w:rPr>
        <w:br w:type="page"/>
      </w:r>
    </w:p>
    <w:p w14:paraId="5A73341C">
      <w:pPr>
        <w:pStyle w:val="62"/>
        <w:widowControl w:val="0"/>
        <w:shd w:val="clear" w:color="auto" w:fill="auto"/>
        <w:tabs>
          <w:tab w:val="clear" w:pos="426"/>
        </w:tabs>
        <w:adjustRightInd/>
        <w:snapToGrid/>
        <w:outlineLvl w:val="0"/>
        <w:rPr>
          <w:rFonts w:ascii="宋体"/>
          <w:bCs w:val="0"/>
          <w:sz w:val="36"/>
          <w:szCs w:val="36"/>
        </w:rPr>
      </w:pPr>
      <w:bookmarkStart w:id="5" w:name="_Toc152759218"/>
      <w:r>
        <w:rPr>
          <w:rFonts w:hint="eastAsia" w:ascii="宋体"/>
          <w:bCs w:val="0"/>
          <w:sz w:val="36"/>
          <w:szCs w:val="36"/>
        </w:rPr>
        <w:t>评分细则表</w:t>
      </w:r>
      <w:bookmarkEnd w:id="5"/>
    </w:p>
    <w:tbl>
      <w:tblPr>
        <w:tblStyle w:val="85"/>
        <w:tblW w:w="89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108" w:type="dxa"/>
          <w:bottom w:w="0" w:type="dxa"/>
          <w:right w:w="108" w:type="dxa"/>
        </w:tblCellMar>
      </w:tblPr>
      <w:tblGrid>
        <w:gridCol w:w="519"/>
        <w:gridCol w:w="636"/>
        <w:gridCol w:w="1476"/>
        <w:gridCol w:w="639"/>
        <w:gridCol w:w="5668"/>
      </w:tblGrid>
      <w:tr w14:paraId="1DD6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PrEx>
        <w:trPr>
          <w:trHeight w:val="510" w:hRule="atLeast"/>
          <w:jc w:val="center"/>
        </w:trPr>
        <w:tc>
          <w:tcPr>
            <w:tcW w:w="51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F4BE2DA">
            <w:pPr>
              <w:shd w:val="clear" w:color="auto" w:fill="FFFFFF" w:themeFill="background1"/>
              <w:ind w:left="-78" w:leftChars="-37" w:right="-42" w:rightChars="-20"/>
              <w:jc w:val="center"/>
              <w:rPr>
                <w:rFonts w:hAnsi="宋体"/>
                <w:b/>
                <w:szCs w:val="21"/>
              </w:rPr>
            </w:pPr>
            <w:r>
              <w:rPr>
                <w:rFonts w:hint="eastAsia" w:hAnsi="宋体"/>
                <w:b/>
                <w:szCs w:val="21"/>
              </w:rPr>
              <w:t>序号</w:t>
            </w:r>
          </w:p>
        </w:tc>
        <w:tc>
          <w:tcPr>
            <w:tcW w:w="2751" w:type="dxa"/>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2CB19B4">
            <w:pPr>
              <w:shd w:val="clear" w:color="auto" w:fill="FFFFFF" w:themeFill="background1"/>
              <w:jc w:val="center"/>
              <w:rPr>
                <w:rFonts w:hAnsi="宋体"/>
                <w:b/>
                <w:szCs w:val="21"/>
              </w:rPr>
            </w:pPr>
            <w:r>
              <w:rPr>
                <w:rFonts w:hint="eastAsia" w:hAnsi="宋体"/>
                <w:b/>
                <w:szCs w:val="21"/>
              </w:rPr>
              <w:t>评分项</w:t>
            </w:r>
          </w:p>
        </w:tc>
        <w:tc>
          <w:tcPr>
            <w:tcW w:w="56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F2AC6D9">
            <w:pPr>
              <w:shd w:val="clear" w:color="auto" w:fill="FFFFFF" w:themeFill="background1"/>
              <w:jc w:val="center"/>
              <w:rPr>
                <w:rFonts w:hAnsi="宋体"/>
                <w:b/>
                <w:szCs w:val="21"/>
              </w:rPr>
            </w:pPr>
            <w:r>
              <w:rPr>
                <w:rFonts w:hint="eastAsia" w:hAnsi="宋体"/>
                <w:b/>
                <w:szCs w:val="21"/>
              </w:rPr>
              <w:t>分值</w:t>
            </w:r>
          </w:p>
        </w:tc>
      </w:tr>
      <w:tr w14:paraId="3576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0" w:hRule="atLeast"/>
          <w:jc w:val="center"/>
        </w:trPr>
        <w:tc>
          <w:tcPr>
            <w:tcW w:w="51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C09DE73">
            <w:pPr>
              <w:shd w:val="clear" w:color="auto" w:fill="FFFFFF" w:themeFill="background1"/>
              <w:jc w:val="center"/>
              <w:rPr>
                <w:rFonts w:hAnsi="宋体"/>
                <w:b/>
                <w:szCs w:val="21"/>
              </w:rPr>
            </w:pPr>
            <w:r>
              <w:rPr>
                <w:rFonts w:hint="eastAsia" w:hAnsi="宋体"/>
                <w:b/>
                <w:szCs w:val="21"/>
              </w:rPr>
              <w:t>1</w:t>
            </w:r>
          </w:p>
        </w:tc>
        <w:tc>
          <w:tcPr>
            <w:tcW w:w="2751" w:type="dxa"/>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530EDD5D">
            <w:pPr>
              <w:shd w:val="clear" w:color="auto" w:fill="FFFFFF" w:themeFill="background1"/>
              <w:jc w:val="center"/>
              <w:rPr>
                <w:rFonts w:hAnsi="宋体"/>
                <w:b/>
                <w:szCs w:val="21"/>
              </w:rPr>
            </w:pPr>
            <w:r>
              <w:rPr>
                <w:rFonts w:hint="eastAsia" w:hAnsi="宋体"/>
                <w:b/>
                <w:szCs w:val="21"/>
              </w:rPr>
              <w:t>价格部分</w:t>
            </w:r>
          </w:p>
        </w:tc>
        <w:tc>
          <w:tcPr>
            <w:tcW w:w="56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12E09FC">
            <w:pPr>
              <w:shd w:val="clear" w:color="auto" w:fill="FFFFFF" w:themeFill="background1"/>
              <w:jc w:val="center"/>
              <w:rPr>
                <w:rFonts w:hAnsi="宋体"/>
                <w:b/>
                <w:szCs w:val="21"/>
              </w:rPr>
            </w:pPr>
            <w:r>
              <w:rPr>
                <w:rFonts w:hint="eastAsia" w:hAnsi="宋体"/>
                <w:b/>
                <w:szCs w:val="21"/>
              </w:rPr>
              <w:t>10</w:t>
            </w:r>
          </w:p>
        </w:tc>
      </w:tr>
      <w:tr w14:paraId="1D33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0" w:hRule="atLeast"/>
          <w:jc w:val="center"/>
        </w:trPr>
        <w:tc>
          <w:tcPr>
            <w:tcW w:w="51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873967C">
            <w:pPr>
              <w:shd w:val="clear" w:color="auto" w:fill="FFFFFF" w:themeFill="background1"/>
              <w:jc w:val="center"/>
              <w:rPr>
                <w:rFonts w:hAnsi="宋体"/>
                <w:b/>
                <w:szCs w:val="21"/>
              </w:rPr>
            </w:pPr>
            <w:r>
              <w:rPr>
                <w:rFonts w:hint="eastAsia" w:hAnsi="宋体"/>
                <w:b/>
                <w:szCs w:val="21"/>
              </w:rPr>
              <w:t>2</w:t>
            </w:r>
          </w:p>
        </w:tc>
        <w:tc>
          <w:tcPr>
            <w:tcW w:w="2751" w:type="dxa"/>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E3A838C">
            <w:pPr>
              <w:shd w:val="clear" w:color="auto" w:fill="FFFFFF" w:themeFill="background1"/>
              <w:jc w:val="center"/>
              <w:rPr>
                <w:rFonts w:hAnsi="宋体"/>
                <w:b/>
                <w:szCs w:val="21"/>
              </w:rPr>
            </w:pPr>
            <w:r>
              <w:rPr>
                <w:rFonts w:hint="eastAsia" w:hAnsi="宋体"/>
                <w:b/>
                <w:szCs w:val="21"/>
              </w:rPr>
              <w:t>技术部分</w:t>
            </w:r>
          </w:p>
        </w:tc>
        <w:tc>
          <w:tcPr>
            <w:tcW w:w="56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AC68C1C">
            <w:pPr>
              <w:shd w:val="clear" w:color="auto" w:fill="FFFFFF" w:themeFill="background1"/>
              <w:jc w:val="center"/>
              <w:rPr>
                <w:rFonts w:hAnsi="宋体"/>
                <w:b/>
                <w:szCs w:val="21"/>
              </w:rPr>
            </w:pPr>
            <w:r>
              <w:rPr>
                <w:rFonts w:hint="eastAsia" w:hAnsi="宋体"/>
                <w:b/>
                <w:szCs w:val="21"/>
              </w:rPr>
              <w:t>50</w:t>
            </w:r>
          </w:p>
        </w:tc>
      </w:tr>
      <w:tr w14:paraId="1BDB5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0" w:hRule="atLeast"/>
          <w:jc w:val="center"/>
        </w:trPr>
        <w:tc>
          <w:tcPr>
            <w:tcW w:w="519" w:type="dxa"/>
            <w:vMerge w:val="restart"/>
            <w:tcBorders>
              <w:top w:val="single" w:color="auto" w:sz="4" w:space="0"/>
              <w:left w:val="single" w:color="auto" w:sz="4" w:space="0"/>
              <w:right w:val="single" w:color="auto" w:sz="4" w:space="0"/>
            </w:tcBorders>
            <w:shd w:val="clear" w:color="auto" w:fill="FFFFFF" w:themeFill="background1"/>
            <w:vAlign w:val="center"/>
          </w:tcPr>
          <w:p w14:paraId="4FCB1C7F">
            <w:pPr>
              <w:shd w:val="clear" w:color="auto" w:fill="FFFFFF" w:themeFill="background1"/>
              <w:jc w:val="center"/>
              <w:rPr>
                <w:rFonts w:hAnsi="宋体"/>
                <w:szCs w:val="21"/>
              </w:rPr>
            </w:pPr>
          </w:p>
        </w:tc>
        <w:tc>
          <w:tcPr>
            <w:tcW w:w="63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7CF7018">
            <w:pPr>
              <w:shd w:val="clear" w:color="auto" w:fill="FFFFFF" w:themeFill="background1"/>
              <w:ind w:left="-170" w:leftChars="-81" w:right="-115" w:rightChars="-55"/>
              <w:jc w:val="center"/>
              <w:rPr>
                <w:rFonts w:hAnsi="宋体"/>
                <w:b/>
                <w:szCs w:val="21"/>
              </w:rPr>
            </w:pPr>
            <w:r>
              <w:rPr>
                <w:rFonts w:hint="eastAsia" w:hAnsi="宋体"/>
                <w:b/>
                <w:szCs w:val="21"/>
              </w:rPr>
              <w:t>序号</w:t>
            </w:r>
          </w:p>
        </w:tc>
        <w:tc>
          <w:tcPr>
            <w:tcW w:w="14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52D7AEE">
            <w:pPr>
              <w:shd w:val="clear" w:color="auto" w:fill="FFFFFF" w:themeFill="background1"/>
              <w:jc w:val="center"/>
              <w:rPr>
                <w:rFonts w:hAnsi="宋体"/>
                <w:b/>
                <w:bCs/>
                <w:sz w:val="28"/>
                <w:szCs w:val="21"/>
              </w:rPr>
            </w:pPr>
            <w:r>
              <w:rPr>
                <w:rFonts w:hint="eastAsia" w:hAnsi="宋体"/>
                <w:b/>
                <w:szCs w:val="21"/>
              </w:rPr>
              <w:t>评分因素</w:t>
            </w:r>
          </w:p>
        </w:tc>
        <w:tc>
          <w:tcPr>
            <w:tcW w:w="63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7609007">
            <w:pPr>
              <w:shd w:val="clear" w:color="auto" w:fill="FFFFFF" w:themeFill="background1"/>
              <w:jc w:val="center"/>
              <w:rPr>
                <w:rFonts w:hAnsi="宋体"/>
                <w:b/>
                <w:szCs w:val="21"/>
              </w:rPr>
            </w:pPr>
            <w:r>
              <w:rPr>
                <w:rFonts w:hint="eastAsia" w:hAnsi="宋体"/>
                <w:b/>
                <w:szCs w:val="21"/>
              </w:rPr>
              <w:t>分值</w:t>
            </w:r>
          </w:p>
        </w:tc>
        <w:tc>
          <w:tcPr>
            <w:tcW w:w="56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FDFE734">
            <w:pPr>
              <w:shd w:val="clear" w:color="auto" w:fill="FFFFFF" w:themeFill="background1"/>
              <w:jc w:val="center"/>
              <w:rPr>
                <w:rFonts w:hAnsi="宋体"/>
                <w:b/>
                <w:szCs w:val="21"/>
              </w:rPr>
            </w:pPr>
            <w:r>
              <w:rPr>
                <w:rFonts w:hint="eastAsia" w:hAnsi="宋体"/>
                <w:b/>
                <w:szCs w:val="21"/>
              </w:rPr>
              <w:t>评分准则</w:t>
            </w:r>
          </w:p>
        </w:tc>
      </w:tr>
      <w:tr w14:paraId="4C1F08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0" w:hRule="atLeast"/>
          <w:jc w:val="center"/>
        </w:trPr>
        <w:tc>
          <w:tcPr>
            <w:tcW w:w="519" w:type="dxa"/>
            <w:vMerge w:val="continue"/>
            <w:tcBorders>
              <w:left w:val="single" w:color="auto" w:sz="4" w:space="0"/>
              <w:right w:val="single" w:color="auto" w:sz="4" w:space="0"/>
            </w:tcBorders>
            <w:shd w:val="clear" w:color="auto" w:fill="FFFFFF" w:themeFill="background1"/>
            <w:vAlign w:val="center"/>
          </w:tcPr>
          <w:p w14:paraId="5369DF2C">
            <w:pPr>
              <w:shd w:val="clear" w:color="auto" w:fill="FFFFFF" w:themeFill="background1"/>
              <w:jc w:val="left"/>
              <w:rPr>
                <w:rFonts w:hAnsi="宋体"/>
                <w:szCs w:val="21"/>
              </w:rPr>
            </w:pPr>
          </w:p>
        </w:tc>
        <w:tc>
          <w:tcPr>
            <w:tcW w:w="63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41E5D19">
            <w:pPr>
              <w:shd w:val="clear" w:color="auto" w:fill="FFFFFF" w:themeFill="background1"/>
              <w:jc w:val="center"/>
              <w:rPr>
                <w:rFonts w:hAnsi="宋体"/>
                <w:szCs w:val="21"/>
              </w:rPr>
            </w:pPr>
            <w:r>
              <w:rPr>
                <w:rFonts w:hint="eastAsia" w:hAnsi="宋体"/>
                <w:szCs w:val="21"/>
              </w:rPr>
              <w:t>1</w:t>
            </w:r>
          </w:p>
        </w:tc>
        <w:tc>
          <w:tcPr>
            <w:tcW w:w="14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8287C5B">
            <w:pPr>
              <w:spacing w:line="240" w:lineRule="auto"/>
              <w:jc w:val="center"/>
              <w:textAlignment w:val="baseline"/>
              <w:rPr>
                <w:rFonts w:hAnsi="宋体"/>
                <w:kern w:val="2"/>
                <w:szCs w:val="21"/>
                <w:lang w:eastAsia="zh-Hans" w:bidi="ar"/>
              </w:rPr>
            </w:pPr>
            <w:r>
              <w:rPr>
                <w:rFonts w:hint="eastAsia" w:hAnsi="宋体"/>
                <w:kern w:val="2"/>
                <w:szCs w:val="21"/>
                <w:lang w:bidi="ar"/>
              </w:rPr>
              <w:t>服务</w:t>
            </w:r>
            <w:r>
              <w:rPr>
                <w:rFonts w:hint="eastAsia" w:hAnsi="宋体"/>
                <w:kern w:val="2"/>
                <w:szCs w:val="21"/>
                <w:lang w:eastAsia="zh-Hans" w:bidi="ar"/>
              </w:rPr>
              <w:t>方案</w:t>
            </w:r>
          </w:p>
        </w:tc>
        <w:tc>
          <w:tcPr>
            <w:tcW w:w="63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AE9C14C">
            <w:pPr>
              <w:shd w:val="clear" w:color="auto" w:fill="FFFFFF" w:themeFill="background1"/>
              <w:jc w:val="center"/>
              <w:rPr>
                <w:rFonts w:hAnsi="宋体"/>
                <w:szCs w:val="21"/>
              </w:rPr>
            </w:pPr>
            <w:r>
              <w:rPr>
                <w:rFonts w:hint="eastAsia" w:hAnsi="宋体"/>
                <w:szCs w:val="21"/>
              </w:rPr>
              <w:t>15</w:t>
            </w:r>
          </w:p>
        </w:tc>
        <w:tc>
          <w:tcPr>
            <w:tcW w:w="5668" w:type="dxa"/>
            <w:tcBorders>
              <w:top w:val="single" w:color="auto" w:sz="4" w:space="0"/>
              <w:left w:val="single" w:color="auto" w:sz="4" w:space="0"/>
              <w:bottom w:val="single" w:color="auto" w:sz="4" w:space="0"/>
              <w:right w:val="single" w:color="auto" w:sz="4" w:space="0"/>
            </w:tcBorders>
            <w:shd w:val="clear" w:color="auto" w:fill="FFFFFF" w:themeFill="background1"/>
          </w:tcPr>
          <w:p w14:paraId="131360C0">
            <w:pPr>
              <w:adjustRightInd/>
              <w:snapToGrid/>
              <w:spacing w:line="240" w:lineRule="auto"/>
              <w:rPr>
                <w:rFonts w:hAnsi="宋体"/>
                <w:b/>
                <w:szCs w:val="21"/>
              </w:rPr>
            </w:pPr>
            <w:r>
              <w:rPr>
                <w:rFonts w:hint="eastAsia" w:hAnsi="宋体"/>
                <w:b/>
                <w:szCs w:val="21"/>
              </w:rPr>
              <w:t>评分内容：</w:t>
            </w:r>
          </w:p>
          <w:p w14:paraId="35D6527F">
            <w:pPr>
              <w:adjustRightInd/>
              <w:snapToGrid/>
              <w:spacing w:line="240" w:lineRule="auto"/>
              <w:rPr>
                <w:rFonts w:hAnsi="宋体"/>
                <w:szCs w:val="21"/>
              </w:rPr>
            </w:pPr>
            <w:r>
              <w:rPr>
                <w:rFonts w:hint="eastAsia" w:hAnsi="宋体"/>
                <w:szCs w:val="21"/>
              </w:rPr>
              <w:t>根据投标人提供的本项目服务方案进行评审，主要考察服务方案三个方面的内容：</w:t>
            </w:r>
          </w:p>
          <w:p w14:paraId="038FF041">
            <w:pPr>
              <w:adjustRightInd/>
              <w:snapToGrid/>
              <w:spacing w:line="240" w:lineRule="auto"/>
              <w:rPr>
                <w:rFonts w:hAnsi="宋体"/>
                <w:szCs w:val="21"/>
              </w:rPr>
            </w:pPr>
            <w:r>
              <w:rPr>
                <w:rFonts w:hint="eastAsia" w:hAnsi="宋体"/>
                <w:szCs w:val="21"/>
              </w:rPr>
              <w:t>1.对项目情况的认识和理解；</w:t>
            </w:r>
          </w:p>
          <w:p w14:paraId="633B1503">
            <w:pPr>
              <w:adjustRightInd/>
              <w:snapToGrid/>
              <w:spacing w:line="240" w:lineRule="auto"/>
              <w:rPr>
                <w:rFonts w:hAnsi="宋体"/>
                <w:szCs w:val="21"/>
              </w:rPr>
            </w:pPr>
            <w:r>
              <w:rPr>
                <w:rFonts w:hint="eastAsia" w:hAnsi="宋体"/>
                <w:szCs w:val="21"/>
              </w:rPr>
              <w:t>2.对各个方面工作的理解、实施思路措施情况；</w:t>
            </w:r>
          </w:p>
          <w:p w14:paraId="0F15C9A5">
            <w:pPr>
              <w:adjustRightInd/>
              <w:snapToGrid/>
              <w:spacing w:line="240" w:lineRule="auto"/>
              <w:rPr>
                <w:rFonts w:hAnsi="宋体"/>
                <w:szCs w:val="21"/>
              </w:rPr>
            </w:pPr>
            <w:r>
              <w:rPr>
                <w:rFonts w:hint="eastAsia" w:hAnsi="宋体"/>
                <w:szCs w:val="21"/>
              </w:rPr>
              <w:t>3.项目人员配置与进度计划的安排。</w:t>
            </w:r>
          </w:p>
          <w:p w14:paraId="663BA462">
            <w:pPr>
              <w:adjustRightInd/>
              <w:snapToGrid/>
              <w:spacing w:line="240" w:lineRule="auto"/>
              <w:rPr>
                <w:rFonts w:hAnsi="宋体"/>
                <w:b/>
                <w:szCs w:val="21"/>
              </w:rPr>
            </w:pPr>
            <w:r>
              <w:rPr>
                <w:rFonts w:hint="eastAsia" w:hAnsi="宋体"/>
                <w:b/>
                <w:szCs w:val="21"/>
              </w:rPr>
              <w:t>评分依据：</w:t>
            </w:r>
          </w:p>
          <w:p w14:paraId="65929D2C">
            <w:pPr>
              <w:adjustRightInd/>
              <w:snapToGrid/>
              <w:spacing w:line="240" w:lineRule="auto"/>
              <w:rPr>
                <w:rFonts w:hAnsi="宋体"/>
                <w:szCs w:val="21"/>
              </w:rPr>
            </w:pPr>
            <w:r>
              <w:rPr>
                <w:rFonts w:hint="eastAsia" w:hAnsi="宋体"/>
                <w:szCs w:val="21"/>
              </w:rPr>
              <w:t>1.投标人提供的《服务方案》包含上述三项考察内容的得9 分，包含两项得6分，少于两项不得分。</w:t>
            </w:r>
          </w:p>
          <w:p w14:paraId="0A80BF31">
            <w:pPr>
              <w:adjustRightInd/>
              <w:snapToGrid/>
              <w:spacing w:line="240" w:lineRule="auto"/>
              <w:rPr>
                <w:rFonts w:hAnsi="宋体"/>
                <w:szCs w:val="21"/>
              </w:rPr>
            </w:pPr>
            <w:r>
              <w:rPr>
                <w:rFonts w:hint="eastAsia" w:hAnsi="宋体"/>
                <w:szCs w:val="21"/>
              </w:rPr>
              <w:t>2.在上述基础上，专家根据给供应商的具体响应内容按照量化的评审因素指标进一步评审：</w:t>
            </w:r>
          </w:p>
          <w:p w14:paraId="7C8512AB">
            <w:pPr>
              <w:adjustRightInd/>
              <w:snapToGrid/>
              <w:spacing w:line="240" w:lineRule="auto"/>
              <w:rPr>
                <w:rFonts w:hAnsi="宋体"/>
                <w:szCs w:val="21"/>
              </w:rPr>
            </w:pPr>
            <w:r>
              <w:rPr>
                <w:rFonts w:hint="eastAsia" w:hAnsi="宋体"/>
                <w:szCs w:val="21"/>
              </w:rPr>
              <w:t>（1）服务方案内容分析数据详实；</w:t>
            </w:r>
          </w:p>
          <w:p w14:paraId="3FA29549">
            <w:pPr>
              <w:adjustRightInd/>
              <w:snapToGrid/>
              <w:spacing w:line="240" w:lineRule="auto"/>
              <w:rPr>
                <w:rFonts w:hAnsi="宋体"/>
                <w:szCs w:val="21"/>
              </w:rPr>
            </w:pPr>
            <w:r>
              <w:rPr>
                <w:rFonts w:hint="eastAsia" w:hAnsi="宋体"/>
                <w:szCs w:val="21"/>
              </w:rPr>
              <w:t>（2）服务方案内容系统全面；</w:t>
            </w:r>
          </w:p>
          <w:p w14:paraId="4703D9E7">
            <w:pPr>
              <w:adjustRightInd/>
              <w:snapToGrid/>
              <w:spacing w:line="240" w:lineRule="auto"/>
              <w:rPr>
                <w:rFonts w:hAnsi="宋体"/>
                <w:szCs w:val="21"/>
              </w:rPr>
            </w:pPr>
            <w:r>
              <w:rPr>
                <w:rFonts w:hint="eastAsia" w:hAnsi="宋体"/>
                <w:szCs w:val="21"/>
              </w:rPr>
              <w:t>（3）服务方案内容契合实际；</w:t>
            </w:r>
          </w:p>
          <w:p w14:paraId="16225734">
            <w:pPr>
              <w:adjustRightInd/>
              <w:snapToGrid/>
              <w:spacing w:line="240" w:lineRule="auto"/>
              <w:rPr>
                <w:rFonts w:hAnsi="宋体"/>
                <w:szCs w:val="21"/>
              </w:rPr>
            </w:pPr>
            <w:r>
              <w:rPr>
                <w:rFonts w:hint="eastAsia" w:hAnsi="宋体"/>
                <w:szCs w:val="21"/>
              </w:rPr>
              <w:t>（4）服务方案内容科学合理、操作性强；</w:t>
            </w:r>
          </w:p>
          <w:p w14:paraId="71D9434A">
            <w:pPr>
              <w:spacing w:line="240" w:lineRule="auto"/>
              <w:textAlignment w:val="baseline"/>
              <w:rPr>
                <w:rFonts w:hAnsi="宋体"/>
                <w:szCs w:val="21"/>
              </w:rPr>
            </w:pPr>
            <w:r>
              <w:rPr>
                <w:rFonts w:hint="eastAsia" w:hAnsi="宋体"/>
                <w:szCs w:val="21"/>
              </w:rPr>
              <w:t>满足以上四项要求得6分，满足以上任意三项要求得4.5分，满足以上任意两项要求得3分，其它情况不得分，并需专家说明不得分理由。</w:t>
            </w:r>
          </w:p>
          <w:p w14:paraId="70DB22AB">
            <w:pPr>
              <w:pStyle w:val="422"/>
              <w:rPr>
                <w:rFonts w:ascii="宋体" w:hAnsi="宋体" w:cs="宋体"/>
                <w:szCs w:val="21"/>
              </w:rPr>
            </w:pPr>
            <w:r>
              <w:rPr>
                <w:rFonts w:hint="eastAsia" w:ascii="宋体" w:hAnsi="宋体" w:cs="宋体"/>
                <w:sz w:val="21"/>
                <w:szCs w:val="21"/>
              </w:rPr>
              <w:t>以上两项合计最高15分。</w:t>
            </w:r>
          </w:p>
        </w:tc>
      </w:tr>
      <w:tr w14:paraId="514AC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19" w:type="dxa"/>
            <w:vMerge w:val="continue"/>
            <w:tcBorders>
              <w:left w:val="single" w:color="auto" w:sz="4" w:space="0"/>
              <w:right w:val="single" w:color="auto" w:sz="4" w:space="0"/>
            </w:tcBorders>
            <w:shd w:val="clear" w:color="auto" w:fill="FFFFFF" w:themeFill="background1"/>
            <w:vAlign w:val="center"/>
          </w:tcPr>
          <w:p w14:paraId="07C7E14A">
            <w:pPr>
              <w:shd w:val="clear" w:color="auto" w:fill="FFFFFF" w:themeFill="background1"/>
              <w:jc w:val="left"/>
              <w:rPr>
                <w:rFonts w:hAnsi="宋体"/>
                <w:szCs w:val="21"/>
              </w:rPr>
            </w:pPr>
          </w:p>
        </w:tc>
        <w:tc>
          <w:tcPr>
            <w:tcW w:w="63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CF11537">
            <w:pPr>
              <w:shd w:val="clear" w:color="auto" w:fill="FFFFFF" w:themeFill="background1"/>
              <w:jc w:val="center"/>
              <w:rPr>
                <w:rFonts w:hAnsi="宋体"/>
                <w:szCs w:val="21"/>
              </w:rPr>
            </w:pPr>
            <w:r>
              <w:rPr>
                <w:rFonts w:hint="eastAsia" w:hAnsi="宋体"/>
                <w:szCs w:val="21"/>
              </w:rPr>
              <w:t>2</w:t>
            </w:r>
          </w:p>
        </w:tc>
        <w:tc>
          <w:tcPr>
            <w:tcW w:w="14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11CC700F">
            <w:pPr>
              <w:spacing w:line="240" w:lineRule="auto"/>
              <w:jc w:val="center"/>
              <w:textAlignment w:val="baseline"/>
              <w:rPr>
                <w:rFonts w:hAnsi="宋体"/>
                <w:kern w:val="2"/>
                <w:szCs w:val="21"/>
                <w:lang w:eastAsia="zh-Hans" w:bidi="ar"/>
              </w:rPr>
            </w:pPr>
            <w:r>
              <w:rPr>
                <w:rFonts w:hint="eastAsia" w:hAnsi="宋体"/>
                <w:kern w:val="2"/>
                <w:szCs w:val="21"/>
                <w:lang w:eastAsia="zh-Hans" w:bidi="ar"/>
              </w:rPr>
              <w:t>质量（完成时间、安全、环保）保障措施及方案</w:t>
            </w:r>
          </w:p>
        </w:tc>
        <w:tc>
          <w:tcPr>
            <w:tcW w:w="63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F1014FB">
            <w:pPr>
              <w:shd w:val="clear" w:color="auto" w:fill="FFFFFF" w:themeFill="background1"/>
              <w:jc w:val="center"/>
              <w:rPr>
                <w:rFonts w:hAnsi="宋体"/>
                <w:szCs w:val="21"/>
              </w:rPr>
            </w:pPr>
            <w:r>
              <w:rPr>
                <w:rFonts w:hint="eastAsia" w:hAnsi="宋体"/>
                <w:szCs w:val="21"/>
              </w:rPr>
              <w:t>15</w:t>
            </w:r>
          </w:p>
        </w:tc>
        <w:tc>
          <w:tcPr>
            <w:tcW w:w="56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5F1CC54">
            <w:pPr>
              <w:adjustRightInd/>
              <w:snapToGrid/>
              <w:spacing w:line="240" w:lineRule="auto"/>
              <w:rPr>
                <w:rFonts w:hAnsi="宋体"/>
                <w:b/>
                <w:szCs w:val="21"/>
              </w:rPr>
            </w:pPr>
            <w:r>
              <w:rPr>
                <w:rFonts w:hint="eastAsia" w:hAnsi="宋体"/>
                <w:b/>
                <w:szCs w:val="21"/>
              </w:rPr>
              <w:t>评分内容：</w:t>
            </w:r>
          </w:p>
          <w:p w14:paraId="2BCE5F08">
            <w:pPr>
              <w:adjustRightInd/>
              <w:snapToGrid/>
              <w:spacing w:line="240" w:lineRule="auto"/>
              <w:rPr>
                <w:rFonts w:hAnsi="宋体"/>
                <w:szCs w:val="21"/>
              </w:rPr>
            </w:pPr>
            <w:r>
              <w:rPr>
                <w:rFonts w:hint="eastAsia" w:hAnsi="宋体"/>
                <w:szCs w:val="21"/>
              </w:rPr>
              <w:t>根据对项目的理解及自身项目管理经验，提出质量（完成时间、安全、环保）保障措施及方案。包括：</w:t>
            </w:r>
          </w:p>
          <w:p w14:paraId="5E1B8559">
            <w:pPr>
              <w:adjustRightInd/>
              <w:snapToGrid/>
              <w:spacing w:line="240" w:lineRule="auto"/>
              <w:rPr>
                <w:rFonts w:hAnsi="宋体"/>
                <w:szCs w:val="21"/>
              </w:rPr>
            </w:pPr>
            <w:r>
              <w:rPr>
                <w:rFonts w:hint="eastAsia" w:hAnsi="宋体"/>
                <w:szCs w:val="21"/>
              </w:rPr>
              <w:t>1.给出分阶段项目时间安排、工作进度与阶段性成果；</w:t>
            </w:r>
          </w:p>
          <w:p w14:paraId="1E689CBA">
            <w:pPr>
              <w:adjustRightInd/>
              <w:snapToGrid/>
              <w:spacing w:line="240" w:lineRule="auto"/>
              <w:rPr>
                <w:rFonts w:hAnsi="宋体"/>
                <w:szCs w:val="21"/>
              </w:rPr>
            </w:pPr>
            <w:r>
              <w:rPr>
                <w:rFonts w:hint="eastAsia" w:hAnsi="宋体"/>
                <w:szCs w:val="21"/>
              </w:rPr>
              <w:t>2.详细阐述项目时间管理制度与措施；</w:t>
            </w:r>
          </w:p>
          <w:p w14:paraId="2CA59DF2">
            <w:pPr>
              <w:adjustRightInd/>
              <w:snapToGrid/>
              <w:spacing w:line="240" w:lineRule="auto"/>
              <w:rPr>
                <w:rFonts w:hAnsi="宋体"/>
                <w:szCs w:val="21"/>
              </w:rPr>
            </w:pPr>
            <w:r>
              <w:rPr>
                <w:rFonts w:hint="eastAsia" w:hAnsi="宋体"/>
                <w:szCs w:val="21"/>
              </w:rPr>
              <w:t>3.详细阐述项目质量管理制度与措施。</w:t>
            </w:r>
          </w:p>
          <w:p w14:paraId="70679F10">
            <w:pPr>
              <w:adjustRightInd/>
              <w:snapToGrid/>
              <w:spacing w:line="240" w:lineRule="auto"/>
              <w:rPr>
                <w:rFonts w:hAnsi="宋体"/>
                <w:b/>
                <w:szCs w:val="21"/>
              </w:rPr>
            </w:pPr>
            <w:r>
              <w:rPr>
                <w:rFonts w:hint="eastAsia" w:hAnsi="宋体"/>
                <w:b/>
                <w:szCs w:val="21"/>
              </w:rPr>
              <w:t>评分依据：</w:t>
            </w:r>
          </w:p>
          <w:p w14:paraId="5564B80F">
            <w:pPr>
              <w:adjustRightInd/>
              <w:snapToGrid/>
              <w:spacing w:line="240" w:lineRule="auto"/>
              <w:rPr>
                <w:rFonts w:hAnsi="宋体"/>
                <w:szCs w:val="21"/>
              </w:rPr>
            </w:pPr>
            <w:r>
              <w:rPr>
                <w:rFonts w:hint="eastAsia" w:hAnsi="宋体"/>
                <w:szCs w:val="21"/>
              </w:rPr>
              <w:t>1.投标人提供的《质量（完成时间、安全、环保）保障措施及方案》包含上述三项考察内容的，得9分，包含两项得6分，少于两项不得分。</w:t>
            </w:r>
          </w:p>
          <w:p w14:paraId="35AC8FEC">
            <w:pPr>
              <w:adjustRightInd/>
              <w:snapToGrid/>
              <w:spacing w:line="240" w:lineRule="auto"/>
              <w:rPr>
                <w:rFonts w:hAnsi="宋体"/>
                <w:szCs w:val="21"/>
              </w:rPr>
            </w:pPr>
            <w:r>
              <w:rPr>
                <w:rFonts w:hint="eastAsia" w:hAnsi="宋体"/>
                <w:szCs w:val="21"/>
              </w:rPr>
              <w:t>2.在此基础上，专家根据各供应商的具体响应内容按照量化的评审因素指标进一步评审：</w:t>
            </w:r>
          </w:p>
          <w:p w14:paraId="48F05E96">
            <w:pPr>
              <w:adjustRightInd/>
              <w:snapToGrid/>
              <w:spacing w:line="240" w:lineRule="auto"/>
              <w:rPr>
                <w:rFonts w:hAnsi="宋体"/>
                <w:szCs w:val="21"/>
              </w:rPr>
            </w:pPr>
            <w:r>
              <w:rPr>
                <w:rFonts w:hint="eastAsia" w:hAnsi="宋体"/>
                <w:szCs w:val="21"/>
              </w:rPr>
              <w:t>（1）质量（完成时间、安全、环保）保障措施及方案场景考虑周到；</w:t>
            </w:r>
          </w:p>
          <w:p w14:paraId="7D781910">
            <w:pPr>
              <w:adjustRightInd/>
              <w:snapToGrid/>
              <w:spacing w:line="240" w:lineRule="auto"/>
              <w:rPr>
                <w:rFonts w:hAnsi="宋体"/>
                <w:szCs w:val="21"/>
              </w:rPr>
            </w:pPr>
            <w:r>
              <w:rPr>
                <w:rFonts w:hint="eastAsia" w:hAnsi="宋体"/>
                <w:szCs w:val="21"/>
              </w:rPr>
              <w:t>（2）质量（完成时间、安全、环保）保障措施及方案措施系统全面；</w:t>
            </w:r>
          </w:p>
          <w:p w14:paraId="0B928980">
            <w:pPr>
              <w:adjustRightInd/>
              <w:snapToGrid/>
              <w:spacing w:line="240" w:lineRule="auto"/>
              <w:rPr>
                <w:rFonts w:hAnsi="宋体"/>
                <w:szCs w:val="21"/>
              </w:rPr>
            </w:pPr>
            <w:r>
              <w:rPr>
                <w:rFonts w:hint="eastAsia" w:hAnsi="宋体"/>
                <w:szCs w:val="21"/>
              </w:rPr>
              <w:t>（3）质量（完成时间、安全、环保）保障措施及方案内容符合实际；</w:t>
            </w:r>
            <w:bookmarkStart w:id="184" w:name="_GoBack"/>
            <w:bookmarkEnd w:id="184"/>
          </w:p>
          <w:p w14:paraId="73644306">
            <w:pPr>
              <w:adjustRightInd/>
              <w:snapToGrid/>
              <w:spacing w:line="240" w:lineRule="auto"/>
              <w:rPr>
                <w:rFonts w:hAnsi="宋体"/>
                <w:szCs w:val="21"/>
              </w:rPr>
            </w:pPr>
            <w:r>
              <w:rPr>
                <w:rFonts w:hint="eastAsia" w:hAnsi="宋体"/>
                <w:szCs w:val="21"/>
              </w:rPr>
              <w:t>（4）质量（完成时间、安全、环保）保障措施及方案内容科学合理、操作性强；</w:t>
            </w:r>
          </w:p>
          <w:p w14:paraId="64B59429">
            <w:pPr>
              <w:adjustRightInd/>
              <w:snapToGrid/>
              <w:spacing w:line="240" w:lineRule="auto"/>
              <w:rPr>
                <w:rFonts w:hAnsi="宋体"/>
                <w:szCs w:val="21"/>
              </w:rPr>
            </w:pPr>
            <w:r>
              <w:rPr>
                <w:rFonts w:hint="eastAsia" w:hAnsi="宋体"/>
                <w:szCs w:val="21"/>
              </w:rPr>
              <w:t>满足以上四项要求得 6 分，满足以上任意三项要求得 4.5分，满足以上任意两项要求得 3 分，其它情况不得分，并需专家说明不得分理由。</w:t>
            </w:r>
          </w:p>
          <w:p w14:paraId="4A6D9662">
            <w:pPr>
              <w:pStyle w:val="422"/>
              <w:rPr>
                <w:rFonts w:ascii="宋体" w:hAnsi="宋体" w:cs="宋体"/>
              </w:rPr>
            </w:pPr>
            <w:r>
              <w:rPr>
                <w:rFonts w:hint="eastAsia" w:ascii="宋体" w:hAnsi="宋体" w:cs="宋体"/>
                <w:sz w:val="21"/>
                <w:szCs w:val="21"/>
              </w:rPr>
              <w:t>以上两项合计最高15分。</w:t>
            </w:r>
          </w:p>
        </w:tc>
      </w:tr>
      <w:tr w14:paraId="2FB07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0" w:hRule="atLeast"/>
          <w:jc w:val="center"/>
        </w:trPr>
        <w:tc>
          <w:tcPr>
            <w:tcW w:w="519" w:type="dxa"/>
            <w:vMerge w:val="continue"/>
            <w:tcBorders>
              <w:left w:val="single" w:color="auto" w:sz="4" w:space="0"/>
              <w:right w:val="single" w:color="auto" w:sz="4" w:space="0"/>
            </w:tcBorders>
            <w:shd w:val="clear" w:color="auto" w:fill="FFFFFF" w:themeFill="background1"/>
            <w:vAlign w:val="center"/>
          </w:tcPr>
          <w:p w14:paraId="57BE5556">
            <w:pPr>
              <w:shd w:val="clear" w:color="auto" w:fill="FFFFFF" w:themeFill="background1"/>
              <w:jc w:val="left"/>
              <w:rPr>
                <w:rFonts w:hAnsi="宋体"/>
                <w:szCs w:val="21"/>
              </w:rPr>
            </w:pPr>
          </w:p>
        </w:tc>
        <w:tc>
          <w:tcPr>
            <w:tcW w:w="63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552F887">
            <w:pPr>
              <w:shd w:val="clear" w:color="auto" w:fill="FFFFFF" w:themeFill="background1"/>
              <w:jc w:val="center"/>
              <w:rPr>
                <w:rFonts w:hAnsi="宋体"/>
                <w:szCs w:val="21"/>
              </w:rPr>
            </w:pPr>
            <w:r>
              <w:rPr>
                <w:rFonts w:hint="eastAsia" w:hAnsi="宋体"/>
                <w:szCs w:val="21"/>
              </w:rPr>
              <w:t>3</w:t>
            </w:r>
          </w:p>
        </w:tc>
        <w:tc>
          <w:tcPr>
            <w:tcW w:w="14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0037E5C">
            <w:pPr>
              <w:spacing w:line="240" w:lineRule="auto"/>
              <w:jc w:val="center"/>
              <w:textAlignment w:val="baseline"/>
              <w:rPr>
                <w:rFonts w:hAnsi="宋体"/>
                <w:kern w:val="2"/>
                <w:szCs w:val="21"/>
                <w:lang w:eastAsia="zh-Hans" w:bidi="ar"/>
              </w:rPr>
            </w:pPr>
            <w:r>
              <w:rPr>
                <w:rFonts w:hint="eastAsia" w:hAnsi="宋体"/>
                <w:kern w:val="2"/>
                <w:szCs w:val="21"/>
                <w:lang w:eastAsia="zh-Hans" w:bidi="ar"/>
              </w:rPr>
              <w:t>项目重点难点分析、</w:t>
            </w:r>
          </w:p>
          <w:p w14:paraId="1574227F">
            <w:pPr>
              <w:spacing w:line="240" w:lineRule="auto"/>
              <w:jc w:val="center"/>
              <w:textAlignment w:val="baseline"/>
              <w:rPr>
                <w:rFonts w:hAnsi="宋体"/>
                <w:kern w:val="2"/>
                <w:szCs w:val="21"/>
                <w:lang w:eastAsia="zh-Hans" w:bidi="ar"/>
              </w:rPr>
            </w:pPr>
            <w:r>
              <w:rPr>
                <w:rFonts w:hint="eastAsia" w:hAnsi="宋体"/>
                <w:kern w:val="2"/>
                <w:szCs w:val="21"/>
                <w:lang w:eastAsia="zh-Hans" w:bidi="ar"/>
              </w:rPr>
              <w:t>应对措施及相关的</w:t>
            </w:r>
          </w:p>
          <w:p w14:paraId="65CFF893">
            <w:pPr>
              <w:spacing w:line="240" w:lineRule="auto"/>
              <w:jc w:val="center"/>
              <w:textAlignment w:val="baseline"/>
              <w:rPr>
                <w:rFonts w:hAnsi="宋体"/>
                <w:kern w:val="2"/>
                <w:szCs w:val="21"/>
                <w:lang w:eastAsia="zh-Hans" w:bidi="ar"/>
              </w:rPr>
            </w:pPr>
            <w:r>
              <w:rPr>
                <w:rFonts w:hint="eastAsia" w:hAnsi="宋体"/>
                <w:kern w:val="2"/>
                <w:szCs w:val="21"/>
                <w:lang w:eastAsia="zh-Hans" w:bidi="ar"/>
              </w:rPr>
              <w:t>合理化建议</w:t>
            </w:r>
          </w:p>
          <w:p w14:paraId="699FE06D">
            <w:pPr>
              <w:spacing w:line="240" w:lineRule="auto"/>
              <w:jc w:val="center"/>
              <w:textAlignment w:val="baseline"/>
              <w:rPr>
                <w:rFonts w:hAnsi="宋体"/>
                <w:kern w:val="2"/>
                <w:szCs w:val="21"/>
                <w:lang w:eastAsia="zh-Hans" w:bidi="ar"/>
              </w:rPr>
            </w:pPr>
          </w:p>
        </w:tc>
        <w:tc>
          <w:tcPr>
            <w:tcW w:w="63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1372495">
            <w:pPr>
              <w:shd w:val="clear" w:color="auto" w:fill="FFFFFF" w:themeFill="background1"/>
              <w:jc w:val="center"/>
              <w:rPr>
                <w:rFonts w:hAnsi="宋体"/>
                <w:szCs w:val="21"/>
              </w:rPr>
            </w:pPr>
            <w:r>
              <w:rPr>
                <w:rFonts w:hint="eastAsia" w:hAnsi="宋体"/>
                <w:szCs w:val="21"/>
              </w:rPr>
              <w:t>15</w:t>
            </w:r>
          </w:p>
        </w:tc>
        <w:tc>
          <w:tcPr>
            <w:tcW w:w="56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3931EDB">
            <w:pPr>
              <w:adjustRightInd/>
              <w:snapToGrid/>
              <w:spacing w:line="240" w:lineRule="auto"/>
              <w:rPr>
                <w:rFonts w:hAnsi="宋体"/>
                <w:b/>
                <w:szCs w:val="21"/>
              </w:rPr>
            </w:pPr>
            <w:r>
              <w:rPr>
                <w:rFonts w:hint="eastAsia" w:hAnsi="宋体"/>
                <w:b/>
                <w:szCs w:val="21"/>
              </w:rPr>
              <w:t>评分内容：</w:t>
            </w:r>
          </w:p>
          <w:p w14:paraId="3579C3D6">
            <w:pPr>
              <w:adjustRightInd/>
              <w:snapToGrid/>
              <w:spacing w:line="240" w:lineRule="auto"/>
              <w:rPr>
                <w:rFonts w:hAnsi="宋体"/>
                <w:szCs w:val="21"/>
              </w:rPr>
            </w:pPr>
            <w:r>
              <w:rPr>
                <w:rFonts w:hint="eastAsia" w:hAnsi="宋体"/>
                <w:szCs w:val="21"/>
              </w:rPr>
              <w:t>1.项目重点、难点的分析。</w:t>
            </w:r>
          </w:p>
          <w:p w14:paraId="06C8EB36">
            <w:pPr>
              <w:adjustRightInd/>
              <w:snapToGrid/>
              <w:spacing w:line="240" w:lineRule="auto"/>
              <w:rPr>
                <w:rFonts w:hAnsi="宋体"/>
                <w:szCs w:val="21"/>
              </w:rPr>
            </w:pPr>
            <w:r>
              <w:rPr>
                <w:rFonts w:hint="eastAsia" w:hAnsi="宋体"/>
                <w:szCs w:val="21"/>
              </w:rPr>
              <w:t>2.项目重点、难点的应对措施。</w:t>
            </w:r>
          </w:p>
          <w:p w14:paraId="41F3C457">
            <w:pPr>
              <w:adjustRightInd/>
              <w:snapToGrid/>
              <w:spacing w:line="240" w:lineRule="auto"/>
              <w:rPr>
                <w:rFonts w:hAnsi="宋体"/>
                <w:szCs w:val="21"/>
              </w:rPr>
            </w:pPr>
            <w:r>
              <w:rPr>
                <w:rFonts w:hint="eastAsia" w:hAnsi="宋体"/>
                <w:szCs w:val="21"/>
              </w:rPr>
              <w:t>3.项目实施提出的相关合理化建议。</w:t>
            </w:r>
          </w:p>
          <w:p w14:paraId="0864F965">
            <w:pPr>
              <w:adjustRightInd/>
              <w:snapToGrid/>
              <w:spacing w:line="240" w:lineRule="auto"/>
              <w:rPr>
                <w:rFonts w:hAnsi="宋体"/>
                <w:b/>
                <w:szCs w:val="21"/>
              </w:rPr>
            </w:pPr>
            <w:r>
              <w:rPr>
                <w:rFonts w:hint="eastAsia" w:hAnsi="宋体"/>
                <w:b/>
                <w:szCs w:val="21"/>
              </w:rPr>
              <w:t>评分依据：</w:t>
            </w:r>
          </w:p>
          <w:p w14:paraId="70D24462">
            <w:pPr>
              <w:adjustRightInd/>
              <w:snapToGrid/>
              <w:spacing w:line="240" w:lineRule="auto"/>
              <w:rPr>
                <w:rFonts w:hAnsi="宋体"/>
                <w:szCs w:val="21"/>
              </w:rPr>
            </w:pPr>
            <w:r>
              <w:rPr>
                <w:rFonts w:hint="eastAsia" w:hAnsi="宋体"/>
                <w:szCs w:val="21"/>
              </w:rPr>
              <w:t>1.投标人提供的《项目重点难点分析、应对措施及相关的合理化建议》包含上述三项考察内容的，得9分，</w:t>
            </w:r>
            <w:r>
              <w:rPr>
                <w:rFonts w:hint="eastAsia"/>
              </w:rPr>
              <w:t>包含两项得6分，少于两项不得分</w:t>
            </w:r>
            <w:r>
              <w:rPr>
                <w:rFonts w:hint="eastAsia" w:hAnsi="宋体"/>
                <w:szCs w:val="21"/>
              </w:rPr>
              <w:t>。</w:t>
            </w:r>
          </w:p>
          <w:p w14:paraId="5D371C28">
            <w:pPr>
              <w:adjustRightInd/>
              <w:snapToGrid/>
              <w:spacing w:line="240" w:lineRule="auto"/>
              <w:rPr>
                <w:rFonts w:hAnsi="宋体"/>
                <w:szCs w:val="21"/>
              </w:rPr>
            </w:pPr>
            <w:r>
              <w:rPr>
                <w:rFonts w:hint="eastAsia" w:hAnsi="宋体"/>
                <w:szCs w:val="21"/>
              </w:rPr>
              <w:t>2.在此基础上，专家根据各供应商的具体响应内容按照量化的评审因素指标进一步评审：</w:t>
            </w:r>
          </w:p>
          <w:p w14:paraId="5A6DC840">
            <w:pPr>
              <w:numPr>
                <w:ilvl w:val="0"/>
                <w:numId w:val="34"/>
              </w:numPr>
              <w:adjustRightInd/>
              <w:snapToGrid/>
              <w:spacing w:line="240" w:lineRule="auto"/>
              <w:rPr>
                <w:rFonts w:hAnsi="宋体"/>
                <w:szCs w:val="21"/>
              </w:rPr>
            </w:pPr>
            <w:r>
              <w:rPr>
                <w:rFonts w:hint="eastAsia" w:hAnsi="宋体"/>
                <w:szCs w:val="21"/>
              </w:rPr>
              <w:t>项目重点难点分析、应对措施及相关的合理化建议内容全面 ；</w:t>
            </w:r>
          </w:p>
          <w:p w14:paraId="07C7493F">
            <w:pPr>
              <w:adjustRightInd/>
              <w:snapToGrid/>
              <w:spacing w:line="240" w:lineRule="auto"/>
              <w:rPr>
                <w:rFonts w:hAnsi="宋体"/>
                <w:szCs w:val="21"/>
              </w:rPr>
            </w:pPr>
            <w:r>
              <w:rPr>
                <w:rFonts w:hint="eastAsia" w:hAnsi="宋体"/>
                <w:szCs w:val="21"/>
              </w:rPr>
              <w:t xml:space="preserve">（2）项目重点难点分析、应对措施及相关的合理化建议内容具体，表达清晰、完整、严谨； </w:t>
            </w:r>
          </w:p>
          <w:p w14:paraId="378D7D6A">
            <w:pPr>
              <w:adjustRightInd/>
              <w:snapToGrid/>
              <w:spacing w:line="240" w:lineRule="auto"/>
              <w:rPr>
                <w:rFonts w:hAnsi="宋体"/>
                <w:szCs w:val="21"/>
              </w:rPr>
            </w:pPr>
            <w:r>
              <w:rPr>
                <w:rFonts w:hint="eastAsia" w:hAnsi="宋体"/>
                <w:szCs w:val="21"/>
              </w:rPr>
              <w:t xml:space="preserve">（3）项目重点难点分析、应对措施及相关的合理化建议内容针对性强； </w:t>
            </w:r>
          </w:p>
          <w:p w14:paraId="1DB84F34">
            <w:pPr>
              <w:adjustRightInd/>
              <w:snapToGrid/>
              <w:spacing w:line="240" w:lineRule="auto"/>
              <w:rPr>
                <w:rFonts w:hAnsi="宋体"/>
                <w:szCs w:val="21"/>
              </w:rPr>
            </w:pPr>
            <w:r>
              <w:rPr>
                <w:rFonts w:hint="eastAsia" w:hAnsi="宋体"/>
                <w:szCs w:val="21"/>
              </w:rPr>
              <w:t xml:space="preserve">（4）项目重点难点分析、应对措施及相关的合理化建议内容先进，科学合理； </w:t>
            </w:r>
          </w:p>
          <w:p w14:paraId="2367F5A2">
            <w:pPr>
              <w:adjustRightInd/>
              <w:snapToGrid/>
              <w:spacing w:line="240" w:lineRule="auto"/>
              <w:rPr>
                <w:rFonts w:hAnsi="宋体"/>
                <w:szCs w:val="21"/>
              </w:rPr>
            </w:pPr>
            <w:r>
              <w:rPr>
                <w:rFonts w:hint="eastAsia" w:hAnsi="宋体"/>
                <w:szCs w:val="21"/>
              </w:rPr>
              <w:t>（5）项目重点难点分析、应对措施及相关的合理化建议内容可操作性强。</w:t>
            </w:r>
          </w:p>
          <w:p w14:paraId="0E0B0E4B">
            <w:pPr>
              <w:adjustRightInd/>
              <w:snapToGrid/>
              <w:spacing w:line="240" w:lineRule="auto"/>
              <w:rPr>
                <w:rFonts w:hAnsi="宋体"/>
                <w:szCs w:val="21"/>
              </w:rPr>
            </w:pPr>
            <w:r>
              <w:rPr>
                <w:rFonts w:hint="eastAsia" w:hAnsi="宋体"/>
                <w:szCs w:val="21"/>
              </w:rPr>
              <w:t>满足以上五项要求得 6 分，满足以上任意四项要求得 4.5分，满足以上任意三项要求得 3 分，其它情况不得分，并需专家说明不得分理由。</w:t>
            </w:r>
          </w:p>
          <w:p w14:paraId="16D11A0E">
            <w:pPr>
              <w:spacing w:line="240" w:lineRule="auto"/>
              <w:jc w:val="left"/>
              <w:rPr>
                <w:rFonts w:hAnsi="宋体"/>
                <w:b/>
                <w:szCs w:val="21"/>
                <w:u w:val="single"/>
              </w:rPr>
            </w:pPr>
            <w:r>
              <w:rPr>
                <w:rFonts w:hint="eastAsia" w:hAnsi="宋体"/>
                <w:szCs w:val="21"/>
              </w:rPr>
              <w:t>以上两项合计最高15分。</w:t>
            </w:r>
          </w:p>
        </w:tc>
      </w:tr>
      <w:tr w14:paraId="6149E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0" w:hRule="atLeast"/>
          <w:jc w:val="center"/>
        </w:trPr>
        <w:tc>
          <w:tcPr>
            <w:tcW w:w="519" w:type="dxa"/>
            <w:vMerge w:val="continue"/>
            <w:tcBorders>
              <w:left w:val="single" w:color="auto" w:sz="4" w:space="0"/>
              <w:right w:val="single" w:color="auto" w:sz="4" w:space="0"/>
            </w:tcBorders>
            <w:shd w:val="clear" w:color="auto" w:fill="FFFFFF" w:themeFill="background1"/>
            <w:vAlign w:val="center"/>
          </w:tcPr>
          <w:p w14:paraId="04661B2F">
            <w:pPr>
              <w:shd w:val="clear" w:color="auto" w:fill="FFFFFF" w:themeFill="background1"/>
              <w:jc w:val="left"/>
              <w:rPr>
                <w:rFonts w:hAnsi="宋体"/>
                <w:szCs w:val="21"/>
              </w:rPr>
            </w:pPr>
          </w:p>
        </w:tc>
        <w:tc>
          <w:tcPr>
            <w:tcW w:w="63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D240D5F">
            <w:pPr>
              <w:shd w:val="clear" w:color="auto" w:fill="FFFFFF" w:themeFill="background1"/>
              <w:jc w:val="center"/>
              <w:rPr>
                <w:rFonts w:hAnsi="宋体"/>
                <w:szCs w:val="21"/>
              </w:rPr>
            </w:pPr>
            <w:r>
              <w:rPr>
                <w:rFonts w:hint="eastAsia" w:hAnsi="宋体"/>
                <w:szCs w:val="21"/>
              </w:rPr>
              <w:t>4</w:t>
            </w:r>
          </w:p>
        </w:tc>
        <w:tc>
          <w:tcPr>
            <w:tcW w:w="14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7BBA1CE">
            <w:pPr>
              <w:spacing w:line="240" w:lineRule="auto"/>
              <w:jc w:val="center"/>
              <w:textAlignment w:val="baseline"/>
              <w:rPr>
                <w:rFonts w:hAnsi="宋体"/>
                <w:kern w:val="2"/>
                <w:szCs w:val="21"/>
                <w:lang w:eastAsia="zh-Hans" w:bidi="ar"/>
              </w:rPr>
            </w:pPr>
            <w:r>
              <w:rPr>
                <w:rFonts w:hint="eastAsia" w:hAnsi="宋体"/>
                <w:kern w:val="2"/>
                <w:szCs w:val="21"/>
                <w:lang w:bidi="ar"/>
              </w:rPr>
              <w:t>违约承诺</w:t>
            </w:r>
          </w:p>
        </w:tc>
        <w:tc>
          <w:tcPr>
            <w:tcW w:w="63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9EE499F">
            <w:pPr>
              <w:shd w:val="clear" w:color="auto" w:fill="FFFFFF" w:themeFill="background1"/>
              <w:jc w:val="center"/>
              <w:rPr>
                <w:rFonts w:hAnsi="宋体"/>
                <w:szCs w:val="21"/>
              </w:rPr>
            </w:pPr>
            <w:r>
              <w:rPr>
                <w:rFonts w:hint="eastAsia" w:hAnsi="宋体"/>
                <w:szCs w:val="21"/>
              </w:rPr>
              <w:t>5</w:t>
            </w:r>
          </w:p>
        </w:tc>
        <w:tc>
          <w:tcPr>
            <w:tcW w:w="56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1EBD4AC">
            <w:pPr>
              <w:adjustRightInd/>
              <w:snapToGrid/>
              <w:spacing w:line="240" w:lineRule="auto"/>
              <w:rPr>
                <w:rFonts w:hAnsi="宋体"/>
                <w:b/>
                <w:szCs w:val="21"/>
              </w:rPr>
            </w:pPr>
            <w:r>
              <w:rPr>
                <w:rFonts w:hint="eastAsia" w:hAnsi="宋体"/>
                <w:b/>
                <w:szCs w:val="21"/>
              </w:rPr>
              <w:t>评分内容：</w:t>
            </w:r>
          </w:p>
          <w:p w14:paraId="080F8C75">
            <w:pPr>
              <w:adjustRightInd/>
              <w:snapToGrid/>
              <w:spacing w:line="240" w:lineRule="auto"/>
              <w:rPr>
                <w:rFonts w:hAnsi="宋体"/>
                <w:bCs/>
                <w:szCs w:val="21"/>
              </w:rPr>
            </w:pPr>
            <w:r>
              <w:rPr>
                <w:rFonts w:hint="eastAsia" w:hAnsi="宋体"/>
                <w:bCs/>
                <w:szCs w:val="21"/>
              </w:rPr>
              <w:t>提供违约承诺,主要包括：</w:t>
            </w:r>
          </w:p>
          <w:p w14:paraId="448CC7BC">
            <w:pPr>
              <w:adjustRightInd/>
              <w:snapToGrid/>
              <w:spacing w:line="240" w:lineRule="auto"/>
              <w:rPr>
                <w:rFonts w:hAnsi="宋体"/>
                <w:bCs/>
                <w:szCs w:val="21"/>
              </w:rPr>
            </w:pPr>
            <w:r>
              <w:rPr>
                <w:rFonts w:hint="eastAsia" w:hAnsi="宋体"/>
                <w:bCs/>
                <w:szCs w:val="21"/>
              </w:rPr>
              <w:t>1.人员严格按照招标文件及投标承诺配置。</w:t>
            </w:r>
          </w:p>
          <w:p w14:paraId="5C632864">
            <w:pPr>
              <w:adjustRightInd/>
              <w:snapToGrid/>
              <w:spacing w:line="240" w:lineRule="auto"/>
              <w:rPr>
                <w:rFonts w:hAnsi="宋体"/>
                <w:bCs/>
                <w:szCs w:val="21"/>
              </w:rPr>
            </w:pPr>
            <w:r>
              <w:rPr>
                <w:rFonts w:hint="eastAsia" w:hAnsi="宋体"/>
                <w:bCs/>
                <w:szCs w:val="21"/>
              </w:rPr>
              <w:t>2.服务质量达到招标文件要求。</w:t>
            </w:r>
          </w:p>
          <w:p w14:paraId="5870F8CE">
            <w:pPr>
              <w:adjustRightInd/>
              <w:snapToGrid/>
              <w:spacing w:line="240" w:lineRule="auto"/>
              <w:rPr>
                <w:rFonts w:hAnsi="宋体"/>
                <w:bCs/>
                <w:szCs w:val="21"/>
              </w:rPr>
            </w:pPr>
            <w:r>
              <w:rPr>
                <w:rFonts w:hint="eastAsia" w:hAnsi="宋体"/>
                <w:bCs/>
                <w:szCs w:val="21"/>
              </w:rPr>
              <w:t>3.对未能达到的管理要求承担管理责任。</w:t>
            </w:r>
          </w:p>
          <w:p w14:paraId="196A49B8">
            <w:pPr>
              <w:adjustRightInd/>
              <w:snapToGrid/>
              <w:spacing w:line="240" w:lineRule="auto"/>
              <w:rPr>
                <w:rFonts w:hAnsi="宋体"/>
                <w:b/>
                <w:szCs w:val="21"/>
              </w:rPr>
            </w:pPr>
            <w:r>
              <w:rPr>
                <w:rFonts w:hint="eastAsia" w:hAnsi="宋体"/>
                <w:b/>
                <w:szCs w:val="21"/>
              </w:rPr>
              <w:t>评分依据：</w:t>
            </w:r>
          </w:p>
          <w:p w14:paraId="61575BAA">
            <w:pPr>
              <w:adjustRightInd/>
              <w:snapToGrid/>
              <w:spacing w:line="240" w:lineRule="auto"/>
              <w:rPr>
                <w:rFonts w:hAnsi="宋体"/>
                <w:szCs w:val="21"/>
              </w:rPr>
            </w:pPr>
            <w:r>
              <w:rPr>
                <w:rFonts w:hint="eastAsia" w:hAnsi="宋体"/>
                <w:bCs/>
                <w:szCs w:val="21"/>
              </w:rPr>
              <w:t>要求投标人提供承诺函（格式自定）作为得分依据，提供以上全部承诺得5分，未提供全部承诺函或内容不满足要求不得分。</w:t>
            </w:r>
          </w:p>
        </w:tc>
      </w:tr>
      <w:tr w14:paraId="0A0A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0" w:hRule="atLeast"/>
          <w:jc w:val="center"/>
        </w:trPr>
        <w:tc>
          <w:tcPr>
            <w:tcW w:w="51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B6B1A98">
            <w:pPr>
              <w:shd w:val="clear" w:color="auto" w:fill="FFFFFF" w:themeFill="background1"/>
              <w:jc w:val="center"/>
              <w:rPr>
                <w:rFonts w:hAnsi="宋体"/>
                <w:b/>
                <w:szCs w:val="21"/>
              </w:rPr>
            </w:pPr>
            <w:r>
              <w:rPr>
                <w:rFonts w:hint="eastAsia" w:hAnsi="宋体"/>
                <w:b/>
                <w:szCs w:val="21"/>
              </w:rPr>
              <w:t>3</w:t>
            </w:r>
          </w:p>
        </w:tc>
        <w:tc>
          <w:tcPr>
            <w:tcW w:w="2751" w:type="dxa"/>
            <w:gridSpan w:val="3"/>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BFF1421">
            <w:pPr>
              <w:shd w:val="clear" w:color="auto" w:fill="FFFFFF" w:themeFill="background1"/>
              <w:jc w:val="center"/>
              <w:rPr>
                <w:rFonts w:hAnsi="宋体"/>
                <w:b/>
                <w:szCs w:val="21"/>
              </w:rPr>
            </w:pPr>
            <w:r>
              <w:rPr>
                <w:rFonts w:hint="eastAsia" w:hAnsi="宋体"/>
                <w:b/>
                <w:szCs w:val="21"/>
              </w:rPr>
              <w:t>商务部分</w:t>
            </w:r>
          </w:p>
        </w:tc>
        <w:tc>
          <w:tcPr>
            <w:tcW w:w="56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5724FC8">
            <w:pPr>
              <w:shd w:val="clear" w:color="auto" w:fill="FFFFFF" w:themeFill="background1"/>
              <w:jc w:val="center"/>
              <w:rPr>
                <w:rFonts w:hAnsi="宋体"/>
                <w:b/>
                <w:szCs w:val="21"/>
              </w:rPr>
            </w:pPr>
            <w:r>
              <w:rPr>
                <w:rFonts w:hint="eastAsia" w:hAnsi="宋体"/>
                <w:b/>
                <w:szCs w:val="21"/>
              </w:rPr>
              <w:t>40</w:t>
            </w:r>
          </w:p>
        </w:tc>
      </w:tr>
      <w:tr w14:paraId="561AF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0" w:hRule="atLeast"/>
          <w:jc w:val="center"/>
        </w:trPr>
        <w:tc>
          <w:tcPr>
            <w:tcW w:w="519" w:type="dxa"/>
            <w:vMerge w:val="restart"/>
            <w:tcBorders>
              <w:top w:val="single" w:color="auto" w:sz="4" w:space="0"/>
              <w:left w:val="single" w:color="auto" w:sz="4" w:space="0"/>
              <w:right w:val="single" w:color="auto" w:sz="4" w:space="0"/>
            </w:tcBorders>
            <w:shd w:val="clear" w:color="auto" w:fill="FFFFFF" w:themeFill="background1"/>
            <w:vAlign w:val="center"/>
          </w:tcPr>
          <w:p w14:paraId="586C6E19">
            <w:pPr>
              <w:shd w:val="clear" w:color="auto" w:fill="FFFFFF" w:themeFill="background1"/>
              <w:jc w:val="center"/>
              <w:rPr>
                <w:rFonts w:hAnsi="宋体"/>
                <w:b/>
                <w:szCs w:val="21"/>
              </w:rPr>
            </w:pPr>
          </w:p>
        </w:tc>
        <w:tc>
          <w:tcPr>
            <w:tcW w:w="63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ABAD998">
            <w:pPr>
              <w:shd w:val="clear" w:color="auto" w:fill="FFFFFF" w:themeFill="background1"/>
              <w:ind w:left="-42" w:leftChars="-20" w:right="-115" w:rightChars="-55"/>
              <w:jc w:val="center"/>
              <w:rPr>
                <w:rFonts w:hAnsi="宋体"/>
                <w:b/>
                <w:szCs w:val="21"/>
              </w:rPr>
            </w:pPr>
            <w:r>
              <w:rPr>
                <w:rFonts w:hint="eastAsia" w:hAnsi="宋体"/>
                <w:b/>
                <w:szCs w:val="21"/>
              </w:rPr>
              <w:t>序号</w:t>
            </w:r>
          </w:p>
        </w:tc>
        <w:tc>
          <w:tcPr>
            <w:tcW w:w="14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4E7A8B7">
            <w:pPr>
              <w:shd w:val="clear" w:color="auto" w:fill="FFFFFF" w:themeFill="background1"/>
              <w:jc w:val="center"/>
              <w:rPr>
                <w:rFonts w:hAnsi="宋体"/>
                <w:b/>
                <w:bCs/>
                <w:sz w:val="28"/>
                <w:szCs w:val="21"/>
              </w:rPr>
            </w:pPr>
            <w:r>
              <w:rPr>
                <w:rFonts w:hint="eastAsia" w:hAnsi="宋体"/>
                <w:b/>
                <w:szCs w:val="21"/>
              </w:rPr>
              <w:t>评分因素</w:t>
            </w:r>
          </w:p>
        </w:tc>
        <w:tc>
          <w:tcPr>
            <w:tcW w:w="63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718C4B0">
            <w:pPr>
              <w:shd w:val="clear" w:color="auto" w:fill="FFFFFF" w:themeFill="background1"/>
              <w:jc w:val="center"/>
              <w:rPr>
                <w:rFonts w:hAnsi="宋体"/>
                <w:b/>
                <w:szCs w:val="21"/>
              </w:rPr>
            </w:pPr>
            <w:r>
              <w:rPr>
                <w:rFonts w:hint="eastAsia" w:hAnsi="宋体"/>
                <w:b/>
                <w:szCs w:val="21"/>
              </w:rPr>
              <w:t>分值</w:t>
            </w:r>
          </w:p>
        </w:tc>
        <w:tc>
          <w:tcPr>
            <w:tcW w:w="5668"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52A36CF">
            <w:pPr>
              <w:shd w:val="clear" w:color="auto" w:fill="FFFFFF" w:themeFill="background1"/>
              <w:jc w:val="center"/>
              <w:rPr>
                <w:rFonts w:hAnsi="宋体"/>
                <w:b/>
                <w:szCs w:val="21"/>
              </w:rPr>
            </w:pPr>
            <w:r>
              <w:rPr>
                <w:rFonts w:hint="eastAsia" w:hAnsi="宋体"/>
                <w:b/>
                <w:szCs w:val="21"/>
              </w:rPr>
              <w:t>评分准则</w:t>
            </w:r>
          </w:p>
        </w:tc>
      </w:tr>
      <w:tr w14:paraId="53CF4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0" w:hRule="atLeast"/>
          <w:jc w:val="center"/>
        </w:trPr>
        <w:tc>
          <w:tcPr>
            <w:tcW w:w="519" w:type="dxa"/>
            <w:vMerge w:val="continue"/>
            <w:tcBorders>
              <w:left w:val="single" w:color="auto" w:sz="4" w:space="0"/>
              <w:right w:val="single" w:color="auto" w:sz="4" w:space="0"/>
            </w:tcBorders>
            <w:shd w:val="clear" w:color="auto" w:fill="FFFFFF" w:themeFill="background1"/>
            <w:vAlign w:val="center"/>
          </w:tcPr>
          <w:p w14:paraId="18F837D4">
            <w:pPr>
              <w:shd w:val="clear" w:color="auto" w:fill="FFFFFF" w:themeFill="background1"/>
              <w:jc w:val="left"/>
              <w:rPr>
                <w:rFonts w:hAnsi="宋体"/>
                <w:szCs w:val="21"/>
              </w:rPr>
            </w:pPr>
          </w:p>
        </w:tc>
        <w:tc>
          <w:tcPr>
            <w:tcW w:w="63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67BD888D">
            <w:pPr>
              <w:shd w:val="clear" w:color="auto" w:fill="FFFFFF" w:themeFill="background1"/>
              <w:jc w:val="center"/>
              <w:rPr>
                <w:rFonts w:hAnsi="宋体"/>
                <w:szCs w:val="21"/>
              </w:rPr>
            </w:pPr>
            <w:r>
              <w:rPr>
                <w:rFonts w:hint="eastAsia" w:hAnsi="宋体"/>
                <w:szCs w:val="21"/>
              </w:rPr>
              <w:t>1</w:t>
            </w:r>
          </w:p>
        </w:tc>
        <w:tc>
          <w:tcPr>
            <w:tcW w:w="14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A5891E9">
            <w:pPr>
              <w:spacing w:line="240" w:lineRule="auto"/>
              <w:jc w:val="center"/>
              <w:textAlignment w:val="baseline"/>
              <w:rPr>
                <w:rFonts w:hAnsi="宋体"/>
                <w:szCs w:val="21"/>
              </w:rPr>
            </w:pPr>
            <w:r>
              <w:rPr>
                <w:rFonts w:hint="eastAsia" w:hAnsi="宋体"/>
                <w:kern w:val="2"/>
                <w:szCs w:val="21"/>
                <w:lang w:eastAsia="zh-Hans" w:bidi="ar"/>
              </w:rPr>
              <w:t>投标人同类项目业绩情况</w:t>
            </w:r>
          </w:p>
        </w:tc>
        <w:tc>
          <w:tcPr>
            <w:tcW w:w="63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62FC791">
            <w:pPr>
              <w:shd w:val="clear" w:color="auto" w:fill="FFFFFF" w:themeFill="background1"/>
              <w:jc w:val="center"/>
              <w:rPr>
                <w:rFonts w:hAnsi="宋体"/>
                <w:szCs w:val="21"/>
              </w:rPr>
            </w:pPr>
            <w:r>
              <w:rPr>
                <w:rFonts w:hint="eastAsia" w:hAnsi="宋体"/>
                <w:szCs w:val="21"/>
              </w:rPr>
              <w:t>10</w:t>
            </w:r>
          </w:p>
        </w:tc>
        <w:tc>
          <w:tcPr>
            <w:tcW w:w="5668" w:type="dxa"/>
            <w:tcBorders>
              <w:top w:val="single" w:color="auto" w:sz="4" w:space="0"/>
              <w:left w:val="single" w:color="auto" w:sz="4" w:space="0"/>
              <w:bottom w:val="single" w:color="auto" w:sz="4" w:space="0"/>
              <w:right w:val="single" w:color="auto" w:sz="4" w:space="0"/>
            </w:tcBorders>
            <w:shd w:val="clear" w:color="auto" w:fill="FFFFFF" w:themeFill="background1"/>
          </w:tcPr>
          <w:p w14:paraId="11FE0EC4">
            <w:pPr>
              <w:adjustRightInd/>
              <w:snapToGrid/>
              <w:spacing w:line="240" w:lineRule="auto"/>
              <w:rPr>
                <w:rFonts w:hAnsi="宋体"/>
                <w:b/>
                <w:szCs w:val="21"/>
              </w:rPr>
            </w:pPr>
            <w:r>
              <w:rPr>
                <w:rFonts w:hint="eastAsia" w:hAnsi="宋体"/>
                <w:b/>
                <w:szCs w:val="21"/>
              </w:rPr>
              <w:t>评分内容：</w:t>
            </w:r>
          </w:p>
          <w:p w14:paraId="24D8220A">
            <w:pPr>
              <w:adjustRightInd/>
              <w:snapToGrid/>
              <w:spacing w:line="240" w:lineRule="auto"/>
              <w:rPr>
                <w:rFonts w:hAnsi="宋体"/>
                <w:bCs/>
                <w:szCs w:val="21"/>
              </w:rPr>
            </w:pPr>
            <w:r>
              <w:rPr>
                <w:rFonts w:hint="eastAsia" w:hAnsi="宋体"/>
                <w:bCs/>
                <w:szCs w:val="21"/>
              </w:rPr>
              <w:t>考察参评人2022年1月1日至本项目开标之日(以合同签订时间为准）的同类项目业绩，每提供一个得 5 分，最高得 10 分。</w:t>
            </w:r>
          </w:p>
          <w:p w14:paraId="223BFC9B">
            <w:pPr>
              <w:adjustRightInd/>
              <w:snapToGrid/>
              <w:spacing w:line="240" w:lineRule="auto"/>
              <w:rPr>
                <w:rFonts w:hAnsi="宋体"/>
                <w:b/>
                <w:szCs w:val="21"/>
              </w:rPr>
            </w:pPr>
            <w:r>
              <w:rPr>
                <w:rFonts w:hint="eastAsia" w:hAnsi="宋体"/>
                <w:b/>
                <w:szCs w:val="21"/>
              </w:rPr>
              <w:t>评分依据：</w:t>
            </w:r>
          </w:p>
          <w:p w14:paraId="7CD2C8D1">
            <w:pPr>
              <w:adjustRightInd/>
              <w:snapToGrid/>
              <w:spacing w:line="240" w:lineRule="auto"/>
              <w:rPr>
                <w:rFonts w:hAnsi="宋体"/>
                <w:bCs/>
                <w:szCs w:val="21"/>
              </w:rPr>
            </w:pPr>
            <w:r>
              <w:rPr>
                <w:rFonts w:hint="eastAsia" w:hAnsi="宋体"/>
                <w:bCs/>
                <w:szCs w:val="21"/>
              </w:rPr>
              <w:t>1.要求提供合同关键信息作为得分依据。</w:t>
            </w:r>
          </w:p>
          <w:p w14:paraId="6852CD0C">
            <w:pPr>
              <w:adjustRightInd/>
              <w:snapToGrid/>
              <w:spacing w:line="240" w:lineRule="auto"/>
              <w:rPr>
                <w:rFonts w:hAnsi="宋体"/>
                <w:bCs/>
                <w:szCs w:val="21"/>
              </w:rPr>
            </w:pPr>
            <w:r>
              <w:rPr>
                <w:rFonts w:hint="eastAsia" w:hAnsi="宋体"/>
                <w:bCs/>
                <w:szCs w:val="21"/>
              </w:rPr>
              <w:t>2.通过合同关键信息无法判断是否得分的，还须同时提供能证明得分的其它证明资料，如项目报告或合同甲方出具的证明文件等。</w:t>
            </w:r>
          </w:p>
          <w:p w14:paraId="435AABE5">
            <w:pPr>
              <w:adjustRightInd/>
              <w:snapToGrid/>
              <w:spacing w:line="240" w:lineRule="auto"/>
              <w:rPr>
                <w:rFonts w:hAnsi="宋体"/>
                <w:bCs/>
                <w:szCs w:val="21"/>
              </w:rPr>
            </w:pPr>
            <w:r>
              <w:rPr>
                <w:rFonts w:hint="eastAsia" w:hAnsi="宋体"/>
                <w:bCs/>
                <w:szCs w:val="21"/>
              </w:rPr>
              <w:t>3.以上资料均要求提供复印件加盖投标人公章，原件备查。评分中出现无证明资料或专家无法凭所提供资料判断是否得分的情况，一律作不得分处理。</w:t>
            </w:r>
          </w:p>
          <w:p w14:paraId="666429F4">
            <w:pPr>
              <w:shd w:val="clear" w:color="auto" w:fill="FFFFFF" w:themeFill="background1"/>
              <w:spacing w:line="276" w:lineRule="auto"/>
              <w:jc w:val="left"/>
              <w:rPr>
                <w:rFonts w:hAnsi="宋体"/>
              </w:rPr>
            </w:pPr>
            <w:r>
              <w:rPr>
                <w:rFonts w:hint="eastAsia" w:hAnsi="宋体"/>
                <w:bCs/>
                <w:szCs w:val="21"/>
              </w:rPr>
              <w:t>4.续签类合同只做为一个有效合同参与评分。</w:t>
            </w:r>
          </w:p>
        </w:tc>
      </w:tr>
      <w:tr w14:paraId="40DA9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19" w:type="dxa"/>
            <w:vMerge w:val="continue"/>
            <w:tcBorders>
              <w:left w:val="single" w:color="auto" w:sz="4" w:space="0"/>
              <w:right w:val="single" w:color="auto" w:sz="4" w:space="0"/>
            </w:tcBorders>
            <w:shd w:val="clear" w:color="auto" w:fill="FFFFFF" w:themeFill="background1"/>
            <w:vAlign w:val="center"/>
          </w:tcPr>
          <w:p w14:paraId="0C908EEC">
            <w:pPr>
              <w:shd w:val="clear" w:color="auto" w:fill="FFFFFF" w:themeFill="background1"/>
              <w:jc w:val="left"/>
              <w:rPr>
                <w:rFonts w:hAnsi="宋体"/>
                <w:szCs w:val="21"/>
              </w:rPr>
            </w:pPr>
          </w:p>
        </w:tc>
        <w:tc>
          <w:tcPr>
            <w:tcW w:w="63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2BEAAFA0">
            <w:pPr>
              <w:shd w:val="clear" w:color="auto" w:fill="FFFFFF" w:themeFill="background1"/>
              <w:jc w:val="center"/>
              <w:rPr>
                <w:rFonts w:hAnsi="宋体"/>
                <w:szCs w:val="21"/>
              </w:rPr>
            </w:pPr>
            <w:r>
              <w:rPr>
                <w:rFonts w:hint="eastAsia" w:hAnsi="宋体"/>
                <w:szCs w:val="21"/>
              </w:rPr>
              <w:t>2</w:t>
            </w:r>
          </w:p>
        </w:tc>
        <w:tc>
          <w:tcPr>
            <w:tcW w:w="14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0388C5F">
            <w:pPr>
              <w:spacing w:line="240" w:lineRule="auto"/>
              <w:jc w:val="center"/>
              <w:rPr>
                <w:rFonts w:hAnsi="宋体"/>
                <w:szCs w:val="21"/>
              </w:rPr>
            </w:pPr>
            <w:r>
              <w:rPr>
                <w:rFonts w:hint="eastAsia" w:hAnsi="宋体"/>
                <w:kern w:val="2"/>
                <w:szCs w:val="21"/>
                <w:lang w:bidi="ar"/>
              </w:rPr>
              <w:t>投标人通过相关认证情况</w:t>
            </w:r>
          </w:p>
        </w:tc>
        <w:tc>
          <w:tcPr>
            <w:tcW w:w="63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9A5E4E5">
            <w:pPr>
              <w:shd w:val="clear" w:color="auto" w:fill="FFFFFF" w:themeFill="background1"/>
              <w:jc w:val="center"/>
              <w:rPr>
                <w:rFonts w:hAnsi="宋体"/>
                <w:szCs w:val="21"/>
              </w:rPr>
            </w:pPr>
            <w:r>
              <w:rPr>
                <w:rFonts w:hint="eastAsia" w:hAnsi="宋体"/>
                <w:szCs w:val="21"/>
              </w:rPr>
              <w:t>9</w:t>
            </w:r>
          </w:p>
        </w:tc>
        <w:tc>
          <w:tcPr>
            <w:tcW w:w="5668" w:type="dxa"/>
            <w:tcBorders>
              <w:top w:val="single" w:color="auto" w:sz="4" w:space="0"/>
              <w:left w:val="single" w:color="auto" w:sz="4" w:space="0"/>
              <w:bottom w:val="single" w:color="auto" w:sz="4" w:space="0"/>
              <w:right w:val="single" w:color="auto" w:sz="4" w:space="0"/>
            </w:tcBorders>
            <w:shd w:val="clear" w:color="auto" w:fill="FFFFFF" w:themeFill="background1"/>
          </w:tcPr>
          <w:p w14:paraId="78803A0E">
            <w:pPr>
              <w:wordWrap w:val="0"/>
              <w:spacing w:line="240" w:lineRule="auto"/>
              <w:rPr>
                <w:rFonts w:hAnsi="宋体"/>
                <w:szCs w:val="21"/>
                <w:lang w:val="zh-CN"/>
              </w:rPr>
            </w:pPr>
            <w:r>
              <w:rPr>
                <w:rFonts w:hint="eastAsia" w:hAnsi="宋体"/>
                <w:b/>
                <w:bCs/>
                <w:szCs w:val="21"/>
                <w:lang w:val="zh-CN"/>
              </w:rPr>
              <w:t>评分内容：</w:t>
            </w:r>
            <w:r>
              <w:rPr>
                <w:rFonts w:hint="eastAsia" w:hAnsi="宋体"/>
                <w:szCs w:val="21"/>
                <w:lang w:val="zh-CN"/>
              </w:rPr>
              <w:t xml:space="preserve"> </w:t>
            </w:r>
          </w:p>
          <w:p w14:paraId="61BA40B8">
            <w:pPr>
              <w:spacing w:line="240" w:lineRule="auto"/>
              <w:rPr>
                <w:rFonts w:hAnsi="宋体"/>
                <w:szCs w:val="21"/>
              </w:rPr>
            </w:pPr>
            <w:r>
              <w:rPr>
                <w:rFonts w:hint="eastAsia" w:hAnsi="宋体"/>
                <w:szCs w:val="21"/>
                <w:lang w:val="zh-CN"/>
              </w:rPr>
              <w:t>投标人具有</w:t>
            </w:r>
            <w:r>
              <w:rPr>
                <w:rFonts w:hint="eastAsia" w:hAnsi="宋体"/>
                <w:szCs w:val="21"/>
              </w:rPr>
              <w:t>以下有效期内认证：</w:t>
            </w:r>
          </w:p>
          <w:p w14:paraId="2060C748">
            <w:pPr>
              <w:spacing w:line="240" w:lineRule="auto"/>
              <w:rPr>
                <w:rFonts w:hAnsi="宋体"/>
                <w:szCs w:val="21"/>
                <w:lang w:val="zh-CN"/>
              </w:rPr>
            </w:pPr>
            <w:r>
              <w:rPr>
                <w:rFonts w:hint="eastAsia" w:hAnsi="宋体"/>
                <w:szCs w:val="21"/>
              </w:rPr>
              <w:t>1.</w:t>
            </w:r>
            <w:r>
              <w:rPr>
                <w:rFonts w:hint="eastAsia" w:hAnsi="宋体"/>
                <w:szCs w:val="21"/>
                <w:lang w:val="zh-CN"/>
              </w:rPr>
              <w:t>质量管理体系认证证书；</w:t>
            </w:r>
          </w:p>
          <w:p w14:paraId="120D22F5">
            <w:pPr>
              <w:spacing w:line="240" w:lineRule="auto"/>
              <w:rPr>
                <w:rFonts w:hAnsi="宋体"/>
                <w:szCs w:val="21"/>
                <w:lang w:val="zh-CN"/>
              </w:rPr>
            </w:pPr>
            <w:r>
              <w:rPr>
                <w:rFonts w:hint="eastAsia" w:hAnsi="宋体"/>
                <w:szCs w:val="21"/>
              </w:rPr>
              <w:t>2.</w:t>
            </w:r>
            <w:r>
              <w:rPr>
                <w:rFonts w:hint="eastAsia" w:hAnsi="宋体"/>
                <w:szCs w:val="21"/>
                <w:lang w:val="zh-CN"/>
              </w:rPr>
              <w:t>环境管理体系认证证书；</w:t>
            </w:r>
          </w:p>
          <w:p w14:paraId="3C90A8EC">
            <w:pPr>
              <w:spacing w:line="240" w:lineRule="auto"/>
              <w:rPr>
                <w:rFonts w:hAnsi="宋体"/>
                <w:szCs w:val="21"/>
                <w:lang w:val="zh-CN"/>
              </w:rPr>
            </w:pPr>
            <w:r>
              <w:rPr>
                <w:rFonts w:hint="eastAsia" w:hAnsi="宋体"/>
                <w:szCs w:val="21"/>
              </w:rPr>
              <w:t>3.</w:t>
            </w:r>
            <w:r>
              <w:rPr>
                <w:rFonts w:hint="eastAsia" w:hAnsi="宋体"/>
                <w:szCs w:val="21"/>
                <w:lang w:val="zh-CN"/>
              </w:rPr>
              <w:t>职业健康安全管理体系认证证书；</w:t>
            </w:r>
          </w:p>
          <w:p w14:paraId="7DFD0009">
            <w:pPr>
              <w:spacing w:line="240" w:lineRule="auto"/>
              <w:rPr>
                <w:rFonts w:hAnsi="宋体"/>
                <w:szCs w:val="21"/>
                <w:lang w:val="zh-CN"/>
              </w:rPr>
            </w:pPr>
            <w:r>
              <w:rPr>
                <w:rFonts w:hint="eastAsia" w:hAnsi="宋体"/>
                <w:szCs w:val="21"/>
                <w:lang w:val="zh-CN"/>
              </w:rPr>
              <w:t>每提供一项得</w:t>
            </w:r>
            <w:r>
              <w:rPr>
                <w:rFonts w:hint="eastAsia" w:hAnsi="宋体"/>
                <w:szCs w:val="21"/>
              </w:rPr>
              <w:t>3</w:t>
            </w:r>
            <w:r>
              <w:rPr>
                <w:rFonts w:hint="eastAsia" w:hAnsi="宋体"/>
                <w:szCs w:val="21"/>
                <w:lang w:val="zh-CN"/>
              </w:rPr>
              <w:t>分，本项累计最高得</w:t>
            </w:r>
            <w:r>
              <w:rPr>
                <w:rFonts w:hint="eastAsia" w:hAnsi="宋体"/>
                <w:szCs w:val="21"/>
              </w:rPr>
              <w:t>9</w:t>
            </w:r>
            <w:r>
              <w:rPr>
                <w:rFonts w:hint="eastAsia" w:hAnsi="宋体"/>
                <w:szCs w:val="21"/>
                <w:lang w:val="zh-CN"/>
              </w:rPr>
              <w:t>分。</w:t>
            </w:r>
          </w:p>
          <w:p w14:paraId="4E5D44C1">
            <w:pPr>
              <w:wordWrap w:val="0"/>
              <w:spacing w:line="240" w:lineRule="auto"/>
              <w:rPr>
                <w:rFonts w:hAnsi="宋体"/>
                <w:b/>
                <w:bCs/>
                <w:szCs w:val="21"/>
                <w:lang w:val="zh-CN"/>
              </w:rPr>
            </w:pPr>
            <w:r>
              <w:rPr>
                <w:rFonts w:hint="eastAsia" w:hAnsi="宋体"/>
                <w:b/>
                <w:bCs/>
                <w:szCs w:val="21"/>
                <w:lang w:val="zh-CN"/>
              </w:rPr>
              <w:t xml:space="preserve">评分依据： </w:t>
            </w:r>
          </w:p>
          <w:p w14:paraId="29F52090">
            <w:pPr>
              <w:spacing w:line="240" w:lineRule="auto"/>
              <w:rPr>
                <w:rFonts w:hAnsi="宋体"/>
                <w:szCs w:val="21"/>
                <w:lang w:val="zh-CN"/>
              </w:rPr>
            </w:pPr>
            <w:r>
              <w:rPr>
                <w:rFonts w:hint="eastAsia" w:hAnsi="宋体"/>
                <w:szCs w:val="21"/>
                <w:lang w:val="zh-CN"/>
              </w:rPr>
              <w:t>1、提供有效的认证证书</w:t>
            </w:r>
            <w:r>
              <w:rPr>
                <w:rFonts w:hint="eastAsia" w:hAnsi="宋体"/>
                <w:szCs w:val="21"/>
              </w:rPr>
              <w:t>复印</w:t>
            </w:r>
            <w:r>
              <w:rPr>
                <w:rFonts w:hint="eastAsia" w:hAnsi="宋体"/>
                <w:szCs w:val="21"/>
                <w:lang w:val="zh-CN"/>
              </w:rPr>
              <w:t>件及出具证书官网或全国认证认可信息公共服务平台（http://cx.cnca.cn/）的证书查询记录。认证证书在公开渠道无法查询的，需提供颁发机构的证明材料，证明证书真实有效。</w:t>
            </w:r>
          </w:p>
          <w:p w14:paraId="5E4EF94C">
            <w:pPr>
              <w:adjustRightInd/>
              <w:snapToGrid/>
              <w:spacing w:line="240" w:lineRule="auto"/>
              <w:rPr>
                <w:rFonts w:hAnsi="宋体"/>
                <w:szCs w:val="21"/>
              </w:rPr>
            </w:pPr>
            <w:r>
              <w:rPr>
                <w:rFonts w:hint="eastAsia" w:hAnsi="宋体"/>
                <w:szCs w:val="21"/>
                <w:lang w:val="zh-CN"/>
              </w:rPr>
              <w:t>2、以上资料均要求提供</w:t>
            </w:r>
            <w:r>
              <w:rPr>
                <w:rFonts w:hint="eastAsia" w:hAnsi="宋体"/>
                <w:szCs w:val="21"/>
              </w:rPr>
              <w:t>复印</w:t>
            </w:r>
            <w:r>
              <w:rPr>
                <w:rFonts w:hint="eastAsia" w:hAnsi="宋体"/>
                <w:szCs w:val="21"/>
                <w:lang w:val="zh-CN"/>
              </w:rPr>
              <w:t>件（或官方网站截图）加盖投标人公章。评分中出现无证明资料或专家无法凭所提供资料判断是否得分的情况，一律作不得分处理。</w:t>
            </w:r>
          </w:p>
        </w:tc>
      </w:tr>
      <w:tr w14:paraId="0CBF7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19" w:type="dxa"/>
            <w:vMerge w:val="continue"/>
            <w:tcBorders>
              <w:left w:val="single" w:color="auto" w:sz="4" w:space="0"/>
              <w:right w:val="single" w:color="auto" w:sz="4" w:space="0"/>
            </w:tcBorders>
            <w:shd w:val="clear" w:color="auto" w:fill="FFFFFF" w:themeFill="background1"/>
            <w:vAlign w:val="center"/>
          </w:tcPr>
          <w:p w14:paraId="45AF6B3A">
            <w:pPr>
              <w:shd w:val="clear" w:color="auto" w:fill="FFFFFF" w:themeFill="background1"/>
              <w:jc w:val="left"/>
              <w:rPr>
                <w:rFonts w:hAnsi="宋体"/>
                <w:szCs w:val="21"/>
              </w:rPr>
            </w:pPr>
          </w:p>
        </w:tc>
        <w:tc>
          <w:tcPr>
            <w:tcW w:w="63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4FC76EB">
            <w:pPr>
              <w:shd w:val="clear" w:color="auto" w:fill="FFFFFF" w:themeFill="background1"/>
              <w:jc w:val="center"/>
              <w:rPr>
                <w:rFonts w:hAnsi="宋体"/>
                <w:szCs w:val="21"/>
              </w:rPr>
            </w:pPr>
            <w:r>
              <w:rPr>
                <w:rFonts w:hint="eastAsia" w:hAnsi="宋体"/>
                <w:szCs w:val="21"/>
              </w:rPr>
              <w:t>3</w:t>
            </w:r>
          </w:p>
        </w:tc>
        <w:tc>
          <w:tcPr>
            <w:tcW w:w="14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91DB648">
            <w:pPr>
              <w:spacing w:line="240" w:lineRule="auto"/>
              <w:jc w:val="center"/>
              <w:rPr>
                <w:rFonts w:hAnsi="宋体"/>
                <w:szCs w:val="21"/>
              </w:rPr>
            </w:pPr>
            <w:r>
              <w:rPr>
                <w:rFonts w:hint="eastAsia" w:hAnsi="宋体"/>
                <w:kern w:val="2"/>
                <w:szCs w:val="21"/>
                <w:lang w:bidi="ar"/>
              </w:rPr>
              <w:t>拟安排项目</w:t>
            </w:r>
            <w:r>
              <w:rPr>
                <w:rFonts w:hint="eastAsia" w:hAnsi="宋体"/>
                <w:kern w:val="2"/>
                <w:szCs w:val="21"/>
                <w:lang w:eastAsia="zh-Hans" w:bidi="ar"/>
              </w:rPr>
              <w:t>团队负责人</w:t>
            </w:r>
            <w:r>
              <w:rPr>
                <w:rFonts w:hint="eastAsia" w:hAnsi="宋体"/>
                <w:kern w:val="2"/>
                <w:szCs w:val="21"/>
                <w:lang w:bidi="ar"/>
              </w:rPr>
              <w:t>情况</w:t>
            </w:r>
          </w:p>
        </w:tc>
        <w:tc>
          <w:tcPr>
            <w:tcW w:w="63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7A41BC2F">
            <w:pPr>
              <w:shd w:val="clear" w:color="auto" w:fill="FFFFFF" w:themeFill="background1"/>
              <w:jc w:val="center"/>
              <w:rPr>
                <w:rFonts w:hAnsi="宋体"/>
                <w:szCs w:val="21"/>
              </w:rPr>
            </w:pPr>
            <w:r>
              <w:rPr>
                <w:rFonts w:hint="eastAsia" w:hAnsi="宋体"/>
                <w:szCs w:val="21"/>
              </w:rPr>
              <w:t>7</w:t>
            </w:r>
          </w:p>
        </w:tc>
        <w:tc>
          <w:tcPr>
            <w:tcW w:w="5668" w:type="dxa"/>
            <w:tcBorders>
              <w:top w:val="single" w:color="auto" w:sz="4" w:space="0"/>
              <w:left w:val="single" w:color="auto" w:sz="4" w:space="0"/>
              <w:bottom w:val="single" w:color="auto" w:sz="4" w:space="0"/>
              <w:right w:val="single" w:color="auto" w:sz="4" w:space="0"/>
            </w:tcBorders>
            <w:shd w:val="clear" w:color="auto" w:fill="FFFFFF" w:themeFill="background1"/>
          </w:tcPr>
          <w:p w14:paraId="1DE2CB59">
            <w:pPr>
              <w:shd w:val="clear" w:color="auto" w:fill="FFFFFF" w:themeFill="background1"/>
              <w:adjustRightInd/>
              <w:snapToGrid/>
              <w:spacing w:line="276" w:lineRule="auto"/>
              <w:jc w:val="left"/>
              <w:rPr>
                <w:rFonts w:hAnsi="宋体"/>
                <w:b/>
                <w:bCs/>
                <w:szCs w:val="21"/>
                <w:lang w:val="zh-CN"/>
              </w:rPr>
            </w:pPr>
            <w:r>
              <w:rPr>
                <w:rFonts w:hint="eastAsia" w:hAnsi="宋体"/>
                <w:b/>
                <w:bCs/>
                <w:szCs w:val="21"/>
                <w:lang w:val="zh-CN"/>
              </w:rPr>
              <w:t>评分内容：</w:t>
            </w:r>
          </w:p>
          <w:p w14:paraId="5D4317E7">
            <w:pPr>
              <w:shd w:val="clear" w:color="auto" w:fill="FFFFFF" w:themeFill="background1"/>
              <w:adjustRightInd/>
              <w:snapToGrid/>
              <w:spacing w:line="276" w:lineRule="auto"/>
              <w:jc w:val="left"/>
              <w:rPr>
                <w:rFonts w:hAnsi="宋体"/>
                <w:szCs w:val="21"/>
                <w:lang w:val="zh-CN" w:eastAsia="zh-Hans"/>
              </w:rPr>
            </w:pPr>
            <w:r>
              <w:rPr>
                <w:rFonts w:hint="eastAsia" w:hAnsi="宋体"/>
                <w:szCs w:val="21"/>
              </w:rPr>
              <w:t>1.</w:t>
            </w:r>
            <w:r>
              <w:rPr>
                <w:rFonts w:hint="eastAsia" w:hAnsi="宋体"/>
                <w:szCs w:val="21"/>
                <w:lang w:val="zh-CN" w:eastAsia="zh-Hans"/>
              </w:rPr>
              <w:t>团队负责人</w:t>
            </w:r>
            <w:r>
              <w:rPr>
                <w:rFonts w:hint="eastAsia" w:hAnsi="宋体"/>
                <w:szCs w:val="21"/>
                <w:lang w:val="zh-CN"/>
              </w:rPr>
              <w:t>具有建设部人事教育司或全国城建中心颁发的物业管理经理岗位证</w:t>
            </w:r>
            <w:r>
              <w:rPr>
                <w:rFonts w:hint="eastAsia" w:hAnsi="宋体"/>
                <w:szCs w:val="21"/>
                <w:lang w:val="zh-CN" w:eastAsia="zh-Hans"/>
              </w:rPr>
              <w:t>，</w:t>
            </w:r>
            <w:r>
              <w:rPr>
                <w:rFonts w:hint="eastAsia" w:hAnsi="宋体"/>
                <w:szCs w:val="21"/>
              </w:rPr>
              <w:t>得3</w:t>
            </w:r>
            <w:r>
              <w:rPr>
                <w:rFonts w:hint="eastAsia" w:hAnsi="宋体"/>
                <w:szCs w:val="21"/>
                <w:lang w:val="zh-CN" w:eastAsia="zh-Hans"/>
              </w:rPr>
              <w:t>分；</w:t>
            </w:r>
          </w:p>
          <w:p w14:paraId="072995FF">
            <w:pPr>
              <w:shd w:val="clear" w:color="auto" w:fill="FFFFFF" w:themeFill="background1"/>
              <w:adjustRightInd/>
              <w:snapToGrid/>
              <w:spacing w:line="276" w:lineRule="auto"/>
              <w:jc w:val="left"/>
              <w:rPr>
                <w:rFonts w:hAnsi="宋体"/>
                <w:szCs w:val="21"/>
              </w:rPr>
            </w:pPr>
            <w:r>
              <w:rPr>
                <w:rFonts w:hint="eastAsia" w:hAnsi="宋体"/>
                <w:szCs w:val="21"/>
              </w:rPr>
              <w:t>2.</w:t>
            </w:r>
            <w:r>
              <w:rPr>
                <w:rFonts w:hint="eastAsia" w:hAnsi="宋体"/>
                <w:szCs w:val="21"/>
                <w:lang w:val="zh-CN" w:eastAsia="zh-Hans"/>
              </w:rPr>
              <w:t>团队负责人具有</w:t>
            </w:r>
            <w:r>
              <w:rPr>
                <w:rFonts w:hint="eastAsia" w:hAnsi="宋体"/>
                <w:szCs w:val="21"/>
              </w:rPr>
              <w:t>中级或以上工程师证书</w:t>
            </w:r>
            <w:r>
              <w:rPr>
                <w:rFonts w:hint="eastAsia" w:hAnsi="宋体"/>
                <w:szCs w:val="21"/>
                <w:lang w:val="zh-CN"/>
              </w:rPr>
              <w:t>的</w:t>
            </w:r>
            <w:r>
              <w:rPr>
                <w:rFonts w:hint="eastAsia" w:hAnsi="宋体"/>
                <w:szCs w:val="21"/>
                <w:lang w:val="zh-CN" w:eastAsia="zh-Hans"/>
              </w:rPr>
              <w:t>，</w:t>
            </w:r>
            <w:r>
              <w:rPr>
                <w:rFonts w:hint="eastAsia" w:hAnsi="宋体"/>
                <w:szCs w:val="21"/>
                <w:lang w:val="zh-CN"/>
              </w:rPr>
              <w:t>得</w:t>
            </w:r>
            <w:r>
              <w:rPr>
                <w:rFonts w:hint="eastAsia" w:hAnsi="宋体"/>
                <w:szCs w:val="21"/>
              </w:rPr>
              <w:t xml:space="preserve">4 </w:t>
            </w:r>
            <w:r>
              <w:rPr>
                <w:rFonts w:hint="eastAsia" w:hAnsi="宋体"/>
                <w:szCs w:val="21"/>
                <w:lang w:val="zh-CN" w:eastAsia="zh-Hans"/>
              </w:rPr>
              <w:t>分；</w:t>
            </w:r>
          </w:p>
          <w:p w14:paraId="03D3D4BF">
            <w:pPr>
              <w:shd w:val="clear" w:color="auto" w:fill="FFFFFF" w:themeFill="background1"/>
              <w:spacing w:line="276" w:lineRule="auto"/>
              <w:jc w:val="left"/>
              <w:rPr>
                <w:rFonts w:hAnsi="宋体"/>
                <w:szCs w:val="21"/>
              </w:rPr>
            </w:pPr>
            <w:r>
              <w:rPr>
                <w:rFonts w:hint="eastAsia" w:hAnsi="宋体"/>
                <w:szCs w:val="21"/>
              </w:rPr>
              <w:t>以上两项合计最高7分。</w:t>
            </w:r>
          </w:p>
          <w:p w14:paraId="781B5937">
            <w:pPr>
              <w:shd w:val="clear" w:color="auto" w:fill="FFFFFF" w:themeFill="background1"/>
              <w:spacing w:line="276" w:lineRule="auto"/>
              <w:jc w:val="left"/>
              <w:rPr>
                <w:rFonts w:hAnsi="宋体"/>
                <w:b/>
                <w:szCs w:val="21"/>
              </w:rPr>
            </w:pPr>
            <w:r>
              <w:rPr>
                <w:rFonts w:hint="eastAsia" w:hAnsi="宋体"/>
                <w:b/>
                <w:szCs w:val="21"/>
              </w:rPr>
              <w:t>评分依据：</w:t>
            </w:r>
          </w:p>
          <w:p w14:paraId="1DAC9DA9">
            <w:pPr>
              <w:shd w:val="clear" w:color="auto" w:fill="FFFFFF" w:themeFill="background1"/>
              <w:spacing w:line="276" w:lineRule="auto"/>
              <w:jc w:val="left"/>
              <w:rPr>
                <w:rFonts w:hAnsi="宋体"/>
                <w:szCs w:val="21"/>
              </w:rPr>
            </w:pPr>
            <w:r>
              <w:rPr>
                <w:rFonts w:hint="eastAsia" w:hAnsi="宋体"/>
                <w:szCs w:val="21"/>
              </w:rPr>
              <w:t>1.要求投标人提供相关证明资料作为得分依据。评分中出现无证明资料或专家无法凭所提供资料判断是否得分的情况，一律作不得分处理。</w:t>
            </w:r>
          </w:p>
          <w:p w14:paraId="00225423">
            <w:pPr>
              <w:shd w:val="clear" w:color="auto" w:fill="FFFFFF" w:themeFill="background1"/>
              <w:spacing w:line="276" w:lineRule="auto"/>
              <w:jc w:val="left"/>
              <w:rPr>
                <w:rFonts w:hAnsi="宋体"/>
                <w:szCs w:val="21"/>
              </w:rPr>
            </w:pPr>
            <w:r>
              <w:rPr>
                <w:rFonts w:hint="eastAsia" w:hAnsi="宋体"/>
                <w:szCs w:val="21"/>
              </w:rPr>
              <w:t>2.要求提供通过投标人缴纳的近三个月的任意一个月的社保证明作为本单位员工的证明依据。若供应商成立不足三个月的，需提供成立情况说明函（格式自拟），无需提供相关人员社保，亦可得分；若为退休返聘人员，需提供退休证明及劳务合同（或聘用协议），无需提供相关人员社保，亦可得分。</w:t>
            </w:r>
          </w:p>
          <w:p w14:paraId="338A3393">
            <w:pPr>
              <w:shd w:val="clear" w:color="auto" w:fill="FFFFFF" w:themeFill="background1"/>
              <w:spacing w:line="276" w:lineRule="auto"/>
              <w:jc w:val="left"/>
              <w:rPr>
                <w:rFonts w:hAnsi="宋体"/>
                <w:szCs w:val="21"/>
              </w:rPr>
            </w:pPr>
            <w:r>
              <w:rPr>
                <w:rFonts w:hint="eastAsia" w:hAnsi="宋体"/>
                <w:szCs w:val="21"/>
              </w:rPr>
              <w:t>3.由社会组织颁发的证书，还需同时提供该组织在“中国社会组织政务服务平台（全国社会组织信用信息公示平台）https://chinanpo.mca.gov.cn/”的查询截图（截图需体现网址且状态为正常），否则不得分。</w:t>
            </w:r>
          </w:p>
          <w:p w14:paraId="65F05F8F">
            <w:pPr>
              <w:shd w:val="clear" w:color="auto" w:fill="FFFFFF" w:themeFill="background1"/>
              <w:spacing w:line="276" w:lineRule="auto"/>
              <w:jc w:val="left"/>
            </w:pPr>
            <w:r>
              <w:rPr>
                <w:rFonts w:hint="eastAsia" w:hAnsi="宋体"/>
                <w:szCs w:val="21"/>
              </w:rPr>
              <w:t>4.以上资料均要求提供复印件，原件备查。</w:t>
            </w:r>
          </w:p>
        </w:tc>
      </w:tr>
      <w:tr w14:paraId="3A23B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0" w:hRule="atLeast"/>
          <w:jc w:val="center"/>
        </w:trPr>
        <w:tc>
          <w:tcPr>
            <w:tcW w:w="519" w:type="dxa"/>
            <w:vMerge w:val="continue"/>
            <w:tcBorders>
              <w:left w:val="single" w:color="auto" w:sz="4" w:space="0"/>
              <w:right w:val="single" w:color="auto" w:sz="4" w:space="0"/>
            </w:tcBorders>
            <w:shd w:val="clear" w:color="auto" w:fill="FFFFFF" w:themeFill="background1"/>
            <w:vAlign w:val="center"/>
          </w:tcPr>
          <w:p w14:paraId="398AAF9D">
            <w:pPr>
              <w:shd w:val="clear" w:color="auto" w:fill="FFFFFF" w:themeFill="background1"/>
              <w:ind w:firstLine="105" w:firstLineChars="50"/>
              <w:jc w:val="left"/>
              <w:rPr>
                <w:rFonts w:hAnsi="宋体"/>
                <w:szCs w:val="21"/>
              </w:rPr>
            </w:pPr>
          </w:p>
        </w:tc>
        <w:tc>
          <w:tcPr>
            <w:tcW w:w="63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E11ED9A">
            <w:pPr>
              <w:shd w:val="clear" w:color="auto" w:fill="FFFFFF" w:themeFill="background1"/>
              <w:jc w:val="center"/>
              <w:rPr>
                <w:rFonts w:hAnsi="宋体"/>
                <w:szCs w:val="21"/>
              </w:rPr>
            </w:pPr>
            <w:r>
              <w:rPr>
                <w:rFonts w:hint="eastAsia" w:hAnsi="宋体"/>
                <w:szCs w:val="21"/>
              </w:rPr>
              <w:t>4</w:t>
            </w:r>
          </w:p>
        </w:tc>
        <w:tc>
          <w:tcPr>
            <w:tcW w:w="14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78866CA">
            <w:pPr>
              <w:spacing w:line="240" w:lineRule="auto"/>
              <w:jc w:val="center"/>
              <w:rPr>
                <w:rFonts w:hAnsi="宋体"/>
                <w:szCs w:val="21"/>
              </w:rPr>
            </w:pPr>
            <w:r>
              <w:rPr>
                <w:rFonts w:hint="eastAsia" w:hAnsi="宋体"/>
                <w:color w:val="000000"/>
                <w:szCs w:val="21"/>
              </w:rPr>
              <w:t>拟安排</w:t>
            </w:r>
            <w:r>
              <w:rPr>
                <w:rFonts w:hint="eastAsia" w:hAnsi="宋体"/>
                <w:color w:val="000000"/>
                <w:szCs w:val="21"/>
                <w:lang w:eastAsia="zh-Hans"/>
              </w:rPr>
              <w:t>项目团队成员</w:t>
            </w:r>
            <w:r>
              <w:rPr>
                <w:rFonts w:hint="eastAsia" w:hAnsi="宋体"/>
                <w:color w:val="000000"/>
                <w:szCs w:val="21"/>
              </w:rPr>
              <w:t>情况</w:t>
            </w:r>
          </w:p>
        </w:tc>
        <w:tc>
          <w:tcPr>
            <w:tcW w:w="63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814644E">
            <w:pPr>
              <w:shd w:val="clear" w:color="auto" w:fill="FFFFFF" w:themeFill="background1"/>
              <w:jc w:val="center"/>
              <w:rPr>
                <w:rFonts w:hAnsi="宋体"/>
                <w:szCs w:val="21"/>
              </w:rPr>
            </w:pPr>
            <w:r>
              <w:rPr>
                <w:rFonts w:hint="eastAsia" w:hAnsi="宋体"/>
                <w:szCs w:val="21"/>
              </w:rPr>
              <w:t>9</w:t>
            </w:r>
          </w:p>
        </w:tc>
        <w:tc>
          <w:tcPr>
            <w:tcW w:w="5668" w:type="dxa"/>
            <w:tcBorders>
              <w:top w:val="single" w:color="auto" w:sz="4" w:space="0"/>
              <w:left w:val="single" w:color="auto" w:sz="4" w:space="0"/>
              <w:bottom w:val="single" w:color="auto" w:sz="4" w:space="0"/>
              <w:right w:val="single" w:color="auto" w:sz="4" w:space="0"/>
            </w:tcBorders>
            <w:shd w:val="clear" w:color="auto" w:fill="FFFFFF" w:themeFill="background1"/>
          </w:tcPr>
          <w:p w14:paraId="2741018C">
            <w:pPr>
              <w:shd w:val="clear" w:color="auto" w:fill="FFFFFF" w:themeFill="background1"/>
              <w:adjustRightInd/>
              <w:snapToGrid/>
              <w:spacing w:line="276" w:lineRule="auto"/>
              <w:jc w:val="left"/>
              <w:rPr>
                <w:rFonts w:hAnsi="宋体"/>
                <w:b/>
                <w:bCs/>
                <w:szCs w:val="21"/>
                <w:lang w:val="zh-CN"/>
              </w:rPr>
            </w:pPr>
            <w:r>
              <w:rPr>
                <w:rFonts w:hint="eastAsia" w:hAnsi="宋体"/>
                <w:b/>
                <w:bCs/>
                <w:szCs w:val="21"/>
                <w:lang w:val="zh-CN"/>
              </w:rPr>
              <w:t>评分内容：</w:t>
            </w:r>
          </w:p>
          <w:p w14:paraId="272F51C2">
            <w:pPr>
              <w:shd w:val="clear" w:color="auto" w:fill="FFFFFF" w:themeFill="background1"/>
              <w:adjustRightInd/>
              <w:snapToGrid/>
              <w:spacing w:line="276" w:lineRule="auto"/>
              <w:jc w:val="left"/>
              <w:rPr>
                <w:rFonts w:hAnsi="宋体"/>
                <w:szCs w:val="21"/>
                <w:lang w:val="zh-CN"/>
              </w:rPr>
            </w:pPr>
            <w:r>
              <w:rPr>
                <w:rFonts w:hint="eastAsia" w:hAnsi="宋体"/>
                <w:szCs w:val="21"/>
                <w:lang w:val="zh-CN"/>
              </w:rPr>
              <w:t>拟安排项目团队人员具体如下：</w:t>
            </w:r>
          </w:p>
          <w:p w14:paraId="5FFDCFCA">
            <w:pPr>
              <w:shd w:val="clear" w:color="auto" w:fill="FFFFFF" w:themeFill="background1"/>
              <w:adjustRightInd/>
              <w:snapToGrid/>
              <w:spacing w:line="276" w:lineRule="auto"/>
              <w:jc w:val="left"/>
              <w:rPr>
                <w:rFonts w:hAnsi="宋体"/>
                <w:szCs w:val="21"/>
                <w:lang w:val="zh-CN"/>
              </w:rPr>
            </w:pPr>
            <w:r>
              <w:rPr>
                <w:rFonts w:hint="eastAsia" w:hAnsi="宋体"/>
                <w:szCs w:val="21"/>
              </w:rPr>
              <w:t>1.绿化班长</w:t>
            </w:r>
            <w:r>
              <w:rPr>
                <w:rFonts w:hint="eastAsia" w:hAnsi="宋体"/>
                <w:szCs w:val="21"/>
                <w:lang w:val="zh-CN"/>
              </w:rPr>
              <w:t>具有</w:t>
            </w:r>
            <w:r>
              <w:rPr>
                <w:rFonts w:hint="eastAsia" w:hAnsi="宋体"/>
                <w:szCs w:val="21"/>
              </w:rPr>
              <w:t>中级或以上园林绿化工程师</w:t>
            </w:r>
            <w:r>
              <w:rPr>
                <w:rFonts w:hint="eastAsia" w:hAnsi="宋体"/>
                <w:szCs w:val="21"/>
                <w:lang w:val="zh-CN" w:eastAsia="zh-Hans"/>
              </w:rPr>
              <w:t>证书</w:t>
            </w:r>
            <w:r>
              <w:rPr>
                <w:rFonts w:hint="eastAsia" w:hAnsi="宋体"/>
                <w:szCs w:val="21"/>
                <w:lang w:val="zh-CN"/>
              </w:rPr>
              <w:t>的得</w:t>
            </w:r>
            <w:r>
              <w:rPr>
                <w:rFonts w:hint="eastAsia" w:hAnsi="宋体"/>
                <w:szCs w:val="21"/>
              </w:rPr>
              <w:t>3</w:t>
            </w:r>
            <w:r>
              <w:rPr>
                <w:rFonts w:hint="eastAsia" w:hAnsi="宋体"/>
                <w:szCs w:val="21"/>
                <w:lang w:val="zh-CN"/>
              </w:rPr>
              <w:t>分；</w:t>
            </w:r>
          </w:p>
          <w:p w14:paraId="0F7A56AF">
            <w:pPr>
              <w:shd w:val="clear" w:color="auto" w:fill="FFFFFF" w:themeFill="background1"/>
              <w:adjustRightInd/>
              <w:snapToGrid/>
              <w:spacing w:line="276" w:lineRule="auto"/>
              <w:jc w:val="left"/>
              <w:rPr>
                <w:rFonts w:hAnsi="宋体"/>
                <w:szCs w:val="21"/>
                <w:lang w:val="zh-CN"/>
              </w:rPr>
            </w:pPr>
            <w:r>
              <w:rPr>
                <w:rFonts w:hint="eastAsia" w:hAnsi="宋体"/>
                <w:szCs w:val="21"/>
              </w:rPr>
              <w:t>2.环境班长</w:t>
            </w:r>
            <w:r>
              <w:rPr>
                <w:rFonts w:hint="eastAsia" w:hAnsi="宋体"/>
                <w:szCs w:val="21"/>
                <w:lang w:val="zh-CN"/>
              </w:rPr>
              <w:t>具有</w:t>
            </w:r>
            <w:r>
              <w:rPr>
                <w:rFonts w:hint="eastAsia" w:hAnsi="宋体"/>
                <w:szCs w:val="21"/>
              </w:rPr>
              <w:t>清洁管理师</w:t>
            </w:r>
            <w:r>
              <w:rPr>
                <w:rFonts w:hint="eastAsia" w:hAnsi="宋体"/>
                <w:szCs w:val="21"/>
                <w:lang w:val="zh-CN"/>
              </w:rPr>
              <w:t>的，得</w:t>
            </w:r>
            <w:r>
              <w:rPr>
                <w:rFonts w:hint="eastAsia" w:hAnsi="宋体"/>
                <w:szCs w:val="21"/>
              </w:rPr>
              <w:t>3</w:t>
            </w:r>
            <w:r>
              <w:rPr>
                <w:rFonts w:hint="eastAsia" w:hAnsi="宋体"/>
                <w:szCs w:val="21"/>
                <w:lang w:val="zh-CN"/>
              </w:rPr>
              <w:t>分；</w:t>
            </w:r>
          </w:p>
          <w:p w14:paraId="3644A541">
            <w:pPr>
              <w:shd w:val="clear" w:color="auto" w:fill="FFFFFF" w:themeFill="background1"/>
              <w:spacing w:line="276" w:lineRule="auto"/>
              <w:jc w:val="left"/>
            </w:pPr>
            <w:r>
              <w:rPr>
                <w:rFonts w:hint="eastAsia" w:hAnsi="宋体"/>
                <w:szCs w:val="21"/>
              </w:rPr>
              <w:t>3.维修主管</w:t>
            </w:r>
            <w:r>
              <w:rPr>
                <w:rFonts w:hint="eastAsia" w:hAnsi="宋体"/>
                <w:szCs w:val="21"/>
                <w:lang w:val="zh-CN"/>
              </w:rPr>
              <w:t>具有</w:t>
            </w:r>
            <w:r>
              <w:rPr>
                <w:rFonts w:hint="eastAsia" w:hAnsi="宋体"/>
                <w:szCs w:val="21"/>
              </w:rPr>
              <w:t>中级及以上电气或建筑专业工程师</w:t>
            </w:r>
            <w:r>
              <w:rPr>
                <w:rFonts w:hint="eastAsia" w:hAnsi="宋体"/>
                <w:szCs w:val="21"/>
                <w:lang w:val="zh-CN" w:eastAsia="zh-Hans"/>
              </w:rPr>
              <w:t>证书</w:t>
            </w:r>
            <w:r>
              <w:rPr>
                <w:rFonts w:hint="eastAsia" w:hAnsi="宋体"/>
                <w:szCs w:val="21"/>
                <w:lang w:val="zh-CN"/>
              </w:rPr>
              <w:t>的，</w:t>
            </w:r>
            <w:r>
              <w:rPr>
                <w:rFonts w:hint="eastAsia" w:hAnsi="宋体"/>
                <w:szCs w:val="21"/>
              </w:rPr>
              <w:t xml:space="preserve">得3 </w:t>
            </w:r>
            <w:r>
              <w:rPr>
                <w:rFonts w:hint="eastAsia" w:hAnsi="宋体"/>
                <w:szCs w:val="21"/>
                <w:lang w:val="zh-CN"/>
              </w:rPr>
              <w:t>分。</w:t>
            </w:r>
          </w:p>
          <w:p w14:paraId="65400AE2">
            <w:pPr>
              <w:shd w:val="clear" w:color="auto" w:fill="FFFFFF" w:themeFill="background1"/>
              <w:spacing w:line="276" w:lineRule="auto"/>
              <w:jc w:val="left"/>
              <w:rPr>
                <w:rFonts w:hAnsi="宋体"/>
                <w:szCs w:val="21"/>
              </w:rPr>
            </w:pPr>
            <w:r>
              <w:rPr>
                <w:rFonts w:hint="eastAsia" w:hAnsi="宋体"/>
                <w:szCs w:val="21"/>
              </w:rPr>
              <w:t>以上两项合计最高9分。</w:t>
            </w:r>
          </w:p>
          <w:p w14:paraId="5294C74D">
            <w:pPr>
              <w:shd w:val="clear" w:color="auto" w:fill="FFFFFF" w:themeFill="background1"/>
              <w:spacing w:line="276" w:lineRule="auto"/>
              <w:jc w:val="left"/>
              <w:rPr>
                <w:rFonts w:hAnsi="宋体"/>
                <w:b/>
                <w:szCs w:val="21"/>
              </w:rPr>
            </w:pPr>
            <w:r>
              <w:rPr>
                <w:rFonts w:hint="eastAsia" w:hAnsi="宋体"/>
                <w:b/>
                <w:szCs w:val="21"/>
              </w:rPr>
              <w:t>评分依据：</w:t>
            </w:r>
          </w:p>
          <w:p w14:paraId="01ADE033">
            <w:pPr>
              <w:shd w:val="clear" w:color="auto" w:fill="FFFFFF" w:themeFill="background1"/>
              <w:spacing w:line="276" w:lineRule="auto"/>
              <w:jc w:val="left"/>
              <w:rPr>
                <w:rFonts w:hAnsi="宋体"/>
                <w:szCs w:val="21"/>
              </w:rPr>
            </w:pPr>
            <w:r>
              <w:rPr>
                <w:rFonts w:hint="eastAsia" w:hAnsi="宋体"/>
                <w:szCs w:val="21"/>
              </w:rPr>
              <w:t>1.要求投标人提供相关证明资料作为得分依据。评分中出现无证明资料或专家无法凭所提供资料判断是否得分的情况，一律作不得分处理。</w:t>
            </w:r>
          </w:p>
          <w:p w14:paraId="2EFAE3DA">
            <w:pPr>
              <w:shd w:val="clear" w:color="auto" w:fill="FFFFFF" w:themeFill="background1"/>
              <w:spacing w:line="276" w:lineRule="auto"/>
              <w:jc w:val="left"/>
              <w:rPr>
                <w:rFonts w:hAnsi="宋体"/>
                <w:szCs w:val="21"/>
              </w:rPr>
            </w:pPr>
            <w:r>
              <w:rPr>
                <w:rFonts w:hint="eastAsia" w:hAnsi="宋体"/>
                <w:szCs w:val="21"/>
              </w:rPr>
              <w:t>2.要求提供通过投标人缴纳的近三个月的任意一个月的社保证明作为本单位员工的证明依据。若供应商成立不足三个月的，需提供成立情况说明函（格式自拟），无需提供相关人员社保，亦可得分；若为退休返聘人员，需提供退休证明及劳务合同（或聘用协议），无需提供相关人员社保，亦可得分。</w:t>
            </w:r>
          </w:p>
          <w:p w14:paraId="06D97652">
            <w:pPr>
              <w:shd w:val="clear" w:color="auto" w:fill="FFFFFF" w:themeFill="background1"/>
              <w:spacing w:line="276" w:lineRule="auto"/>
              <w:jc w:val="left"/>
              <w:rPr>
                <w:rFonts w:hAnsi="宋体"/>
                <w:szCs w:val="21"/>
              </w:rPr>
            </w:pPr>
            <w:r>
              <w:rPr>
                <w:rFonts w:hint="eastAsia" w:hAnsi="宋体"/>
                <w:szCs w:val="21"/>
              </w:rPr>
              <w:t>3.由社会组织颁发的证书，还需同时提供该组织在“中国社会组织政务服务平台（全国社会组织信用信息公示平台）https://chinanpo.mca.gov.cn/”的查询截图（截图需体现网址且状态为正常），否则不得分。</w:t>
            </w:r>
          </w:p>
          <w:p w14:paraId="18A89547">
            <w:pPr>
              <w:shd w:val="clear" w:color="auto" w:fill="FFFFFF" w:themeFill="background1"/>
              <w:spacing w:line="276" w:lineRule="auto"/>
              <w:jc w:val="left"/>
            </w:pPr>
            <w:r>
              <w:rPr>
                <w:rFonts w:hint="eastAsia" w:hAnsi="宋体"/>
                <w:szCs w:val="21"/>
              </w:rPr>
              <w:t>4.以上资料均要求提供复印件，原件备查。</w:t>
            </w:r>
          </w:p>
        </w:tc>
      </w:tr>
      <w:tr w14:paraId="7C39E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108" w:type="dxa"/>
            <w:bottom w:w="0" w:type="dxa"/>
            <w:right w:w="108" w:type="dxa"/>
          </w:tblCellMar>
        </w:tblPrEx>
        <w:trPr>
          <w:trHeight w:val="510" w:hRule="atLeast"/>
          <w:jc w:val="center"/>
        </w:trPr>
        <w:tc>
          <w:tcPr>
            <w:tcW w:w="519" w:type="dxa"/>
            <w:vMerge w:val="continue"/>
            <w:tcBorders>
              <w:left w:val="single" w:color="auto" w:sz="4" w:space="0"/>
              <w:right w:val="single" w:color="auto" w:sz="4" w:space="0"/>
            </w:tcBorders>
            <w:shd w:val="clear" w:color="auto" w:fill="FFFFFF" w:themeFill="background1"/>
            <w:vAlign w:val="center"/>
          </w:tcPr>
          <w:p w14:paraId="307A91B6">
            <w:pPr>
              <w:shd w:val="clear" w:color="auto" w:fill="FFFFFF" w:themeFill="background1"/>
              <w:ind w:firstLine="105" w:firstLineChars="50"/>
              <w:jc w:val="left"/>
              <w:rPr>
                <w:rFonts w:hAnsi="宋体"/>
                <w:szCs w:val="21"/>
              </w:rPr>
            </w:pPr>
          </w:p>
        </w:tc>
        <w:tc>
          <w:tcPr>
            <w:tcW w:w="63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0ED8CB00">
            <w:pPr>
              <w:shd w:val="clear" w:color="auto" w:fill="FFFFFF" w:themeFill="background1"/>
              <w:jc w:val="center"/>
              <w:rPr>
                <w:rFonts w:hAnsi="宋体"/>
                <w:szCs w:val="21"/>
              </w:rPr>
            </w:pPr>
            <w:r>
              <w:rPr>
                <w:rFonts w:hint="eastAsia" w:hAnsi="宋体"/>
                <w:szCs w:val="21"/>
              </w:rPr>
              <w:t>5</w:t>
            </w:r>
          </w:p>
        </w:tc>
        <w:tc>
          <w:tcPr>
            <w:tcW w:w="1476"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49D0D1B5">
            <w:pPr>
              <w:shd w:val="clear" w:color="auto" w:fill="FFFFFF" w:themeFill="background1"/>
              <w:jc w:val="center"/>
              <w:rPr>
                <w:rFonts w:hAnsi="宋体"/>
                <w:szCs w:val="21"/>
              </w:rPr>
            </w:pPr>
            <w:r>
              <w:rPr>
                <w:rFonts w:hint="eastAsia" w:hAnsi="宋体"/>
                <w:szCs w:val="21"/>
              </w:rPr>
              <w:t>企业诚信</w:t>
            </w:r>
          </w:p>
        </w:tc>
        <w:tc>
          <w:tcPr>
            <w:tcW w:w="639" w:type="dxa"/>
            <w:tcBorders>
              <w:top w:val="single" w:color="auto" w:sz="4" w:space="0"/>
              <w:left w:val="single" w:color="auto" w:sz="4" w:space="0"/>
              <w:bottom w:val="single" w:color="auto" w:sz="4" w:space="0"/>
              <w:right w:val="single" w:color="auto" w:sz="4" w:space="0"/>
            </w:tcBorders>
            <w:shd w:val="clear" w:color="auto" w:fill="FFFFFF" w:themeFill="background1"/>
            <w:vAlign w:val="center"/>
          </w:tcPr>
          <w:p w14:paraId="333811A2">
            <w:pPr>
              <w:shd w:val="clear" w:color="auto" w:fill="FFFFFF" w:themeFill="background1"/>
              <w:jc w:val="center"/>
              <w:rPr>
                <w:rFonts w:hAnsi="宋体"/>
                <w:szCs w:val="21"/>
              </w:rPr>
            </w:pPr>
            <w:r>
              <w:rPr>
                <w:rFonts w:hint="eastAsia" w:hAnsi="宋体"/>
                <w:szCs w:val="21"/>
              </w:rPr>
              <w:t>5</w:t>
            </w:r>
          </w:p>
        </w:tc>
        <w:tc>
          <w:tcPr>
            <w:tcW w:w="5668" w:type="dxa"/>
            <w:tcBorders>
              <w:top w:val="single" w:color="auto" w:sz="4" w:space="0"/>
              <w:left w:val="single" w:color="auto" w:sz="4" w:space="0"/>
              <w:bottom w:val="single" w:color="auto" w:sz="4" w:space="0"/>
              <w:right w:val="single" w:color="auto" w:sz="4" w:space="0"/>
            </w:tcBorders>
            <w:shd w:val="clear" w:color="auto" w:fill="auto"/>
            <w:vAlign w:val="center"/>
          </w:tcPr>
          <w:p w14:paraId="27D0B156">
            <w:pPr>
              <w:adjustRightInd/>
              <w:snapToGrid/>
              <w:spacing w:line="240" w:lineRule="auto"/>
              <w:rPr>
                <w:rFonts w:hAnsi="宋体"/>
                <w:b/>
                <w:bCs/>
                <w:szCs w:val="21"/>
                <w:lang w:val="zh-CN"/>
              </w:rPr>
            </w:pPr>
            <w:r>
              <w:rPr>
                <w:rFonts w:hint="eastAsia" w:hAnsi="宋体"/>
                <w:b/>
                <w:bCs/>
                <w:szCs w:val="21"/>
                <w:lang w:val="zh-CN"/>
              </w:rPr>
              <w:t>评分内容：</w:t>
            </w:r>
          </w:p>
          <w:p w14:paraId="3E91D195">
            <w:pPr>
              <w:adjustRightInd/>
              <w:snapToGrid/>
              <w:spacing w:line="240" w:lineRule="auto"/>
              <w:rPr>
                <w:rFonts w:hAnsi="宋体"/>
                <w:kern w:val="2"/>
                <w:szCs w:val="21"/>
              </w:rPr>
            </w:pPr>
            <w:r>
              <w:rPr>
                <w:rFonts w:hint="eastAsia" w:hAnsi="宋体"/>
                <w:szCs w:val="21"/>
              </w:rPr>
              <w:t>投标人</w:t>
            </w:r>
            <w:r>
              <w:rPr>
                <w:rFonts w:hint="eastAsia" w:hAnsi="宋体"/>
                <w:szCs w:val="21"/>
                <w:lang w:val="zh-CN"/>
              </w:rPr>
              <w:t>在参与政府采购活动中存在诚信相关问题且在主管部门相关处理措施实施期限内的，本项不得分，否则得满分。供应商须提供《诚信承诺函》（格式详见</w:t>
            </w:r>
            <w:r>
              <w:rPr>
                <w:rFonts w:hint="eastAsia" w:hAnsi="宋体"/>
                <w:szCs w:val="21"/>
              </w:rPr>
              <w:t>招标文件</w:t>
            </w:r>
            <w:r>
              <w:rPr>
                <w:rFonts w:hint="eastAsia" w:hAnsi="宋体"/>
                <w:szCs w:val="21"/>
                <w:lang w:val="zh-CN"/>
              </w:rPr>
              <w:t>）作为证明材料，供应商须为诚信承诺函的真实性负责，若有虚假承诺，视同提供虚假资料，将依法承担相应法律责任。</w:t>
            </w:r>
          </w:p>
        </w:tc>
      </w:tr>
    </w:tbl>
    <w:p w14:paraId="54614121"/>
    <w:p w14:paraId="764EE264">
      <w:pPr>
        <w:tabs>
          <w:tab w:val="clear" w:pos="426"/>
        </w:tabs>
        <w:spacing w:line="240" w:lineRule="auto"/>
      </w:pPr>
      <w:bookmarkStart w:id="6" w:name="_Hlk109230509"/>
      <w:bookmarkStart w:id="7" w:name="_Toc432592812"/>
      <w:r>
        <w:rPr>
          <w:rFonts w:hint="eastAsia"/>
        </w:rPr>
        <w:t>备注：</w:t>
      </w:r>
    </w:p>
    <w:p w14:paraId="2CE7358D">
      <w:pPr>
        <w:tabs>
          <w:tab w:val="clear" w:pos="426"/>
        </w:tabs>
        <w:spacing w:line="240" w:lineRule="auto"/>
        <w:ind w:firstLine="420" w:firstLineChars="200"/>
      </w:pPr>
      <w:r>
        <w:t xml:space="preserve">1. </w:t>
      </w:r>
      <w:r>
        <w:rPr>
          <w:rFonts w:hint="eastAsia"/>
        </w:rPr>
        <w:t>缺项则该项为</w:t>
      </w:r>
      <w:r>
        <w:t>0</w:t>
      </w:r>
      <w:r>
        <w:rPr>
          <w:rFonts w:hint="eastAsia"/>
        </w:rPr>
        <w:t>分或不合格为</w:t>
      </w:r>
      <w:r>
        <w:t>0</w:t>
      </w:r>
      <w:r>
        <w:rPr>
          <w:rFonts w:hint="eastAsia"/>
        </w:rPr>
        <w:t>分。</w:t>
      </w:r>
    </w:p>
    <w:p w14:paraId="4D3AD2F3">
      <w:pPr>
        <w:tabs>
          <w:tab w:val="clear" w:pos="426"/>
        </w:tabs>
        <w:spacing w:line="240" w:lineRule="auto"/>
        <w:ind w:firstLine="420" w:firstLineChars="200"/>
      </w:pPr>
      <w:r>
        <w:t xml:space="preserve">2. </w:t>
      </w:r>
      <w:r>
        <w:rPr>
          <w:rFonts w:hint="eastAsia"/>
        </w:rPr>
        <w:t>价格、技术、商务部分为针对项目具体情况设置项目，累加满分为</w:t>
      </w:r>
      <w:r>
        <w:t>100</w:t>
      </w:r>
      <w:r>
        <w:rPr>
          <w:rFonts w:hint="eastAsia"/>
        </w:rPr>
        <w:t>分，固定额外加分部分为固定设置项，对涉及政策导向优先采购产品进行额外加分。</w:t>
      </w:r>
    </w:p>
    <w:p w14:paraId="430751D5">
      <w:pPr>
        <w:tabs>
          <w:tab w:val="clear" w:pos="426"/>
        </w:tabs>
        <w:spacing w:line="240" w:lineRule="auto"/>
        <w:ind w:firstLine="420" w:firstLineChars="200"/>
      </w:pPr>
      <w:r>
        <w:t xml:space="preserve">3. </w:t>
      </w:r>
      <w:r>
        <w:rPr>
          <w:rFonts w:hint="eastAsia"/>
        </w:rPr>
        <w:t>综合以上分析比较，评委会将对各投标文件进行书面的量化评定，得分精确到小数点后两位。</w:t>
      </w:r>
    </w:p>
    <w:p w14:paraId="42BBE233">
      <w:pPr>
        <w:tabs>
          <w:tab w:val="clear" w:pos="426"/>
        </w:tabs>
        <w:spacing w:line="240" w:lineRule="auto"/>
        <w:ind w:firstLine="420" w:firstLineChars="200"/>
        <w:rPr>
          <w:bCs/>
        </w:rPr>
      </w:pPr>
      <w:r>
        <w:rPr>
          <w:bCs/>
        </w:rPr>
        <w:t xml:space="preserve">4. </w:t>
      </w:r>
      <w:r>
        <w:rPr>
          <w:rFonts w:hint="eastAsia"/>
          <w:bCs/>
        </w:rPr>
        <w:t>客观评分项，所有评审专家应当统一打分分值；主观评分项，评审专家应当按照打分标准独立打分。</w:t>
      </w:r>
    </w:p>
    <w:bookmarkEnd w:id="6"/>
    <w:p w14:paraId="605C959B">
      <w:pPr>
        <w:shd w:val="clear" w:color="auto" w:fill="auto"/>
        <w:tabs>
          <w:tab w:val="clear" w:pos="426"/>
        </w:tabs>
        <w:adjustRightInd/>
        <w:snapToGrid/>
        <w:spacing w:line="240" w:lineRule="auto"/>
        <w:jc w:val="left"/>
        <w:rPr>
          <w:bCs/>
        </w:rPr>
      </w:pPr>
      <w:r>
        <w:rPr>
          <w:bCs/>
        </w:rPr>
        <w:br w:type="page"/>
      </w:r>
    </w:p>
    <w:p w14:paraId="14111B42">
      <w:pPr>
        <w:pStyle w:val="81"/>
        <w:tabs>
          <w:tab w:val="clear" w:pos="426"/>
        </w:tabs>
      </w:pPr>
      <w:bookmarkStart w:id="8" w:name="_Toc152759219"/>
      <w:r>
        <w:rPr>
          <w:rFonts w:hint="eastAsia"/>
        </w:rPr>
        <w:t>第一册专用条款</w:t>
      </w:r>
      <w:bookmarkEnd w:id="7"/>
      <w:bookmarkEnd w:id="8"/>
    </w:p>
    <w:p w14:paraId="61F916F5">
      <w:pPr>
        <w:pStyle w:val="62"/>
        <w:tabs>
          <w:tab w:val="clear" w:pos="426"/>
        </w:tabs>
      </w:pPr>
      <w:bookmarkStart w:id="9" w:name="_Toc265483798"/>
      <w:bookmarkStart w:id="10" w:name="_Toc432592813"/>
      <w:bookmarkStart w:id="11" w:name="_Toc152759220"/>
      <w:r>
        <w:rPr>
          <w:rFonts w:hint="eastAsia"/>
        </w:rPr>
        <w:t>第一章招标公告</w:t>
      </w:r>
      <w:bookmarkEnd w:id="9"/>
      <w:bookmarkEnd w:id="10"/>
      <w:bookmarkEnd w:id="11"/>
    </w:p>
    <w:p w14:paraId="2FEEA293">
      <w:pPr>
        <w:widowControl w:val="0"/>
        <w:pBdr>
          <w:top w:val="single" w:color="auto" w:sz="4" w:space="1"/>
          <w:left w:val="single" w:color="auto" w:sz="4" w:space="4"/>
          <w:bottom w:val="single" w:color="auto" w:sz="4" w:space="1"/>
          <w:right w:val="single" w:color="auto" w:sz="4" w:space="4"/>
        </w:pBdr>
        <w:shd w:val="clear" w:color="auto" w:fill="auto"/>
        <w:tabs>
          <w:tab w:val="clear" w:pos="426"/>
        </w:tabs>
        <w:adjustRightInd/>
        <w:snapToGrid/>
        <w:ind w:firstLine="420" w:firstLineChars="200"/>
        <w:rPr>
          <w:rFonts w:cs="Times New Roman"/>
          <w:kern w:val="2"/>
          <w:szCs w:val="21"/>
        </w:rPr>
      </w:pPr>
      <w:bookmarkStart w:id="12" w:name="_Hlk107928347"/>
      <w:r>
        <w:rPr>
          <w:rFonts w:hint="eastAsia" w:cs="Times New Roman"/>
          <w:kern w:val="2"/>
          <w:szCs w:val="21"/>
        </w:rPr>
        <w:t>项目概况：</w:t>
      </w:r>
    </w:p>
    <w:p w14:paraId="0E23E9D2">
      <w:pPr>
        <w:widowControl w:val="0"/>
        <w:pBdr>
          <w:top w:val="single" w:color="auto" w:sz="4" w:space="1"/>
          <w:left w:val="single" w:color="auto" w:sz="4" w:space="4"/>
          <w:bottom w:val="single" w:color="auto" w:sz="4" w:space="1"/>
          <w:right w:val="single" w:color="auto" w:sz="4" w:space="4"/>
        </w:pBdr>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广东省深圳市消防救援支队特勤大队2025年深中通道消防站物业管理服务采购项目的潜在投标人应在深圳市罗湖区清水河街道清水河社区清水河一路112号罗湖投资控股大厦裙楼401获取招标文件，并于2025年03月07日</w:t>
      </w:r>
      <w:r>
        <w:rPr>
          <w:rFonts w:cs="Times New Roman"/>
          <w:bCs/>
          <w:kern w:val="2"/>
          <w:szCs w:val="21"/>
        </w:rPr>
        <w:t>1</w:t>
      </w:r>
      <w:r>
        <w:rPr>
          <w:rFonts w:hint="eastAsia" w:cs="Times New Roman"/>
          <w:bCs/>
          <w:kern w:val="2"/>
          <w:szCs w:val="21"/>
        </w:rPr>
        <w:t>4点3</w:t>
      </w:r>
      <w:r>
        <w:rPr>
          <w:rFonts w:cs="Times New Roman"/>
          <w:bCs/>
          <w:kern w:val="2"/>
          <w:szCs w:val="21"/>
        </w:rPr>
        <w:t>0</w:t>
      </w:r>
      <w:r>
        <w:rPr>
          <w:rFonts w:hint="eastAsia" w:cs="Times New Roman"/>
          <w:bCs/>
          <w:kern w:val="2"/>
          <w:szCs w:val="21"/>
        </w:rPr>
        <w:t>分（北京时间）前递交投标文件</w:t>
      </w:r>
      <w:r>
        <w:rPr>
          <w:rFonts w:hint="eastAsia" w:cs="Times New Roman"/>
          <w:kern w:val="2"/>
          <w:szCs w:val="21"/>
        </w:rPr>
        <w:t>。</w:t>
      </w:r>
    </w:p>
    <w:p w14:paraId="4E1CF2CF">
      <w:pPr>
        <w:pStyle w:val="3"/>
        <w:numPr>
          <w:ilvl w:val="0"/>
          <w:numId w:val="0"/>
        </w:numPr>
      </w:pPr>
      <w:bookmarkStart w:id="13" w:name="_Toc35393790"/>
      <w:bookmarkStart w:id="14" w:name="_Toc28359079"/>
      <w:bookmarkStart w:id="15" w:name="_Toc28359002"/>
      <w:bookmarkStart w:id="16" w:name="_Toc145666453"/>
      <w:bookmarkStart w:id="17" w:name="_Toc120892133"/>
      <w:bookmarkStart w:id="18" w:name="_Toc152759221"/>
      <w:bookmarkStart w:id="19" w:name="_Toc35393621"/>
      <w:bookmarkStart w:id="20" w:name="_Hlk24379207"/>
      <w:r>
        <w:rPr>
          <w:rFonts w:hint="eastAsia"/>
        </w:rPr>
        <w:t>一、项目基本情况</w:t>
      </w:r>
      <w:bookmarkEnd w:id="13"/>
      <w:bookmarkEnd w:id="14"/>
      <w:bookmarkEnd w:id="15"/>
      <w:bookmarkEnd w:id="16"/>
      <w:bookmarkEnd w:id="17"/>
      <w:bookmarkEnd w:id="18"/>
      <w:bookmarkEnd w:id="19"/>
    </w:p>
    <w:p w14:paraId="616B668D">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项目编号：SSZX2025-025</w:t>
      </w:r>
    </w:p>
    <w:p w14:paraId="142F75D2">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项目名称：广东省深圳市消防救援支队特勤大队2025年深中通道消防站物业管理服务采购项目</w:t>
      </w:r>
    </w:p>
    <w:bookmarkEnd w:id="20"/>
    <w:p w14:paraId="6B0D3F1A">
      <w:pPr>
        <w:widowControl w:val="0"/>
        <w:shd w:val="clear" w:color="auto" w:fill="auto"/>
        <w:tabs>
          <w:tab w:val="clear" w:pos="426"/>
        </w:tabs>
        <w:adjustRightInd/>
        <w:snapToGrid/>
        <w:ind w:firstLine="420" w:firstLineChars="200"/>
        <w:rPr>
          <w:szCs w:val="21"/>
        </w:rPr>
      </w:pPr>
      <w:r>
        <w:rPr>
          <w:rFonts w:hint="eastAsia" w:cs="Times New Roman"/>
          <w:kern w:val="2"/>
          <w:szCs w:val="21"/>
        </w:rPr>
        <w:t>预算金额：24.11127</w:t>
      </w:r>
      <w:r>
        <w:rPr>
          <w:rFonts w:hint="eastAsia"/>
          <w:szCs w:val="21"/>
        </w:rPr>
        <w:t>万元（人民币）</w:t>
      </w:r>
    </w:p>
    <w:p w14:paraId="5E9D8B3F">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最高限价：24.11127万元（人民币）</w:t>
      </w:r>
    </w:p>
    <w:p w14:paraId="1C742E8B">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采购需求：</w:t>
      </w:r>
    </w:p>
    <w:tbl>
      <w:tblPr>
        <w:tblStyle w:val="85"/>
        <w:tblW w:w="505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189"/>
        <w:gridCol w:w="795"/>
        <w:gridCol w:w="1112"/>
        <w:gridCol w:w="4779"/>
        <w:gridCol w:w="791"/>
      </w:tblGrid>
      <w:tr w14:paraId="7B8B1FF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1132" w:type="pct"/>
            <w:tcBorders>
              <w:top w:val="single" w:color="auto" w:sz="4" w:space="0"/>
              <w:left w:val="single" w:color="auto" w:sz="4" w:space="0"/>
              <w:bottom w:val="single" w:color="auto" w:sz="4" w:space="0"/>
              <w:right w:val="single" w:color="auto" w:sz="4" w:space="0"/>
            </w:tcBorders>
            <w:vAlign w:val="center"/>
          </w:tcPr>
          <w:p w14:paraId="46130BFF">
            <w:pPr>
              <w:jc w:val="center"/>
              <w:rPr>
                <w:rFonts w:hAnsi="宋体"/>
                <w:szCs w:val="21"/>
              </w:rPr>
            </w:pPr>
            <w:r>
              <w:rPr>
                <w:rFonts w:hint="eastAsia" w:hAnsi="宋体"/>
                <w:szCs w:val="21"/>
              </w:rPr>
              <w:t>标的名称</w:t>
            </w:r>
          </w:p>
        </w:tc>
        <w:tc>
          <w:tcPr>
            <w:tcW w:w="411" w:type="pct"/>
            <w:tcBorders>
              <w:top w:val="single" w:color="auto" w:sz="4" w:space="0"/>
              <w:left w:val="single" w:color="auto" w:sz="4" w:space="0"/>
              <w:bottom w:val="single" w:color="auto" w:sz="4" w:space="0"/>
              <w:right w:val="single" w:color="auto" w:sz="4" w:space="0"/>
            </w:tcBorders>
            <w:vAlign w:val="center"/>
          </w:tcPr>
          <w:p w14:paraId="7098515C">
            <w:pPr>
              <w:jc w:val="center"/>
              <w:rPr>
                <w:rFonts w:hAnsi="宋体"/>
                <w:szCs w:val="21"/>
              </w:rPr>
            </w:pPr>
            <w:r>
              <w:rPr>
                <w:rFonts w:hint="eastAsia" w:hAnsi="宋体"/>
                <w:szCs w:val="21"/>
              </w:rPr>
              <w:t>数量</w:t>
            </w:r>
          </w:p>
        </w:tc>
        <w:tc>
          <w:tcPr>
            <w:tcW w:w="575" w:type="pct"/>
            <w:tcBorders>
              <w:top w:val="single" w:color="auto" w:sz="4" w:space="0"/>
              <w:left w:val="single" w:color="auto" w:sz="4" w:space="0"/>
              <w:bottom w:val="single" w:color="auto" w:sz="4" w:space="0"/>
              <w:right w:val="single" w:color="auto" w:sz="4" w:space="0"/>
            </w:tcBorders>
            <w:vAlign w:val="center"/>
          </w:tcPr>
          <w:p w14:paraId="73E548A5">
            <w:pPr>
              <w:jc w:val="center"/>
              <w:rPr>
                <w:rFonts w:hAnsi="宋体"/>
                <w:szCs w:val="21"/>
              </w:rPr>
            </w:pPr>
            <w:r>
              <w:rPr>
                <w:rFonts w:hint="eastAsia" w:hAnsi="宋体"/>
                <w:szCs w:val="21"/>
              </w:rPr>
              <w:t>单位</w:t>
            </w:r>
          </w:p>
        </w:tc>
        <w:tc>
          <w:tcPr>
            <w:tcW w:w="2471" w:type="pct"/>
            <w:tcBorders>
              <w:top w:val="single" w:color="auto" w:sz="4" w:space="0"/>
              <w:left w:val="single" w:color="auto" w:sz="4" w:space="0"/>
              <w:bottom w:val="single" w:color="auto" w:sz="4" w:space="0"/>
              <w:right w:val="single" w:color="auto" w:sz="4" w:space="0"/>
            </w:tcBorders>
            <w:vAlign w:val="center"/>
          </w:tcPr>
          <w:p w14:paraId="70CD98E2">
            <w:pPr>
              <w:jc w:val="center"/>
              <w:rPr>
                <w:rFonts w:hAnsi="宋体"/>
                <w:szCs w:val="21"/>
              </w:rPr>
            </w:pPr>
            <w:r>
              <w:rPr>
                <w:rFonts w:hint="eastAsia" w:hAnsi="宋体"/>
                <w:szCs w:val="21"/>
              </w:rPr>
              <w:t>简要技术需求</w:t>
            </w:r>
          </w:p>
          <w:p w14:paraId="0BD77A0A">
            <w:pPr>
              <w:jc w:val="center"/>
              <w:rPr>
                <w:rFonts w:hAnsi="宋体"/>
                <w:szCs w:val="21"/>
              </w:rPr>
            </w:pPr>
            <w:r>
              <w:rPr>
                <w:rFonts w:hint="eastAsia" w:hAnsi="宋体"/>
                <w:szCs w:val="21"/>
              </w:rPr>
              <w:t>（服务需求）</w:t>
            </w:r>
          </w:p>
        </w:tc>
        <w:tc>
          <w:tcPr>
            <w:tcW w:w="409" w:type="pct"/>
            <w:tcBorders>
              <w:top w:val="single" w:color="auto" w:sz="4" w:space="0"/>
              <w:left w:val="single" w:color="auto" w:sz="4" w:space="0"/>
              <w:bottom w:val="single" w:color="auto" w:sz="4" w:space="0"/>
              <w:right w:val="single" w:color="auto" w:sz="4" w:space="0"/>
            </w:tcBorders>
            <w:vAlign w:val="center"/>
          </w:tcPr>
          <w:p w14:paraId="1DD627A3">
            <w:pPr>
              <w:jc w:val="center"/>
              <w:rPr>
                <w:rFonts w:hAnsi="宋体"/>
                <w:szCs w:val="21"/>
              </w:rPr>
            </w:pPr>
            <w:r>
              <w:rPr>
                <w:rFonts w:hint="eastAsia" w:hAnsi="宋体"/>
                <w:szCs w:val="21"/>
              </w:rPr>
              <w:t>备注</w:t>
            </w:r>
          </w:p>
        </w:tc>
      </w:tr>
      <w:tr w14:paraId="1D87AF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91" w:hRule="atLeast"/>
        </w:trPr>
        <w:tc>
          <w:tcPr>
            <w:tcW w:w="1132" w:type="pct"/>
            <w:tcBorders>
              <w:top w:val="single" w:color="auto" w:sz="4" w:space="0"/>
              <w:left w:val="single" w:color="auto" w:sz="4" w:space="0"/>
              <w:bottom w:val="single" w:color="auto" w:sz="4" w:space="0"/>
              <w:right w:val="single" w:color="auto" w:sz="4" w:space="0"/>
            </w:tcBorders>
            <w:vAlign w:val="center"/>
          </w:tcPr>
          <w:p w14:paraId="1AACC08A">
            <w:pPr>
              <w:jc w:val="center"/>
              <w:rPr>
                <w:rFonts w:hAnsi="宋体"/>
                <w:szCs w:val="21"/>
              </w:rPr>
            </w:pPr>
            <w:r>
              <w:rPr>
                <w:rFonts w:hint="eastAsia" w:hAnsi="宋体"/>
                <w:szCs w:val="21"/>
              </w:rPr>
              <w:t>物业管理服务</w:t>
            </w:r>
          </w:p>
        </w:tc>
        <w:tc>
          <w:tcPr>
            <w:tcW w:w="411" w:type="pct"/>
            <w:tcBorders>
              <w:top w:val="single" w:color="auto" w:sz="4" w:space="0"/>
              <w:left w:val="single" w:color="auto" w:sz="4" w:space="0"/>
              <w:bottom w:val="single" w:color="auto" w:sz="4" w:space="0"/>
              <w:right w:val="single" w:color="auto" w:sz="4" w:space="0"/>
            </w:tcBorders>
            <w:vAlign w:val="center"/>
          </w:tcPr>
          <w:p w14:paraId="7E1BB50B">
            <w:pPr>
              <w:jc w:val="center"/>
              <w:rPr>
                <w:rFonts w:hAnsi="宋体"/>
                <w:szCs w:val="21"/>
              </w:rPr>
            </w:pPr>
            <w:r>
              <w:rPr>
                <w:rFonts w:hint="eastAsia" w:hAnsi="宋体"/>
                <w:szCs w:val="21"/>
              </w:rPr>
              <w:t>1</w:t>
            </w:r>
          </w:p>
        </w:tc>
        <w:tc>
          <w:tcPr>
            <w:tcW w:w="575" w:type="pct"/>
            <w:tcBorders>
              <w:top w:val="single" w:color="auto" w:sz="4" w:space="0"/>
              <w:left w:val="single" w:color="auto" w:sz="4" w:space="0"/>
              <w:bottom w:val="single" w:color="auto" w:sz="4" w:space="0"/>
              <w:right w:val="single" w:color="auto" w:sz="4" w:space="0"/>
            </w:tcBorders>
            <w:vAlign w:val="center"/>
          </w:tcPr>
          <w:p w14:paraId="0C7D87FC">
            <w:pPr>
              <w:jc w:val="center"/>
              <w:rPr>
                <w:rFonts w:hAnsi="宋体"/>
                <w:szCs w:val="21"/>
              </w:rPr>
            </w:pPr>
            <w:r>
              <w:rPr>
                <w:rFonts w:hint="eastAsia" w:hAnsi="宋体"/>
                <w:szCs w:val="21"/>
              </w:rPr>
              <w:t>项</w:t>
            </w:r>
          </w:p>
        </w:tc>
        <w:tc>
          <w:tcPr>
            <w:tcW w:w="2471" w:type="pct"/>
            <w:tcBorders>
              <w:top w:val="single" w:color="auto" w:sz="4" w:space="0"/>
              <w:left w:val="single" w:color="auto" w:sz="4" w:space="0"/>
              <w:bottom w:val="single" w:color="auto" w:sz="4" w:space="0"/>
              <w:right w:val="single" w:color="auto" w:sz="4" w:space="0"/>
            </w:tcBorders>
            <w:vAlign w:val="center"/>
          </w:tcPr>
          <w:p w14:paraId="13F5167E">
            <w:pPr>
              <w:jc w:val="left"/>
              <w:rPr>
                <w:rFonts w:hAnsi="宋体"/>
                <w:szCs w:val="21"/>
              </w:rPr>
            </w:pPr>
            <w:r>
              <w:rPr>
                <w:rFonts w:hint="eastAsia" w:hAnsi="宋体"/>
                <w:szCs w:val="21"/>
              </w:rPr>
              <w:t>为加强消防站正规化建设，提高营区管理水平，拟通过公开招标方式对深中通道三围消防站、西人工岛消防站营区的物业管理进行统一招标，服务范围包括：保障营区的物业管理及营区内的公用设施设备维修管理等，具体详见需求书。</w:t>
            </w:r>
          </w:p>
        </w:tc>
        <w:tc>
          <w:tcPr>
            <w:tcW w:w="409" w:type="pct"/>
            <w:tcBorders>
              <w:top w:val="single" w:color="auto" w:sz="4" w:space="0"/>
              <w:left w:val="single" w:color="auto" w:sz="4" w:space="0"/>
              <w:bottom w:val="single" w:color="auto" w:sz="4" w:space="0"/>
              <w:right w:val="single" w:color="auto" w:sz="4" w:space="0"/>
            </w:tcBorders>
            <w:vAlign w:val="center"/>
          </w:tcPr>
          <w:p w14:paraId="05DA6785">
            <w:pPr>
              <w:jc w:val="center"/>
              <w:rPr>
                <w:rFonts w:hAnsi="宋体"/>
                <w:szCs w:val="21"/>
              </w:rPr>
            </w:pPr>
            <w:r>
              <w:rPr>
                <w:rFonts w:hint="eastAsia" w:hAnsi="宋体"/>
                <w:szCs w:val="21"/>
              </w:rPr>
              <w:t>无</w:t>
            </w:r>
          </w:p>
        </w:tc>
      </w:tr>
    </w:tbl>
    <w:p w14:paraId="58E7820D">
      <w:pPr>
        <w:widowControl w:val="0"/>
        <w:shd w:val="clear" w:color="auto" w:fill="auto"/>
        <w:tabs>
          <w:tab w:val="clear" w:pos="426"/>
        </w:tabs>
        <w:adjustRightInd/>
        <w:snapToGrid/>
        <w:ind w:firstLine="420" w:firstLineChars="200"/>
        <w:rPr>
          <w:rFonts w:cs="Times New Roman"/>
          <w:strike/>
          <w:kern w:val="2"/>
          <w:szCs w:val="21"/>
        </w:rPr>
      </w:pPr>
      <w:r>
        <w:rPr>
          <w:rFonts w:hint="eastAsia" w:cs="Times New Roman"/>
          <w:kern w:val="2"/>
          <w:szCs w:val="21"/>
        </w:rPr>
        <w:t>合同履行期限：自合同签订之日起至2025年12月14日。</w:t>
      </w:r>
    </w:p>
    <w:p w14:paraId="4CFD9A63">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本项目（不接受）联合体投标。</w:t>
      </w:r>
    </w:p>
    <w:p w14:paraId="65736343">
      <w:pPr>
        <w:pStyle w:val="3"/>
        <w:numPr>
          <w:ilvl w:val="0"/>
          <w:numId w:val="0"/>
        </w:numPr>
      </w:pPr>
      <w:bookmarkStart w:id="21" w:name="_Toc145666454"/>
      <w:bookmarkStart w:id="22" w:name="_Toc35393791"/>
      <w:bookmarkStart w:id="23" w:name="_Toc35393622"/>
      <w:bookmarkStart w:id="24" w:name="_Toc152759222"/>
      <w:bookmarkStart w:id="25" w:name="_Toc120892134"/>
      <w:bookmarkStart w:id="26" w:name="_Toc28359003"/>
      <w:bookmarkStart w:id="27" w:name="_Toc28359080"/>
      <w:r>
        <w:rPr>
          <w:rFonts w:hint="eastAsia"/>
        </w:rPr>
        <w:t>二、申请人的资格要求：</w:t>
      </w:r>
      <w:bookmarkEnd w:id="21"/>
      <w:bookmarkEnd w:id="22"/>
      <w:bookmarkEnd w:id="23"/>
      <w:bookmarkEnd w:id="24"/>
      <w:bookmarkEnd w:id="25"/>
      <w:bookmarkEnd w:id="26"/>
      <w:bookmarkEnd w:id="27"/>
    </w:p>
    <w:p w14:paraId="2B83E3D0">
      <w:pPr>
        <w:widowControl w:val="0"/>
        <w:shd w:val="clear" w:color="auto" w:fill="auto"/>
        <w:tabs>
          <w:tab w:val="clear" w:pos="426"/>
        </w:tabs>
        <w:adjustRightInd/>
        <w:snapToGrid/>
        <w:ind w:firstLine="420" w:firstLineChars="200"/>
        <w:rPr>
          <w:rFonts w:cs="Times New Roman"/>
          <w:kern w:val="2"/>
          <w:szCs w:val="21"/>
        </w:rPr>
      </w:pPr>
      <w:bookmarkStart w:id="28" w:name="_Toc28359081"/>
      <w:bookmarkStart w:id="29" w:name="_Toc28359004"/>
      <w:r>
        <w:rPr>
          <w:rFonts w:hint="eastAsia" w:cs="Times New Roman"/>
          <w:kern w:val="2"/>
          <w:szCs w:val="21"/>
        </w:rPr>
        <w:t>1.满足《中华人民共和国政府采购法》第二十二条规定；</w:t>
      </w:r>
    </w:p>
    <w:p w14:paraId="007153D6">
      <w:pPr>
        <w:widowControl w:val="0"/>
        <w:shd w:val="clear" w:color="auto" w:fill="auto"/>
        <w:tabs>
          <w:tab w:val="clear" w:pos="426"/>
        </w:tabs>
        <w:adjustRightInd/>
        <w:snapToGrid/>
        <w:ind w:firstLine="420" w:firstLineChars="200"/>
        <w:rPr>
          <w:rFonts w:cs="Times New Roman"/>
          <w:kern w:val="2"/>
          <w:szCs w:val="21"/>
        </w:rPr>
      </w:pPr>
      <w:bookmarkStart w:id="30" w:name="_Hlk141433537"/>
      <w:r>
        <w:rPr>
          <w:rFonts w:hint="eastAsia" w:cs="Times New Roman"/>
          <w:kern w:val="2"/>
          <w:szCs w:val="21"/>
        </w:rPr>
        <w:t>2.落实政府采购政策需满足的资格要求：</w:t>
      </w:r>
      <w:bookmarkEnd w:id="30"/>
    </w:p>
    <w:p w14:paraId="1BE093E7">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本项目属于专门面向中小微企业采购的项目（提供符合要求的《中小企业声明函》，投标供应商必须属于中型企业或小型企业或微型企业；如供应商为残疾人福利性单位或监狱企业，视同小型、微型企业，提供《残疾人福利性单位声明函》或《监狱企业声明函》及监狱企业证明文件亦视为符合。</w:t>
      </w:r>
    </w:p>
    <w:p w14:paraId="62992BBD">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 xml:space="preserve">本项目对应的中小企业划分标准所属行业：物业管理服务。 </w:t>
      </w:r>
    </w:p>
    <w:p w14:paraId="03E6A912">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3.本项目的特定资格要求：</w:t>
      </w:r>
    </w:p>
    <w:p w14:paraId="1A1918A5">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 xml:space="preserve">3.1投标人必须是具有独立法人资格或为具有独立承担民事责任能力的其它组织（提供营业执照或事业单位法人证书或其他证明材料复印件加盖公章，原件备查）； </w:t>
      </w:r>
    </w:p>
    <w:p w14:paraId="133C468B">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3.2参与本项目政府采购活动时不存在被有关部门禁止参与政府采购活动且在有效期内的情况（由供应商在《政府采购投标及履约承诺函》中作出声明，加盖公章）；</w:t>
      </w:r>
    </w:p>
    <w:p w14:paraId="5657C48D">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3.3具备《中华人民共和国政府采购法》第二十二条第一款的条件（由供应商在《政府采购投标及履约承诺函》中作出声明，加盖公章）；</w:t>
      </w:r>
    </w:p>
    <w:p w14:paraId="68690900">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3.4未被列入失信被执行人、重大税收违法失信主体、政府采购严重违法失信行为记录名单（由供应商在《政府采购投标及履约承诺函》中作出声明，加盖公章）；【注：采购代理机构将通过“信用中国”中“信用服务”栏的“重大税收违法失信主体”“失信被执行人”、“中国政府采购网”中的“政府采购严重违法失信行为记录名单”、“深圳信用网”以及“深圳市政府采购监管网”查询供应商的信用信息，相关信息以开标当日的查询结果为准。信用信息查询记录将作为项目档案材料一并保存。】</w:t>
      </w:r>
    </w:p>
    <w:p w14:paraId="7CCF93ED">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3.5单位法定代表人（负责人）为同一人或者存在直接控股、管理关系的不同供应商，不得同时参加本项目投标（由供应商在《政府采购投标及履约承诺函》中作出声明，加盖公章）【注：采购代理机构将通过国家企业信用信息公示系统(https://www.gsxt.gov.cn/index.html）、机关赋码和事业单位登记管理网（http://gjsy.gov.cn/sydwfrxxcx/)、全国社会组织信用信息公示平台（https://xxgs.chinanpo.mca.gov.cn/gsxt/newList 等网站查询供应商信息，相关信息以截标当日的查询结果为准】；</w:t>
      </w:r>
    </w:p>
    <w:p w14:paraId="7037B3D8">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3.6不同单位的法定代表人（负责人）、主要经营负责人、项目投标授权代表人、项目负责人、主要技术人员不得为同一人或同一单位或在同一单位缴纳社会保险。（由供应商在《政府采购投标及履约承诺函》中作出声明，并提供人员情况表及人员开标前一个月的社保缴纳情况，加盖公章）；</w:t>
      </w:r>
    </w:p>
    <w:p w14:paraId="718DB699">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3.7为本项目提供整体设计、规范编制或者项目管理、监理、检测等服务的供应商，不得参加本项目投标。（由供应商在《政府采购投标及履约承诺函》中作出声明，加盖公章）；</w:t>
      </w:r>
    </w:p>
    <w:p w14:paraId="0A96E865">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3.8本项目不接受联合体投标，不接受进口产品参与投标，不允许转包、分包（由供应商在《政府采购投标及履约承诺函》中作出声明，加盖公章）。</w:t>
      </w:r>
    </w:p>
    <w:p w14:paraId="30D4CCB5">
      <w:pPr>
        <w:pStyle w:val="3"/>
        <w:numPr>
          <w:ilvl w:val="0"/>
          <w:numId w:val="0"/>
        </w:numPr>
      </w:pPr>
      <w:bookmarkStart w:id="31" w:name="_Toc120892135"/>
      <w:bookmarkStart w:id="32" w:name="_Toc35393623"/>
      <w:bookmarkStart w:id="33" w:name="_Toc145666455"/>
      <w:bookmarkStart w:id="34" w:name="_Toc35393792"/>
      <w:bookmarkStart w:id="35" w:name="_Toc152759223"/>
      <w:r>
        <w:rPr>
          <w:rFonts w:hint="eastAsia"/>
        </w:rPr>
        <w:t>三、获取招标文件</w:t>
      </w:r>
      <w:bookmarkEnd w:id="28"/>
      <w:bookmarkEnd w:id="29"/>
      <w:bookmarkEnd w:id="31"/>
      <w:bookmarkEnd w:id="32"/>
      <w:bookmarkEnd w:id="33"/>
      <w:bookmarkEnd w:id="34"/>
      <w:bookmarkEnd w:id="35"/>
    </w:p>
    <w:p w14:paraId="48D713FC">
      <w:pPr>
        <w:widowControl w:val="0"/>
        <w:shd w:val="clear" w:color="auto" w:fill="auto"/>
        <w:tabs>
          <w:tab w:val="clear" w:pos="426"/>
        </w:tabs>
        <w:adjustRightInd/>
        <w:snapToGrid/>
        <w:ind w:firstLine="540"/>
        <w:rPr>
          <w:kern w:val="2"/>
          <w:szCs w:val="21"/>
        </w:rPr>
      </w:pPr>
      <w:r>
        <w:rPr>
          <w:rFonts w:hint="eastAsia"/>
          <w:kern w:val="2"/>
          <w:szCs w:val="21"/>
        </w:rPr>
        <w:t>时间：2025年</w:t>
      </w:r>
      <w:r>
        <w:rPr>
          <w:rFonts w:hint="eastAsia" w:cs="Times New Roman"/>
          <w:kern w:val="2"/>
          <w:szCs w:val="21"/>
        </w:rPr>
        <w:t>02</w:t>
      </w:r>
      <w:r>
        <w:rPr>
          <w:rFonts w:hint="eastAsia"/>
          <w:kern w:val="2"/>
          <w:szCs w:val="21"/>
        </w:rPr>
        <w:t>月</w:t>
      </w:r>
      <w:r>
        <w:rPr>
          <w:rFonts w:hint="eastAsia" w:cs="Times New Roman"/>
          <w:kern w:val="2"/>
          <w:szCs w:val="21"/>
        </w:rPr>
        <w:t>15</w:t>
      </w:r>
      <w:r>
        <w:rPr>
          <w:rFonts w:hint="eastAsia"/>
          <w:kern w:val="2"/>
          <w:szCs w:val="21"/>
        </w:rPr>
        <w:t>日至2025年0</w:t>
      </w:r>
      <w:r>
        <w:rPr>
          <w:rFonts w:hint="eastAsia" w:cs="Times New Roman"/>
          <w:kern w:val="2"/>
          <w:szCs w:val="21"/>
        </w:rPr>
        <w:t>2</w:t>
      </w:r>
      <w:r>
        <w:rPr>
          <w:rFonts w:hint="eastAsia"/>
          <w:kern w:val="2"/>
          <w:szCs w:val="21"/>
        </w:rPr>
        <w:t>月</w:t>
      </w:r>
      <w:r>
        <w:rPr>
          <w:rFonts w:hint="eastAsia" w:cs="Times New Roman"/>
          <w:kern w:val="2"/>
          <w:szCs w:val="21"/>
        </w:rPr>
        <w:t>24</w:t>
      </w:r>
      <w:r>
        <w:rPr>
          <w:rFonts w:hint="eastAsia"/>
          <w:kern w:val="2"/>
          <w:szCs w:val="21"/>
        </w:rPr>
        <w:t>日，每天上午</w:t>
      </w:r>
      <w:r>
        <w:rPr>
          <w:kern w:val="2"/>
          <w:szCs w:val="21"/>
        </w:rPr>
        <w:t>9:00</w:t>
      </w:r>
      <w:r>
        <w:rPr>
          <w:rFonts w:hint="eastAsia"/>
          <w:kern w:val="2"/>
          <w:szCs w:val="21"/>
        </w:rPr>
        <w:t>至</w:t>
      </w:r>
      <w:r>
        <w:rPr>
          <w:kern w:val="2"/>
          <w:szCs w:val="21"/>
        </w:rPr>
        <w:t>12:00</w:t>
      </w:r>
      <w:r>
        <w:rPr>
          <w:rFonts w:hint="eastAsia"/>
          <w:kern w:val="2"/>
          <w:szCs w:val="21"/>
        </w:rPr>
        <w:t>，下午</w:t>
      </w:r>
      <w:r>
        <w:rPr>
          <w:kern w:val="2"/>
          <w:szCs w:val="21"/>
        </w:rPr>
        <w:t>14:00</w:t>
      </w:r>
      <w:r>
        <w:rPr>
          <w:rFonts w:hint="eastAsia"/>
          <w:kern w:val="2"/>
          <w:szCs w:val="21"/>
        </w:rPr>
        <w:t>至</w:t>
      </w:r>
      <w:r>
        <w:rPr>
          <w:kern w:val="2"/>
          <w:szCs w:val="21"/>
        </w:rPr>
        <w:t>18:00</w:t>
      </w:r>
      <w:r>
        <w:rPr>
          <w:rFonts w:hint="eastAsia"/>
          <w:kern w:val="2"/>
          <w:szCs w:val="21"/>
        </w:rPr>
        <w:t>（北京时间，法定节假日除外）</w:t>
      </w:r>
    </w:p>
    <w:p w14:paraId="0809FFD8">
      <w:pPr>
        <w:widowControl w:val="0"/>
        <w:shd w:val="clear" w:color="auto" w:fill="auto"/>
        <w:tabs>
          <w:tab w:val="clear" w:pos="426"/>
        </w:tabs>
        <w:adjustRightInd/>
        <w:snapToGrid/>
        <w:ind w:firstLine="540"/>
        <w:rPr>
          <w:kern w:val="2"/>
          <w:szCs w:val="21"/>
        </w:rPr>
      </w:pPr>
      <w:r>
        <w:rPr>
          <w:rFonts w:hint="eastAsia"/>
          <w:kern w:val="2"/>
          <w:szCs w:val="21"/>
        </w:rPr>
        <w:t>地点：</w:t>
      </w:r>
      <w:r>
        <w:rPr>
          <w:rFonts w:hint="eastAsia"/>
          <w:szCs w:val="21"/>
        </w:rPr>
        <w:t>深圳市深水水务咨询有限公司（深圳市罗湖区清水河街道清水河社区清水河一路112号罗湖投资控股大厦裙楼401）</w:t>
      </w:r>
    </w:p>
    <w:p w14:paraId="7379E2F2">
      <w:pPr>
        <w:widowControl w:val="0"/>
        <w:shd w:val="clear" w:color="auto" w:fill="auto"/>
        <w:tabs>
          <w:tab w:val="clear" w:pos="426"/>
        </w:tabs>
        <w:adjustRightInd/>
        <w:snapToGrid/>
        <w:ind w:firstLine="540"/>
        <w:jc w:val="left"/>
        <w:rPr>
          <w:kern w:val="2"/>
          <w:szCs w:val="21"/>
        </w:rPr>
      </w:pPr>
      <w:r>
        <w:rPr>
          <w:rFonts w:hint="eastAsia"/>
          <w:kern w:val="2"/>
          <w:szCs w:val="21"/>
        </w:rPr>
        <w:t>方式：线上报名</w:t>
      </w:r>
    </w:p>
    <w:p w14:paraId="62E9011C">
      <w:pPr>
        <w:widowControl w:val="0"/>
        <w:shd w:val="clear" w:color="auto" w:fill="auto"/>
        <w:tabs>
          <w:tab w:val="clear" w:pos="426"/>
        </w:tabs>
        <w:adjustRightInd/>
        <w:snapToGrid/>
        <w:ind w:firstLine="540"/>
        <w:jc w:val="left"/>
        <w:rPr>
          <w:kern w:val="2"/>
          <w:szCs w:val="21"/>
        </w:rPr>
      </w:pPr>
      <w:r>
        <w:rPr>
          <w:rFonts w:hint="eastAsia"/>
          <w:kern w:val="2"/>
          <w:szCs w:val="21"/>
        </w:rPr>
        <w:t>报名网址：https://jdy.shenshuizaojia.com:8443/f/6758fdb2f9ae5eae94a793db。</w:t>
      </w:r>
    </w:p>
    <w:p w14:paraId="6A43CB2F">
      <w:pPr>
        <w:widowControl w:val="0"/>
        <w:shd w:val="clear" w:color="auto" w:fill="auto"/>
        <w:tabs>
          <w:tab w:val="clear" w:pos="426"/>
        </w:tabs>
        <w:adjustRightInd/>
        <w:snapToGrid/>
        <w:ind w:firstLine="540"/>
        <w:rPr>
          <w:kern w:val="2"/>
          <w:szCs w:val="21"/>
        </w:rPr>
      </w:pPr>
      <w:r>
        <w:rPr>
          <w:rFonts w:hint="eastAsia"/>
          <w:kern w:val="2"/>
          <w:szCs w:val="21"/>
        </w:rPr>
        <w:t>报名须提交：投标人的营业执照复印件；法人代表证明书原件、法人代表身份证复印件、授权委托书原件、被授权委托人身份证复印件、被授权委托人联系方式（电话、邮箱）。以上资料均需加盖公章，原件中标备查。</w:t>
      </w:r>
    </w:p>
    <w:p w14:paraId="5538DCC3">
      <w:pPr>
        <w:widowControl w:val="0"/>
        <w:shd w:val="clear" w:color="auto" w:fill="auto"/>
        <w:tabs>
          <w:tab w:val="clear" w:pos="426"/>
        </w:tabs>
        <w:adjustRightInd/>
        <w:snapToGrid/>
        <w:ind w:firstLine="540"/>
        <w:rPr>
          <w:kern w:val="2"/>
          <w:szCs w:val="21"/>
        </w:rPr>
      </w:pPr>
      <w:r>
        <w:rPr>
          <w:rFonts w:hint="eastAsia"/>
          <w:kern w:val="2"/>
          <w:szCs w:val="21"/>
        </w:rPr>
        <w:t>售价：</w:t>
      </w:r>
      <w:r>
        <w:rPr>
          <w:kern w:val="2"/>
          <w:szCs w:val="21"/>
        </w:rPr>
        <w:t>500</w:t>
      </w:r>
      <w:r>
        <w:rPr>
          <w:rFonts w:hint="eastAsia"/>
          <w:kern w:val="2"/>
          <w:szCs w:val="21"/>
        </w:rPr>
        <w:t>元</w:t>
      </w:r>
      <w:r>
        <w:rPr>
          <w:kern w:val="2"/>
          <w:szCs w:val="21"/>
        </w:rPr>
        <w:t>/</w:t>
      </w:r>
      <w:r>
        <w:rPr>
          <w:rFonts w:hint="eastAsia"/>
          <w:kern w:val="2"/>
          <w:szCs w:val="21"/>
        </w:rPr>
        <w:t>份，本公告包含的招标文件售价总和</w:t>
      </w:r>
    </w:p>
    <w:p w14:paraId="416735CA">
      <w:pPr>
        <w:pStyle w:val="3"/>
        <w:numPr>
          <w:ilvl w:val="0"/>
          <w:numId w:val="0"/>
        </w:numPr>
      </w:pPr>
      <w:bookmarkStart w:id="36" w:name="_Toc28359005"/>
      <w:bookmarkStart w:id="37" w:name="_Toc28359082"/>
      <w:bookmarkStart w:id="38" w:name="_Toc145666456"/>
      <w:bookmarkStart w:id="39" w:name="_Toc120892136"/>
      <w:bookmarkStart w:id="40" w:name="_Toc35393793"/>
      <w:bookmarkStart w:id="41" w:name="_Toc35393624"/>
      <w:bookmarkStart w:id="42" w:name="_Toc152759224"/>
      <w:r>
        <w:rPr>
          <w:rFonts w:hint="eastAsia"/>
        </w:rPr>
        <w:t>四、提交投标文件</w:t>
      </w:r>
      <w:bookmarkEnd w:id="36"/>
      <w:bookmarkEnd w:id="37"/>
      <w:r>
        <w:rPr>
          <w:rFonts w:hint="eastAsia"/>
        </w:rPr>
        <w:t>截止时间、开标时间和地点</w:t>
      </w:r>
      <w:bookmarkEnd w:id="38"/>
      <w:bookmarkEnd w:id="39"/>
      <w:bookmarkEnd w:id="40"/>
      <w:bookmarkEnd w:id="41"/>
      <w:bookmarkEnd w:id="42"/>
    </w:p>
    <w:p w14:paraId="622F0AA2">
      <w:pPr>
        <w:widowControl w:val="0"/>
        <w:shd w:val="clear" w:color="auto" w:fill="auto"/>
        <w:tabs>
          <w:tab w:val="clear" w:pos="426"/>
        </w:tabs>
        <w:adjustRightInd/>
        <w:snapToGrid/>
        <w:ind w:firstLine="420" w:firstLineChars="200"/>
        <w:rPr>
          <w:rFonts w:cs="Times New Roman"/>
          <w:bCs/>
          <w:kern w:val="2"/>
          <w:szCs w:val="21"/>
        </w:rPr>
      </w:pPr>
      <w:r>
        <w:rPr>
          <w:rFonts w:hint="eastAsia" w:cs="Times New Roman"/>
          <w:bCs/>
          <w:kern w:val="2"/>
          <w:szCs w:val="21"/>
        </w:rPr>
        <w:t>提交投标文件截止时间：2025</w:t>
      </w:r>
      <w:r>
        <w:rPr>
          <w:rFonts w:hint="eastAsia" w:cs="Times New Roman"/>
          <w:kern w:val="2"/>
          <w:szCs w:val="21"/>
        </w:rPr>
        <w:t>年03月07日14点3</w:t>
      </w:r>
      <w:r>
        <w:rPr>
          <w:rFonts w:cs="Times New Roman"/>
          <w:kern w:val="2"/>
          <w:szCs w:val="21"/>
        </w:rPr>
        <w:t>0</w:t>
      </w:r>
      <w:r>
        <w:rPr>
          <w:rFonts w:hint="eastAsia" w:cs="Times New Roman"/>
          <w:kern w:val="2"/>
          <w:szCs w:val="21"/>
        </w:rPr>
        <w:t>分（</w:t>
      </w:r>
      <w:r>
        <w:rPr>
          <w:rFonts w:hint="eastAsia" w:cs="Times New Roman"/>
          <w:bCs/>
          <w:kern w:val="2"/>
          <w:szCs w:val="21"/>
        </w:rPr>
        <w:t>北京时间）</w:t>
      </w:r>
    </w:p>
    <w:p w14:paraId="7A96915F">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开标时间：2025年03月07日 14点30分（北京时间）</w:t>
      </w:r>
    </w:p>
    <w:p w14:paraId="06C57DA1">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地点：深圳市罗湖区清水河街道清水河社区清水河一路112号罗湖投资控股大厦裙楼401</w:t>
      </w:r>
    </w:p>
    <w:p w14:paraId="46C09E41">
      <w:pPr>
        <w:pStyle w:val="3"/>
        <w:numPr>
          <w:ilvl w:val="0"/>
          <w:numId w:val="0"/>
        </w:numPr>
      </w:pPr>
      <w:bookmarkStart w:id="43" w:name="_Toc28359084"/>
      <w:bookmarkStart w:id="44" w:name="_Toc35393625"/>
      <w:bookmarkStart w:id="45" w:name="_Toc145666457"/>
      <w:bookmarkStart w:id="46" w:name="_Toc152759225"/>
      <w:bookmarkStart w:id="47" w:name="_Toc35393794"/>
      <w:bookmarkStart w:id="48" w:name="_Toc28359007"/>
      <w:bookmarkStart w:id="49" w:name="_Toc120892137"/>
      <w:r>
        <w:rPr>
          <w:rFonts w:hint="eastAsia"/>
        </w:rPr>
        <w:t>五、公告期限</w:t>
      </w:r>
      <w:bookmarkEnd w:id="43"/>
      <w:bookmarkEnd w:id="44"/>
      <w:bookmarkEnd w:id="45"/>
      <w:bookmarkEnd w:id="46"/>
      <w:bookmarkEnd w:id="47"/>
      <w:bookmarkEnd w:id="48"/>
      <w:bookmarkEnd w:id="49"/>
    </w:p>
    <w:p w14:paraId="4C24C6A6">
      <w:pPr>
        <w:widowControl w:val="0"/>
        <w:shd w:val="clear" w:color="auto" w:fill="auto"/>
        <w:tabs>
          <w:tab w:val="clear" w:pos="426"/>
        </w:tabs>
        <w:adjustRightInd/>
        <w:snapToGrid/>
        <w:ind w:firstLine="420" w:firstLineChars="200"/>
        <w:rPr>
          <w:szCs w:val="21"/>
        </w:rPr>
      </w:pPr>
      <w:r>
        <w:rPr>
          <w:rFonts w:hint="eastAsia"/>
          <w:szCs w:val="21"/>
        </w:rPr>
        <w:t>自本公告发布之日起</w:t>
      </w:r>
      <w:r>
        <w:rPr>
          <w:szCs w:val="21"/>
        </w:rPr>
        <w:t>5</w:t>
      </w:r>
      <w:r>
        <w:rPr>
          <w:rFonts w:hint="eastAsia"/>
          <w:szCs w:val="21"/>
        </w:rPr>
        <w:t>个工作日。</w:t>
      </w:r>
    </w:p>
    <w:p w14:paraId="2B3828AC">
      <w:pPr>
        <w:pStyle w:val="3"/>
        <w:numPr>
          <w:ilvl w:val="0"/>
          <w:numId w:val="0"/>
        </w:numPr>
      </w:pPr>
      <w:bookmarkStart w:id="50" w:name="_Toc152759226"/>
      <w:bookmarkStart w:id="51" w:name="_Toc35393626"/>
      <w:bookmarkStart w:id="52" w:name="_Toc120892138"/>
      <w:bookmarkStart w:id="53" w:name="_Toc145666458"/>
      <w:bookmarkStart w:id="54" w:name="_Toc35393795"/>
      <w:r>
        <w:rPr>
          <w:rFonts w:hint="eastAsia"/>
        </w:rPr>
        <w:t>六、其他补充事宜</w:t>
      </w:r>
      <w:bookmarkEnd w:id="50"/>
      <w:bookmarkEnd w:id="51"/>
      <w:bookmarkEnd w:id="52"/>
      <w:bookmarkEnd w:id="53"/>
      <w:bookmarkEnd w:id="54"/>
    </w:p>
    <w:p w14:paraId="215504D7">
      <w:pPr>
        <w:widowControl w:val="0"/>
        <w:shd w:val="clear" w:color="auto" w:fill="auto"/>
        <w:tabs>
          <w:tab w:val="clear" w:pos="426"/>
        </w:tabs>
        <w:adjustRightInd/>
        <w:snapToGrid/>
        <w:ind w:firstLine="420" w:firstLineChars="200"/>
        <w:rPr>
          <w:rFonts w:cs="Times New Roman"/>
          <w:kern w:val="2"/>
          <w:szCs w:val="21"/>
        </w:rPr>
      </w:pPr>
      <w:r>
        <w:rPr>
          <w:rFonts w:cs="Times New Roman"/>
          <w:kern w:val="2"/>
          <w:szCs w:val="21"/>
        </w:rPr>
        <w:t>1.</w:t>
      </w:r>
      <w:r>
        <w:rPr>
          <w:rFonts w:hint="eastAsia" w:cs="Times New Roman"/>
          <w:kern w:val="2"/>
          <w:szCs w:val="21"/>
        </w:rPr>
        <w:t>答疑事项：</w:t>
      </w:r>
    </w:p>
    <w:p w14:paraId="436A730A">
      <w:pPr>
        <w:widowControl w:val="0"/>
        <w:shd w:val="clear" w:color="auto" w:fill="auto"/>
        <w:tabs>
          <w:tab w:val="clear" w:pos="426"/>
        </w:tabs>
        <w:adjustRightInd/>
        <w:snapToGrid/>
        <w:ind w:firstLine="420" w:firstLineChars="200"/>
        <w:rPr>
          <w:rFonts w:cs="Times New Roman"/>
          <w:kern w:val="2"/>
          <w:szCs w:val="21"/>
        </w:rPr>
      </w:pPr>
      <w:r>
        <w:rPr>
          <w:rFonts w:cs="Times New Roman"/>
          <w:kern w:val="2"/>
          <w:szCs w:val="21"/>
        </w:rPr>
        <w:t>1.1</w:t>
      </w:r>
      <w:r>
        <w:rPr>
          <w:rFonts w:hint="eastAsia" w:cs="Times New Roman"/>
          <w:kern w:val="2"/>
          <w:szCs w:val="21"/>
        </w:rPr>
        <w:t>本项目实行网下纸质答疑，凡对招标文件有任何疑问的（包括认为招标文件的技术指标或参数存在排他性或歧视性条款），请投标供应商在获取采购文件或者采购文件公告期限届满之日起</w:t>
      </w:r>
      <w:r>
        <w:rPr>
          <w:rFonts w:cs="Times New Roman"/>
          <w:kern w:val="2"/>
          <w:szCs w:val="21"/>
        </w:rPr>
        <w:t>7</w:t>
      </w:r>
      <w:r>
        <w:rPr>
          <w:rFonts w:hint="eastAsia" w:cs="Times New Roman"/>
          <w:kern w:val="2"/>
          <w:szCs w:val="21"/>
        </w:rPr>
        <w:t>个工作日内</w:t>
      </w:r>
      <w:r>
        <w:rPr>
          <w:rFonts w:hint="eastAsia" w:asciiTheme="minorEastAsia" w:hAnsiTheme="minorEastAsia" w:eastAsiaTheme="minorEastAsia"/>
          <w:szCs w:val="21"/>
        </w:rPr>
        <w:t>一次性提出针对同一采购程序环节的招标</w:t>
      </w:r>
      <w:r>
        <w:rPr>
          <w:rFonts w:asciiTheme="minorEastAsia" w:hAnsiTheme="minorEastAsia" w:eastAsiaTheme="minorEastAsia"/>
          <w:szCs w:val="21"/>
        </w:rPr>
        <w:t>文件提出</w:t>
      </w:r>
      <w:r>
        <w:rPr>
          <w:rFonts w:hint="eastAsia" w:asciiTheme="minorEastAsia" w:hAnsiTheme="minorEastAsia" w:eastAsiaTheme="minorEastAsia"/>
          <w:szCs w:val="21"/>
        </w:rPr>
        <w:t>质疑</w:t>
      </w:r>
      <w:r>
        <w:rPr>
          <w:rFonts w:hint="eastAsia" w:cs="Times New Roman"/>
          <w:kern w:val="2"/>
          <w:szCs w:val="21"/>
        </w:rPr>
        <w:t>，根据《中华人民共和国政府采购法》第六章、《中华人民共和国政府采购法实施条例》的有关质疑的指引及要求填写质疑函件，并将质疑函件以及相关质疑内容的证明材料原件送达深圳市深水水务咨询有限公司，逾期不受理。</w:t>
      </w:r>
    </w:p>
    <w:p w14:paraId="31AC0121">
      <w:pPr>
        <w:widowControl w:val="0"/>
        <w:shd w:val="clear" w:color="auto" w:fill="auto"/>
        <w:tabs>
          <w:tab w:val="clear" w:pos="426"/>
        </w:tabs>
        <w:adjustRightInd/>
        <w:snapToGrid/>
        <w:ind w:firstLine="420" w:firstLineChars="200"/>
        <w:rPr>
          <w:rFonts w:cs="Times New Roman"/>
          <w:kern w:val="2"/>
          <w:szCs w:val="21"/>
        </w:rPr>
      </w:pPr>
      <w:r>
        <w:rPr>
          <w:rFonts w:cs="Times New Roman"/>
          <w:kern w:val="2"/>
          <w:szCs w:val="21"/>
        </w:rPr>
        <w:t>1.2</w:t>
      </w:r>
      <w:r>
        <w:rPr>
          <w:rFonts w:hint="eastAsia" w:cs="Times New Roman"/>
          <w:kern w:val="2"/>
          <w:szCs w:val="21"/>
        </w:rPr>
        <w:t>投标供应商有义务在招标活动期间浏览本公告</w:t>
      </w:r>
      <w:r>
        <w:rPr>
          <w:rFonts w:cs="Times New Roman"/>
          <w:kern w:val="2"/>
          <w:szCs w:val="21"/>
        </w:rPr>
        <w:t>“</w:t>
      </w:r>
      <w:r>
        <w:rPr>
          <w:rFonts w:hint="eastAsia" w:cs="Times New Roman"/>
          <w:kern w:val="2"/>
          <w:szCs w:val="21"/>
        </w:rPr>
        <w:t>六、其他补充事宜</w:t>
      </w:r>
      <w:r>
        <w:rPr>
          <w:rFonts w:cs="Times New Roman"/>
          <w:kern w:val="2"/>
          <w:szCs w:val="21"/>
        </w:rPr>
        <w:t>”</w:t>
      </w:r>
      <w:r>
        <w:rPr>
          <w:rFonts w:hint="eastAsia" w:cs="Times New Roman"/>
          <w:kern w:val="2"/>
          <w:szCs w:val="21"/>
        </w:rPr>
        <w:t>中的相关网站，招标人在上述网站上公布的与本次招标项目有关的信息视为已送达各投标供应商。采购代理机构将答疑情况或相关的补充公告（说明）在相关网站公布，请投标供应商及时关注本项目的投标答疑情况。投标供应商因疏忽，未及时登录相关网站了解相关的答疑情况及补充说明，产生的不利后果由投标供应商自行承担。</w:t>
      </w:r>
    </w:p>
    <w:p w14:paraId="7DA16841">
      <w:pPr>
        <w:widowControl w:val="0"/>
        <w:shd w:val="clear" w:color="auto" w:fill="auto"/>
        <w:tabs>
          <w:tab w:val="clear" w:pos="426"/>
        </w:tabs>
        <w:adjustRightInd/>
        <w:snapToGrid/>
        <w:ind w:firstLine="420" w:firstLineChars="200"/>
        <w:rPr>
          <w:rFonts w:cs="Times New Roman"/>
          <w:kern w:val="2"/>
          <w:szCs w:val="21"/>
        </w:rPr>
      </w:pPr>
      <w:r>
        <w:rPr>
          <w:rFonts w:cs="Times New Roman"/>
          <w:kern w:val="2"/>
          <w:szCs w:val="21"/>
        </w:rPr>
        <w:t>2.</w:t>
      </w:r>
      <w:r>
        <w:rPr>
          <w:rFonts w:hint="eastAsia" w:cs="Times New Roman"/>
          <w:kern w:val="2"/>
          <w:szCs w:val="21"/>
        </w:rPr>
        <w:t>信息发布平台：</w:t>
      </w:r>
    </w:p>
    <w:p w14:paraId="5452B5F2">
      <w:pPr>
        <w:widowControl w:val="0"/>
        <w:shd w:val="clear" w:color="auto" w:fill="auto"/>
        <w:tabs>
          <w:tab w:val="clear" w:pos="426"/>
        </w:tabs>
        <w:adjustRightInd/>
        <w:snapToGrid/>
        <w:ind w:firstLine="420" w:firstLineChars="200"/>
      </w:pPr>
      <w:r>
        <w:rPr>
          <w:rFonts w:hint="eastAsia"/>
        </w:rPr>
        <w:t>中国政府采购网（</w:t>
      </w:r>
      <w:r>
        <w:t>http://www.ccgp.gov.cn</w:t>
      </w:r>
      <w:r>
        <w:rPr>
          <w:rFonts w:hint="eastAsia"/>
        </w:rPr>
        <w:t>）；</w:t>
      </w:r>
    </w:p>
    <w:p w14:paraId="303CDA19">
      <w:pPr>
        <w:widowControl w:val="0"/>
        <w:shd w:val="clear" w:color="auto" w:fill="auto"/>
        <w:tabs>
          <w:tab w:val="clear" w:pos="426"/>
        </w:tabs>
        <w:adjustRightInd/>
        <w:snapToGrid/>
        <w:ind w:firstLine="420" w:firstLineChars="200"/>
      </w:pPr>
      <w:r>
        <w:rPr>
          <w:rFonts w:hint="eastAsia"/>
        </w:rPr>
        <w:t>深圳市深水水务咨询有限公司官网（</w:t>
      </w:r>
      <w:r>
        <w:t>http://www.szsszx.com/</w:t>
      </w:r>
      <w:r>
        <w:rPr>
          <w:rFonts w:hint="eastAsia"/>
        </w:rPr>
        <w:t>）。</w:t>
      </w:r>
    </w:p>
    <w:p w14:paraId="447DCDCE">
      <w:pPr>
        <w:widowControl w:val="0"/>
        <w:shd w:val="clear" w:color="auto" w:fill="auto"/>
        <w:tabs>
          <w:tab w:val="clear" w:pos="426"/>
        </w:tabs>
        <w:adjustRightInd/>
        <w:snapToGrid/>
        <w:ind w:firstLine="420" w:firstLineChars="200"/>
        <w:rPr>
          <w:rFonts w:cs="Times New Roman"/>
          <w:kern w:val="2"/>
          <w:szCs w:val="21"/>
        </w:rPr>
      </w:pPr>
      <w:r>
        <w:rPr>
          <w:rFonts w:cs="Times New Roman"/>
          <w:kern w:val="2"/>
          <w:szCs w:val="21"/>
        </w:rPr>
        <w:t>3.</w:t>
      </w:r>
      <w:r>
        <w:rPr>
          <w:rFonts w:hint="eastAsia" w:cs="Times New Roman"/>
          <w:kern w:val="2"/>
          <w:szCs w:val="21"/>
        </w:rPr>
        <w:t>消防救援队伍政府采购项目投诉受理单位：</w:t>
      </w:r>
    </w:p>
    <w:p w14:paraId="6F60EBCD">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联系人：财政部政府采购监督裁决处</w:t>
      </w:r>
    </w:p>
    <w:p w14:paraId="1A95C45A">
      <w:pPr>
        <w:widowControl w:val="0"/>
        <w:shd w:val="clear" w:color="auto" w:fill="auto"/>
        <w:tabs>
          <w:tab w:val="clear" w:pos="426"/>
        </w:tabs>
        <w:adjustRightInd/>
        <w:snapToGrid/>
        <w:ind w:firstLine="420" w:firstLineChars="200"/>
        <w:rPr>
          <w:szCs w:val="21"/>
        </w:rPr>
      </w:pPr>
      <w:r>
        <w:rPr>
          <w:rFonts w:hint="eastAsia" w:cs="Times New Roman"/>
          <w:kern w:val="2"/>
          <w:szCs w:val="21"/>
        </w:rPr>
        <w:t>电话：</w:t>
      </w:r>
      <w:r>
        <w:rPr>
          <w:rFonts w:cs="Times New Roman"/>
          <w:kern w:val="2"/>
          <w:szCs w:val="21"/>
        </w:rPr>
        <w:t>010-68513070</w:t>
      </w:r>
      <w:r>
        <w:rPr>
          <w:rFonts w:hint="eastAsia" w:cs="Times New Roman"/>
          <w:kern w:val="2"/>
          <w:szCs w:val="21"/>
        </w:rPr>
        <w:t>、</w:t>
      </w:r>
      <w:r>
        <w:rPr>
          <w:rFonts w:cs="Times New Roman"/>
          <w:kern w:val="2"/>
          <w:szCs w:val="21"/>
        </w:rPr>
        <w:t>010-68519967</w:t>
      </w:r>
    </w:p>
    <w:p w14:paraId="5972B70F">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地址：北京市西城区月坛北小街</w:t>
      </w:r>
      <w:r>
        <w:rPr>
          <w:rFonts w:cs="Times New Roman"/>
          <w:kern w:val="2"/>
          <w:szCs w:val="21"/>
        </w:rPr>
        <w:t>13</w:t>
      </w:r>
      <w:r>
        <w:rPr>
          <w:rFonts w:hint="eastAsia" w:cs="Times New Roman"/>
          <w:kern w:val="2"/>
          <w:szCs w:val="21"/>
        </w:rPr>
        <w:t>号中船宾馆北楼四层</w:t>
      </w:r>
      <w:r>
        <w:rPr>
          <w:rFonts w:cs="Times New Roman"/>
          <w:kern w:val="2"/>
          <w:szCs w:val="21"/>
        </w:rPr>
        <w:t>8401</w:t>
      </w:r>
      <w:r>
        <w:rPr>
          <w:rFonts w:hint="eastAsia" w:cs="Times New Roman"/>
          <w:kern w:val="2"/>
          <w:szCs w:val="21"/>
        </w:rPr>
        <w:t>室、</w:t>
      </w:r>
      <w:r>
        <w:rPr>
          <w:rFonts w:cs="Times New Roman"/>
          <w:kern w:val="2"/>
          <w:szCs w:val="21"/>
        </w:rPr>
        <w:t>8403</w:t>
      </w:r>
      <w:r>
        <w:rPr>
          <w:rFonts w:hint="eastAsia" w:cs="Times New Roman"/>
          <w:kern w:val="2"/>
          <w:szCs w:val="21"/>
        </w:rPr>
        <w:t>室</w:t>
      </w:r>
    </w:p>
    <w:p w14:paraId="10665B45">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4</w:t>
      </w:r>
      <w:r>
        <w:rPr>
          <w:rFonts w:cs="Times New Roman"/>
          <w:kern w:val="2"/>
          <w:szCs w:val="21"/>
        </w:rPr>
        <w:t>.</w:t>
      </w:r>
      <w:r>
        <w:rPr>
          <w:rFonts w:hint="eastAsia" w:cs="Times New Roman"/>
          <w:kern w:val="2"/>
          <w:szCs w:val="21"/>
        </w:rPr>
        <w:t>各投标人法定代表人或其授权代表也可通过邮寄方式，按照规定的递交投标文件截止时间前向我公司邮寄投标文件，快递单上写明供应商名称、项目编号，通过邮寄方式递交的投标文件递交时间以我公司代表签收时间为准。逾期、不符合规定的或邮寄过程导致包装密封出现破损的，投标文件不予接受。投标供应商自行承担相应责任与后果。投标供应商未参加现场开标的，视同认可开标结果。</w:t>
      </w:r>
    </w:p>
    <w:p w14:paraId="612EF681">
      <w:pPr>
        <w:pStyle w:val="3"/>
        <w:numPr>
          <w:ilvl w:val="0"/>
          <w:numId w:val="0"/>
        </w:numPr>
      </w:pPr>
      <w:bookmarkStart w:id="55" w:name="_Toc145666459"/>
      <w:bookmarkStart w:id="56" w:name="_Toc28359085"/>
      <w:bookmarkStart w:id="57" w:name="_Toc120892139"/>
      <w:bookmarkStart w:id="58" w:name="_Toc152759227"/>
      <w:bookmarkStart w:id="59" w:name="_Toc28359008"/>
      <w:bookmarkStart w:id="60" w:name="_Toc35393796"/>
      <w:bookmarkStart w:id="61" w:name="_Toc35393627"/>
      <w:r>
        <w:rPr>
          <w:rFonts w:hint="eastAsia"/>
        </w:rPr>
        <w:t>七、对本次招标提出询问，请按以下方式联系。</w:t>
      </w:r>
      <w:bookmarkEnd w:id="55"/>
      <w:bookmarkEnd w:id="56"/>
      <w:bookmarkEnd w:id="57"/>
      <w:bookmarkEnd w:id="58"/>
      <w:bookmarkEnd w:id="59"/>
      <w:bookmarkEnd w:id="60"/>
      <w:bookmarkEnd w:id="61"/>
    </w:p>
    <w:p w14:paraId="2C20C385">
      <w:pPr>
        <w:shd w:val="clear" w:color="auto" w:fill="auto"/>
        <w:tabs>
          <w:tab w:val="clear" w:pos="426"/>
        </w:tabs>
        <w:adjustRightInd/>
        <w:snapToGrid/>
        <w:ind w:firstLine="420" w:firstLineChars="200"/>
        <w:jc w:val="left"/>
        <w:rPr>
          <w:rFonts w:cs="Times New Roman"/>
          <w:kern w:val="2"/>
          <w:szCs w:val="21"/>
        </w:rPr>
      </w:pPr>
      <w:r>
        <w:rPr>
          <w:kern w:val="2"/>
          <w:szCs w:val="21"/>
        </w:rPr>
        <w:t>1.</w:t>
      </w:r>
      <w:r>
        <w:rPr>
          <w:rFonts w:hint="eastAsia"/>
          <w:kern w:val="2"/>
          <w:szCs w:val="21"/>
        </w:rPr>
        <w:t>采购人信息</w:t>
      </w:r>
    </w:p>
    <w:p w14:paraId="2A75DE2A">
      <w:pPr>
        <w:widowControl w:val="0"/>
        <w:shd w:val="clear" w:color="auto" w:fill="auto"/>
        <w:tabs>
          <w:tab w:val="clear" w:pos="426"/>
        </w:tabs>
        <w:adjustRightInd/>
        <w:snapToGrid/>
        <w:ind w:firstLine="420" w:firstLineChars="200"/>
        <w:jc w:val="left"/>
        <w:rPr>
          <w:rFonts w:cs="Times New Roman"/>
          <w:kern w:val="2"/>
          <w:szCs w:val="21"/>
        </w:rPr>
      </w:pPr>
      <w:r>
        <w:rPr>
          <w:rFonts w:hint="eastAsia" w:cs="Times New Roman"/>
          <w:kern w:val="2"/>
          <w:szCs w:val="21"/>
        </w:rPr>
        <w:t>名称：深圳市消防救援支队特勤大队</w:t>
      </w:r>
    </w:p>
    <w:p w14:paraId="68072FB6">
      <w:pPr>
        <w:widowControl w:val="0"/>
        <w:shd w:val="clear" w:color="auto" w:fill="auto"/>
        <w:tabs>
          <w:tab w:val="clear" w:pos="426"/>
        </w:tabs>
        <w:adjustRightInd/>
        <w:snapToGrid/>
        <w:ind w:firstLine="420" w:firstLineChars="200"/>
        <w:jc w:val="left"/>
        <w:rPr>
          <w:rFonts w:cs="Times New Roman"/>
          <w:kern w:val="2"/>
          <w:szCs w:val="21"/>
        </w:rPr>
      </w:pPr>
      <w:r>
        <w:rPr>
          <w:rFonts w:hint="eastAsia" w:cs="Times New Roman"/>
          <w:kern w:val="2"/>
          <w:szCs w:val="21"/>
        </w:rPr>
        <w:t>地址：深圳市南山区深南大道10288号</w:t>
      </w:r>
    </w:p>
    <w:p w14:paraId="5EBDC413">
      <w:pPr>
        <w:widowControl w:val="0"/>
        <w:shd w:val="clear" w:color="auto" w:fill="auto"/>
        <w:tabs>
          <w:tab w:val="clear" w:pos="426"/>
        </w:tabs>
        <w:adjustRightInd/>
        <w:snapToGrid/>
        <w:ind w:firstLine="420" w:firstLineChars="200"/>
        <w:jc w:val="left"/>
        <w:rPr>
          <w:rFonts w:cs="Times New Roman"/>
          <w:kern w:val="2"/>
          <w:szCs w:val="21"/>
        </w:rPr>
      </w:pPr>
      <w:r>
        <w:rPr>
          <w:rFonts w:hint="eastAsia" w:cs="Times New Roman"/>
          <w:kern w:val="2"/>
          <w:szCs w:val="21"/>
        </w:rPr>
        <w:t>联系方式：</w:t>
      </w:r>
      <w:bookmarkStart w:id="62" w:name="_Toc28359086"/>
      <w:bookmarkStart w:id="63" w:name="_Toc28359009"/>
      <w:r>
        <w:rPr>
          <w:rFonts w:hint="eastAsia" w:cs="Times New Roman"/>
          <w:kern w:val="2"/>
          <w:szCs w:val="21"/>
        </w:rPr>
        <w:t>苏工0755-86182332</w:t>
      </w:r>
    </w:p>
    <w:p w14:paraId="43A49507">
      <w:pPr>
        <w:widowControl w:val="0"/>
        <w:shd w:val="clear" w:color="auto" w:fill="auto"/>
        <w:tabs>
          <w:tab w:val="clear" w:pos="426"/>
        </w:tabs>
        <w:adjustRightInd/>
        <w:snapToGrid/>
        <w:ind w:firstLine="420" w:firstLineChars="200"/>
        <w:jc w:val="left"/>
        <w:rPr>
          <w:rFonts w:cs="Times New Roman"/>
          <w:kern w:val="2"/>
          <w:szCs w:val="21"/>
        </w:rPr>
      </w:pPr>
      <w:r>
        <w:rPr>
          <w:kern w:val="2"/>
          <w:szCs w:val="21"/>
        </w:rPr>
        <w:t>2.</w:t>
      </w:r>
      <w:r>
        <w:rPr>
          <w:rFonts w:hint="eastAsia"/>
          <w:kern w:val="2"/>
          <w:szCs w:val="21"/>
        </w:rPr>
        <w:t>采购代理机构信息</w:t>
      </w:r>
      <w:bookmarkEnd w:id="62"/>
      <w:bookmarkEnd w:id="63"/>
    </w:p>
    <w:p w14:paraId="7CA07F13">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名称：深圳市深水水务咨询有限公司</w:t>
      </w:r>
    </w:p>
    <w:p w14:paraId="62C7F6E1">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地址：深圳市罗湖区清水河街道清水河社区清水河一路112号罗湖投资控股大厦裙楼401</w:t>
      </w:r>
    </w:p>
    <w:p w14:paraId="2737EAC0">
      <w:pPr>
        <w:widowControl w:val="0"/>
        <w:shd w:val="clear" w:color="auto" w:fill="auto"/>
        <w:tabs>
          <w:tab w:val="clear" w:pos="426"/>
        </w:tabs>
        <w:adjustRightInd/>
        <w:snapToGrid/>
        <w:ind w:firstLine="420" w:firstLineChars="200"/>
        <w:rPr>
          <w:rFonts w:cs="Times New Roman"/>
          <w:kern w:val="2"/>
          <w:szCs w:val="21"/>
        </w:rPr>
      </w:pPr>
      <w:bookmarkStart w:id="64" w:name="_Toc28359010"/>
      <w:bookmarkStart w:id="65" w:name="_Toc28359087"/>
      <w:r>
        <w:rPr>
          <w:rFonts w:hint="eastAsia" w:cs="Times New Roman"/>
          <w:kern w:val="2"/>
          <w:szCs w:val="21"/>
        </w:rPr>
        <w:t>联系方式：庄晓琴</w:t>
      </w:r>
      <w:r>
        <w:rPr>
          <w:rFonts w:cs="Times New Roman"/>
          <w:kern w:val="2"/>
          <w:szCs w:val="21"/>
        </w:rPr>
        <w:t>0755-25165821/13688812350/Email</w:t>
      </w:r>
      <w:r>
        <w:rPr>
          <w:rFonts w:hint="eastAsia" w:cs="Times New Roman"/>
          <w:kern w:val="2"/>
          <w:szCs w:val="21"/>
        </w:rPr>
        <w:t>：</w:t>
      </w:r>
      <w:r>
        <w:rPr>
          <w:rFonts w:cs="Times New Roman"/>
          <w:kern w:val="2"/>
          <w:szCs w:val="21"/>
        </w:rPr>
        <w:t>498174886@qq.com</w:t>
      </w:r>
    </w:p>
    <w:p w14:paraId="082E5866">
      <w:pPr>
        <w:widowControl w:val="0"/>
        <w:shd w:val="clear" w:color="auto" w:fill="auto"/>
        <w:tabs>
          <w:tab w:val="clear" w:pos="426"/>
        </w:tabs>
        <w:adjustRightInd/>
        <w:snapToGrid/>
        <w:ind w:firstLine="420" w:firstLineChars="200"/>
        <w:rPr>
          <w:rFonts w:cs="Times New Roman"/>
          <w:kern w:val="2"/>
          <w:szCs w:val="21"/>
        </w:rPr>
      </w:pPr>
      <w:r>
        <w:rPr>
          <w:kern w:val="2"/>
          <w:szCs w:val="21"/>
        </w:rPr>
        <w:t>3.</w:t>
      </w:r>
      <w:r>
        <w:rPr>
          <w:rFonts w:hint="eastAsia"/>
          <w:kern w:val="2"/>
          <w:szCs w:val="21"/>
        </w:rPr>
        <w:t>项目联系方式</w:t>
      </w:r>
      <w:bookmarkEnd w:id="64"/>
      <w:bookmarkEnd w:id="65"/>
    </w:p>
    <w:p w14:paraId="0C8A816F">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项目联系人：庄晓琴、李夏冰</w:t>
      </w:r>
    </w:p>
    <w:p w14:paraId="59A3D817">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电话：</w:t>
      </w:r>
      <w:r>
        <w:rPr>
          <w:rFonts w:cs="Times New Roman"/>
          <w:kern w:val="2"/>
          <w:szCs w:val="21"/>
        </w:rPr>
        <w:t>13688812350</w:t>
      </w:r>
      <w:r>
        <w:rPr>
          <w:rFonts w:hint="eastAsia" w:cs="Times New Roman"/>
          <w:kern w:val="2"/>
          <w:szCs w:val="21"/>
        </w:rPr>
        <w:t>、</w:t>
      </w:r>
      <w:r>
        <w:rPr>
          <w:rFonts w:cs="Times New Roman"/>
          <w:kern w:val="2"/>
          <w:szCs w:val="21"/>
        </w:rPr>
        <w:t>15815558585</w:t>
      </w:r>
    </w:p>
    <w:p w14:paraId="58839BAB">
      <w:pPr>
        <w:ind w:firstLine="424" w:firstLineChars="202"/>
        <w:jc w:val="right"/>
        <w:rPr>
          <w:szCs w:val="21"/>
        </w:rPr>
      </w:pPr>
    </w:p>
    <w:p w14:paraId="307C3CBC">
      <w:pPr>
        <w:ind w:firstLine="424" w:firstLineChars="202"/>
        <w:jc w:val="right"/>
        <w:rPr>
          <w:szCs w:val="21"/>
        </w:rPr>
      </w:pPr>
      <w:r>
        <w:rPr>
          <w:rFonts w:hint="eastAsia"/>
          <w:szCs w:val="21"/>
        </w:rPr>
        <w:t>深圳市深水水务咨询有限公司</w:t>
      </w:r>
    </w:p>
    <w:p w14:paraId="725515B4">
      <w:pPr>
        <w:ind w:firstLine="424" w:firstLineChars="202"/>
        <w:jc w:val="right"/>
        <w:rPr>
          <w:szCs w:val="21"/>
        </w:rPr>
      </w:pPr>
      <w:r>
        <w:rPr>
          <w:rFonts w:hint="eastAsia"/>
          <w:szCs w:val="21"/>
        </w:rPr>
        <w:t>2025年</w:t>
      </w:r>
      <w:r>
        <w:rPr>
          <w:rFonts w:hint="eastAsia" w:cs="Times New Roman"/>
          <w:kern w:val="2"/>
          <w:szCs w:val="21"/>
        </w:rPr>
        <w:t>02</w:t>
      </w:r>
      <w:r>
        <w:rPr>
          <w:rFonts w:hint="eastAsia"/>
          <w:szCs w:val="21"/>
        </w:rPr>
        <w:t>月</w:t>
      </w:r>
      <w:r>
        <w:rPr>
          <w:rFonts w:hint="eastAsia" w:cs="Times New Roman"/>
          <w:kern w:val="2"/>
          <w:szCs w:val="21"/>
        </w:rPr>
        <w:t>14</w:t>
      </w:r>
      <w:r>
        <w:rPr>
          <w:rFonts w:hint="eastAsia"/>
          <w:szCs w:val="21"/>
        </w:rPr>
        <w:t>日</w:t>
      </w:r>
    </w:p>
    <w:bookmarkEnd w:id="12"/>
    <w:p w14:paraId="441890A2">
      <w:pPr>
        <w:tabs>
          <w:tab w:val="clear" w:pos="426"/>
        </w:tabs>
        <w:sectPr>
          <w:headerReference r:id="rId9" w:type="first"/>
          <w:footerReference r:id="rId11" w:type="first"/>
          <w:headerReference r:id="rId8" w:type="default"/>
          <w:footerReference r:id="rId10" w:type="default"/>
          <w:pgSz w:w="11906" w:h="16838"/>
          <w:pgMar w:top="1440" w:right="1134" w:bottom="1440" w:left="1418" w:header="851" w:footer="992" w:gutter="0"/>
          <w:pgNumType w:start="1"/>
          <w:cols w:space="720" w:num="1"/>
          <w:titlePg/>
          <w:docGrid w:linePitch="462" w:charSpace="0"/>
        </w:sectPr>
      </w:pPr>
      <w:bookmarkStart w:id="66" w:name="_Toc432592814"/>
    </w:p>
    <w:p w14:paraId="56C4541F">
      <w:pPr>
        <w:pStyle w:val="62"/>
        <w:tabs>
          <w:tab w:val="clear" w:pos="426"/>
        </w:tabs>
      </w:pPr>
      <w:bookmarkStart w:id="67" w:name="_Toc152759228"/>
      <w:r>
        <w:rPr>
          <w:rFonts w:hint="eastAsia"/>
        </w:rPr>
        <w:t>第二章</w:t>
      </w:r>
      <w:bookmarkEnd w:id="66"/>
      <w:r>
        <w:rPr>
          <w:rFonts w:hint="eastAsia"/>
        </w:rPr>
        <w:t>投标须知前附表</w:t>
      </w:r>
      <w:bookmarkEnd w:id="67"/>
    </w:p>
    <w:p w14:paraId="3C02700A">
      <w:pPr>
        <w:tabs>
          <w:tab w:val="clear" w:pos="426"/>
        </w:tabs>
        <w:spacing w:line="240" w:lineRule="auto"/>
        <w:ind w:right="-174" w:rightChars="-83"/>
      </w:pPr>
      <w:r>
        <w:rPr>
          <w:rFonts w:hint="eastAsia"/>
        </w:rPr>
        <w:t>说明：本表是对通用条款《投标供应商须知》条款的补充、修改和完善，如果有矛盾，应以本表为准。</w:t>
      </w:r>
    </w:p>
    <w:tbl>
      <w:tblPr>
        <w:tblStyle w:val="85"/>
        <w:tblW w:w="957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889"/>
        <w:gridCol w:w="6931"/>
      </w:tblGrid>
      <w:tr w14:paraId="21FF788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14:paraId="58F4F446">
            <w:pPr>
              <w:tabs>
                <w:tab w:val="clear" w:pos="426"/>
              </w:tabs>
              <w:adjustRightInd/>
              <w:snapToGrid/>
              <w:spacing w:line="320" w:lineRule="exact"/>
              <w:jc w:val="center"/>
            </w:pPr>
            <w:r>
              <w:rPr>
                <w:rFonts w:hint="eastAsia"/>
              </w:rPr>
              <w:t>序号</w:t>
            </w:r>
          </w:p>
        </w:tc>
        <w:tc>
          <w:tcPr>
            <w:tcW w:w="1889" w:type="dxa"/>
            <w:vAlign w:val="center"/>
          </w:tcPr>
          <w:p w14:paraId="262A742B">
            <w:pPr>
              <w:tabs>
                <w:tab w:val="clear" w:pos="426"/>
              </w:tabs>
              <w:adjustRightInd/>
              <w:snapToGrid/>
              <w:spacing w:line="320" w:lineRule="exact"/>
              <w:jc w:val="center"/>
            </w:pPr>
            <w:r>
              <w:rPr>
                <w:rFonts w:hint="eastAsia"/>
              </w:rPr>
              <w:t>内容</w:t>
            </w:r>
          </w:p>
        </w:tc>
        <w:tc>
          <w:tcPr>
            <w:tcW w:w="6931" w:type="dxa"/>
            <w:vAlign w:val="center"/>
          </w:tcPr>
          <w:p w14:paraId="31DDAC66">
            <w:pPr>
              <w:tabs>
                <w:tab w:val="clear" w:pos="426"/>
              </w:tabs>
              <w:adjustRightInd/>
              <w:snapToGrid/>
              <w:spacing w:line="320" w:lineRule="exact"/>
              <w:jc w:val="center"/>
            </w:pPr>
            <w:r>
              <w:rPr>
                <w:rFonts w:hint="eastAsia"/>
              </w:rPr>
              <w:t>规定</w:t>
            </w:r>
          </w:p>
        </w:tc>
      </w:tr>
      <w:tr w14:paraId="3FDCCC2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14:paraId="6C2147EE">
            <w:pPr>
              <w:tabs>
                <w:tab w:val="clear" w:pos="426"/>
              </w:tabs>
              <w:adjustRightInd/>
              <w:snapToGrid/>
              <w:spacing w:line="320" w:lineRule="exact"/>
              <w:jc w:val="center"/>
            </w:pPr>
            <w:r>
              <w:t>1</w:t>
            </w:r>
          </w:p>
        </w:tc>
        <w:tc>
          <w:tcPr>
            <w:tcW w:w="1889" w:type="dxa"/>
            <w:vAlign w:val="center"/>
          </w:tcPr>
          <w:p w14:paraId="29BA9299">
            <w:pPr>
              <w:tabs>
                <w:tab w:val="clear" w:pos="426"/>
              </w:tabs>
              <w:adjustRightInd/>
              <w:snapToGrid/>
              <w:spacing w:line="320" w:lineRule="exact"/>
            </w:pPr>
            <w:r>
              <w:rPr>
                <w:rFonts w:hint="eastAsia"/>
              </w:rPr>
              <w:t>联合体投标</w:t>
            </w:r>
          </w:p>
        </w:tc>
        <w:tc>
          <w:tcPr>
            <w:tcW w:w="6931" w:type="dxa"/>
            <w:vAlign w:val="center"/>
          </w:tcPr>
          <w:p w14:paraId="30E2D0AD">
            <w:pPr>
              <w:tabs>
                <w:tab w:val="clear" w:pos="426"/>
              </w:tabs>
              <w:adjustRightInd/>
              <w:snapToGrid/>
              <w:spacing w:line="320" w:lineRule="exact"/>
            </w:pPr>
            <w:r>
              <w:rPr>
                <w:rFonts w:hint="eastAsia"/>
              </w:rPr>
              <w:t>■不接受（招标文件中相关联合体规定均不适用）□接受</w:t>
            </w:r>
          </w:p>
        </w:tc>
      </w:tr>
      <w:tr w14:paraId="53F1F2B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14:paraId="44078372">
            <w:pPr>
              <w:tabs>
                <w:tab w:val="clear" w:pos="426"/>
              </w:tabs>
              <w:adjustRightInd/>
              <w:snapToGrid/>
              <w:spacing w:line="320" w:lineRule="exact"/>
              <w:jc w:val="center"/>
            </w:pPr>
            <w:r>
              <w:t>2</w:t>
            </w:r>
          </w:p>
        </w:tc>
        <w:tc>
          <w:tcPr>
            <w:tcW w:w="1889" w:type="dxa"/>
            <w:vAlign w:val="center"/>
          </w:tcPr>
          <w:p w14:paraId="014C5AFD">
            <w:pPr>
              <w:tabs>
                <w:tab w:val="clear" w:pos="426"/>
              </w:tabs>
              <w:adjustRightInd/>
              <w:snapToGrid/>
              <w:spacing w:line="320" w:lineRule="exact"/>
            </w:pPr>
            <w:r>
              <w:rPr>
                <w:rFonts w:hint="eastAsia"/>
              </w:rPr>
              <w:t>踏勘现场</w:t>
            </w:r>
          </w:p>
        </w:tc>
        <w:tc>
          <w:tcPr>
            <w:tcW w:w="6931" w:type="dxa"/>
            <w:vAlign w:val="center"/>
          </w:tcPr>
          <w:p w14:paraId="5B8A19B3">
            <w:pPr>
              <w:tabs>
                <w:tab w:val="clear" w:pos="426"/>
              </w:tabs>
              <w:adjustRightInd/>
              <w:snapToGrid/>
              <w:spacing w:line="320" w:lineRule="exact"/>
            </w:pPr>
            <w:r>
              <w:rPr>
                <w:rFonts w:hint="eastAsia"/>
              </w:rPr>
              <w:t>■不组织。</w:t>
            </w:r>
          </w:p>
          <w:p w14:paraId="2AB1B42F">
            <w:pPr>
              <w:tabs>
                <w:tab w:val="clear" w:pos="426"/>
              </w:tabs>
              <w:adjustRightInd/>
              <w:snapToGrid/>
              <w:spacing w:line="320" w:lineRule="exact"/>
            </w:pPr>
            <w:r>
              <w:rPr>
                <w:rFonts w:hint="eastAsia"/>
              </w:rPr>
              <w:t>□组织。踏勘时间：</w:t>
            </w:r>
            <w:r>
              <w:rPr>
                <w:u w:val="single"/>
              </w:rPr>
              <w:t>______</w:t>
            </w:r>
            <w:r>
              <w:rPr>
                <w:rFonts w:hint="eastAsia"/>
                <w:u w:val="single"/>
              </w:rPr>
              <w:t>年</w:t>
            </w:r>
            <w:r>
              <w:rPr>
                <w:u w:val="single"/>
              </w:rPr>
              <w:t>____</w:t>
            </w:r>
            <w:r>
              <w:rPr>
                <w:rFonts w:hint="eastAsia"/>
                <w:u w:val="single"/>
              </w:rPr>
              <w:t>月</w:t>
            </w:r>
            <w:r>
              <w:rPr>
                <w:u w:val="single"/>
              </w:rPr>
              <w:t>___</w:t>
            </w:r>
            <w:r>
              <w:rPr>
                <w:rFonts w:hint="eastAsia"/>
                <w:u w:val="single"/>
              </w:rPr>
              <w:t>日</w:t>
            </w:r>
            <w:r>
              <w:rPr>
                <w:u w:val="single"/>
              </w:rPr>
              <w:t>____</w:t>
            </w:r>
            <w:r>
              <w:rPr>
                <w:rFonts w:hint="eastAsia"/>
                <w:u w:val="single"/>
              </w:rPr>
              <w:t>时</w:t>
            </w:r>
            <w:r>
              <w:rPr>
                <w:u w:val="single"/>
              </w:rPr>
              <w:t>____</w:t>
            </w:r>
            <w:r>
              <w:rPr>
                <w:rFonts w:hint="eastAsia"/>
                <w:u w:val="single"/>
              </w:rPr>
              <w:t>分</w:t>
            </w:r>
          </w:p>
          <w:p w14:paraId="552BF711">
            <w:pPr>
              <w:tabs>
                <w:tab w:val="clear" w:pos="426"/>
              </w:tabs>
              <w:adjustRightInd/>
              <w:snapToGrid/>
              <w:spacing w:line="320" w:lineRule="exact"/>
            </w:pPr>
            <w:r>
              <w:rPr>
                <w:rFonts w:hint="eastAsia"/>
              </w:rPr>
              <w:t>集合地点：</w:t>
            </w:r>
          </w:p>
        </w:tc>
      </w:tr>
      <w:tr w14:paraId="45538E2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14:paraId="46E0276E">
            <w:pPr>
              <w:tabs>
                <w:tab w:val="clear" w:pos="426"/>
              </w:tabs>
              <w:adjustRightInd/>
              <w:snapToGrid/>
              <w:spacing w:line="320" w:lineRule="exact"/>
              <w:jc w:val="center"/>
            </w:pPr>
            <w:r>
              <w:t>3</w:t>
            </w:r>
          </w:p>
        </w:tc>
        <w:tc>
          <w:tcPr>
            <w:tcW w:w="1889" w:type="dxa"/>
            <w:vAlign w:val="center"/>
          </w:tcPr>
          <w:p w14:paraId="20F7B6A5">
            <w:pPr>
              <w:tabs>
                <w:tab w:val="clear" w:pos="426"/>
              </w:tabs>
              <w:adjustRightInd/>
              <w:snapToGrid/>
              <w:spacing w:line="320" w:lineRule="exact"/>
            </w:pPr>
            <w:r>
              <w:rPr>
                <w:rFonts w:hint="eastAsia"/>
              </w:rPr>
              <w:t>投标供应商提出疑问截止时间</w:t>
            </w:r>
          </w:p>
        </w:tc>
        <w:tc>
          <w:tcPr>
            <w:tcW w:w="6931" w:type="dxa"/>
            <w:vAlign w:val="center"/>
          </w:tcPr>
          <w:p w14:paraId="4E928B8F">
            <w:pPr>
              <w:tabs>
                <w:tab w:val="clear" w:pos="426"/>
              </w:tabs>
              <w:adjustRightInd/>
              <w:snapToGrid/>
              <w:spacing w:line="320" w:lineRule="exact"/>
            </w:pPr>
            <w:r>
              <w:rPr>
                <w:rFonts w:hint="eastAsia"/>
              </w:rPr>
              <w:t>在获取采购文件或者采购文件公告期限届满之日起</w:t>
            </w:r>
            <w:r>
              <w:t>7</w:t>
            </w:r>
            <w:r>
              <w:rPr>
                <w:rFonts w:hint="eastAsia"/>
              </w:rPr>
              <w:t>个工作日内</w:t>
            </w:r>
            <w:r>
              <w:rPr>
                <w:rFonts w:hint="eastAsia" w:asciiTheme="minorEastAsia" w:hAnsiTheme="minorEastAsia" w:eastAsiaTheme="minorEastAsia"/>
                <w:szCs w:val="21"/>
              </w:rPr>
              <w:t>一次性提出针对同一采购程序环节的招标</w:t>
            </w:r>
            <w:r>
              <w:rPr>
                <w:rFonts w:asciiTheme="minorEastAsia" w:hAnsiTheme="minorEastAsia" w:eastAsiaTheme="minorEastAsia"/>
                <w:szCs w:val="21"/>
              </w:rPr>
              <w:t>文件提出</w:t>
            </w:r>
            <w:r>
              <w:rPr>
                <w:rFonts w:hint="eastAsia" w:asciiTheme="minorEastAsia" w:hAnsiTheme="minorEastAsia" w:eastAsiaTheme="minorEastAsia"/>
                <w:szCs w:val="21"/>
              </w:rPr>
              <w:t>质疑</w:t>
            </w:r>
            <w:r>
              <w:rPr>
                <w:rFonts w:hint="eastAsia"/>
              </w:rPr>
              <w:t>。</w:t>
            </w:r>
          </w:p>
        </w:tc>
      </w:tr>
      <w:tr w14:paraId="1292B0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14:paraId="0FBA52CF">
            <w:pPr>
              <w:tabs>
                <w:tab w:val="clear" w:pos="426"/>
              </w:tabs>
              <w:adjustRightInd/>
              <w:snapToGrid/>
              <w:spacing w:line="320" w:lineRule="exact"/>
              <w:jc w:val="center"/>
            </w:pPr>
            <w:r>
              <w:t>4</w:t>
            </w:r>
          </w:p>
        </w:tc>
        <w:tc>
          <w:tcPr>
            <w:tcW w:w="1889" w:type="dxa"/>
            <w:vAlign w:val="center"/>
          </w:tcPr>
          <w:p w14:paraId="77BDD487">
            <w:pPr>
              <w:tabs>
                <w:tab w:val="clear" w:pos="426"/>
              </w:tabs>
              <w:adjustRightInd/>
              <w:snapToGrid/>
              <w:spacing w:line="320" w:lineRule="exact"/>
            </w:pPr>
            <w:r>
              <w:rPr>
                <w:rFonts w:hint="eastAsia"/>
              </w:rPr>
              <w:t>澄清或修补、答疑的期限</w:t>
            </w:r>
          </w:p>
        </w:tc>
        <w:tc>
          <w:tcPr>
            <w:tcW w:w="6931" w:type="dxa"/>
            <w:vAlign w:val="center"/>
          </w:tcPr>
          <w:p w14:paraId="13697267">
            <w:pPr>
              <w:tabs>
                <w:tab w:val="clear" w:pos="426"/>
              </w:tabs>
              <w:adjustRightInd/>
              <w:snapToGrid/>
              <w:spacing w:line="320" w:lineRule="exact"/>
            </w:pPr>
            <w:r>
              <w:rPr>
                <w:rFonts w:hint="eastAsia"/>
              </w:rPr>
              <w:t>截标之日（当日不计）</w:t>
            </w:r>
            <w:r>
              <w:t>15</w:t>
            </w:r>
            <w:r>
              <w:rPr>
                <w:rFonts w:hint="eastAsia"/>
              </w:rPr>
              <w:t>日前</w:t>
            </w:r>
            <w:r>
              <w:rPr>
                <w:u w:val="single"/>
              </w:rPr>
              <w:t>17</w:t>
            </w:r>
            <w:r>
              <w:rPr>
                <w:rFonts w:hint="eastAsia"/>
                <w:u w:val="single"/>
              </w:rPr>
              <w:t>：</w:t>
            </w:r>
            <w:r>
              <w:rPr>
                <w:u w:val="single"/>
              </w:rPr>
              <w:t>30</w:t>
            </w:r>
            <w:r>
              <w:rPr>
                <w:rFonts w:hint="eastAsia"/>
              </w:rPr>
              <w:t>点前</w:t>
            </w:r>
          </w:p>
        </w:tc>
      </w:tr>
      <w:tr w14:paraId="699C6E9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14:paraId="01B830FD">
            <w:pPr>
              <w:tabs>
                <w:tab w:val="clear" w:pos="426"/>
              </w:tabs>
              <w:adjustRightInd/>
              <w:snapToGrid/>
              <w:spacing w:line="320" w:lineRule="exact"/>
              <w:jc w:val="center"/>
            </w:pPr>
            <w:r>
              <w:t>5</w:t>
            </w:r>
          </w:p>
        </w:tc>
        <w:tc>
          <w:tcPr>
            <w:tcW w:w="1889" w:type="dxa"/>
            <w:vAlign w:val="center"/>
          </w:tcPr>
          <w:p w14:paraId="1D345359">
            <w:pPr>
              <w:tabs>
                <w:tab w:val="clear" w:pos="426"/>
              </w:tabs>
              <w:adjustRightInd/>
              <w:snapToGrid/>
              <w:spacing w:line="320" w:lineRule="exact"/>
            </w:pPr>
            <w:r>
              <w:rPr>
                <w:rFonts w:hint="eastAsia"/>
              </w:rPr>
              <w:t>招标代理服务费</w:t>
            </w:r>
          </w:p>
        </w:tc>
        <w:tc>
          <w:tcPr>
            <w:tcW w:w="6931" w:type="dxa"/>
            <w:vAlign w:val="center"/>
          </w:tcPr>
          <w:p w14:paraId="05F583DF">
            <w:pPr>
              <w:tabs>
                <w:tab w:val="clear" w:pos="426"/>
              </w:tabs>
              <w:adjustRightInd/>
              <w:snapToGrid/>
              <w:spacing w:line="320" w:lineRule="exact"/>
            </w:pPr>
            <w:r>
              <w:rPr>
                <w:rFonts w:hint="eastAsia"/>
              </w:rPr>
              <w:t>采购代理机构以预算金额为计算基数，依据采购人与代理机构约定的招标代理服务费收费办法，按差额定率累进法计算，下浮5%后向中标供应商收取。低于人民币</w:t>
            </w:r>
            <w:r>
              <w:t>5000</w:t>
            </w:r>
            <w:r>
              <w:rPr>
                <w:rFonts w:hint="eastAsia"/>
              </w:rPr>
              <w:t>元的，按最低人民币</w:t>
            </w:r>
            <w:r>
              <w:t>5000</w:t>
            </w:r>
            <w:r>
              <w:rPr>
                <w:rFonts w:hint="eastAsia"/>
              </w:rPr>
              <w:t>元收费。交易服务费采用转账的方式，账户信息如下：</w:t>
            </w:r>
          </w:p>
          <w:p w14:paraId="478DB5C0">
            <w:pPr>
              <w:tabs>
                <w:tab w:val="clear" w:pos="426"/>
              </w:tabs>
              <w:adjustRightInd/>
              <w:snapToGrid/>
              <w:spacing w:line="320" w:lineRule="exact"/>
            </w:pPr>
            <w:r>
              <w:rPr>
                <w:rFonts w:hint="eastAsia"/>
              </w:rPr>
              <w:t>户名：深圳市深水水务咨询有限公司</w:t>
            </w:r>
          </w:p>
          <w:p w14:paraId="287CEADC">
            <w:pPr>
              <w:tabs>
                <w:tab w:val="clear" w:pos="426"/>
              </w:tabs>
              <w:adjustRightInd/>
              <w:snapToGrid/>
              <w:spacing w:line="320" w:lineRule="exact"/>
            </w:pPr>
            <w:r>
              <w:rPr>
                <w:rFonts w:hint="eastAsia"/>
              </w:rPr>
              <w:t>账号：</w:t>
            </w:r>
            <w:r>
              <w:t>443899991010003343618</w:t>
            </w:r>
          </w:p>
          <w:p w14:paraId="40D6167F">
            <w:pPr>
              <w:tabs>
                <w:tab w:val="clear" w:pos="426"/>
              </w:tabs>
              <w:adjustRightInd/>
              <w:snapToGrid/>
              <w:spacing w:line="320" w:lineRule="exact"/>
              <w:rPr>
                <w:kern w:val="2"/>
              </w:rPr>
            </w:pPr>
            <w:r>
              <w:rPr>
                <w:rFonts w:hint="eastAsia"/>
              </w:rPr>
              <w:t>开户行：交通银行深圳金叶支行</w:t>
            </w:r>
          </w:p>
        </w:tc>
      </w:tr>
      <w:tr w14:paraId="4224216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14:paraId="17372CCE">
            <w:pPr>
              <w:tabs>
                <w:tab w:val="clear" w:pos="426"/>
              </w:tabs>
              <w:adjustRightInd/>
              <w:snapToGrid/>
              <w:spacing w:line="320" w:lineRule="exact"/>
              <w:jc w:val="center"/>
            </w:pPr>
            <w:r>
              <w:t>6</w:t>
            </w:r>
          </w:p>
        </w:tc>
        <w:tc>
          <w:tcPr>
            <w:tcW w:w="1889" w:type="dxa"/>
            <w:vAlign w:val="center"/>
          </w:tcPr>
          <w:p w14:paraId="079DEECD">
            <w:pPr>
              <w:tabs>
                <w:tab w:val="clear" w:pos="426"/>
              </w:tabs>
              <w:adjustRightInd/>
              <w:snapToGrid/>
              <w:spacing w:line="320" w:lineRule="exact"/>
            </w:pPr>
            <w:r>
              <w:rPr>
                <w:rFonts w:hint="eastAsia"/>
              </w:rPr>
              <w:t>投标担保</w:t>
            </w:r>
          </w:p>
        </w:tc>
        <w:tc>
          <w:tcPr>
            <w:tcW w:w="6931" w:type="dxa"/>
            <w:vAlign w:val="center"/>
          </w:tcPr>
          <w:p w14:paraId="40C7ABF0">
            <w:pPr>
              <w:tabs>
                <w:tab w:val="clear" w:pos="426"/>
              </w:tabs>
              <w:adjustRightInd/>
              <w:snapToGrid/>
              <w:spacing w:line="320" w:lineRule="exact"/>
            </w:pPr>
            <w:r>
              <w:rPr>
                <w:rFonts w:hint="eastAsia"/>
              </w:rPr>
              <w:t xml:space="preserve">■不提交 </w:t>
            </w:r>
            <w:r>
              <w:t xml:space="preserve">      </w:t>
            </w:r>
            <w:r>
              <w:rPr>
                <w:rFonts w:hint="eastAsia"/>
              </w:rPr>
              <w:t>□提交</w:t>
            </w:r>
          </w:p>
        </w:tc>
      </w:tr>
      <w:tr w14:paraId="6D4228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14:paraId="14DE4CF3">
            <w:pPr>
              <w:tabs>
                <w:tab w:val="clear" w:pos="426"/>
              </w:tabs>
              <w:adjustRightInd/>
              <w:snapToGrid/>
              <w:spacing w:line="320" w:lineRule="exact"/>
              <w:jc w:val="center"/>
            </w:pPr>
            <w:r>
              <w:t>7</w:t>
            </w:r>
          </w:p>
        </w:tc>
        <w:tc>
          <w:tcPr>
            <w:tcW w:w="1889" w:type="dxa"/>
            <w:vAlign w:val="center"/>
          </w:tcPr>
          <w:p w14:paraId="0CA777BC">
            <w:pPr>
              <w:tabs>
                <w:tab w:val="clear" w:pos="426"/>
              </w:tabs>
              <w:adjustRightInd/>
              <w:snapToGrid/>
              <w:spacing w:line="320" w:lineRule="exact"/>
            </w:pPr>
            <w:r>
              <w:rPr>
                <w:rFonts w:hint="eastAsia"/>
              </w:rPr>
              <w:t>投标有效期</w:t>
            </w:r>
          </w:p>
        </w:tc>
        <w:tc>
          <w:tcPr>
            <w:tcW w:w="6931" w:type="dxa"/>
            <w:vAlign w:val="center"/>
          </w:tcPr>
          <w:p w14:paraId="61118143">
            <w:pPr>
              <w:tabs>
                <w:tab w:val="clear" w:pos="426"/>
              </w:tabs>
              <w:adjustRightInd/>
              <w:snapToGrid/>
              <w:spacing w:line="320" w:lineRule="exact"/>
            </w:pPr>
            <w:r>
              <w:t>120</w:t>
            </w:r>
            <w:r>
              <w:rPr>
                <w:rFonts w:hint="eastAsia"/>
              </w:rPr>
              <w:t>日历天（从投标截止之日算起）</w:t>
            </w:r>
          </w:p>
        </w:tc>
      </w:tr>
      <w:tr w14:paraId="5A7CFE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14:paraId="4931E09D">
            <w:pPr>
              <w:tabs>
                <w:tab w:val="clear" w:pos="426"/>
              </w:tabs>
              <w:adjustRightInd/>
              <w:snapToGrid/>
              <w:spacing w:line="320" w:lineRule="exact"/>
              <w:jc w:val="center"/>
            </w:pPr>
            <w:r>
              <w:t>8</w:t>
            </w:r>
          </w:p>
        </w:tc>
        <w:tc>
          <w:tcPr>
            <w:tcW w:w="1889" w:type="dxa"/>
            <w:vAlign w:val="center"/>
          </w:tcPr>
          <w:p w14:paraId="50FD3511">
            <w:pPr>
              <w:tabs>
                <w:tab w:val="clear" w:pos="426"/>
              </w:tabs>
              <w:adjustRightInd/>
              <w:snapToGrid/>
              <w:spacing w:line="320" w:lineRule="exact"/>
            </w:pPr>
            <w:r>
              <w:rPr>
                <w:rFonts w:hint="eastAsia"/>
              </w:rPr>
              <w:t>替代方案</w:t>
            </w:r>
          </w:p>
        </w:tc>
        <w:tc>
          <w:tcPr>
            <w:tcW w:w="6931" w:type="dxa"/>
            <w:vAlign w:val="center"/>
          </w:tcPr>
          <w:p w14:paraId="41884B1A">
            <w:pPr>
              <w:tabs>
                <w:tab w:val="clear" w:pos="426"/>
              </w:tabs>
              <w:adjustRightInd/>
              <w:snapToGrid/>
              <w:spacing w:line="320" w:lineRule="exact"/>
            </w:pPr>
            <w:r>
              <w:rPr>
                <w:rFonts w:hint="eastAsia"/>
              </w:rPr>
              <w:t xml:space="preserve">■不允许 </w:t>
            </w:r>
            <w:r>
              <w:t xml:space="preserve">      </w:t>
            </w:r>
            <w:r>
              <w:rPr>
                <w:rFonts w:hint="eastAsia"/>
              </w:rPr>
              <w:t>□允许</w:t>
            </w:r>
          </w:p>
        </w:tc>
      </w:tr>
      <w:tr w14:paraId="2E5325D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14:paraId="34D466CD">
            <w:pPr>
              <w:tabs>
                <w:tab w:val="clear" w:pos="426"/>
              </w:tabs>
              <w:adjustRightInd/>
              <w:snapToGrid/>
              <w:spacing w:line="320" w:lineRule="exact"/>
              <w:jc w:val="center"/>
            </w:pPr>
            <w:r>
              <w:t>9</w:t>
            </w:r>
          </w:p>
        </w:tc>
        <w:tc>
          <w:tcPr>
            <w:tcW w:w="1889" w:type="dxa"/>
            <w:vAlign w:val="center"/>
          </w:tcPr>
          <w:p w14:paraId="1F6B0BD5">
            <w:pPr>
              <w:tabs>
                <w:tab w:val="clear" w:pos="426"/>
              </w:tabs>
              <w:adjustRightInd/>
              <w:snapToGrid/>
              <w:spacing w:line="320" w:lineRule="exact"/>
            </w:pPr>
            <w:r>
              <w:rPr>
                <w:rFonts w:hint="eastAsia"/>
              </w:rPr>
              <w:t>评定分离</w:t>
            </w:r>
          </w:p>
        </w:tc>
        <w:tc>
          <w:tcPr>
            <w:tcW w:w="6931" w:type="dxa"/>
            <w:vAlign w:val="center"/>
          </w:tcPr>
          <w:p w14:paraId="51550038">
            <w:pPr>
              <w:tabs>
                <w:tab w:val="clear" w:pos="426"/>
              </w:tabs>
              <w:adjustRightInd/>
              <w:snapToGrid/>
              <w:spacing w:line="320" w:lineRule="exact"/>
            </w:pPr>
            <w:r>
              <w:rPr>
                <w:rFonts w:hint="eastAsia"/>
              </w:rPr>
              <w:t xml:space="preserve">□是 </w:t>
            </w:r>
            <w:r>
              <w:t xml:space="preserve">          </w:t>
            </w:r>
            <w:r>
              <w:rPr>
                <w:rFonts w:hint="eastAsia"/>
              </w:rPr>
              <w:t>■否</w:t>
            </w:r>
          </w:p>
        </w:tc>
      </w:tr>
      <w:tr w14:paraId="2958AEB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14:paraId="3CF273CF">
            <w:pPr>
              <w:tabs>
                <w:tab w:val="clear" w:pos="426"/>
              </w:tabs>
              <w:adjustRightInd/>
              <w:snapToGrid/>
              <w:spacing w:line="320" w:lineRule="exact"/>
              <w:jc w:val="center"/>
            </w:pPr>
            <w:r>
              <w:t>10</w:t>
            </w:r>
          </w:p>
        </w:tc>
        <w:tc>
          <w:tcPr>
            <w:tcW w:w="1889" w:type="dxa"/>
            <w:vAlign w:val="center"/>
          </w:tcPr>
          <w:p w14:paraId="706D8477">
            <w:pPr>
              <w:tabs>
                <w:tab w:val="clear" w:pos="426"/>
              </w:tabs>
              <w:adjustRightInd/>
              <w:snapToGrid/>
              <w:spacing w:line="320" w:lineRule="exact"/>
            </w:pPr>
            <w:r>
              <w:rPr>
                <w:rFonts w:hint="eastAsia"/>
              </w:rPr>
              <w:t>评标方法</w:t>
            </w:r>
          </w:p>
        </w:tc>
        <w:tc>
          <w:tcPr>
            <w:tcW w:w="6931" w:type="dxa"/>
            <w:vAlign w:val="center"/>
          </w:tcPr>
          <w:p w14:paraId="45BFC0CA">
            <w:pPr>
              <w:tabs>
                <w:tab w:val="clear" w:pos="426"/>
              </w:tabs>
              <w:adjustRightInd/>
              <w:snapToGrid/>
              <w:spacing w:line="320" w:lineRule="exact"/>
              <w:rPr>
                <w:szCs w:val="21"/>
              </w:rPr>
            </w:pPr>
            <w:r>
              <w:rPr>
                <w:rFonts w:hint="eastAsia"/>
              </w:rPr>
              <w:t>■</w:t>
            </w:r>
            <w:r>
              <w:rPr>
                <w:rFonts w:hint="eastAsia"/>
                <w:szCs w:val="21"/>
              </w:rPr>
              <w:t xml:space="preserve">综合评分法 </w:t>
            </w:r>
            <w:r>
              <w:rPr>
                <w:szCs w:val="21"/>
              </w:rPr>
              <w:t xml:space="preserve">   </w:t>
            </w:r>
            <w:r>
              <w:rPr>
                <w:rFonts w:hint="eastAsia"/>
              </w:rPr>
              <w:t>□</w:t>
            </w:r>
            <w:r>
              <w:rPr>
                <w:rFonts w:hint="eastAsia"/>
                <w:szCs w:val="21"/>
              </w:rPr>
              <w:t xml:space="preserve">定性评审法 </w:t>
            </w:r>
            <w:r>
              <w:rPr>
                <w:szCs w:val="21"/>
              </w:rPr>
              <w:t xml:space="preserve">    </w:t>
            </w:r>
            <w:r>
              <w:rPr>
                <w:rFonts w:hint="eastAsia"/>
              </w:rPr>
              <w:t>□</w:t>
            </w:r>
            <w:r>
              <w:rPr>
                <w:rFonts w:hint="eastAsia"/>
                <w:szCs w:val="21"/>
              </w:rPr>
              <w:t>最低价法</w:t>
            </w:r>
          </w:p>
        </w:tc>
      </w:tr>
      <w:tr w14:paraId="58334FC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14:paraId="01D3E86D">
            <w:pPr>
              <w:tabs>
                <w:tab w:val="clear" w:pos="426"/>
              </w:tabs>
              <w:adjustRightInd/>
              <w:snapToGrid/>
              <w:spacing w:line="320" w:lineRule="exact"/>
              <w:jc w:val="center"/>
            </w:pPr>
            <w:r>
              <w:t>11</w:t>
            </w:r>
          </w:p>
        </w:tc>
        <w:tc>
          <w:tcPr>
            <w:tcW w:w="1889" w:type="dxa"/>
            <w:vAlign w:val="center"/>
          </w:tcPr>
          <w:p w14:paraId="587EF4A6">
            <w:pPr>
              <w:tabs>
                <w:tab w:val="clear" w:pos="426"/>
              </w:tabs>
              <w:adjustRightInd/>
              <w:snapToGrid/>
              <w:spacing w:line="320" w:lineRule="exact"/>
            </w:pPr>
            <w:r>
              <w:rPr>
                <w:rFonts w:hint="eastAsia"/>
              </w:rPr>
              <w:t>定标方法</w:t>
            </w:r>
          </w:p>
        </w:tc>
        <w:tc>
          <w:tcPr>
            <w:tcW w:w="6931" w:type="dxa"/>
            <w:vAlign w:val="center"/>
          </w:tcPr>
          <w:p w14:paraId="5C92A1F6">
            <w:pPr>
              <w:tabs>
                <w:tab w:val="clear" w:pos="426"/>
              </w:tabs>
              <w:adjustRightInd/>
              <w:snapToGrid/>
              <w:spacing w:line="320" w:lineRule="exact"/>
              <w:rPr>
                <w:szCs w:val="21"/>
              </w:rPr>
            </w:pPr>
            <w:r>
              <w:rPr>
                <w:rFonts w:hint="eastAsia"/>
              </w:rPr>
              <w:t>□</w:t>
            </w:r>
            <w:r>
              <w:rPr>
                <w:rFonts w:hint="eastAsia"/>
                <w:szCs w:val="21"/>
              </w:rPr>
              <w:t>自定法</w:t>
            </w:r>
          </w:p>
        </w:tc>
      </w:tr>
      <w:tr w14:paraId="26DB4F7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14:paraId="39BFBA75">
            <w:pPr>
              <w:tabs>
                <w:tab w:val="clear" w:pos="426"/>
              </w:tabs>
              <w:adjustRightInd/>
              <w:snapToGrid/>
              <w:spacing w:line="320" w:lineRule="exact"/>
              <w:jc w:val="center"/>
            </w:pPr>
            <w:r>
              <w:t>12</w:t>
            </w:r>
          </w:p>
        </w:tc>
        <w:tc>
          <w:tcPr>
            <w:tcW w:w="1889" w:type="dxa"/>
            <w:vAlign w:val="center"/>
          </w:tcPr>
          <w:p w14:paraId="52E789F3">
            <w:pPr>
              <w:tabs>
                <w:tab w:val="clear" w:pos="426"/>
              </w:tabs>
              <w:adjustRightInd/>
              <w:snapToGrid/>
              <w:spacing w:line="320" w:lineRule="exact"/>
            </w:pPr>
            <w:r>
              <w:rPr>
                <w:rFonts w:hint="eastAsia"/>
              </w:rPr>
              <w:t>履约保证金</w:t>
            </w:r>
          </w:p>
        </w:tc>
        <w:tc>
          <w:tcPr>
            <w:tcW w:w="6931" w:type="dxa"/>
            <w:vAlign w:val="center"/>
          </w:tcPr>
          <w:p w14:paraId="02EF3B70">
            <w:pPr>
              <w:tabs>
                <w:tab w:val="clear" w:pos="426"/>
              </w:tabs>
              <w:adjustRightInd/>
              <w:snapToGrid/>
              <w:spacing w:line="240" w:lineRule="auto"/>
            </w:pPr>
            <w:r>
              <w:rPr>
                <w:rFonts w:hint="eastAsia"/>
              </w:rPr>
              <w:t>■不提交</w:t>
            </w:r>
          </w:p>
        </w:tc>
      </w:tr>
      <w:tr w14:paraId="7D8E61F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14:paraId="59300966">
            <w:pPr>
              <w:tabs>
                <w:tab w:val="clear" w:pos="426"/>
              </w:tabs>
              <w:adjustRightInd/>
              <w:snapToGrid/>
              <w:spacing w:line="320" w:lineRule="exact"/>
              <w:jc w:val="center"/>
            </w:pPr>
            <w:r>
              <w:t>13</w:t>
            </w:r>
          </w:p>
        </w:tc>
        <w:tc>
          <w:tcPr>
            <w:tcW w:w="1889" w:type="dxa"/>
            <w:vAlign w:val="center"/>
          </w:tcPr>
          <w:p w14:paraId="52341215">
            <w:pPr>
              <w:tabs>
                <w:tab w:val="clear" w:pos="426"/>
              </w:tabs>
              <w:adjustRightInd/>
              <w:snapToGrid/>
              <w:spacing w:line="320" w:lineRule="exact"/>
            </w:pPr>
            <w:r>
              <w:rPr>
                <w:rFonts w:hint="eastAsia"/>
              </w:rPr>
              <w:t>投标文件份数</w:t>
            </w:r>
          </w:p>
        </w:tc>
        <w:tc>
          <w:tcPr>
            <w:tcW w:w="6931" w:type="dxa"/>
            <w:vAlign w:val="center"/>
          </w:tcPr>
          <w:p w14:paraId="3B441332">
            <w:pPr>
              <w:tabs>
                <w:tab w:val="clear" w:pos="426"/>
              </w:tabs>
              <w:adjustRightInd/>
              <w:snapToGrid/>
              <w:spacing w:line="320" w:lineRule="exact"/>
            </w:pPr>
            <w:r>
              <w:rPr>
                <w:rFonts w:hint="eastAsia"/>
              </w:rPr>
              <w:t>（</w:t>
            </w:r>
            <w:r>
              <w:t>1</w:t>
            </w:r>
            <w:r>
              <w:rPr>
                <w:rFonts w:hint="eastAsia"/>
              </w:rPr>
              <w:t>）开标信封一份；</w:t>
            </w:r>
          </w:p>
          <w:p w14:paraId="52B5A749">
            <w:pPr>
              <w:tabs>
                <w:tab w:val="clear" w:pos="426"/>
              </w:tabs>
              <w:adjustRightInd/>
              <w:snapToGrid/>
              <w:spacing w:line="320" w:lineRule="exact"/>
            </w:pPr>
            <w:r>
              <w:rPr>
                <w:rFonts w:hint="eastAsia"/>
              </w:rPr>
              <w:t>（</w:t>
            </w:r>
            <w:r>
              <w:t>2</w:t>
            </w:r>
            <w:r>
              <w:rPr>
                <w:rFonts w:hint="eastAsia"/>
              </w:rPr>
              <w:t>）纸质投标文件</w:t>
            </w:r>
            <w:r>
              <w:rPr>
                <w:rFonts w:hint="eastAsia"/>
                <w:u w:val="single"/>
              </w:rPr>
              <w:t>一</w:t>
            </w:r>
            <w:r>
              <w:rPr>
                <w:rFonts w:hint="eastAsia"/>
              </w:rPr>
              <w:t>正本，</w:t>
            </w:r>
            <w:r>
              <w:rPr>
                <w:rFonts w:hint="eastAsia"/>
                <w:u w:val="single"/>
              </w:rPr>
              <w:t>四</w:t>
            </w:r>
            <w:r>
              <w:rPr>
                <w:rFonts w:hint="eastAsia"/>
              </w:rPr>
              <w:t>副本，建议胶装，统一密封在一个外密封包里。</w:t>
            </w:r>
          </w:p>
        </w:tc>
      </w:tr>
      <w:tr w14:paraId="7230ADC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750" w:type="dxa"/>
            <w:vAlign w:val="center"/>
          </w:tcPr>
          <w:p w14:paraId="4DC8EA7B">
            <w:pPr>
              <w:tabs>
                <w:tab w:val="clear" w:pos="426"/>
              </w:tabs>
              <w:adjustRightInd/>
              <w:snapToGrid/>
              <w:spacing w:line="320" w:lineRule="exact"/>
              <w:jc w:val="center"/>
            </w:pPr>
            <w:r>
              <w:t>14</w:t>
            </w:r>
          </w:p>
        </w:tc>
        <w:tc>
          <w:tcPr>
            <w:tcW w:w="1889" w:type="dxa"/>
            <w:vAlign w:val="center"/>
          </w:tcPr>
          <w:p w14:paraId="6B8C2309">
            <w:pPr>
              <w:tabs>
                <w:tab w:val="clear" w:pos="426"/>
              </w:tabs>
              <w:adjustRightInd/>
              <w:snapToGrid/>
              <w:spacing w:line="320" w:lineRule="exact"/>
            </w:pPr>
            <w:r>
              <w:rPr>
                <w:rFonts w:hint="eastAsia"/>
              </w:rPr>
              <w:t>投标文件电子版</w:t>
            </w:r>
          </w:p>
        </w:tc>
        <w:tc>
          <w:tcPr>
            <w:tcW w:w="6931" w:type="dxa"/>
            <w:vAlign w:val="center"/>
          </w:tcPr>
          <w:p w14:paraId="15119A8D">
            <w:pPr>
              <w:tabs>
                <w:tab w:val="clear" w:pos="426"/>
              </w:tabs>
              <w:adjustRightInd/>
              <w:snapToGrid/>
              <w:spacing w:line="320" w:lineRule="exact"/>
            </w:pPr>
            <w:r>
              <w:rPr>
                <w:rFonts w:hint="eastAsia"/>
              </w:rPr>
              <w:t>U盘一个（</w:t>
            </w:r>
            <w:r>
              <w:t>WORD</w:t>
            </w:r>
            <w:r>
              <w:rPr>
                <w:rFonts w:hint="eastAsia"/>
              </w:rPr>
              <w:t>及投标文件正本盖章后的彩色扫描件，</w:t>
            </w:r>
            <w:r>
              <w:t>PDF</w:t>
            </w:r>
            <w:r>
              <w:rPr>
                <w:rFonts w:hint="eastAsia"/>
              </w:rPr>
              <w:t>格式）</w:t>
            </w:r>
          </w:p>
        </w:tc>
      </w:tr>
      <w:tr w14:paraId="6F6C234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14:paraId="4898592B">
            <w:pPr>
              <w:tabs>
                <w:tab w:val="clear" w:pos="426"/>
              </w:tabs>
              <w:adjustRightInd/>
              <w:snapToGrid/>
              <w:spacing w:line="320" w:lineRule="exact"/>
              <w:jc w:val="center"/>
            </w:pPr>
            <w:r>
              <w:t>15</w:t>
            </w:r>
          </w:p>
        </w:tc>
        <w:tc>
          <w:tcPr>
            <w:tcW w:w="1889" w:type="dxa"/>
            <w:vAlign w:val="center"/>
          </w:tcPr>
          <w:p w14:paraId="2B7611C3">
            <w:pPr>
              <w:tabs>
                <w:tab w:val="clear" w:pos="426"/>
              </w:tabs>
              <w:adjustRightInd/>
              <w:snapToGrid/>
              <w:spacing w:line="320" w:lineRule="exact"/>
            </w:pPr>
            <w:r>
              <w:rPr>
                <w:rFonts w:hint="eastAsia"/>
              </w:rPr>
              <w:t>财政预算金额</w:t>
            </w:r>
          </w:p>
        </w:tc>
        <w:tc>
          <w:tcPr>
            <w:tcW w:w="6931" w:type="dxa"/>
            <w:vAlign w:val="center"/>
          </w:tcPr>
          <w:p w14:paraId="4942653A">
            <w:pPr>
              <w:tabs>
                <w:tab w:val="clear" w:pos="426"/>
              </w:tabs>
              <w:adjustRightInd/>
              <w:snapToGrid/>
              <w:spacing w:line="240" w:lineRule="auto"/>
            </w:pPr>
            <w:r>
              <w:rPr>
                <w:rFonts w:hint="eastAsia"/>
              </w:rPr>
              <w:t>¥</w:t>
            </w:r>
            <w:r>
              <w:rPr>
                <w:rFonts w:hint="eastAsia"/>
                <w:szCs w:val="21"/>
              </w:rPr>
              <w:t>241112.70 （人民币贰拾肆万壹仟壹佰壹拾贰元柒角）。</w:t>
            </w:r>
          </w:p>
        </w:tc>
      </w:tr>
      <w:tr w14:paraId="26D865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50" w:type="dxa"/>
            <w:vAlign w:val="center"/>
          </w:tcPr>
          <w:p w14:paraId="731DE830">
            <w:pPr>
              <w:tabs>
                <w:tab w:val="clear" w:pos="426"/>
              </w:tabs>
              <w:adjustRightInd/>
              <w:snapToGrid/>
              <w:spacing w:line="320" w:lineRule="exact"/>
              <w:jc w:val="center"/>
            </w:pPr>
            <w:r>
              <w:rPr>
                <w:rFonts w:hint="eastAsia"/>
              </w:rPr>
              <w:t>1</w:t>
            </w:r>
            <w:r>
              <w:t>6</w:t>
            </w:r>
          </w:p>
        </w:tc>
        <w:tc>
          <w:tcPr>
            <w:tcW w:w="1889" w:type="dxa"/>
            <w:vAlign w:val="center"/>
          </w:tcPr>
          <w:p w14:paraId="0D84C8C2">
            <w:pPr>
              <w:tabs>
                <w:tab w:val="clear" w:pos="426"/>
              </w:tabs>
              <w:adjustRightInd/>
              <w:snapToGrid/>
              <w:spacing w:line="320" w:lineRule="exact"/>
            </w:pPr>
            <w:r>
              <w:rPr>
                <w:rFonts w:hint="eastAsia"/>
              </w:rPr>
              <w:t>财政预算限额</w:t>
            </w:r>
          </w:p>
        </w:tc>
        <w:tc>
          <w:tcPr>
            <w:tcW w:w="6931" w:type="dxa"/>
            <w:vAlign w:val="center"/>
          </w:tcPr>
          <w:p w14:paraId="751CD167">
            <w:pPr>
              <w:tabs>
                <w:tab w:val="clear" w:pos="426"/>
              </w:tabs>
              <w:adjustRightInd/>
              <w:snapToGrid/>
              <w:spacing w:line="240" w:lineRule="auto"/>
            </w:pPr>
            <w:r>
              <w:rPr>
                <w:rFonts w:hint="eastAsia"/>
              </w:rPr>
              <w:t>¥</w:t>
            </w:r>
            <w:r>
              <w:rPr>
                <w:rFonts w:hint="eastAsia"/>
                <w:szCs w:val="21"/>
              </w:rPr>
              <w:t>241112.70 （人民币贰拾肆万壹仟壹佰壹拾贰元柒角）；超出财政预算限额的投标文件则投标无效</w:t>
            </w:r>
            <w:r>
              <w:rPr>
                <w:rFonts w:hint="eastAsia"/>
              </w:rPr>
              <w:t>。</w:t>
            </w:r>
          </w:p>
        </w:tc>
      </w:tr>
    </w:tbl>
    <w:p w14:paraId="594357C0">
      <w:pPr>
        <w:pStyle w:val="62"/>
        <w:tabs>
          <w:tab w:val="left" w:pos="3445"/>
          <w:tab w:val="clear" w:pos="426"/>
        </w:tabs>
      </w:pPr>
      <w:r>
        <w:br w:type="page"/>
      </w:r>
      <w:bookmarkStart w:id="68" w:name="_Toc152759229"/>
      <w:bookmarkStart w:id="69" w:name="_Toc432592816"/>
      <w:bookmarkStart w:id="70" w:name="_Toc398220525"/>
      <w:r>
        <w:rPr>
          <w:rFonts w:hint="eastAsia"/>
        </w:rPr>
        <w:t>第三章项目需求</w:t>
      </w:r>
      <w:bookmarkEnd w:id="68"/>
    </w:p>
    <w:p w14:paraId="5467892D">
      <w:pPr>
        <w:pStyle w:val="3"/>
        <w:numPr>
          <w:ilvl w:val="0"/>
          <w:numId w:val="0"/>
        </w:numPr>
        <w:rPr>
          <w:sz w:val="24"/>
        </w:rPr>
      </w:pPr>
      <w:bookmarkStart w:id="71" w:name="_Toc152759230"/>
      <w:bookmarkStart w:id="72" w:name="_Toc120892142"/>
      <w:bookmarkStart w:id="73" w:name="_Toc145666462"/>
      <w:r>
        <w:rPr>
          <w:rFonts w:hint="eastAsia"/>
          <w:sz w:val="24"/>
        </w:rPr>
        <w:t>一、服务清单</w:t>
      </w:r>
      <w:bookmarkEnd w:id="71"/>
      <w:bookmarkEnd w:id="72"/>
      <w:bookmarkEnd w:id="73"/>
      <w:bookmarkStart w:id="74" w:name="_Toc152759231"/>
      <w:bookmarkStart w:id="75" w:name="_Toc145666463"/>
      <w:bookmarkStart w:id="76" w:name="_Toc120892143"/>
      <w:bookmarkStart w:id="77" w:name="_Toc528170797"/>
      <w:bookmarkStart w:id="78" w:name="_Toc518464359"/>
      <w:bookmarkStart w:id="79" w:name="_Toc528675169"/>
    </w:p>
    <w:tbl>
      <w:tblPr>
        <w:tblStyle w:val="85"/>
        <w:tblW w:w="494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7"/>
        <w:gridCol w:w="3237"/>
        <w:gridCol w:w="863"/>
        <w:gridCol w:w="695"/>
        <w:gridCol w:w="882"/>
        <w:gridCol w:w="3131"/>
      </w:tblGrid>
      <w:tr w14:paraId="3C2A9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347" w:type="pct"/>
            <w:tcBorders>
              <w:top w:val="single" w:color="auto" w:sz="4" w:space="0"/>
              <w:left w:val="single" w:color="auto" w:sz="4" w:space="0"/>
              <w:bottom w:val="single" w:color="auto" w:sz="4" w:space="0"/>
              <w:right w:val="single" w:color="auto" w:sz="4" w:space="0"/>
            </w:tcBorders>
            <w:shd w:val="clear" w:color="auto" w:fill="auto"/>
            <w:vAlign w:val="center"/>
          </w:tcPr>
          <w:p w14:paraId="5E14E37C">
            <w:pPr>
              <w:widowControl w:val="0"/>
              <w:shd w:val="clear" w:color="auto" w:fill="auto"/>
              <w:wordWrap w:val="0"/>
              <w:spacing w:line="240" w:lineRule="auto"/>
              <w:jc w:val="center"/>
              <w:rPr>
                <w:rFonts w:ascii="Times New Roman" w:cs="Times New Roman"/>
                <w:b/>
                <w:bCs/>
                <w:szCs w:val="21"/>
              </w:rPr>
            </w:pPr>
            <w:r>
              <w:rPr>
                <w:rFonts w:hint="eastAsia" w:ascii="Times New Roman" w:cs="Times New Roman"/>
                <w:b/>
                <w:bCs/>
                <w:szCs w:val="21"/>
              </w:rPr>
              <w:t>序号</w:t>
            </w:r>
          </w:p>
        </w:tc>
        <w:tc>
          <w:tcPr>
            <w:tcW w:w="1710" w:type="pct"/>
            <w:tcBorders>
              <w:top w:val="single" w:color="auto" w:sz="4" w:space="0"/>
              <w:left w:val="single" w:color="auto" w:sz="4" w:space="0"/>
              <w:bottom w:val="single" w:color="auto" w:sz="4" w:space="0"/>
              <w:right w:val="single" w:color="auto" w:sz="4" w:space="0"/>
            </w:tcBorders>
            <w:shd w:val="clear" w:color="auto" w:fill="auto"/>
            <w:vAlign w:val="center"/>
          </w:tcPr>
          <w:p w14:paraId="412C9C73">
            <w:pPr>
              <w:widowControl w:val="0"/>
              <w:shd w:val="clear" w:color="auto" w:fill="auto"/>
              <w:wordWrap w:val="0"/>
              <w:spacing w:line="240" w:lineRule="auto"/>
              <w:jc w:val="center"/>
              <w:rPr>
                <w:rFonts w:ascii="Times New Roman" w:cs="Times New Roman"/>
                <w:b/>
                <w:bCs/>
                <w:szCs w:val="21"/>
              </w:rPr>
            </w:pPr>
            <w:r>
              <w:rPr>
                <w:rFonts w:hint="eastAsia" w:ascii="Times New Roman" w:cs="Times New Roman"/>
                <w:b/>
                <w:bCs/>
                <w:szCs w:val="21"/>
              </w:rPr>
              <w:t>服务名称</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7B9722C8">
            <w:pPr>
              <w:widowControl w:val="0"/>
              <w:shd w:val="clear" w:color="auto" w:fill="auto"/>
              <w:wordWrap w:val="0"/>
              <w:spacing w:line="240" w:lineRule="auto"/>
              <w:jc w:val="center"/>
              <w:rPr>
                <w:rFonts w:ascii="Times New Roman" w:cs="Times New Roman"/>
                <w:b/>
                <w:bCs/>
                <w:szCs w:val="21"/>
              </w:rPr>
            </w:pPr>
            <w:r>
              <w:rPr>
                <w:rFonts w:hint="eastAsia" w:ascii="Times New Roman" w:cs="Times New Roman"/>
                <w:b/>
                <w:bCs/>
                <w:szCs w:val="21"/>
              </w:rPr>
              <w:t>数量</w:t>
            </w:r>
          </w:p>
        </w:tc>
        <w:tc>
          <w:tcPr>
            <w:tcW w:w="367" w:type="pct"/>
            <w:tcBorders>
              <w:top w:val="single" w:color="auto" w:sz="4" w:space="0"/>
              <w:left w:val="single" w:color="auto" w:sz="4" w:space="0"/>
              <w:bottom w:val="single" w:color="auto" w:sz="4" w:space="0"/>
              <w:right w:val="single" w:color="auto" w:sz="4" w:space="0"/>
            </w:tcBorders>
            <w:shd w:val="clear" w:color="auto" w:fill="auto"/>
            <w:vAlign w:val="center"/>
          </w:tcPr>
          <w:p w14:paraId="1B345339">
            <w:pPr>
              <w:widowControl w:val="0"/>
              <w:shd w:val="clear" w:color="auto" w:fill="auto"/>
              <w:wordWrap w:val="0"/>
              <w:spacing w:line="240" w:lineRule="auto"/>
              <w:jc w:val="center"/>
              <w:rPr>
                <w:rFonts w:ascii="Times New Roman" w:cs="Times New Roman"/>
                <w:b/>
                <w:bCs/>
                <w:szCs w:val="21"/>
              </w:rPr>
            </w:pPr>
            <w:r>
              <w:rPr>
                <w:rFonts w:hint="eastAsia" w:ascii="Times New Roman" w:cs="Times New Roman"/>
                <w:b/>
                <w:bCs/>
                <w:szCs w:val="21"/>
              </w:rPr>
              <w:t>单位</w:t>
            </w: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14:paraId="3843245B">
            <w:pPr>
              <w:widowControl w:val="0"/>
              <w:shd w:val="clear" w:color="auto" w:fill="auto"/>
              <w:wordWrap w:val="0"/>
              <w:spacing w:line="240" w:lineRule="auto"/>
              <w:jc w:val="center"/>
              <w:rPr>
                <w:rFonts w:ascii="Times New Roman" w:cs="Times New Roman"/>
                <w:b/>
                <w:bCs/>
                <w:szCs w:val="21"/>
              </w:rPr>
            </w:pPr>
            <w:r>
              <w:rPr>
                <w:rFonts w:hint="eastAsia" w:ascii="Times New Roman" w:cs="Times New Roman"/>
                <w:b/>
                <w:bCs/>
                <w:szCs w:val="21"/>
              </w:rPr>
              <w:t>备注</w:t>
            </w:r>
          </w:p>
        </w:tc>
        <w:tc>
          <w:tcPr>
            <w:tcW w:w="1655" w:type="pct"/>
            <w:tcBorders>
              <w:top w:val="single" w:color="auto" w:sz="4" w:space="0"/>
              <w:left w:val="single" w:color="auto" w:sz="4" w:space="0"/>
              <w:bottom w:val="single" w:color="auto" w:sz="4" w:space="0"/>
              <w:right w:val="single" w:color="auto" w:sz="4" w:space="0"/>
            </w:tcBorders>
            <w:shd w:val="clear" w:color="auto" w:fill="auto"/>
            <w:vAlign w:val="center"/>
          </w:tcPr>
          <w:p w14:paraId="08B33AED">
            <w:pPr>
              <w:widowControl w:val="0"/>
              <w:shd w:val="clear" w:color="auto" w:fill="auto"/>
              <w:wordWrap w:val="0"/>
              <w:spacing w:line="240" w:lineRule="auto"/>
              <w:jc w:val="center"/>
              <w:rPr>
                <w:rFonts w:ascii="Times New Roman" w:cs="Times New Roman"/>
                <w:b/>
                <w:bCs/>
                <w:szCs w:val="21"/>
              </w:rPr>
            </w:pPr>
            <w:r>
              <w:rPr>
                <w:rFonts w:hint="eastAsia" w:ascii="Times New Roman" w:cs="Times New Roman"/>
                <w:b/>
                <w:bCs/>
                <w:szCs w:val="21"/>
              </w:rPr>
              <w:t>财政预算金额</w:t>
            </w:r>
          </w:p>
          <w:p w14:paraId="12782092">
            <w:pPr>
              <w:widowControl w:val="0"/>
              <w:shd w:val="clear" w:color="auto" w:fill="auto"/>
              <w:wordWrap w:val="0"/>
              <w:spacing w:line="240" w:lineRule="auto"/>
              <w:jc w:val="center"/>
              <w:rPr>
                <w:rFonts w:ascii="Times New Roman" w:cs="Times New Roman"/>
                <w:b/>
                <w:bCs/>
                <w:szCs w:val="21"/>
              </w:rPr>
            </w:pPr>
            <w:r>
              <w:rPr>
                <w:rFonts w:hint="eastAsia" w:ascii="Times New Roman" w:cs="Times New Roman"/>
                <w:b/>
                <w:bCs/>
                <w:szCs w:val="21"/>
              </w:rPr>
              <w:t>（支付上限金额）</w:t>
            </w:r>
          </w:p>
          <w:p w14:paraId="6138BEA3">
            <w:pPr>
              <w:widowControl w:val="0"/>
              <w:shd w:val="clear" w:color="auto" w:fill="auto"/>
              <w:wordWrap w:val="0"/>
              <w:spacing w:line="240" w:lineRule="auto"/>
              <w:jc w:val="center"/>
              <w:rPr>
                <w:rFonts w:ascii="Times New Roman" w:cs="Times New Roman"/>
                <w:b/>
                <w:bCs/>
                <w:szCs w:val="21"/>
              </w:rPr>
            </w:pPr>
            <w:r>
              <w:rPr>
                <w:rFonts w:ascii="Times New Roman" w:cs="Times New Roman"/>
                <w:b/>
                <w:bCs/>
                <w:szCs w:val="21"/>
              </w:rPr>
              <w:t>(</w:t>
            </w:r>
            <w:r>
              <w:rPr>
                <w:rFonts w:hint="eastAsia" w:ascii="Times New Roman" w:cs="Times New Roman"/>
                <w:b/>
                <w:bCs/>
                <w:szCs w:val="21"/>
              </w:rPr>
              <w:t>元</w:t>
            </w:r>
            <w:r>
              <w:rPr>
                <w:rFonts w:ascii="Times New Roman" w:cs="Times New Roman"/>
                <w:b/>
                <w:bCs/>
                <w:szCs w:val="21"/>
              </w:rPr>
              <w:t>)</w:t>
            </w:r>
          </w:p>
        </w:tc>
      </w:tr>
      <w:tr w14:paraId="5B34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2" w:hRule="atLeast"/>
        </w:trPr>
        <w:tc>
          <w:tcPr>
            <w:tcW w:w="347" w:type="pct"/>
            <w:tcBorders>
              <w:top w:val="single" w:color="auto" w:sz="4" w:space="0"/>
              <w:left w:val="single" w:color="auto" w:sz="4" w:space="0"/>
              <w:bottom w:val="single" w:color="auto" w:sz="4" w:space="0"/>
              <w:right w:val="single" w:color="auto" w:sz="4" w:space="0"/>
            </w:tcBorders>
            <w:vAlign w:val="center"/>
          </w:tcPr>
          <w:p w14:paraId="3CDAC848">
            <w:pPr>
              <w:wordWrap w:val="0"/>
              <w:spacing w:line="240" w:lineRule="auto"/>
              <w:jc w:val="center"/>
              <w:rPr>
                <w:rFonts w:ascii="Times New Roman" w:cs="Times New Roman"/>
                <w:bCs/>
                <w:szCs w:val="21"/>
              </w:rPr>
            </w:pPr>
            <w:r>
              <w:rPr>
                <w:rFonts w:ascii="Times New Roman" w:cs="Times New Roman"/>
                <w:bCs/>
                <w:szCs w:val="21"/>
              </w:rPr>
              <w:t>1</w:t>
            </w:r>
          </w:p>
        </w:tc>
        <w:tc>
          <w:tcPr>
            <w:tcW w:w="1710" w:type="pct"/>
            <w:tcBorders>
              <w:top w:val="single" w:color="auto" w:sz="4" w:space="0"/>
              <w:left w:val="single" w:color="auto" w:sz="4" w:space="0"/>
              <w:bottom w:val="single" w:color="auto" w:sz="4" w:space="0"/>
              <w:right w:val="single" w:color="auto" w:sz="4" w:space="0"/>
            </w:tcBorders>
            <w:vAlign w:val="center"/>
          </w:tcPr>
          <w:p w14:paraId="7B65E511">
            <w:pPr>
              <w:wordWrap w:val="0"/>
              <w:spacing w:line="240" w:lineRule="auto"/>
              <w:jc w:val="center"/>
              <w:rPr>
                <w:rFonts w:ascii="Times New Roman" w:cs="Times New Roman"/>
                <w:bCs/>
                <w:szCs w:val="21"/>
              </w:rPr>
            </w:pPr>
            <w:r>
              <w:rPr>
                <w:rFonts w:hint="eastAsia" w:ascii="Times New Roman" w:cs="Times New Roman"/>
                <w:bCs/>
                <w:szCs w:val="21"/>
              </w:rPr>
              <w:t>广东省深圳市消防救援支队特勤大队2025年深中通道消防站物业管理服务采购项目</w:t>
            </w:r>
          </w:p>
        </w:tc>
        <w:tc>
          <w:tcPr>
            <w:tcW w:w="456" w:type="pct"/>
            <w:tcBorders>
              <w:top w:val="single" w:color="auto" w:sz="4" w:space="0"/>
              <w:left w:val="single" w:color="auto" w:sz="4" w:space="0"/>
              <w:bottom w:val="single" w:color="auto" w:sz="4" w:space="0"/>
              <w:right w:val="single" w:color="auto" w:sz="4" w:space="0"/>
            </w:tcBorders>
            <w:shd w:val="clear" w:color="auto" w:fill="auto"/>
            <w:vAlign w:val="center"/>
          </w:tcPr>
          <w:p w14:paraId="48DFB56D">
            <w:pPr>
              <w:wordWrap w:val="0"/>
              <w:spacing w:line="240" w:lineRule="auto"/>
              <w:jc w:val="center"/>
              <w:rPr>
                <w:rFonts w:ascii="Times New Roman" w:cs="Times New Roman"/>
                <w:bCs/>
                <w:szCs w:val="21"/>
              </w:rPr>
            </w:pPr>
            <w:r>
              <w:rPr>
                <w:rFonts w:ascii="Times New Roman" w:cs="Times New Roman"/>
                <w:bCs/>
                <w:szCs w:val="21"/>
              </w:rPr>
              <w:t>1</w:t>
            </w:r>
          </w:p>
        </w:tc>
        <w:tc>
          <w:tcPr>
            <w:tcW w:w="367" w:type="pct"/>
            <w:tcBorders>
              <w:top w:val="single" w:color="auto" w:sz="4" w:space="0"/>
              <w:left w:val="single" w:color="auto" w:sz="4" w:space="0"/>
              <w:bottom w:val="single" w:color="auto" w:sz="4" w:space="0"/>
              <w:right w:val="single" w:color="auto" w:sz="4" w:space="0"/>
            </w:tcBorders>
            <w:shd w:val="clear" w:color="auto" w:fill="auto"/>
            <w:vAlign w:val="center"/>
          </w:tcPr>
          <w:p w14:paraId="5DE2BF2F">
            <w:pPr>
              <w:wordWrap w:val="0"/>
              <w:spacing w:line="240" w:lineRule="auto"/>
              <w:jc w:val="center"/>
              <w:rPr>
                <w:rFonts w:ascii="Times New Roman" w:cs="Times New Roman"/>
                <w:bCs/>
                <w:szCs w:val="21"/>
              </w:rPr>
            </w:pPr>
            <w:r>
              <w:rPr>
                <w:rFonts w:hint="eastAsia" w:ascii="Times New Roman" w:cs="Times New Roman"/>
                <w:bCs/>
                <w:szCs w:val="21"/>
              </w:rPr>
              <w:t>项</w:t>
            </w:r>
          </w:p>
        </w:tc>
        <w:tc>
          <w:tcPr>
            <w:tcW w:w="466" w:type="pct"/>
            <w:tcBorders>
              <w:top w:val="single" w:color="auto" w:sz="4" w:space="0"/>
              <w:left w:val="single" w:color="auto" w:sz="4" w:space="0"/>
              <w:bottom w:val="single" w:color="auto" w:sz="4" w:space="0"/>
              <w:right w:val="single" w:color="auto" w:sz="4" w:space="0"/>
            </w:tcBorders>
            <w:shd w:val="clear" w:color="auto" w:fill="auto"/>
            <w:vAlign w:val="center"/>
          </w:tcPr>
          <w:p w14:paraId="02A418C1">
            <w:pPr>
              <w:wordWrap w:val="0"/>
              <w:spacing w:line="240" w:lineRule="auto"/>
              <w:jc w:val="center"/>
              <w:rPr>
                <w:rFonts w:ascii="Times New Roman" w:cs="Times New Roman"/>
                <w:bCs/>
                <w:szCs w:val="21"/>
              </w:rPr>
            </w:pPr>
            <w:r>
              <w:rPr>
                <w:rFonts w:hint="eastAsia" w:ascii="Times New Roman" w:cs="Times New Roman"/>
                <w:bCs/>
                <w:szCs w:val="21"/>
              </w:rPr>
              <w:t>无</w:t>
            </w:r>
          </w:p>
        </w:tc>
        <w:tc>
          <w:tcPr>
            <w:tcW w:w="1655" w:type="pct"/>
            <w:tcBorders>
              <w:top w:val="single" w:color="auto" w:sz="4" w:space="0"/>
              <w:left w:val="single" w:color="auto" w:sz="4" w:space="0"/>
              <w:bottom w:val="single" w:color="auto" w:sz="4" w:space="0"/>
              <w:right w:val="single" w:color="auto" w:sz="4" w:space="0"/>
            </w:tcBorders>
            <w:vAlign w:val="center"/>
          </w:tcPr>
          <w:p w14:paraId="2BDE76F2">
            <w:pPr>
              <w:widowControl w:val="0"/>
              <w:shd w:val="clear" w:color="auto" w:fill="auto"/>
              <w:wordWrap w:val="0"/>
              <w:spacing w:line="240" w:lineRule="auto"/>
              <w:jc w:val="center"/>
              <w:rPr>
                <w:rFonts w:ascii="Times New Roman" w:cs="Times New Roman"/>
                <w:szCs w:val="21"/>
              </w:rPr>
            </w:pPr>
            <w:r>
              <w:rPr>
                <w:rFonts w:hint="eastAsia" w:ascii="Times New Roman" w:cs="Times New Roman"/>
                <w:szCs w:val="21"/>
              </w:rPr>
              <w:t xml:space="preserve">241112.70 </w:t>
            </w:r>
          </w:p>
        </w:tc>
      </w:tr>
      <w:bookmarkEnd w:id="74"/>
    </w:tbl>
    <w:p w14:paraId="536535DF">
      <w:pPr>
        <w:pStyle w:val="3"/>
        <w:numPr>
          <w:ilvl w:val="0"/>
          <w:numId w:val="0"/>
        </w:numPr>
        <w:rPr>
          <w:sz w:val="24"/>
        </w:rPr>
      </w:pPr>
      <w:bookmarkStart w:id="80" w:name="_Toc152759232"/>
      <w:r>
        <w:rPr>
          <w:rFonts w:hint="eastAsia"/>
          <w:sz w:val="24"/>
        </w:rPr>
        <w:t>二、实质性响应条款</w:t>
      </w:r>
      <w:bookmarkEnd w:id="75"/>
      <w:bookmarkEnd w:id="76"/>
      <w:bookmarkEnd w:id="80"/>
    </w:p>
    <w:bookmarkEnd w:id="77"/>
    <w:bookmarkEnd w:id="78"/>
    <w:bookmarkEnd w:id="79"/>
    <w:tbl>
      <w:tblPr>
        <w:tblStyle w:val="8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410"/>
        <w:gridCol w:w="6343"/>
      </w:tblGrid>
      <w:tr w14:paraId="27C44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76B8D97F">
            <w:pPr>
              <w:widowControl w:val="0"/>
              <w:shd w:val="clear" w:color="auto" w:fill="auto"/>
              <w:tabs>
                <w:tab w:val="clear" w:pos="426"/>
              </w:tabs>
              <w:spacing w:line="240" w:lineRule="auto"/>
              <w:jc w:val="center"/>
              <w:rPr>
                <w:rFonts w:cs="Times New Roman"/>
                <w:szCs w:val="21"/>
              </w:rPr>
            </w:pPr>
            <w:bookmarkStart w:id="81" w:name="_Toc530152519"/>
            <w:r>
              <w:rPr>
                <w:rFonts w:hint="eastAsia" w:cs="Times New Roman"/>
                <w:szCs w:val="21"/>
              </w:rPr>
              <w:t>序号</w:t>
            </w:r>
          </w:p>
        </w:tc>
        <w:tc>
          <w:tcPr>
            <w:tcW w:w="2410" w:type="dxa"/>
            <w:vAlign w:val="center"/>
          </w:tcPr>
          <w:p w14:paraId="45DC94E6">
            <w:pPr>
              <w:widowControl w:val="0"/>
              <w:shd w:val="clear" w:color="auto" w:fill="auto"/>
              <w:tabs>
                <w:tab w:val="clear" w:pos="426"/>
              </w:tabs>
              <w:spacing w:line="240" w:lineRule="auto"/>
              <w:jc w:val="center"/>
              <w:rPr>
                <w:rFonts w:cs="Times New Roman"/>
                <w:szCs w:val="21"/>
              </w:rPr>
            </w:pPr>
            <w:r>
              <w:rPr>
                <w:rFonts w:hint="eastAsia" w:cs="Times New Roman"/>
                <w:szCs w:val="21"/>
              </w:rPr>
              <w:t>目录</w:t>
            </w:r>
          </w:p>
        </w:tc>
        <w:tc>
          <w:tcPr>
            <w:tcW w:w="6343" w:type="dxa"/>
            <w:vAlign w:val="center"/>
          </w:tcPr>
          <w:p w14:paraId="7FE76318">
            <w:pPr>
              <w:widowControl w:val="0"/>
              <w:spacing w:line="240" w:lineRule="auto"/>
              <w:jc w:val="center"/>
              <w:rPr>
                <w:rFonts w:cs="Times New Roman"/>
                <w:szCs w:val="21"/>
              </w:rPr>
            </w:pPr>
            <w:r>
              <w:rPr>
                <w:rFonts w:hint="eastAsia" w:cs="Times New Roman"/>
                <w:szCs w:val="21"/>
              </w:rPr>
              <w:t>具体内容</w:t>
            </w:r>
          </w:p>
        </w:tc>
      </w:tr>
      <w:tr w14:paraId="3F3E6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16B50891">
            <w:pPr>
              <w:widowControl w:val="0"/>
              <w:shd w:val="clear" w:color="auto" w:fill="auto"/>
              <w:tabs>
                <w:tab w:val="clear" w:pos="426"/>
              </w:tabs>
              <w:spacing w:line="240" w:lineRule="auto"/>
              <w:jc w:val="center"/>
              <w:rPr>
                <w:rFonts w:cs="Times New Roman"/>
                <w:szCs w:val="21"/>
              </w:rPr>
            </w:pPr>
            <w:r>
              <w:rPr>
                <w:rFonts w:cs="Times New Roman"/>
                <w:szCs w:val="21"/>
              </w:rPr>
              <w:t>1</w:t>
            </w:r>
          </w:p>
        </w:tc>
        <w:tc>
          <w:tcPr>
            <w:tcW w:w="2410" w:type="dxa"/>
            <w:vAlign w:val="center"/>
          </w:tcPr>
          <w:p w14:paraId="26D1E7EA">
            <w:pPr>
              <w:widowControl w:val="0"/>
              <w:shd w:val="clear" w:color="auto" w:fill="auto"/>
              <w:tabs>
                <w:tab w:val="clear" w:pos="426"/>
              </w:tabs>
              <w:spacing w:line="240" w:lineRule="auto"/>
              <w:jc w:val="left"/>
              <w:rPr>
                <w:rFonts w:ascii="Times New Roman" w:cs="Times New Roman"/>
                <w:szCs w:val="21"/>
              </w:rPr>
            </w:pPr>
            <w:r>
              <w:rPr>
                <w:rFonts w:hint="eastAsia"/>
                <w:szCs w:val="21"/>
              </w:rPr>
              <w:t>资格、符合性评审条款</w:t>
            </w:r>
          </w:p>
        </w:tc>
        <w:tc>
          <w:tcPr>
            <w:tcW w:w="6343" w:type="dxa"/>
            <w:vAlign w:val="center"/>
          </w:tcPr>
          <w:p w14:paraId="41410E26">
            <w:pPr>
              <w:widowControl w:val="0"/>
              <w:shd w:val="clear" w:color="auto" w:fill="auto"/>
              <w:tabs>
                <w:tab w:val="clear" w:pos="426"/>
              </w:tabs>
              <w:spacing w:line="240" w:lineRule="auto"/>
              <w:ind w:firstLine="420" w:firstLineChars="200"/>
              <w:jc w:val="left"/>
              <w:rPr>
                <w:rFonts w:ascii="Times New Roman" w:cs="Times New Roman"/>
                <w:szCs w:val="21"/>
              </w:rPr>
            </w:pPr>
            <w:r>
              <w:rPr>
                <w:rFonts w:hint="eastAsia"/>
                <w:szCs w:val="21"/>
              </w:rPr>
              <w:t>凡出现《资格性审查表》及《符合性审查表》中情形之一的，将导致投标无效。以评审现场结论为准。</w:t>
            </w:r>
          </w:p>
        </w:tc>
      </w:tr>
      <w:tr w14:paraId="3DAF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17" w:type="dxa"/>
            <w:vAlign w:val="center"/>
          </w:tcPr>
          <w:p w14:paraId="629E91D5">
            <w:pPr>
              <w:widowControl w:val="0"/>
              <w:shd w:val="clear" w:color="auto" w:fill="auto"/>
              <w:tabs>
                <w:tab w:val="clear" w:pos="426"/>
              </w:tabs>
              <w:spacing w:line="240" w:lineRule="auto"/>
              <w:jc w:val="center"/>
              <w:rPr>
                <w:rFonts w:cs="Times New Roman"/>
                <w:szCs w:val="21"/>
              </w:rPr>
            </w:pPr>
            <w:r>
              <w:rPr>
                <w:rFonts w:cs="Times New Roman"/>
                <w:szCs w:val="21"/>
              </w:rPr>
              <w:t>2</w:t>
            </w:r>
          </w:p>
        </w:tc>
        <w:tc>
          <w:tcPr>
            <w:tcW w:w="2410" w:type="dxa"/>
            <w:vAlign w:val="center"/>
          </w:tcPr>
          <w:p w14:paraId="5DA6E8BB">
            <w:pPr>
              <w:widowControl w:val="0"/>
              <w:shd w:val="clear" w:color="auto" w:fill="auto"/>
              <w:tabs>
                <w:tab w:val="clear" w:pos="426"/>
              </w:tabs>
              <w:spacing w:line="240" w:lineRule="auto"/>
              <w:jc w:val="left"/>
              <w:rPr>
                <w:rFonts w:ascii="Times New Roman" w:cs="Times New Roman"/>
                <w:szCs w:val="21"/>
              </w:rPr>
            </w:pPr>
            <w:r>
              <w:rPr>
                <w:rFonts w:hint="eastAsia"/>
                <w:szCs w:val="21"/>
              </w:rPr>
              <w:t>服务期限</w:t>
            </w:r>
          </w:p>
        </w:tc>
        <w:tc>
          <w:tcPr>
            <w:tcW w:w="6343" w:type="dxa"/>
            <w:vAlign w:val="center"/>
          </w:tcPr>
          <w:p w14:paraId="4B152E1A">
            <w:pPr>
              <w:widowControl w:val="0"/>
              <w:shd w:val="clear" w:color="auto" w:fill="auto"/>
              <w:tabs>
                <w:tab w:val="clear" w:pos="426"/>
              </w:tabs>
              <w:spacing w:line="240" w:lineRule="auto"/>
              <w:ind w:firstLine="420" w:firstLineChars="200"/>
              <w:jc w:val="left"/>
              <w:rPr>
                <w:szCs w:val="21"/>
              </w:rPr>
            </w:pPr>
            <w:r>
              <w:rPr>
                <w:rFonts w:hint="eastAsia" w:hAnsi="宋体"/>
                <w:kern w:val="2"/>
                <w:szCs w:val="21"/>
              </w:rPr>
              <w:t>自合同签订之日起至2025年12月14日。</w:t>
            </w:r>
          </w:p>
        </w:tc>
      </w:tr>
    </w:tbl>
    <w:p w14:paraId="1F3DA376">
      <w:pPr>
        <w:rPr>
          <w:b/>
        </w:rPr>
      </w:pPr>
      <w:r>
        <w:rPr>
          <w:rFonts w:hint="eastAsia"/>
          <w:b/>
        </w:rPr>
        <w:t>备注：</w:t>
      </w:r>
    </w:p>
    <w:p w14:paraId="3151B5B1">
      <w:pPr>
        <w:ind w:firstLine="422" w:firstLineChars="200"/>
        <w:rPr>
          <w:b/>
        </w:rPr>
      </w:pPr>
      <w:r>
        <w:rPr>
          <w:b/>
        </w:rPr>
        <w:t>1.</w:t>
      </w:r>
      <w:r>
        <w:rPr>
          <w:rFonts w:hint="eastAsia"/>
          <w:b/>
        </w:rPr>
        <w:t>上表所列内容为不可负偏离条款，如投标供应商该部分内容出现负偏离或未对该部分内容进行响应，将按照符合性检查表作无效标处理。</w:t>
      </w:r>
    </w:p>
    <w:p w14:paraId="570D066F">
      <w:pPr>
        <w:pStyle w:val="3"/>
        <w:numPr>
          <w:ilvl w:val="0"/>
          <w:numId w:val="0"/>
        </w:numPr>
        <w:rPr>
          <w:sz w:val="24"/>
        </w:rPr>
      </w:pPr>
      <w:r>
        <w:rPr>
          <w:rFonts w:hint="eastAsia"/>
          <w:sz w:val="24"/>
        </w:rPr>
        <w:t>三、项目概况</w:t>
      </w:r>
    </w:p>
    <w:p w14:paraId="78F59025">
      <w:pPr>
        <w:widowControl w:val="0"/>
        <w:shd w:val="clear" w:color="auto" w:fill="auto"/>
        <w:tabs>
          <w:tab w:val="clear" w:pos="426"/>
        </w:tabs>
        <w:adjustRightInd/>
        <w:snapToGrid/>
        <w:spacing w:line="240" w:lineRule="auto"/>
        <w:ind w:firstLine="420" w:firstLineChars="200"/>
        <w:rPr>
          <w:rFonts w:hAnsi="宋体" w:cs="Times New Roman"/>
          <w:kern w:val="2"/>
          <w:szCs w:val="21"/>
        </w:rPr>
      </w:pPr>
      <w:r>
        <w:rPr>
          <w:rFonts w:hint="eastAsia" w:hAnsi="宋体" w:cs="Times New Roman"/>
          <w:kern w:val="2"/>
          <w:szCs w:val="21"/>
        </w:rPr>
        <w:t>为加强消防站正规化建设，提高营区管理水平，拟通过公开招标方式对深中通道三围消防站、西人工岛消防站营区的物业管理进行统一招标，服务范围包括：保障营区的物业管理及营区内的公用设施设备维修管理等，服务期限为自合同签订之日起至2025年12月14日。</w:t>
      </w:r>
    </w:p>
    <w:p w14:paraId="279F4803">
      <w:pPr>
        <w:pStyle w:val="3"/>
        <w:numPr>
          <w:ilvl w:val="0"/>
          <w:numId w:val="0"/>
        </w:numPr>
        <w:rPr>
          <w:sz w:val="24"/>
        </w:rPr>
      </w:pPr>
      <w:bookmarkStart w:id="82" w:name="_Toc120892144"/>
      <w:bookmarkStart w:id="83" w:name="_Toc145666464"/>
      <w:bookmarkStart w:id="84" w:name="_Toc152759233"/>
      <w:r>
        <w:rPr>
          <w:rFonts w:hint="eastAsia"/>
          <w:sz w:val="24"/>
        </w:rPr>
        <w:t>四、技术</w:t>
      </w:r>
      <w:bookmarkEnd w:id="82"/>
      <w:r>
        <w:rPr>
          <w:rFonts w:hint="eastAsia"/>
          <w:sz w:val="24"/>
        </w:rPr>
        <w:t>需求</w:t>
      </w:r>
      <w:bookmarkEnd w:id="83"/>
      <w:bookmarkEnd w:id="84"/>
    </w:p>
    <w:p w14:paraId="09D38506">
      <w:pPr>
        <w:widowControl w:val="0"/>
        <w:numPr>
          <w:ilvl w:val="0"/>
          <w:numId w:val="35"/>
        </w:numPr>
        <w:shd w:val="clear" w:color="auto" w:fill="auto"/>
        <w:adjustRightInd/>
        <w:snapToGrid/>
        <w:spacing w:line="240" w:lineRule="auto"/>
        <w:ind w:left="0" w:firstLine="0"/>
        <w:jc w:val="left"/>
        <w:rPr>
          <w:rFonts w:hAnsi="宋体"/>
          <w:b/>
          <w:bCs/>
          <w:color w:val="000000"/>
          <w:kern w:val="2"/>
          <w:szCs w:val="21"/>
        </w:rPr>
      </w:pPr>
      <w:r>
        <w:rPr>
          <w:rFonts w:hint="eastAsia" w:hAnsi="宋体"/>
          <w:b/>
          <w:bCs/>
          <w:color w:val="000000"/>
          <w:kern w:val="2"/>
          <w:szCs w:val="21"/>
        </w:rPr>
        <w:t>服务具体要求及质量标准</w:t>
      </w:r>
    </w:p>
    <w:p w14:paraId="61CE11C0">
      <w:pPr>
        <w:widowControl w:val="0"/>
        <w:shd w:val="clear" w:color="auto" w:fill="auto"/>
        <w:adjustRightInd/>
        <w:snapToGrid/>
        <w:spacing w:line="240" w:lineRule="auto"/>
        <w:jc w:val="left"/>
        <w:rPr>
          <w:rFonts w:hAnsi="宋体"/>
          <w:b/>
          <w:bCs/>
          <w:color w:val="000000"/>
          <w:kern w:val="2"/>
          <w:szCs w:val="21"/>
        </w:rPr>
      </w:pPr>
      <w:r>
        <w:rPr>
          <w:rFonts w:hint="eastAsia" w:hAnsi="宋体"/>
          <w:b/>
          <w:bCs/>
          <w:color w:val="000000"/>
          <w:kern w:val="2"/>
          <w:szCs w:val="21"/>
        </w:rPr>
        <w:t>（1）项目服务内容</w:t>
      </w:r>
    </w:p>
    <w:p w14:paraId="0B607B9A">
      <w:pPr>
        <w:widowControl w:val="0"/>
        <w:shd w:val="clear" w:color="auto" w:fill="auto"/>
        <w:adjustRightInd/>
        <w:snapToGrid/>
        <w:spacing w:line="240" w:lineRule="auto"/>
        <w:ind w:firstLine="422" w:firstLineChars="200"/>
        <w:jc w:val="left"/>
        <w:rPr>
          <w:rFonts w:hAnsi="宋体"/>
          <w:color w:val="000000"/>
          <w:kern w:val="2"/>
          <w:szCs w:val="21"/>
        </w:rPr>
      </w:pPr>
      <w:r>
        <w:rPr>
          <w:rFonts w:hint="eastAsia" w:hAnsi="宋体"/>
          <w:b/>
          <w:bCs/>
          <w:kern w:val="2"/>
          <w:szCs w:val="21"/>
        </w:rPr>
        <w:t>公共设备设施的维护管理服务：</w:t>
      </w:r>
      <w:r>
        <w:rPr>
          <w:rFonts w:hint="eastAsia" w:hAnsi="宋体"/>
          <w:color w:val="000000"/>
          <w:kern w:val="2"/>
          <w:szCs w:val="21"/>
        </w:rPr>
        <w:t>包括但不限于给水管、排水管、沟、渠、池、绿化、共用照明等）的检查、维修、养护和管理；公共区域水龙头、阀门、灯泡、灯管、开关、水管维修；接待房、宿舍内水龙头、灯泡、灯管、开关、水管、门锁维修；公共区域的地面、墙面维护和修缮；办公室的门窗、门锁的维修；公共洗手间洁具、照明灯具、排风扇、给排水管道维护维修；走廊、消防通道消防出口指示灯、电源转换开关箱维修；公共洗手间感应烘手机、小便池感应器的检查、电池更换；配电室、配电箱检查、维修；协助采购单位处理其他物业服务管理工作。</w:t>
      </w:r>
    </w:p>
    <w:p w14:paraId="69FA997E">
      <w:pPr>
        <w:widowControl w:val="0"/>
        <w:shd w:val="clear" w:color="auto" w:fill="auto"/>
        <w:adjustRightInd/>
        <w:snapToGrid/>
        <w:spacing w:line="240" w:lineRule="auto"/>
        <w:ind w:firstLine="422" w:firstLineChars="200"/>
        <w:jc w:val="left"/>
        <w:rPr>
          <w:rFonts w:hAnsi="宋体"/>
          <w:color w:val="000000"/>
          <w:kern w:val="2"/>
          <w:szCs w:val="21"/>
        </w:rPr>
      </w:pPr>
      <w:r>
        <w:rPr>
          <w:rFonts w:hint="eastAsia" w:hAnsi="宋体"/>
          <w:b/>
          <w:bCs/>
          <w:kern w:val="2"/>
          <w:szCs w:val="21"/>
        </w:rPr>
        <w:t>环境卫生管理：</w:t>
      </w:r>
      <w:r>
        <w:rPr>
          <w:rFonts w:hint="eastAsia" w:hAnsi="宋体"/>
          <w:color w:val="000000"/>
          <w:kern w:val="2"/>
          <w:szCs w:val="21"/>
        </w:rPr>
        <w:t>环境卫生的清洁保洁、垃圾的收集和外运；清洁人员对“四害”消杀管理，中标方应当确保实行“四害”消杀管理的安全保障；公共洗手间厕纸、洗手液、擦手纸、香薰的检查、更换；接待餐厅、接待房的环境卫生清洁与管理。</w:t>
      </w:r>
    </w:p>
    <w:p w14:paraId="54E37F5A">
      <w:pPr>
        <w:widowControl w:val="0"/>
        <w:shd w:val="clear" w:color="auto" w:fill="auto"/>
        <w:adjustRightInd/>
        <w:snapToGrid/>
        <w:spacing w:line="240" w:lineRule="auto"/>
        <w:ind w:firstLine="422" w:firstLineChars="200"/>
        <w:jc w:val="left"/>
        <w:rPr>
          <w:rFonts w:hAnsi="宋体"/>
          <w:kern w:val="2"/>
          <w:szCs w:val="21"/>
        </w:rPr>
      </w:pPr>
      <w:r>
        <w:rPr>
          <w:rFonts w:hint="eastAsia" w:hAnsi="宋体"/>
          <w:b/>
          <w:bCs/>
          <w:kern w:val="2"/>
          <w:szCs w:val="21"/>
        </w:rPr>
        <w:t>其他管理服务：</w:t>
      </w:r>
      <w:r>
        <w:rPr>
          <w:rFonts w:hint="eastAsia" w:hAnsi="宋体"/>
          <w:color w:val="000000"/>
          <w:kern w:val="2"/>
          <w:szCs w:val="21"/>
        </w:rPr>
        <w:t>对室外绿化养护管理，包括修剪施肥、浇水、杀虫及补种绿化及办公楼的室内绿化日常摆放和养护。</w:t>
      </w:r>
    </w:p>
    <w:p w14:paraId="73888473">
      <w:pPr>
        <w:widowControl w:val="0"/>
        <w:shd w:val="clear" w:color="auto" w:fill="auto"/>
        <w:adjustRightInd/>
        <w:snapToGrid/>
        <w:spacing w:line="240" w:lineRule="auto"/>
        <w:rPr>
          <w:rFonts w:hAnsi="宋体"/>
          <w:color w:val="000000"/>
          <w:kern w:val="2"/>
          <w:szCs w:val="21"/>
        </w:rPr>
      </w:pPr>
      <w:r>
        <w:rPr>
          <w:rFonts w:hint="eastAsia" w:hAnsi="宋体"/>
          <w:b/>
          <w:bCs/>
          <w:kern w:val="2"/>
          <w:szCs w:val="21"/>
        </w:rPr>
        <w:t>（2）工作质量要求：</w:t>
      </w:r>
      <w:r>
        <w:rPr>
          <w:rFonts w:hint="eastAsia" w:hAnsi="宋体"/>
          <w:color w:val="000000"/>
          <w:kern w:val="2"/>
          <w:szCs w:val="21"/>
        </w:rPr>
        <w:t>服从采购单位管理要求，并安排合格人员保质保量的为采购单位服务，对采购单位的服务要求及时响应。</w:t>
      </w:r>
    </w:p>
    <w:p w14:paraId="1A7C97BD">
      <w:pPr>
        <w:widowControl w:val="0"/>
        <w:shd w:val="clear" w:color="auto" w:fill="auto"/>
        <w:adjustRightInd/>
        <w:snapToGrid/>
        <w:spacing w:line="240" w:lineRule="auto"/>
        <w:rPr>
          <w:rFonts w:hAnsi="宋体"/>
          <w:color w:val="000000"/>
          <w:kern w:val="2"/>
          <w:szCs w:val="21"/>
        </w:rPr>
      </w:pPr>
      <w:r>
        <w:rPr>
          <w:rFonts w:hint="eastAsia" w:hAnsi="宋体"/>
          <w:b/>
          <w:bCs/>
          <w:kern w:val="2"/>
          <w:szCs w:val="21"/>
        </w:rPr>
        <w:t>（3）工作时间要求：</w:t>
      </w:r>
      <w:r>
        <w:rPr>
          <w:rFonts w:hint="eastAsia" w:hAnsi="宋体"/>
          <w:color w:val="000000"/>
          <w:kern w:val="2"/>
          <w:szCs w:val="21"/>
        </w:rPr>
        <w:t xml:space="preserve">标准工时制    </w:t>
      </w:r>
    </w:p>
    <w:p w14:paraId="19194839">
      <w:pPr>
        <w:widowControl w:val="0"/>
        <w:shd w:val="clear" w:color="auto" w:fill="auto"/>
        <w:adjustRightInd/>
        <w:snapToGrid/>
        <w:spacing w:line="240" w:lineRule="auto"/>
        <w:rPr>
          <w:rFonts w:hAnsi="宋体"/>
          <w:b/>
          <w:bCs/>
          <w:kern w:val="2"/>
          <w:szCs w:val="21"/>
        </w:rPr>
      </w:pPr>
      <w:r>
        <w:rPr>
          <w:rFonts w:hint="eastAsia" w:hAnsi="宋体"/>
          <w:b/>
          <w:bCs/>
          <w:kern w:val="2"/>
          <w:szCs w:val="21"/>
        </w:rPr>
        <w:t>（4）质量标准：</w:t>
      </w:r>
    </w:p>
    <w:p w14:paraId="17956725">
      <w:pPr>
        <w:widowControl w:val="0"/>
        <w:shd w:val="clear" w:color="auto" w:fill="auto"/>
        <w:adjustRightInd/>
        <w:snapToGrid/>
        <w:spacing w:line="240" w:lineRule="auto"/>
        <w:ind w:firstLine="420" w:firstLineChars="200"/>
        <w:rPr>
          <w:rFonts w:hAnsi="宋体"/>
          <w:kern w:val="2"/>
          <w:szCs w:val="21"/>
        </w:rPr>
      </w:pPr>
      <w:r>
        <w:rPr>
          <w:rFonts w:hint="eastAsia" w:hAnsi="宋体"/>
          <w:kern w:val="2"/>
          <w:szCs w:val="21"/>
        </w:rPr>
        <w:t>消杀服务标准：</w:t>
      </w:r>
    </w:p>
    <w:tbl>
      <w:tblPr>
        <w:tblStyle w:val="85"/>
        <w:tblW w:w="5269" w:type="pct"/>
        <w:tblInd w:w="-16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86"/>
        <w:gridCol w:w="1151"/>
        <w:gridCol w:w="1047"/>
        <w:gridCol w:w="2069"/>
        <w:gridCol w:w="3036"/>
        <w:gridCol w:w="1896"/>
      </w:tblGrid>
      <w:tr w14:paraId="7742BB5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9" w:type="pct"/>
            <w:vMerge w:val="restart"/>
            <w:vAlign w:val="center"/>
          </w:tcPr>
          <w:p w14:paraId="3C2DA28B">
            <w:pPr>
              <w:widowControl w:val="0"/>
              <w:shd w:val="clear" w:color="auto" w:fill="auto"/>
              <w:adjustRightInd/>
              <w:snapToGrid/>
              <w:spacing w:line="240" w:lineRule="auto"/>
              <w:jc w:val="center"/>
              <w:rPr>
                <w:rFonts w:hAnsi="宋体"/>
                <w:kern w:val="2"/>
                <w:szCs w:val="21"/>
              </w:rPr>
            </w:pPr>
            <w:r>
              <w:rPr>
                <w:rFonts w:hint="eastAsia" w:hAnsi="宋体"/>
                <w:kern w:val="2"/>
                <w:szCs w:val="21"/>
              </w:rPr>
              <w:t>序号</w:t>
            </w:r>
          </w:p>
        </w:tc>
        <w:tc>
          <w:tcPr>
            <w:tcW w:w="570" w:type="pct"/>
            <w:vMerge w:val="restart"/>
            <w:vAlign w:val="center"/>
          </w:tcPr>
          <w:p w14:paraId="71778D76">
            <w:pPr>
              <w:widowControl w:val="0"/>
              <w:shd w:val="clear" w:color="auto" w:fill="auto"/>
              <w:adjustRightInd/>
              <w:snapToGrid/>
              <w:spacing w:line="240" w:lineRule="auto"/>
              <w:jc w:val="center"/>
              <w:rPr>
                <w:rFonts w:hAnsi="宋体"/>
                <w:kern w:val="2"/>
                <w:szCs w:val="21"/>
              </w:rPr>
            </w:pPr>
            <w:r>
              <w:rPr>
                <w:rFonts w:hint="eastAsia" w:hAnsi="宋体"/>
                <w:kern w:val="2"/>
                <w:szCs w:val="21"/>
              </w:rPr>
              <w:t>位置</w:t>
            </w:r>
          </w:p>
        </w:tc>
        <w:tc>
          <w:tcPr>
            <w:tcW w:w="519" w:type="pct"/>
            <w:vMerge w:val="restart"/>
            <w:vAlign w:val="center"/>
          </w:tcPr>
          <w:p w14:paraId="0B005E99">
            <w:pPr>
              <w:widowControl w:val="0"/>
              <w:shd w:val="clear" w:color="auto" w:fill="auto"/>
              <w:adjustRightInd/>
              <w:snapToGrid/>
              <w:spacing w:line="240" w:lineRule="auto"/>
              <w:jc w:val="center"/>
              <w:rPr>
                <w:rFonts w:hAnsi="宋体"/>
                <w:kern w:val="2"/>
                <w:szCs w:val="21"/>
              </w:rPr>
            </w:pPr>
            <w:r>
              <w:rPr>
                <w:rFonts w:hint="eastAsia" w:hAnsi="宋体"/>
                <w:kern w:val="2"/>
                <w:szCs w:val="21"/>
              </w:rPr>
              <w:t>消杀项目</w:t>
            </w:r>
          </w:p>
        </w:tc>
        <w:tc>
          <w:tcPr>
            <w:tcW w:w="2530" w:type="pct"/>
            <w:gridSpan w:val="2"/>
            <w:vAlign w:val="center"/>
          </w:tcPr>
          <w:p w14:paraId="092850E3">
            <w:pPr>
              <w:widowControl w:val="0"/>
              <w:shd w:val="clear" w:color="auto" w:fill="auto"/>
              <w:adjustRightInd/>
              <w:snapToGrid/>
              <w:spacing w:line="240" w:lineRule="auto"/>
              <w:jc w:val="center"/>
              <w:rPr>
                <w:rFonts w:hAnsi="宋体"/>
                <w:kern w:val="2"/>
                <w:szCs w:val="21"/>
              </w:rPr>
            </w:pPr>
            <w:r>
              <w:rPr>
                <w:rFonts w:hint="eastAsia" w:hAnsi="宋体"/>
                <w:kern w:val="2"/>
                <w:szCs w:val="21"/>
              </w:rPr>
              <w:t>药物消杀安排</w:t>
            </w:r>
          </w:p>
        </w:tc>
        <w:tc>
          <w:tcPr>
            <w:tcW w:w="940" w:type="pct"/>
            <w:vMerge w:val="restart"/>
            <w:vAlign w:val="center"/>
          </w:tcPr>
          <w:p w14:paraId="42B1384D">
            <w:pPr>
              <w:widowControl w:val="0"/>
              <w:shd w:val="clear" w:color="auto" w:fill="auto"/>
              <w:adjustRightInd/>
              <w:snapToGrid/>
              <w:spacing w:line="240" w:lineRule="auto"/>
              <w:jc w:val="center"/>
              <w:rPr>
                <w:rFonts w:hAnsi="宋体"/>
                <w:kern w:val="2"/>
                <w:szCs w:val="21"/>
              </w:rPr>
            </w:pPr>
            <w:r>
              <w:rPr>
                <w:rFonts w:hint="eastAsia" w:hAnsi="宋体"/>
                <w:kern w:val="2"/>
                <w:szCs w:val="21"/>
              </w:rPr>
              <w:t>工作标准</w:t>
            </w:r>
          </w:p>
        </w:tc>
      </w:tr>
      <w:tr w14:paraId="2D9A5E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9" w:type="pct"/>
            <w:vMerge w:val="continue"/>
            <w:vAlign w:val="center"/>
          </w:tcPr>
          <w:p w14:paraId="63C8C082">
            <w:pPr>
              <w:widowControl w:val="0"/>
              <w:shd w:val="clear" w:color="auto" w:fill="auto"/>
              <w:adjustRightInd/>
              <w:snapToGrid/>
              <w:spacing w:line="240" w:lineRule="auto"/>
              <w:jc w:val="center"/>
              <w:rPr>
                <w:rFonts w:hAnsi="宋体"/>
                <w:kern w:val="2"/>
                <w:szCs w:val="21"/>
              </w:rPr>
            </w:pPr>
          </w:p>
        </w:tc>
        <w:tc>
          <w:tcPr>
            <w:tcW w:w="570" w:type="pct"/>
            <w:vMerge w:val="continue"/>
            <w:vAlign w:val="center"/>
          </w:tcPr>
          <w:p w14:paraId="4EBE7695">
            <w:pPr>
              <w:widowControl w:val="0"/>
              <w:shd w:val="clear" w:color="auto" w:fill="auto"/>
              <w:adjustRightInd/>
              <w:snapToGrid/>
              <w:spacing w:line="240" w:lineRule="auto"/>
              <w:jc w:val="center"/>
              <w:rPr>
                <w:rFonts w:hAnsi="宋体"/>
                <w:kern w:val="2"/>
                <w:szCs w:val="21"/>
              </w:rPr>
            </w:pPr>
          </w:p>
        </w:tc>
        <w:tc>
          <w:tcPr>
            <w:tcW w:w="519" w:type="pct"/>
            <w:vMerge w:val="continue"/>
            <w:vAlign w:val="center"/>
          </w:tcPr>
          <w:p w14:paraId="5CBC7DA5">
            <w:pPr>
              <w:widowControl w:val="0"/>
              <w:shd w:val="clear" w:color="auto" w:fill="auto"/>
              <w:adjustRightInd/>
              <w:snapToGrid/>
              <w:spacing w:line="240" w:lineRule="auto"/>
              <w:jc w:val="center"/>
              <w:rPr>
                <w:rFonts w:hAnsi="宋体"/>
                <w:kern w:val="2"/>
                <w:szCs w:val="21"/>
              </w:rPr>
            </w:pPr>
          </w:p>
        </w:tc>
        <w:tc>
          <w:tcPr>
            <w:tcW w:w="1026" w:type="pct"/>
            <w:vAlign w:val="center"/>
          </w:tcPr>
          <w:p w14:paraId="0245046F">
            <w:pPr>
              <w:widowControl w:val="0"/>
              <w:shd w:val="clear" w:color="auto" w:fill="auto"/>
              <w:adjustRightInd/>
              <w:snapToGrid/>
              <w:spacing w:line="240" w:lineRule="auto"/>
              <w:jc w:val="center"/>
              <w:rPr>
                <w:rFonts w:hAnsi="宋体"/>
                <w:kern w:val="2"/>
                <w:szCs w:val="21"/>
              </w:rPr>
            </w:pPr>
            <w:r>
              <w:rPr>
                <w:rFonts w:hint="eastAsia" w:hAnsi="宋体"/>
                <w:kern w:val="2"/>
                <w:szCs w:val="21"/>
              </w:rPr>
              <w:t>每周</w:t>
            </w:r>
          </w:p>
        </w:tc>
        <w:tc>
          <w:tcPr>
            <w:tcW w:w="1504" w:type="pct"/>
            <w:vAlign w:val="center"/>
          </w:tcPr>
          <w:p w14:paraId="5516FADF">
            <w:pPr>
              <w:widowControl w:val="0"/>
              <w:shd w:val="clear" w:color="auto" w:fill="auto"/>
              <w:adjustRightInd/>
              <w:snapToGrid/>
              <w:spacing w:line="240" w:lineRule="auto"/>
              <w:jc w:val="center"/>
              <w:rPr>
                <w:rFonts w:hAnsi="宋体"/>
                <w:kern w:val="2"/>
                <w:szCs w:val="21"/>
              </w:rPr>
            </w:pPr>
            <w:r>
              <w:rPr>
                <w:rFonts w:hint="eastAsia" w:hAnsi="宋体"/>
                <w:kern w:val="2"/>
                <w:szCs w:val="21"/>
              </w:rPr>
              <w:t>每月</w:t>
            </w:r>
          </w:p>
        </w:tc>
        <w:tc>
          <w:tcPr>
            <w:tcW w:w="940" w:type="pct"/>
            <w:vMerge w:val="continue"/>
            <w:vAlign w:val="center"/>
          </w:tcPr>
          <w:p w14:paraId="62821E65">
            <w:pPr>
              <w:widowControl w:val="0"/>
              <w:shd w:val="clear" w:color="auto" w:fill="auto"/>
              <w:adjustRightInd/>
              <w:snapToGrid/>
              <w:spacing w:line="240" w:lineRule="auto"/>
              <w:jc w:val="center"/>
              <w:rPr>
                <w:rFonts w:hAnsi="宋体"/>
                <w:kern w:val="2"/>
                <w:szCs w:val="21"/>
              </w:rPr>
            </w:pPr>
          </w:p>
        </w:tc>
      </w:tr>
      <w:tr w14:paraId="09DAB1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9" w:type="pct"/>
            <w:vMerge w:val="restart"/>
            <w:vAlign w:val="center"/>
          </w:tcPr>
          <w:p w14:paraId="610292B5">
            <w:pPr>
              <w:widowControl w:val="0"/>
              <w:shd w:val="clear" w:color="auto" w:fill="auto"/>
              <w:adjustRightInd/>
              <w:snapToGrid/>
              <w:spacing w:line="240" w:lineRule="auto"/>
              <w:jc w:val="center"/>
              <w:rPr>
                <w:rFonts w:hAnsi="宋体"/>
                <w:kern w:val="2"/>
                <w:szCs w:val="21"/>
              </w:rPr>
            </w:pPr>
            <w:r>
              <w:rPr>
                <w:rFonts w:hint="eastAsia" w:hAnsi="宋体"/>
                <w:kern w:val="2"/>
                <w:szCs w:val="21"/>
              </w:rPr>
              <w:t>1</w:t>
            </w:r>
          </w:p>
        </w:tc>
        <w:tc>
          <w:tcPr>
            <w:tcW w:w="570" w:type="pct"/>
            <w:vMerge w:val="restart"/>
            <w:vAlign w:val="center"/>
          </w:tcPr>
          <w:p w14:paraId="4608AB98">
            <w:pPr>
              <w:widowControl w:val="0"/>
              <w:shd w:val="clear" w:color="auto" w:fill="auto"/>
              <w:adjustRightInd/>
              <w:snapToGrid/>
              <w:spacing w:line="240" w:lineRule="auto"/>
              <w:jc w:val="center"/>
              <w:rPr>
                <w:rFonts w:hAnsi="宋体"/>
                <w:kern w:val="2"/>
                <w:szCs w:val="21"/>
              </w:rPr>
            </w:pPr>
            <w:r>
              <w:rPr>
                <w:rFonts w:hint="eastAsia" w:hAnsi="宋体"/>
                <w:kern w:val="2"/>
                <w:szCs w:val="21"/>
              </w:rPr>
              <w:t>卫生间</w:t>
            </w:r>
          </w:p>
        </w:tc>
        <w:tc>
          <w:tcPr>
            <w:tcW w:w="519" w:type="pct"/>
            <w:vAlign w:val="center"/>
          </w:tcPr>
          <w:p w14:paraId="2133F63B">
            <w:pPr>
              <w:widowControl w:val="0"/>
              <w:shd w:val="clear" w:color="auto" w:fill="auto"/>
              <w:adjustRightInd/>
              <w:snapToGrid/>
              <w:spacing w:line="240" w:lineRule="auto"/>
              <w:jc w:val="center"/>
              <w:rPr>
                <w:rFonts w:hAnsi="宋体"/>
                <w:kern w:val="2"/>
                <w:szCs w:val="21"/>
              </w:rPr>
            </w:pPr>
            <w:r>
              <w:rPr>
                <w:rFonts w:hint="eastAsia" w:hAnsi="宋体"/>
                <w:kern w:val="2"/>
                <w:szCs w:val="21"/>
              </w:rPr>
              <w:t>蟑螂</w:t>
            </w:r>
          </w:p>
        </w:tc>
        <w:tc>
          <w:tcPr>
            <w:tcW w:w="1026" w:type="pct"/>
            <w:vAlign w:val="center"/>
          </w:tcPr>
          <w:p w14:paraId="62A9F8E1">
            <w:pPr>
              <w:widowControl w:val="0"/>
              <w:shd w:val="clear" w:color="auto" w:fill="auto"/>
              <w:adjustRightInd/>
              <w:snapToGrid/>
              <w:spacing w:line="240" w:lineRule="auto"/>
              <w:jc w:val="center"/>
              <w:rPr>
                <w:rFonts w:hAnsi="宋体"/>
                <w:kern w:val="2"/>
                <w:szCs w:val="21"/>
              </w:rPr>
            </w:pPr>
            <w:r>
              <w:rPr>
                <w:rFonts w:hint="eastAsia" w:hAnsi="宋体"/>
                <w:kern w:val="2"/>
                <w:szCs w:val="21"/>
              </w:rPr>
              <w:t>药剂交替喷洒到蟑螂藏身的洞穴、缝隙、角落、墙角等处，每周一次</w:t>
            </w:r>
          </w:p>
        </w:tc>
        <w:tc>
          <w:tcPr>
            <w:tcW w:w="1504" w:type="pct"/>
            <w:vAlign w:val="center"/>
          </w:tcPr>
          <w:p w14:paraId="2D09E78A">
            <w:pPr>
              <w:widowControl w:val="0"/>
              <w:shd w:val="clear" w:color="auto" w:fill="auto"/>
              <w:adjustRightInd/>
              <w:snapToGrid/>
              <w:spacing w:line="240" w:lineRule="auto"/>
              <w:jc w:val="center"/>
              <w:rPr>
                <w:rFonts w:hAnsi="宋体"/>
                <w:kern w:val="2"/>
                <w:szCs w:val="21"/>
              </w:rPr>
            </w:pPr>
          </w:p>
        </w:tc>
        <w:tc>
          <w:tcPr>
            <w:tcW w:w="940" w:type="pct"/>
            <w:vMerge w:val="restart"/>
            <w:vAlign w:val="center"/>
          </w:tcPr>
          <w:p w14:paraId="7D67EE4B">
            <w:pPr>
              <w:widowControl w:val="0"/>
              <w:shd w:val="clear" w:color="auto" w:fill="auto"/>
              <w:adjustRightInd/>
              <w:snapToGrid/>
              <w:spacing w:line="240" w:lineRule="auto"/>
              <w:jc w:val="center"/>
              <w:rPr>
                <w:rFonts w:hAnsi="宋体"/>
                <w:kern w:val="2"/>
                <w:szCs w:val="21"/>
              </w:rPr>
            </w:pPr>
            <w:r>
              <w:rPr>
                <w:rFonts w:hint="eastAsia" w:hAnsi="宋体"/>
                <w:kern w:val="2"/>
                <w:szCs w:val="21"/>
              </w:rPr>
              <w:t>灭鼠标准：鼠密度不超过5％（粉迹法）；</w:t>
            </w:r>
          </w:p>
          <w:p w14:paraId="143E7041">
            <w:pPr>
              <w:widowControl w:val="0"/>
              <w:shd w:val="clear" w:color="auto" w:fill="auto"/>
              <w:adjustRightInd/>
              <w:snapToGrid/>
              <w:spacing w:line="240" w:lineRule="auto"/>
              <w:jc w:val="center"/>
              <w:rPr>
                <w:rFonts w:hAnsi="宋体"/>
                <w:kern w:val="2"/>
                <w:szCs w:val="21"/>
              </w:rPr>
            </w:pPr>
            <w:r>
              <w:rPr>
                <w:rFonts w:hint="eastAsia" w:hAnsi="宋体"/>
                <w:kern w:val="2"/>
                <w:szCs w:val="21"/>
              </w:rPr>
              <w:t>灭蚊标准：积水中三龄幼蚊或蛹阳性率不超过3％；</w:t>
            </w:r>
          </w:p>
          <w:p w14:paraId="6A3CD8DE">
            <w:pPr>
              <w:widowControl w:val="0"/>
              <w:shd w:val="clear" w:color="auto" w:fill="auto"/>
              <w:adjustRightInd/>
              <w:snapToGrid/>
              <w:spacing w:line="240" w:lineRule="auto"/>
              <w:jc w:val="center"/>
              <w:rPr>
                <w:rFonts w:hAnsi="宋体"/>
                <w:kern w:val="2"/>
                <w:szCs w:val="21"/>
              </w:rPr>
            </w:pPr>
            <w:r>
              <w:rPr>
                <w:rFonts w:hint="eastAsia" w:hAnsi="宋体"/>
                <w:kern w:val="2"/>
                <w:szCs w:val="21"/>
              </w:rPr>
              <w:t>灭蝇标准：蝇类孽生地三龄虫和蛹检出率不超过3％；</w:t>
            </w:r>
          </w:p>
          <w:p w14:paraId="4AF19B74">
            <w:pPr>
              <w:widowControl w:val="0"/>
              <w:shd w:val="clear" w:color="auto" w:fill="auto"/>
              <w:adjustRightInd/>
              <w:snapToGrid/>
              <w:spacing w:line="240" w:lineRule="auto"/>
              <w:jc w:val="center"/>
              <w:rPr>
                <w:rFonts w:hAnsi="宋体"/>
                <w:kern w:val="2"/>
                <w:szCs w:val="21"/>
              </w:rPr>
            </w:pPr>
            <w:r>
              <w:rPr>
                <w:rFonts w:hint="eastAsia" w:hAnsi="宋体"/>
                <w:kern w:val="2"/>
                <w:szCs w:val="21"/>
              </w:rPr>
              <w:t>灭蟑螂标准：蟑螂密度不超过1％（粉迹法）；</w:t>
            </w:r>
          </w:p>
          <w:p w14:paraId="4C326367">
            <w:pPr>
              <w:widowControl w:val="0"/>
              <w:shd w:val="clear" w:color="auto" w:fill="auto"/>
              <w:adjustRightInd/>
              <w:snapToGrid/>
              <w:spacing w:line="240" w:lineRule="auto"/>
              <w:jc w:val="center"/>
              <w:rPr>
                <w:rFonts w:hAnsi="宋体"/>
                <w:kern w:val="2"/>
                <w:szCs w:val="21"/>
              </w:rPr>
            </w:pPr>
            <w:r>
              <w:rPr>
                <w:rFonts w:hint="eastAsia" w:hAnsi="宋体"/>
                <w:kern w:val="2"/>
                <w:szCs w:val="21"/>
              </w:rPr>
              <w:t>灭白蚁标准：按《城市房屋白蚁防治管理规定》执行。</w:t>
            </w:r>
          </w:p>
          <w:p w14:paraId="06E4DF4A">
            <w:pPr>
              <w:widowControl w:val="0"/>
              <w:shd w:val="clear" w:color="auto" w:fill="auto"/>
              <w:adjustRightInd/>
              <w:snapToGrid/>
              <w:spacing w:line="240" w:lineRule="auto"/>
              <w:jc w:val="center"/>
              <w:rPr>
                <w:rFonts w:hAnsi="宋体"/>
                <w:kern w:val="2"/>
                <w:szCs w:val="21"/>
              </w:rPr>
            </w:pPr>
            <w:r>
              <w:rPr>
                <w:rFonts w:hint="eastAsia" w:hAnsi="宋体"/>
                <w:kern w:val="2"/>
                <w:szCs w:val="21"/>
              </w:rPr>
              <w:t>每月用烟雾炮机对全部管理区域消杀两次。</w:t>
            </w:r>
          </w:p>
          <w:p w14:paraId="007D244A">
            <w:pPr>
              <w:widowControl w:val="0"/>
              <w:shd w:val="clear" w:color="auto" w:fill="auto"/>
              <w:adjustRightInd/>
              <w:snapToGrid/>
              <w:spacing w:line="240" w:lineRule="auto"/>
              <w:jc w:val="center"/>
              <w:rPr>
                <w:rFonts w:hAnsi="宋体"/>
                <w:kern w:val="2"/>
                <w:szCs w:val="21"/>
              </w:rPr>
            </w:pPr>
            <w:r>
              <w:rPr>
                <w:rFonts w:hint="eastAsia" w:hAnsi="宋体"/>
                <w:kern w:val="2"/>
                <w:szCs w:val="21"/>
              </w:rPr>
              <w:t>有新规定按新规定标准</w:t>
            </w:r>
          </w:p>
        </w:tc>
      </w:tr>
      <w:tr w14:paraId="3F0AA3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9" w:type="pct"/>
            <w:vMerge w:val="continue"/>
            <w:vAlign w:val="center"/>
          </w:tcPr>
          <w:p w14:paraId="28582AE6">
            <w:pPr>
              <w:widowControl w:val="0"/>
              <w:shd w:val="clear" w:color="auto" w:fill="auto"/>
              <w:adjustRightInd/>
              <w:snapToGrid/>
              <w:spacing w:line="240" w:lineRule="auto"/>
              <w:jc w:val="center"/>
              <w:rPr>
                <w:rFonts w:hAnsi="宋体"/>
                <w:kern w:val="2"/>
                <w:szCs w:val="21"/>
              </w:rPr>
            </w:pPr>
          </w:p>
        </w:tc>
        <w:tc>
          <w:tcPr>
            <w:tcW w:w="570" w:type="pct"/>
            <w:vMerge w:val="continue"/>
            <w:vAlign w:val="center"/>
          </w:tcPr>
          <w:p w14:paraId="63C873F6">
            <w:pPr>
              <w:widowControl w:val="0"/>
              <w:shd w:val="clear" w:color="auto" w:fill="auto"/>
              <w:adjustRightInd/>
              <w:snapToGrid/>
              <w:spacing w:line="240" w:lineRule="auto"/>
              <w:jc w:val="center"/>
              <w:rPr>
                <w:rFonts w:hAnsi="宋体"/>
                <w:kern w:val="2"/>
                <w:szCs w:val="21"/>
              </w:rPr>
            </w:pPr>
          </w:p>
        </w:tc>
        <w:tc>
          <w:tcPr>
            <w:tcW w:w="519" w:type="pct"/>
            <w:vAlign w:val="center"/>
          </w:tcPr>
          <w:p w14:paraId="623AE06D">
            <w:pPr>
              <w:widowControl w:val="0"/>
              <w:shd w:val="clear" w:color="auto" w:fill="auto"/>
              <w:adjustRightInd/>
              <w:snapToGrid/>
              <w:spacing w:line="240" w:lineRule="auto"/>
              <w:jc w:val="center"/>
              <w:rPr>
                <w:rFonts w:hAnsi="宋体"/>
                <w:kern w:val="2"/>
                <w:szCs w:val="21"/>
              </w:rPr>
            </w:pPr>
            <w:r>
              <w:rPr>
                <w:rFonts w:hint="eastAsia" w:hAnsi="宋体"/>
                <w:kern w:val="2"/>
                <w:szCs w:val="21"/>
              </w:rPr>
              <w:t>蚊、蝇</w:t>
            </w:r>
          </w:p>
        </w:tc>
        <w:tc>
          <w:tcPr>
            <w:tcW w:w="1026" w:type="pct"/>
            <w:vAlign w:val="center"/>
          </w:tcPr>
          <w:p w14:paraId="0479F22E">
            <w:pPr>
              <w:widowControl w:val="0"/>
              <w:shd w:val="clear" w:color="auto" w:fill="auto"/>
              <w:adjustRightInd/>
              <w:snapToGrid/>
              <w:spacing w:line="240" w:lineRule="auto"/>
              <w:jc w:val="center"/>
              <w:rPr>
                <w:rFonts w:hAnsi="宋体"/>
                <w:kern w:val="2"/>
                <w:szCs w:val="21"/>
              </w:rPr>
            </w:pPr>
            <w:r>
              <w:rPr>
                <w:rFonts w:hint="eastAsia" w:hAnsi="宋体"/>
                <w:kern w:val="2"/>
                <w:szCs w:val="21"/>
              </w:rPr>
              <w:t>用药剂喷洒一次</w:t>
            </w:r>
          </w:p>
        </w:tc>
        <w:tc>
          <w:tcPr>
            <w:tcW w:w="1504" w:type="pct"/>
            <w:vAlign w:val="center"/>
          </w:tcPr>
          <w:p w14:paraId="1AE4C6E6">
            <w:pPr>
              <w:widowControl w:val="0"/>
              <w:shd w:val="clear" w:color="auto" w:fill="auto"/>
              <w:adjustRightInd/>
              <w:snapToGrid/>
              <w:spacing w:line="240" w:lineRule="auto"/>
              <w:jc w:val="center"/>
              <w:rPr>
                <w:rFonts w:hAnsi="宋体"/>
                <w:kern w:val="2"/>
                <w:szCs w:val="21"/>
              </w:rPr>
            </w:pPr>
          </w:p>
        </w:tc>
        <w:tc>
          <w:tcPr>
            <w:tcW w:w="940" w:type="pct"/>
            <w:vMerge w:val="continue"/>
            <w:vAlign w:val="center"/>
          </w:tcPr>
          <w:p w14:paraId="4F86E3A6">
            <w:pPr>
              <w:widowControl w:val="0"/>
              <w:shd w:val="clear" w:color="auto" w:fill="auto"/>
              <w:adjustRightInd/>
              <w:snapToGrid/>
              <w:spacing w:line="240" w:lineRule="auto"/>
              <w:jc w:val="center"/>
              <w:rPr>
                <w:rFonts w:hAnsi="宋体"/>
                <w:kern w:val="2"/>
                <w:szCs w:val="21"/>
              </w:rPr>
            </w:pPr>
          </w:p>
        </w:tc>
      </w:tr>
      <w:tr w14:paraId="044243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9" w:type="pct"/>
            <w:vMerge w:val="continue"/>
            <w:vAlign w:val="center"/>
          </w:tcPr>
          <w:p w14:paraId="19C6DD4F">
            <w:pPr>
              <w:widowControl w:val="0"/>
              <w:shd w:val="clear" w:color="auto" w:fill="auto"/>
              <w:adjustRightInd/>
              <w:snapToGrid/>
              <w:spacing w:line="240" w:lineRule="auto"/>
              <w:jc w:val="center"/>
              <w:rPr>
                <w:rFonts w:hAnsi="宋体"/>
                <w:kern w:val="2"/>
                <w:szCs w:val="21"/>
              </w:rPr>
            </w:pPr>
          </w:p>
        </w:tc>
        <w:tc>
          <w:tcPr>
            <w:tcW w:w="570" w:type="pct"/>
            <w:vMerge w:val="continue"/>
            <w:vAlign w:val="center"/>
          </w:tcPr>
          <w:p w14:paraId="7503A18C">
            <w:pPr>
              <w:widowControl w:val="0"/>
              <w:shd w:val="clear" w:color="auto" w:fill="auto"/>
              <w:adjustRightInd/>
              <w:snapToGrid/>
              <w:spacing w:line="240" w:lineRule="auto"/>
              <w:jc w:val="center"/>
              <w:rPr>
                <w:rFonts w:hAnsi="宋体"/>
                <w:kern w:val="2"/>
                <w:szCs w:val="21"/>
              </w:rPr>
            </w:pPr>
          </w:p>
        </w:tc>
        <w:tc>
          <w:tcPr>
            <w:tcW w:w="519" w:type="pct"/>
            <w:vAlign w:val="center"/>
          </w:tcPr>
          <w:p w14:paraId="61785C09">
            <w:pPr>
              <w:widowControl w:val="0"/>
              <w:shd w:val="clear" w:color="auto" w:fill="auto"/>
              <w:adjustRightInd/>
              <w:snapToGrid/>
              <w:spacing w:line="240" w:lineRule="auto"/>
              <w:jc w:val="center"/>
              <w:rPr>
                <w:rFonts w:hAnsi="宋体"/>
                <w:kern w:val="2"/>
                <w:szCs w:val="21"/>
              </w:rPr>
            </w:pPr>
            <w:r>
              <w:rPr>
                <w:rFonts w:hint="eastAsia" w:hAnsi="宋体"/>
                <w:kern w:val="2"/>
                <w:szCs w:val="21"/>
              </w:rPr>
              <w:t>老鼠</w:t>
            </w:r>
          </w:p>
        </w:tc>
        <w:tc>
          <w:tcPr>
            <w:tcW w:w="1026" w:type="pct"/>
            <w:vAlign w:val="center"/>
          </w:tcPr>
          <w:p w14:paraId="35AFB2C1">
            <w:pPr>
              <w:widowControl w:val="0"/>
              <w:shd w:val="clear" w:color="auto" w:fill="auto"/>
              <w:adjustRightInd/>
              <w:snapToGrid/>
              <w:spacing w:line="240" w:lineRule="auto"/>
              <w:jc w:val="center"/>
              <w:rPr>
                <w:rFonts w:hAnsi="宋体"/>
                <w:kern w:val="2"/>
                <w:szCs w:val="21"/>
              </w:rPr>
            </w:pPr>
          </w:p>
        </w:tc>
        <w:tc>
          <w:tcPr>
            <w:tcW w:w="1504" w:type="pct"/>
            <w:vAlign w:val="center"/>
          </w:tcPr>
          <w:p w14:paraId="42A9F457">
            <w:pPr>
              <w:widowControl w:val="0"/>
              <w:shd w:val="clear" w:color="auto" w:fill="auto"/>
              <w:adjustRightInd/>
              <w:snapToGrid/>
              <w:spacing w:line="240" w:lineRule="auto"/>
              <w:jc w:val="center"/>
              <w:rPr>
                <w:rFonts w:hAnsi="宋体"/>
                <w:kern w:val="2"/>
                <w:szCs w:val="21"/>
              </w:rPr>
            </w:pPr>
            <w:r>
              <w:rPr>
                <w:rFonts w:hint="eastAsia" w:hAnsi="宋体"/>
                <w:kern w:val="2"/>
                <w:szCs w:val="21"/>
              </w:rPr>
              <w:t>在老鼠经常出没之地投放鼠药毒饵两次，几种鼠药轮换投放</w:t>
            </w:r>
          </w:p>
        </w:tc>
        <w:tc>
          <w:tcPr>
            <w:tcW w:w="940" w:type="pct"/>
            <w:vMerge w:val="continue"/>
            <w:vAlign w:val="center"/>
          </w:tcPr>
          <w:p w14:paraId="4147FBDD">
            <w:pPr>
              <w:widowControl w:val="0"/>
              <w:shd w:val="clear" w:color="auto" w:fill="auto"/>
              <w:adjustRightInd/>
              <w:snapToGrid/>
              <w:spacing w:line="240" w:lineRule="auto"/>
              <w:jc w:val="center"/>
              <w:rPr>
                <w:rFonts w:hAnsi="宋体"/>
                <w:kern w:val="2"/>
                <w:szCs w:val="21"/>
              </w:rPr>
            </w:pPr>
          </w:p>
        </w:tc>
      </w:tr>
      <w:tr w14:paraId="14AD2C3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9" w:type="pct"/>
            <w:vMerge w:val="restart"/>
            <w:vAlign w:val="center"/>
          </w:tcPr>
          <w:p w14:paraId="1170B2E0">
            <w:pPr>
              <w:widowControl w:val="0"/>
              <w:shd w:val="clear" w:color="auto" w:fill="auto"/>
              <w:adjustRightInd/>
              <w:snapToGrid/>
              <w:spacing w:line="240" w:lineRule="auto"/>
              <w:jc w:val="center"/>
              <w:rPr>
                <w:rFonts w:hAnsi="宋体"/>
                <w:kern w:val="2"/>
                <w:szCs w:val="21"/>
              </w:rPr>
            </w:pPr>
            <w:r>
              <w:rPr>
                <w:rFonts w:hint="eastAsia" w:hAnsi="宋体"/>
                <w:kern w:val="2"/>
                <w:szCs w:val="21"/>
              </w:rPr>
              <w:t>2</w:t>
            </w:r>
          </w:p>
        </w:tc>
        <w:tc>
          <w:tcPr>
            <w:tcW w:w="570" w:type="pct"/>
            <w:vMerge w:val="restart"/>
            <w:vAlign w:val="center"/>
          </w:tcPr>
          <w:p w14:paraId="535B2601">
            <w:pPr>
              <w:widowControl w:val="0"/>
              <w:shd w:val="clear" w:color="auto" w:fill="auto"/>
              <w:adjustRightInd/>
              <w:snapToGrid/>
              <w:spacing w:line="240" w:lineRule="auto"/>
              <w:jc w:val="center"/>
              <w:rPr>
                <w:rFonts w:hAnsi="宋体"/>
                <w:kern w:val="2"/>
                <w:szCs w:val="21"/>
              </w:rPr>
            </w:pPr>
            <w:r>
              <w:rPr>
                <w:rFonts w:hint="eastAsia" w:hAnsi="宋体"/>
                <w:kern w:val="2"/>
                <w:szCs w:val="21"/>
              </w:rPr>
              <w:t>消防通道</w:t>
            </w:r>
          </w:p>
        </w:tc>
        <w:tc>
          <w:tcPr>
            <w:tcW w:w="519" w:type="pct"/>
            <w:vAlign w:val="center"/>
          </w:tcPr>
          <w:p w14:paraId="0DE9F072">
            <w:pPr>
              <w:widowControl w:val="0"/>
              <w:shd w:val="clear" w:color="auto" w:fill="auto"/>
              <w:adjustRightInd/>
              <w:snapToGrid/>
              <w:spacing w:line="240" w:lineRule="auto"/>
              <w:jc w:val="center"/>
              <w:rPr>
                <w:rFonts w:hAnsi="宋体"/>
                <w:kern w:val="2"/>
                <w:szCs w:val="21"/>
              </w:rPr>
            </w:pPr>
            <w:r>
              <w:rPr>
                <w:rFonts w:hint="eastAsia" w:hAnsi="宋体"/>
                <w:kern w:val="2"/>
                <w:szCs w:val="21"/>
              </w:rPr>
              <w:t>蟑螂</w:t>
            </w:r>
          </w:p>
        </w:tc>
        <w:tc>
          <w:tcPr>
            <w:tcW w:w="1026" w:type="pct"/>
            <w:vAlign w:val="center"/>
          </w:tcPr>
          <w:p w14:paraId="239B97F8">
            <w:pPr>
              <w:widowControl w:val="0"/>
              <w:shd w:val="clear" w:color="auto" w:fill="auto"/>
              <w:adjustRightInd/>
              <w:snapToGrid/>
              <w:spacing w:line="240" w:lineRule="auto"/>
              <w:jc w:val="center"/>
              <w:rPr>
                <w:rFonts w:hAnsi="宋体"/>
                <w:kern w:val="2"/>
                <w:szCs w:val="21"/>
              </w:rPr>
            </w:pPr>
            <w:r>
              <w:rPr>
                <w:rFonts w:hint="eastAsia" w:hAnsi="宋体"/>
                <w:kern w:val="2"/>
                <w:szCs w:val="21"/>
              </w:rPr>
              <w:t>药剂交替喷洒到蟑螂藏身的洞穴、缝隙、角落、墙角等处，每周一次</w:t>
            </w:r>
          </w:p>
        </w:tc>
        <w:tc>
          <w:tcPr>
            <w:tcW w:w="1504" w:type="pct"/>
            <w:vAlign w:val="center"/>
          </w:tcPr>
          <w:p w14:paraId="401BD52E">
            <w:pPr>
              <w:widowControl w:val="0"/>
              <w:shd w:val="clear" w:color="auto" w:fill="auto"/>
              <w:adjustRightInd/>
              <w:snapToGrid/>
              <w:spacing w:line="240" w:lineRule="auto"/>
              <w:jc w:val="center"/>
              <w:rPr>
                <w:rFonts w:hAnsi="宋体"/>
                <w:kern w:val="2"/>
                <w:szCs w:val="21"/>
              </w:rPr>
            </w:pPr>
          </w:p>
        </w:tc>
        <w:tc>
          <w:tcPr>
            <w:tcW w:w="940" w:type="pct"/>
            <w:vMerge w:val="continue"/>
            <w:vAlign w:val="center"/>
          </w:tcPr>
          <w:p w14:paraId="4BC324DD">
            <w:pPr>
              <w:widowControl w:val="0"/>
              <w:shd w:val="clear" w:color="auto" w:fill="auto"/>
              <w:adjustRightInd/>
              <w:snapToGrid/>
              <w:spacing w:line="240" w:lineRule="auto"/>
              <w:jc w:val="center"/>
              <w:rPr>
                <w:rFonts w:hAnsi="宋体"/>
                <w:kern w:val="2"/>
                <w:szCs w:val="21"/>
              </w:rPr>
            </w:pPr>
          </w:p>
        </w:tc>
      </w:tr>
      <w:tr w14:paraId="41944C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9" w:type="pct"/>
            <w:vMerge w:val="continue"/>
            <w:vAlign w:val="center"/>
          </w:tcPr>
          <w:p w14:paraId="21CF2D49">
            <w:pPr>
              <w:widowControl w:val="0"/>
              <w:shd w:val="clear" w:color="auto" w:fill="auto"/>
              <w:adjustRightInd/>
              <w:snapToGrid/>
              <w:spacing w:line="240" w:lineRule="auto"/>
              <w:jc w:val="center"/>
              <w:rPr>
                <w:rFonts w:hAnsi="宋体"/>
                <w:kern w:val="2"/>
                <w:szCs w:val="21"/>
              </w:rPr>
            </w:pPr>
          </w:p>
        </w:tc>
        <w:tc>
          <w:tcPr>
            <w:tcW w:w="570" w:type="pct"/>
            <w:vMerge w:val="continue"/>
            <w:vAlign w:val="center"/>
          </w:tcPr>
          <w:p w14:paraId="79B71348">
            <w:pPr>
              <w:widowControl w:val="0"/>
              <w:shd w:val="clear" w:color="auto" w:fill="auto"/>
              <w:adjustRightInd/>
              <w:snapToGrid/>
              <w:spacing w:line="240" w:lineRule="auto"/>
              <w:jc w:val="center"/>
              <w:rPr>
                <w:rFonts w:hAnsi="宋体"/>
                <w:kern w:val="2"/>
                <w:szCs w:val="21"/>
              </w:rPr>
            </w:pPr>
          </w:p>
        </w:tc>
        <w:tc>
          <w:tcPr>
            <w:tcW w:w="519" w:type="pct"/>
            <w:vAlign w:val="center"/>
          </w:tcPr>
          <w:p w14:paraId="70A46A0D">
            <w:pPr>
              <w:widowControl w:val="0"/>
              <w:shd w:val="clear" w:color="auto" w:fill="auto"/>
              <w:adjustRightInd/>
              <w:snapToGrid/>
              <w:spacing w:line="240" w:lineRule="auto"/>
              <w:jc w:val="center"/>
              <w:rPr>
                <w:rFonts w:hAnsi="宋体"/>
                <w:kern w:val="2"/>
                <w:szCs w:val="21"/>
              </w:rPr>
            </w:pPr>
            <w:r>
              <w:rPr>
                <w:rFonts w:hint="eastAsia" w:hAnsi="宋体"/>
                <w:kern w:val="2"/>
                <w:szCs w:val="21"/>
              </w:rPr>
              <w:t>老鼠</w:t>
            </w:r>
          </w:p>
        </w:tc>
        <w:tc>
          <w:tcPr>
            <w:tcW w:w="1026" w:type="pct"/>
            <w:vAlign w:val="center"/>
          </w:tcPr>
          <w:p w14:paraId="4FB97EC7">
            <w:pPr>
              <w:widowControl w:val="0"/>
              <w:shd w:val="clear" w:color="auto" w:fill="auto"/>
              <w:adjustRightInd/>
              <w:snapToGrid/>
              <w:spacing w:line="240" w:lineRule="auto"/>
              <w:jc w:val="center"/>
              <w:rPr>
                <w:rFonts w:hAnsi="宋体"/>
                <w:kern w:val="2"/>
                <w:szCs w:val="21"/>
              </w:rPr>
            </w:pPr>
          </w:p>
        </w:tc>
        <w:tc>
          <w:tcPr>
            <w:tcW w:w="1504" w:type="pct"/>
            <w:vAlign w:val="center"/>
          </w:tcPr>
          <w:p w14:paraId="7AD53375">
            <w:pPr>
              <w:widowControl w:val="0"/>
              <w:shd w:val="clear" w:color="auto" w:fill="auto"/>
              <w:adjustRightInd/>
              <w:snapToGrid/>
              <w:spacing w:line="240" w:lineRule="auto"/>
              <w:jc w:val="center"/>
              <w:rPr>
                <w:rFonts w:hAnsi="宋体"/>
                <w:kern w:val="2"/>
                <w:szCs w:val="21"/>
              </w:rPr>
            </w:pPr>
            <w:r>
              <w:rPr>
                <w:rFonts w:hint="eastAsia" w:hAnsi="宋体"/>
                <w:kern w:val="2"/>
                <w:szCs w:val="21"/>
              </w:rPr>
              <w:t>在老鼠经常出没之地投放鼠药毒饵两次，几种鼠药轮换投放</w:t>
            </w:r>
          </w:p>
        </w:tc>
        <w:tc>
          <w:tcPr>
            <w:tcW w:w="940" w:type="pct"/>
            <w:vMerge w:val="continue"/>
            <w:vAlign w:val="center"/>
          </w:tcPr>
          <w:p w14:paraId="727829CE">
            <w:pPr>
              <w:widowControl w:val="0"/>
              <w:shd w:val="clear" w:color="auto" w:fill="auto"/>
              <w:adjustRightInd/>
              <w:snapToGrid/>
              <w:spacing w:line="240" w:lineRule="auto"/>
              <w:jc w:val="center"/>
              <w:rPr>
                <w:rFonts w:hAnsi="宋体"/>
                <w:kern w:val="2"/>
                <w:szCs w:val="21"/>
              </w:rPr>
            </w:pPr>
          </w:p>
        </w:tc>
      </w:tr>
      <w:tr w14:paraId="6BC07D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9" w:type="pct"/>
            <w:vMerge w:val="restart"/>
            <w:vAlign w:val="center"/>
          </w:tcPr>
          <w:p w14:paraId="5B873B6E">
            <w:pPr>
              <w:widowControl w:val="0"/>
              <w:shd w:val="clear" w:color="auto" w:fill="auto"/>
              <w:adjustRightInd/>
              <w:snapToGrid/>
              <w:spacing w:line="240" w:lineRule="auto"/>
              <w:jc w:val="center"/>
              <w:rPr>
                <w:rFonts w:hAnsi="宋体"/>
                <w:kern w:val="2"/>
                <w:szCs w:val="21"/>
              </w:rPr>
            </w:pPr>
            <w:r>
              <w:rPr>
                <w:rFonts w:hint="eastAsia" w:hAnsi="宋体"/>
                <w:kern w:val="2"/>
                <w:szCs w:val="21"/>
              </w:rPr>
              <w:t>3</w:t>
            </w:r>
          </w:p>
        </w:tc>
        <w:tc>
          <w:tcPr>
            <w:tcW w:w="570" w:type="pct"/>
            <w:vMerge w:val="restart"/>
            <w:vAlign w:val="center"/>
          </w:tcPr>
          <w:p w14:paraId="09ECEB24">
            <w:pPr>
              <w:widowControl w:val="0"/>
              <w:shd w:val="clear" w:color="auto" w:fill="auto"/>
              <w:adjustRightInd/>
              <w:snapToGrid/>
              <w:spacing w:line="240" w:lineRule="auto"/>
              <w:jc w:val="center"/>
              <w:rPr>
                <w:rFonts w:hAnsi="宋体"/>
                <w:kern w:val="2"/>
                <w:szCs w:val="21"/>
              </w:rPr>
            </w:pPr>
            <w:r>
              <w:rPr>
                <w:rFonts w:hint="eastAsia" w:hAnsi="宋体"/>
                <w:kern w:val="2"/>
                <w:szCs w:val="21"/>
              </w:rPr>
              <w:t>污水井、污水沟</w:t>
            </w:r>
          </w:p>
        </w:tc>
        <w:tc>
          <w:tcPr>
            <w:tcW w:w="519" w:type="pct"/>
            <w:vAlign w:val="center"/>
          </w:tcPr>
          <w:p w14:paraId="0D998286">
            <w:pPr>
              <w:widowControl w:val="0"/>
              <w:shd w:val="clear" w:color="auto" w:fill="auto"/>
              <w:adjustRightInd/>
              <w:snapToGrid/>
              <w:spacing w:line="240" w:lineRule="auto"/>
              <w:jc w:val="center"/>
              <w:rPr>
                <w:rFonts w:hAnsi="宋体"/>
                <w:kern w:val="2"/>
                <w:szCs w:val="21"/>
              </w:rPr>
            </w:pPr>
            <w:r>
              <w:rPr>
                <w:rFonts w:hint="eastAsia" w:hAnsi="宋体"/>
                <w:kern w:val="2"/>
                <w:szCs w:val="21"/>
              </w:rPr>
              <w:t>蟑螂</w:t>
            </w:r>
          </w:p>
        </w:tc>
        <w:tc>
          <w:tcPr>
            <w:tcW w:w="1026" w:type="pct"/>
            <w:vAlign w:val="center"/>
          </w:tcPr>
          <w:p w14:paraId="60A65DBC">
            <w:pPr>
              <w:widowControl w:val="0"/>
              <w:shd w:val="clear" w:color="auto" w:fill="auto"/>
              <w:adjustRightInd/>
              <w:snapToGrid/>
              <w:spacing w:line="240" w:lineRule="auto"/>
              <w:jc w:val="center"/>
              <w:rPr>
                <w:rFonts w:hAnsi="宋体"/>
                <w:kern w:val="2"/>
                <w:szCs w:val="21"/>
              </w:rPr>
            </w:pPr>
            <w:r>
              <w:rPr>
                <w:rFonts w:hint="eastAsia" w:hAnsi="宋体"/>
                <w:kern w:val="2"/>
                <w:szCs w:val="21"/>
              </w:rPr>
              <w:t>药剂交替喷洒到蟑螂藏身的洞穴、缝隙、角落、墙角等处，每周一次</w:t>
            </w:r>
          </w:p>
        </w:tc>
        <w:tc>
          <w:tcPr>
            <w:tcW w:w="1504" w:type="pct"/>
            <w:vAlign w:val="center"/>
          </w:tcPr>
          <w:p w14:paraId="48BF0BD3">
            <w:pPr>
              <w:widowControl w:val="0"/>
              <w:shd w:val="clear" w:color="auto" w:fill="auto"/>
              <w:adjustRightInd/>
              <w:snapToGrid/>
              <w:spacing w:line="240" w:lineRule="auto"/>
              <w:jc w:val="center"/>
              <w:rPr>
                <w:rFonts w:hAnsi="宋体"/>
                <w:kern w:val="2"/>
                <w:szCs w:val="21"/>
              </w:rPr>
            </w:pPr>
          </w:p>
        </w:tc>
        <w:tc>
          <w:tcPr>
            <w:tcW w:w="940" w:type="pct"/>
            <w:vMerge w:val="continue"/>
            <w:vAlign w:val="center"/>
          </w:tcPr>
          <w:p w14:paraId="009F151B">
            <w:pPr>
              <w:widowControl w:val="0"/>
              <w:shd w:val="clear" w:color="auto" w:fill="auto"/>
              <w:adjustRightInd/>
              <w:snapToGrid/>
              <w:spacing w:line="240" w:lineRule="auto"/>
              <w:jc w:val="center"/>
              <w:rPr>
                <w:rFonts w:hAnsi="宋体"/>
                <w:kern w:val="2"/>
                <w:szCs w:val="21"/>
              </w:rPr>
            </w:pPr>
          </w:p>
        </w:tc>
      </w:tr>
      <w:tr w14:paraId="450913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9" w:type="pct"/>
            <w:vMerge w:val="continue"/>
            <w:vAlign w:val="center"/>
          </w:tcPr>
          <w:p w14:paraId="19C7DA2B">
            <w:pPr>
              <w:widowControl w:val="0"/>
              <w:shd w:val="clear" w:color="auto" w:fill="auto"/>
              <w:adjustRightInd/>
              <w:snapToGrid/>
              <w:spacing w:line="240" w:lineRule="auto"/>
              <w:jc w:val="center"/>
              <w:rPr>
                <w:rFonts w:hAnsi="宋体"/>
                <w:kern w:val="2"/>
                <w:szCs w:val="21"/>
              </w:rPr>
            </w:pPr>
          </w:p>
        </w:tc>
        <w:tc>
          <w:tcPr>
            <w:tcW w:w="570" w:type="pct"/>
            <w:vMerge w:val="continue"/>
            <w:vAlign w:val="center"/>
          </w:tcPr>
          <w:p w14:paraId="0E12C368">
            <w:pPr>
              <w:widowControl w:val="0"/>
              <w:shd w:val="clear" w:color="auto" w:fill="auto"/>
              <w:adjustRightInd/>
              <w:snapToGrid/>
              <w:spacing w:line="240" w:lineRule="auto"/>
              <w:jc w:val="center"/>
              <w:rPr>
                <w:rFonts w:hAnsi="宋体"/>
                <w:kern w:val="2"/>
                <w:szCs w:val="21"/>
              </w:rPr>
            </w:pPr>
          </w:p>
        </w:tc>
        <w:tc>
          <w:tcPr>
            <w:tcW w:w="519" w:type="pct"/>
            <w:vAlign w:val="center"/>
          </w:tcPr>
          <w:p w14:paraId="78DD5FC3">
            <w:pPr>
              <w:widowControl w:val="0"/>
              <w:shd w:val="clear" w:color="auto" w:fill="auto"/>
              <w:adjustRightInd/>
              <w:snapToGrid/>
              <w:spacing w:line="240" w:lineRule="auto"/>
              <w:jc w:val="center"/>
              <w:rPr>
                <w:rFonts w:hAnsi="宋体"/>
                <w:kern w:val="2"/>
                <w:szCs w:val="21"/>
              </w:rPr>
            </w:pPr>
            <w:r>
              <w:rPr>
                <w:rFonts w:hint="eastAsia" w:hAnsi="宋体"/>
                <w:kern w:val="2"/>
                <w:szCs w:val="21"/>
              </w:rPr>
              <w:t>蚊、蝇</w:t>
            </w:r>
          </w:p>
        </w:tc>
        <w:tc>
          <w:tcPr>
            <w:tcW w:w="1026" w:type="pct"/>
            <w:vAlign w:val="center"/>
          </w:tcPr>
          <w:p w14:paraId="7C3AF27C">
            <w:pPr>
              <w:widowControl w:val="0"/>
              <w:shd w:val="clear" w:color="auto" w:fill="auto"/>
              <w:adjustRightInd/>
              <w:snapToGrid/>
              <w:spacing w:line="240" w:lineRule="auto"/>
              <w:jc w:val="center"/>
              <w:rPr>
                <w:rFonts w:hAnsi="宋体"/>
                <w:kern w:val="2"/>
                <w:szCs w:val="21"/>
              </w:rPr>
            </w:pPr>
            <w:r>
              <w:rPr>
                <w:rFonts w:hint="eastAsia" w:hAnsi="宋体"/>
                <w:kern w:val="2"/>
                <w:szCs w:val="21"/>
              </w:rPr>
              <w:t>用药剂喷洒一次</w:t>
            </w:r>
          </w:p>
        </w:tc>
        <w:tc>
          <w:tcPr>
            <w:tcW w:w="1504" w:type="pct"/>
            <w:vAlign w:val="center"/>
          </w:tcPr>
          <w:p w14:paraId="0067B2DD">
            <w:pPr>
              <w:widowControl w:val="0"/>
              <w:shd w:val="clear" w:color="auto" w:fill="auto"/>
              <w:adjustRightInd/>
              <w:snapToGrid/>
              <w:spacing w:line="240" w:lineRule="auto"/>
              <w:jc w:val="center"/>
              <w:rPr>
                <w:rFonts w:hAnsi="宋体"/>
                <w:kern w:val="2"/>
                <w:szCs w:val="21"/>
              </w:rPr>
            </w:pPr>
            <w:r>
              <w:rPr>
                <w:rFonts w:hint="eastAsia" w:hAnsi="宋体"/>
                <w:kern w:val="2"/>
                <w:szCs w:val="21"/>
              </w:rPr>
              <w:t>用球形芽孢喷洒两次</w:t>
            </w:r>
          </w:p>
        </w:tc>
        <w:tc>
          <w:tcPr>
            <w:tcW w:w="940" w:type="pct"/>
            <w:vMerge w:val="continue"/>
            <w:vAlign w:val="center"/>
          </w:tcPr>
          <w:p w14:paraId="1FD7E0EA">
            <w:pPr>
              <w:widowControl w:val="0"/>
              <w:shd w:val="clear" w:color="auto" w:fill="auto"/>
              <w:adjustRightInd/>
              <w:snapToGrid/>
              <w:spacing w:line="240" w:lineRule="auto"/>
              <w:jc w:val="center"/>
              <w:rPr>
                <w:rFonts w:hAnsi="宋体"/>
                <w:kern w:val="2"/>
                <w:szCs w:val="21"/>
              </w:rPr>
            </w:pPr>
          </w:p>
        </w:tc>
      </w:tr>
      <w:tr w14:paraId="244AF7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9" w:type="pct"/>
            <w:vAlign w:val="center"/>
          </w:tcPr>
          <w:p w14:paraId="37805A75">
            <w:pPr>
              <w:widowControl w:val="0"/>
              <w:shd w:val="clear" w:color="auto" w:fill="auto"/>
              <w:adjustRightInd/>
              <w:snapToGrid/>
              <w:spacing w:line="240" w:lineRule="auto"/>
              <w:jc w:val="center"/>
              <w:rPr>
                <w:rFonts w:hAnsi="宋体"/>
                <w:kern w:val="2"/>
                <w:szCs w:val="21"/>
              </w:rPr>
            </w:pPr>
            <w:r>
              <w:rPr>
                <w:rFonts w:hint="eastAsia" w:hAnsi="宋体"/>
                <w:kern w:val="2"/>
                <w:szCs w:val="21"/>
              </w:rPr>
              <w:t>4</w:t>
            </w:r>
          </w:p>
        </w:tc>
        <w:tc>
          <w:tcPr>
            <w:tcW w:w="570" w:type="pct"/>
            <w:vAlign w:val="center"/>
          </w:tcPr>
          <w:p w14:paraId="14E0FDFB">
            <w:pPr>
              <w:widowControl w:val="0"/>
              <w:shd w:val="clear" w:color="auto" w:fill="auto"/>
              <w:adjustRightInd/>
              <w:snapToGrid/>
              <w:spacing w:line="240" w:lineRule="auto"/>
              <w:jc w:val="center"/>
              <w:rPr>
                <w:rFonts w:hAnsi="宋体"/>
                <w:kern w:val="2"/>
                <w:szCs w:val="21"/>
              </w:rPr>
            </w:pPr>
            <w:r>
              <w:rPr>
                <w:rFonts w:hint="eastAsia" w:hAnsi="宋体"/>
                <w:kern w:val="2"/>
                <w:szCs w:val="21"/>
              </w:rPr>
              <w:t>污水井</w:t>
            </w:r>
          </w:p>
        </w:tc>
        <w:tc>
          <w:tcPr>
            <w:tcW w:w="519" w:type="pct"/>
            <w:vAlign w:val="center"/>
          </w:tcPr>
          <w:p w14:paraId="24FC05F3">
            <w:pPr>
              <w:widowControl w:val="0"/>
              <w:shd w:val="clear" w:color="auto" w:fill="auto"/>
              <w:adjustRightInd/>
              <w:snapToGrid/>
              <w:spacing w:line="240" w:lineRule="auto"/>
              <w:jc w:val="center"/>
              <w:rPr>
                <w:rFonts w:hAnsi="宋体"/>
                <w:kern w:val="2"/>
                <w:szCs w:val="21"/>
              </w:rPr>
            </w:pPr>
            <w:r>
              <w:rPr>
                <w:rFonts w:hint="eastAsia" w:hAnsi="宋体"/>
                <w:kern w:val="2"/>
                <w:szCs w:val="21"/>
              </w:rPr>
              <w:t>老鼠</w:t>
            </w:r>
          </w:p>
        </w:tc>
        <w:tc>
          <w:tcPr>
            <w:tcW w:w="1026" w:type="pct"/>
            <w:vAlign w:val="center"/>
          </w:tcPr>
          <w:p w14:paraId="0CBB4B6A">
            <w:pPr>
              <w:widowControl w:val="0"/>
              <w:shd w:val="clear" w:color="auto" w:fill="auto"/>
              <w:adjustRightInd/>
              <w:snapToGrid/>
              <w:spacing w:line="240" w:lineRule="auto"/>
              <w:jc w:val="center"/>
              <w:rPr>
                <w:rFonts w:hAnsi="宋体"/>
                <w:kern w:val="2"/>
                <w:szCs w:val="21"/>
              </w:rPr>
            </w:pPr>
          </w:p>
        </w:tc>
        <w:tc>
          <w:tcPr>
            <w:tcW w:w="1504" w:type="pct"/>
            <w:vAlign w:val="center"/>
          </w:tcPr>
          <w:p w14:paraId="66EA62DB">
            <w:pPr>
              <w:widowControl w:val="0"/>
              <w:shd w:val="clear" w:color="auto" w:fill="auto"/>
              <w:adjustRightInd/>
              <w:snapToGrid/>
              <w:spacing w:line="240" w:lineRule="auto"/>
              <w:jc w:val="center"/>
              <w:rPr>
                <w:rFonts w:hAnsi="宋体"/>
                <w:kern w:val="2"/>
                <w:szCs w:val="21"/>
              </w:rPr>
            </w:pPr>
            <w:r>
              <w:rPr>
                <w:rFonts w:hint="eastAsia" w:hAnsi="宋体"/>
                <w:kern w:val="2"/>
                <w:szCs w:val="21"/>
              </w:rPr>
              <w:t>在老鼠经常出没之地投放鼠药毒饵两次，几种鼠药轮换投放</w:t>
            </w:r>
          </w:p>
        </w:tc>
        <w:tc>
          <w:tcPr>
            <w:tcW w:w="940" w:type="pct"/>
            <w:vMerge w:val="continue"/>
            <w:vAlign w:val="center"/>
          </w:tcPr>
          <w:p w14:paraId="7394C155">
            <w:pPr>
              <w:widowControl w:val="0"/>
              <w:shd w:val="clear" w:color="auto" w:fill="auto"/>
              <w:adjustRightInd/>
              <w:snapToGrid/>
              <w:spacing w:line="240" w:lineRule="auto"/>
              <w:jc w:val="center"/>
              <w:rPr>
                <w:rFonts w:hAnsi="宋体"/>
                <w:kern w:val="2"/>
                <w:szCs w:val="21"/>
              </w:rPr>
            </w:pPr>
          </w:p>
        </w:tc>
      </w:tr>
      <w:tr w14:paraId="5E3BEAF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9" w:type="pct"/>
            <w:vMerge w:val="restart"/>
            <w:vAlign w:val="center"/>
          </w:tcPr>
          <w:p w14:paraId="7236FCB7">
            <w:pPr>
              <w:widowControl w:val="0"/>
              <w:shd w:val="clear" w:color="auto" w:fill="auto"/>
              <w:adjustRightInd/>
              <w:snapToGrid/>
              <w:spacing w:line="240" w:lineRule="auto"/>
              <w:jc w:val="center"/>
              <w:rPr>
                <w:rFonts w:hAnsi="宋体"/>
                <w:kern w:val="2"/>
                <w:szCs w:val="21"/>
              </w:rPr>
            </w:pPr>
            <w:r>
              <w:rPr>
                <w:rFonts w:hint="eastAsia" w:hAnsi="宋体"/>
                <w:kern w:val="2"/>
                <w:szCs w:val="21"/>
              </w:rPr>
              <w:t>5</w:t>
            </w:r>
          </w:p>
        </w:tc>
        <w:tc>
          <w:tcPr>
            <w:tcW w:w="570" w:type="pct"/>
            <w:vMerge w:val="restart"/>
            <w:vAlign w:val="center"/>
          </w:tcPr>
          <w:p w14:paraId="420A3889">
            <w:pPr>
              <w:widowControl w:val="0"/>
              <w:shd w:val="clear" w:color="auto" w:fill="auto"/>
              <w:adjustRightInd/>
              <w:snapToGrid/>
              <w:spacing w:line="240" w:lineRule="auto"/>
              <w:jc w:val="center"/>
              <w:rPr>
                <w:rFonts w:hAnsi="宋体"/>
                <w:kern w:val="2"/>
                <w:szCs w:val="21"/>
              </w:rPr>
            </w:pPr>
            <w:r>
              <w:rPr>
                <w:rFonts w:hint="eastAsia" w:hAnsi="宋体"/>
                <w:kern w:val="2"/>
                <w:szCs w:val="21"/>
              </w:rPr>
              <w:t>垃圾中转站</w:t>
            </w:r>
          </w:p>
        </w:tc>
        <w:tc>
          <w:tcPr>
            <w:tcW w:w="519" w:type="pct"/>
            <w:vAlign w:val="center"/>
          </w:tcPr>
          <w:p w14:paraId="02671314">
            <w:pPr>
              <w:widowControl w:val="0"/>
              <w:shd w:val="clear" w:color="auto" w:fill="auto"/>
              <w:adjustRightInd/>
              <w:snapToGrid/>
              <w:spacing w:line="240" w:lineRule="auto"/>
              <w:jc w:val="center"/>
              <w:rPr>
                <w:rFonts w:hAnsi="宋体"/>
                <w:kern w:val="2"/>
                <w:szCs w:val="21"/>
              </w:rPr>
            </w:pPr>
            <w:r>
              <w:rPr>
                <w:rFonts w:hint="eastAsia" w:hAnsi="宋体"/>
                <w:kern w:val="2"/>
                <w:szCs w:val="21"/>
              </w:rPr>
              <w:t>蟑螂</w:t>
            </w:r>
          </w:p>
        </w:tc>
        <w:tc>
          <w:tcPr>
            <w:tcW w:w="1026" w:type="pct"/>
            <w:vAlign w:val="center"/>
          </w:tcPr>
          <w:p w14:paraId="747A5C1C">
            <w:pPr>
              <w:widowControl w:val="0"/>
              <w:shd w:val="clear" w:color="auto" w:fill="auto"/>
              <w:adjustRightInd/>
              <w:snapToGrid/>
              <w:spacing w:line="240" w:lineRule="auto"/>
              <w:jc w:val="center"/>
              <w:rPr>
                <w:rFonts w:hAnsi="宋体"/>
                <w:kern w:val="2"/>
                <w:szCs w:val="21"/>
              </w:rPr>
            </w:pPr>
            <w:r>
              <w:rPr>
                <w:rFonts w:hint="eastAsia" w:hAnsi="宋体"/>
                <w:kern w:val="2"/>
                <w:szCs w:val="21"/>
              </w:rPr>
              <w:t>药剂交替喷洒到蟑螂藏身的洞穴、缝隙、角落、墙角等处，每周一次</w:t>
            </w:r>
          </w:p>
        </w:tc>
        <w:tc>
          <w:tcPr>
            <w:tcW w:w="1504" w:type="pct"/>
            <w:vAlign w:val="center"/>
          </w:tcPr>
          <w:p w14:paraId="21E41027">
            <w:pPr>
              <w:widowControl w:val="0"/>
              <w:shd w:val="clear" w:color="auto" w:fill="auto"/>
              <w:adjustRightInd/>
              <w:snapToGrid/>
              <w:spacing w:line="240" w:lineRule="auto"/>
              <w:jc w:val="center"/>
              <w:rPr>
                <w:rFonts w:hAnsi="宋体"/>
                <w:kern w:val="2"/>
                <w:szCs w:val="21"/>
              </w:rPr>
            </w:pPr>
          </w:p>
        </w:tc>
        <w:tc>
          <w:tcPr>
            <w:tcW w:w="940" w:type="pct"/>
            <w:vMerge w:val="continue"/>
            <w:vAlign w:val="center"/>
          </w:tcPr>
          <w:p w14:paraId="3B9A5F01">
            <w:pPr>
              <w:widowControl w:val="0"/>
              <w:shd w:val="clear" w:color="auto" w:fill="auto"/>
              <w:adjustRightInd/>
              <w:snapToGrid/>
              <w:spacing w:line="240" w:lineRule="auto"/>
              <w:jc w:val="center"/>
              <w:rPr>
                <w:rFonts w:hAnsi="宋体"/>
                <w:kern w:val="2"/>
                <w:szCs w:val="21"/>
              </w:rPr>
            </w:pPr>
          </w:p>
        </w:tc>
      </w:tr>
      <w:tr w14:paraId="20E7E5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9" w:type="pct"/>
            <w:vMerge w:val="continue"/>
            <w:vAlign w:val="center"/>
          </w:tcPr>
          <w:p w14:paraId="17EDD675">
            <w:pPr>
              <w:widowControl w:val="0"/>
              <w:shd w:val="clear" w:color="auto" w:fill="auto"/>
              <w:adjustRightInd/>
              <w:snapToGrid/>
              <w:spacing w:line="240" w:lineRule="auto"/>
              <w:jc w:val="center"/>
              <w:rPr>
                <w:rFonts w:hAnsi="宋体"/>
                <w:kern w:val="2"/>
                <w:szCs w:val="21"/>
              </w:rPr>
            </w:pPr>
          </w:p>
        </w:tc>
        <w:tc>
          <w:tcPr>
            <w:tcW w:w="570" w:type="pct"/>
            <w:vMerge w:val="continue"/>
            <w:vAlign w:val="center"/>
          </w:tcPr>
          <w:p w14:paraId="0B2F893D">
            <w:pPr>
              <w:widowControl w:val="0"/>
              <w:shd w:val="clear" w:color="auto" w:fill="auto"/>
              <w:adjustRightInd/>
              <w:snapToGrid/>
              <w:spacing w:line="240" w:lineRule="auto"/>
              <w:jc w:val="center"/>
              <w:rPr>
                <w:rFonts w:hAnsi="宋体"/>
                <w:kern w:val="2"/>
                <w:szCs w:val="21"/>
              </w:rPr>
            </w:pPr>
          </w:p>
        </w:tc>
        <w:tc>
          <w:tcPr>
            <w:tcW w:w="519" w:type="pct"/>
            <w:vAlign w:val="center"/>
          </w:tcPr>
          <w:p w14:paraId="6800EF51">
            <w:pPr>
              <w:widowControl w:val="0"/>
              <w:shd w:val="clear" w:color="auto" w:fill="auto"/>
              <w:adjustRightInd/>
              <w:snapToGrid/>
              <w:spacing w:line="240" w:lineRule="auto"/>
              <w:jc w:val="center"/>
              <w:rPr>
                <w:rFonts w:hAnsi="宋体"/>
                <w:kern w:val="2"/>
                <w:szCs w:val="21"/>
              </w:rPr>
            </w:pPr>
            <w:r>
              <w:rPr>
                <w:rFonts w:hint="eastAsia" w:hAnsi="宋体"/>
                <w:kern w:val="2"/>
                <w:szCs w:val="21"/>
              </w:rPr>
              <w:t>蚊、蝇</w:t>
            </w:r>
          </w:p>
        </w:tc>
        <w:tc>
          <w:tcPr>
            <w:tcW w:w="1026" w:type="pct"/>
            <w:vAlign w:val="center"/>
          </w:tcPr>
          <w:p w14:paraId="6B9A62D3">
            <w:pPr>
              <w:widowControl w:val="0"/>
              <w:shd w:val="clear" w:color="auto" w:fill="auto"/>
              <w:adjustRightInd/>
              <w:snapToGrid/>
              <w:spacing w:line="240" w:lineRule="auto"/>
              <w:jc w:val="center"/>
              <w:rPr>
                <w:rFonts w:hAnsi="宋体"/>
                <w:kern w:val="2"/>
                <w:szCs w:val="21"/>
              </w:rPr>
            </w:pPr>
            <w:r>
              <w:rPr>
                <w:rFonts w:hint="eastAsia" w:hAnsi="宋体"/>
                <w:kern w:val="2"/>
                <w:szCs w:val="21"/>
              </w:rPr>
              <w:t>用药剂喷洒一次</w:t>
            </w:r>
          </w:p>
        </w:tc>
        <w:tc>
          <w:tcPr>
            <w:tcW w:w="1504" w:type="pct"/>
            <w:vAlign w:val="center"/>
          </w:tcPr>
          <w:p w14:paraId="5366F9CF">
            <w:pPr>
              <w:widowControl w:val="0"/>
              <w:shd w:val="clear" w:color="auto" w:fill="auto"/>
              <w:adjustRightInd/>
              <w:snapToGrid/>
              <w:spacing w:line="240" w:lineRule="auto"/>
              <w:jc w:val="center"/>
              <w:rPr>
                <w:rFonts w:hAnsi="宋体"/>
                <w:kern w:val="2"/>
                <w:szCs w:val="21"/>
              </w:rPr>
            </w:pPr>
          </w:p>
        </w:tc>
        <w:tc>
          <w:tcPr>
            <w:tcW w:w="940" w:type="pct"/>
            <w:vMerge w:val="continue"/>
            <w:vAlign w:val="center"/>
          </w:tcPr>
          <w:p w14:paraId="235E9587">
            <w:pPr>
              <w:widowControl w:val="0"/>
              <w:shd w:val="clear" w:color="auto" w:fill="auto"/>
              <w:adjustRightInd/>
              <w:snapToGrid/>
              <w:spacing w:line="240" w:lineRule="auto"/>
              <w:jc w:val="center"/>
              <w:rPr>
                <w:rFonts w:hAnsi="宋体"/>
                <w:kern w:val="2"/>
                <w:szCs w:val="21"/>
              </w:rPr>
            </w:pPr>
          </w:p>
        </w:tc>
      </w:tr>
      <w:tr w14:paraId="7C8E3C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9" w:type="pct"/>
            <w:vMerge w:val="continue"/>
            <w:vAlign w:val="center"/>
          </w:tcPr>
          <w:p w14:paraId="06CF4627">
            <w:pPr>
              <w:widowControl w:val="0"/>
              <w:shd w:val="clear" w:color="auto" w:fill="auto"/>
              <w:adjustRightInd/>
              <w:snapToGrid/>
              <w:spacing w:line="240" w:lineRule="auto"/>
              <w:jc w:val="center"/>
              <w:rPr>
                <w:rFonts w:hAnsi="宋体"/>
                <w:kern w:val="2"/>
                <w:szCs w:val="21"/>
              </w:rPr>
            </w:pPr>
          </w:p>
        </w:tc>
        <w:tc>
          <w:tcPr>
            <w:tcW w:w="570" w:type="pct"/>
            <w:vMerge w:val="continue"/>
            <w:vAlign w:val="center"/>
          </w:tcPr>
          <w:p w14:paraId="4D8A18FC">
            <w:pPr>
              <w:widowControl w:val="0"/>
              <w:shd w:val="clear" w:color="auto" w:fill="auto"/>
              <w:adjustRightInd/>
              <w:snapToGrid/>
              <w:spacing w:line="240" w:lineRule="auto"/>
              <w:jc w:val="center"/>
              <w:rPr>
                <w:rFonts w:hAnsi="宋体"/>
                <w:kern w:val="2"/>
                <w:szCs w:val="21"/>
              </w:rPr>
            </w:pPr>
          </w:p>
        </w:tc>
        <w:tc>
          <w:tcPr>
            <w:tcW w:w="519" w:type="pct"/>
            <w:vAlign w:val="center"/>
          </w:tcPr>
          <w:p w14:paraId="472CE22C">
            <w:pPr>
              <w:widowControl w:val="0"/>
              <w:shd w:val="clear" w:color="auto" w:fill="auto"/>
              <w:adjustRightInd/>
              <w:snapToGrid/>
              <w:spacing w:line="240" w:lineRule="auto"/>
              <w:jc w:val="center"/>
              <w:rPr>
                <w:rFonts w:hAnsi="宋体"/>
                <w:kern w:val="2"/>
                <w:szCs w:val="21"/>
              </w:rPr>
            </w:pPr>
            <w:r>
              <w:rPr>
                <w:rFonts w:hint="eastAsia" w:hAnsi="宋体"/>
                <w:kern w:val="2"/>
                <w:szCs w:val="21"/>
              </w:rPr>
              <w:t>老鼠</w:t>
            </w:r>
          </w:p>
        </w:tc>
        <w:tc>
          <w:tcPr>
            <w:tcW w:w="1026" w:type="pct"/>
            <w:vAlign w:val="center"/>
          </w:tcPr>
          <w:p w14:paraId="14EEC702">
            <w:pPr>
              <w:widowControl w:val="0"/>
              <w:shd w:val="clear" w:color="auto" w:fill="auto"/>
              <w:adjustRightInd/>
              <w:snapToGrid/>
              <w:spacing w:line="240" w:lineRule="auto"/>
              <w:jc w:val="center"/>
              <w:rPr>
                <w:rFonts w:hAnsi="宋体"/>
                <w:kern w:val="2"/>
                <w:szCs w:val="21"/>
              </w:rPr>
            </w:pPr>
          </w:p>
        </w:tc>
        <w:tc>
          <w:tcPr>
            <w:tcW w:w="1504" w:type="pct"/>
            <w:vAlign w:val="center"/>
          </w:tcPr>
          <w:p w14:paraId="50C00FAE">
            <w:pPr>
              <w:widowControl w:val="0"/>
              <w:shd w:val="clear" w:color="auto" w:fill="auto"/>
              <w:adjustRightInd/>
              <w:snapToGrid/>
              <w:spacing w:line="240" w:lineRule="auto"/>
              <w:jc w:val="center"/>
              <w:rPr>
                <w:rFonts w:hAnsi="宋体"/>
                <w:kern w:val="2"/>
                <w:szCs w:val="21"/>
              </w:rPr>
            </w:pPr>
            <w:r>
              <w:rPr>
                <w:rFonts w:hint="eastAsia" w:hAnsi="宋体"/>
                <w:kern w:val="2"/>
                <w:szCs w:val="21"/>
              </w:rPr>
              <w:t>投放药物两次</w:t>
            </w:r>
          </w:p>
        </w:tc>
        <w:tc>
          <w:tcPr>
            <w:tcW w:w="940" w:type="pct"/>
            <w:vMerge w:val="continue"/>
            <w:vAlign w:val="center"/>
          </w:tcPr>
          <w:p w14:paraId="2A3BF866">
            <w:pPr>
              <w:widowControl w:val="0"/>
              <w:shd w:val="clear" w:color="auto" w:fill="auto"/>
              <w:adjustRightInd/>
              <w:snapToGrid/>
              <w:spacing w:line="240" w:lineRule="auto"/>
              <w:jc w:val="center"/>
              <w:rPr>
                <w:rFonts w:hAnsi="宋体"/>
                <w:kern w:val="2"/>
                <w:szCs w:val="21"/>
              </w:rPr>
            </w:pPr>
          </w:p>
        </w:tc>
      </w:tr>
      <w:tr w14:paraId="0BC3CE9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9" w:type="pct"/>
            <w:vAlign w:val="center"/>
          </w:tcPr>
          <w:p w14:paraId="7FD2A297">
            <w:pPr>
              <w:widowControl w:val="0"/>
              <w:shd w:val="clear" w:color="auto" w:fill="auto"/>
              <w:adjustRightInd/>
              <w:snapToGrid/>
              <w:spacing w:line="240" w:lineRule="auto"/>
              <w:jc w:val="center"/>
              <w:rPr>
                <w:rFonts w:hAnsi="宋体"/>
                <w:kern w:val="2"/>
                <w:szCs w:val="21"/>
              </w:rPr>
            </w:pPr>
            <w:r>
              <w:rPr>
                <w:rFonts w:hint="eastAsia" w:hAnsi="宋体"/>
                <w:kern w:val="2"/>
                <w:szCs w:val="21"/>
              </w:rPr>
              <w:t>6</w:t>
            </w:r>
          </w:p>
        </w:tc>
        <w:tc>
          <w:tcPr>
            <w:tcW w:w="570" w:type="pct"/>
            <w:vAlign w:val="center"/>
          </w:tcPr>
          <w:p w14:paraId="43E5AE27">
            <w:pPr>
              <w:widowControl w:val="0"/>
              <w:shd w:val="clear" w:color="auto" w:fill="auto"/>
              <w:adjustRightInd/>
              <w:snapToGrid/>
              <w:spacing w:line="240" w:lineRule="auto"/>
              <w:jc w:val="center"/>
              <w:rPr>
                <w:rFonts w:hAnsi="宋体"/>
                <w:kern w:val="2"/>
                <w:szCs w:val="21"/>
              </w:rPr>
            </w:pPr>
            <w:r>
              <w:rPr>
                <w:rFonts w:hint="eastAsia" w:hAnsi="宋体"/>
                <w:kern w:val="2"/>
                <w:szCs w:val="21"/>
              </w:rPr>
              <w:t>建筑物内外</w:t>
            </w:r>
          </w:p>
        </w:tc>
        <w:tc>
          <w:tcPr>
            <w:tcW w:w="519" w:type="pct"/>
            <w:vAlign w:val="center"/>
          </w:tcPr>
          <w:p w14:paraId="74DC3856">
            <w:pPr>
              <w:widowControl w:val="0"/>
              <w:shd w:val="clear" w:color="auto" w:fill="auto"/>
              <w:adjustRightInd/>
              <w:snapToGrid/>
              <w:spacing w:line="240" w:lineRule="auto"/>
              <w:jc w:val="center"/>
              <w:rPr>
                <w:rFonts w:hAnsi="宋体"/>
                <w:kern w:val="2"/>
                <w:szCs w:val="21"/>
              </w:rPr>
            </w:pPr>
            <w:r>
              <w:rPr>
                <w:rFonts w:hint="eastAsia" w:hAnsi="宋体"/>
                <w:kern w:val="2"/>
                <w:szCs w:val="21"/>
              </w:rPr>
              <w:t>白蚁</w:t>
            </w:r>
          </w:p>
        </w:tc>
        <w:tc>
          <w:tcPr>
            <w:tcW w:w="1026" w:type="pct"/>
            <w:vAlign w:val="center"/>
          </w:tcPr>
          <w:p w14:paraId="4C6E3572">
            <w:pPr>
              <w:widowControl w:val="0"/>
              <w:shd w:val="clear" w:color="auto" w:fill="auto"/>
              <w:adjustRightInd/>
              <w:snapToGrid/>
              <w:spacing w:line="240" w:lineRule="auto"/>
              <w:jc w:val="center"/>
              <w:rPr>
                <w:rFonts w:hAnsi="宋体"/>
                <w:kern w:val="2"/>
                <w:szCs w:val="21"/>
              </w:rPr>
            </w:pPr>
          </w:p>
        </w:tc>
        <w:tc>
          <w:tcPr>
            <w:tcW w:w="1504" w:type="pct"/>
            <w:vAlign w:val="center"/>
          </w:tcPr>
          <w:p w14:paraId="7DB0005A">
            <w:pPr>
              <w:widowControl w:val="0"/>
              <w:shd w:val="clear" w:color="auto" w:fill="auto"/>
              <w:adjustRightInd/>
              <w:snapToGrid/>
              <w:spacing w:line="240" w:lineRule="auto"/>
              <w:jc w:val="center"/>
              <w:rPr>
                <w:rFonts w:hAnsi="宋体"/>
                <w:kern w:val="2"/>
                <w:szCs w:val="21"/>
              </w:rPr>
            </w:pPr>
            <w:r>
              <w:rPr>
                <w:rFonts w:hint="eastAsia" w:hAnsi="宋体"/>
                <w:kern w:val="2"/>
                <w:szCs w:val="21"/>
              </w:rPr>
              <w:t>利用其生活习性和活动规律找巢，或利用药物借助白蚁习性，在群体内进行扩散，最后使全巢白蚁死亡，具体做法：用药物进行诱杀、毒杀一次</w:t>
            </w:r>
          </w:p>
        </w:tc>
        <w:tc>
          <w:tcPr>
            <w:tcW w:w="940" w:type="pct"/>
            <w:vMerge w:val="continue"/>
            <w:vAlign w:val="center"/>
          </w:tcPr>
          <w:p w14:paraId="73FD7B14">
            <w:pPr>
              <w:widowControl w:val="0"/>
              <w:shd w:val="clear" w:color="auto" w:fill="auto"/>
              <w:adjustRightInd/>
              <w:snapToGrid/>
              <w:spacing w:line="240" w:lineRule="auto"/>
              <w:jc w:val="center"/>
              <w:rPr>
                <w:rFonts w:hAnsi="宋体"/>
                <w:kern w:val="2"/>
                <w:szCs w:val="21"/>
              </w:rPr>
            </w:pPr>
          </w:p>
        </w:tc>
      </w:tr>
      <w:tr w14:paraId="086B57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9" w:type="pct"/>
            <w:vMerge w:val="restart"/>
            <w:vAlign w:val="center"/>
          </w:tcPr>
          <w:p w14:paraId="0011E278">
            <w:pPr>
              <w:widowControl w:val="0"/>
              <w:shd w:val="clear" w:color="auto" w:fill="auto"/>
              <w:adjustRightInd/>
              <w:snapToGrid/>
              <w:spacing w:line="240" w:lineRule="auto"/>
              <w:jc w:val="center"/>
              <w:rPr>
                <w:rFonts w:hAnsi="宋体"/>
                <w:kern w:val="2"/>
                <w:szCs w:val="21"/>
              </w:rPr>
            </w:pPr>
            <w:r>
              <w:rPr>
                <w:rFonts w:hint="eastAsia" w:hAnsi="宋体"/>
                <w:kern w:val="2"/>
                <w:szCs w:val="21"/>
              </w:rPr>
              <w:t>7</w:t>
            </w:r>
          </w:p>
        </w:tc>
        <w:tc>
          <w:tcPr>
            <w:tcW w:w="570" w:type="pct"/>
            <w:vMerge w:val="restart"/>
            <w:vAlign w:val="center"/>
          </w:tcPr>
          <w:p w14:paraId="0D79D2E5">
            <w:pPr>
              <w:widowControl w:val="0"/>
              <w:shd w:val="clear" w:color="auto" w:fill="auto"/>
              <w:adjustRightInd/>
              <w:snapToGrid/>
              <w:spacing w:line="240" w:lineRule="auto"/>
              <w:jc w:val="center"/>
              <w:rPr>
                <w:rFonts w:hAnsi="宋体"/>
                <w:kern w:val="2"/>
                <w:szCs w:val="21"/>
              </w:rPr>
            </w:pPr>
            <w:r>
              <w:rPr>
                <w:rFonts w:hint="eastAsia" w:hAnsi="宋体"/>
                <w:kern w:val="2"/>
                <w:szCs w:val="21"/>
              </w:rPr>
              <w:t>食堂</w:t>
            </w:r>
          </w:p>
        </w:tc>
        <w:tc>
          <w:tcPr>
            <w:tcW w:w="519" w:type="pct"/>
            <w:vAlign w:val="center"/>
          </w:tcPr>
          <w:p w14:paraId="7808AFE0">
            <w:pPr>
              <w:widowControl w:val="0"/>
              <w:shd w:val="clear" w:color="auto" w:fill="auto"/>
              <w:adjustRightInd/>
              <w:snapToGrid/>
              <w:spacing w:line="240" w:lineRule="auto"/>
              <w:jc w:val="center"/>
              <w:rPr>
                <w:rFonts w:hAnsi="宋体"/>
                <w:kern w:val="2"/>
                <w:szCs w:val="21"/>
              </w:rPr>
            </w:pPr>
            <w:r>
              <w:rPr>
                <w:rFonts w:hint="eastAsia" w:hAnsi="宋体"/>
                <w:kern w:val="2"/>
                <w:szCs w:val="21"/>
              </w:rPr>
              <w:t>蟑螂蚊、蝇</w:t>
            </w:r>
          </w:p>
        </w:tc>
        <w:tc>
          <w:tcPr>
            <w:tcW w:w="1026" w:type="pct"/>
            <w:vAlign w:val="center"/>
          </w:tcPr>
          <w:p w14:paraId="4788F5F9">
            <w:pPr>
              <w:widowControl w:val="0"/>
              <w:shd w:val="clear" w:color="auto" w:fill="auto"/>
              <w:adjustRightInd/>
              <w:snapToGrid/>
              <w:spacing w:line="240" w:lineRule="auto"/>
              <w:jc w:val="center"/>
              <w:rPr>
                <w:rFonts w:hAnsi="宋体"/>
                <w:kern w:val="2"/>
                <w:szCs w:val="21"/>
              </w:rPr>
            </w:pPr>
            <w:r>
              <w:rPr>
                <w:rFonts w:hint="eastAsia" w:hAnsi="宋体"/>
                <w:kern w:val="2"/>
                <w:szCs w:val="21"/>
              </w:rPr>
              <w:t>每周消杀一次（星期五晚消杀、星期日下午洗地）</w:t>
            </w:r>
          </w:p>
        </w:tc>
        <w:tc>
          <w:tcPr>
            <w:tcW w:w="1504" w:type="pct"/>
            <w:vAlign w:val="center"/>
          </w:tcPr>
          <w:p w14:paraId="759D61B9">
            <w:pPr>
              <w:widowControl w:val="0"/>
              <w:shd w:val="clear" w:color="auto" w:fill="auto"/>
              <w:adjustRightInd/>
              <w:snapToGrid/>
              <w:spacing w:line="240" w:lineRule="auto"/>
              <w:jc w:val="center"/>
              <w:rPr>
                <w:rFonts w:hAnsi="宋体"/>
                <w:kern w:val="2"/>
                <w:szCs w:val="21"/>
              </w:rPr>
            </w:pPr>
          </w:p>
        </w:tc>
        <w:tc>
          <w:tcPr>
            <w:tcW w:w="940" w:type="pct"/>
            <w:vMerge w:val="restart"/>
            <w:vAlign w:val="center"/>
          </w:tcPr>
          <w:p w14:paraId="6DFC1516">
            <w:pPr>
              <w:widowControl w:val="0"/>
              <w:shd w:val="clear" w:color="auto" w:fill="auto"/>
              <w:adjustRightInd/>
              <w:snapToGrid/>
              <w:spacing w:line="240" w:lineRule="auto"/>
              <w:jc w:val="center"/>
              <w:rPr>
                <w:rFonts w:hAnsi="宋体"/>
                <w:kern w:val="2"/>
                <w:szCs w:val="21"/>
              </w:rPr>
            </w:pPr>
          </w:p>
        </w:tc>
      </w:tr>
      <w:tr w14:paraId="42E334E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439" w:type="pct"/>
            <w:vMerge w:val="continue"/>
            <w:vAlign w:val="center"/>
          </w:tcPr>
          <w:p w14:paraId="554FDD67">
            <w:pPr>
              <w:widowControl w:val="0"/>
              <w:shd w:val="clear" w:color="auto" w:fill="auto"/>
              <w:adjustRightInd/>
              <w:snapToGrid/>
              <w:spacing w:line="240" w:lineRule="auto"/>
              <w:jc w:val="center"/>
              <w:rPr>
                <w:rFonts w:hAnsi="宋体"/>
                <w:kern w:val="2"/>
                <w:szCs w:val="21"/>
              </w:rPr>
            </w:pPr>
          </w:p>
        </w:tc>
        <w:tc>
          <w:tcPr>
            <w:tcW w:w="570" w:type="pct"/>
            <w:vMerge w:val="continue"/>
            <w:vAlign w:val="center"/>
          </w:tcPr>
          <w:p w14:paraId="1B2A16EB">
            <w:pPr>
              <w:widowControl w:val="0"/>
              <w:shd w:val="clear" w:color="auto" w:fill="auto"/>
              <w:adjustRightInd/>
              <w:snapToGrid/>
              <w:spacing w:line="240" w:lineRule="auto"/>
              <w:jc w:val="center"/>
              <w:rPr>
                <w:rFonts w:hAnsi="宋体"/>
                <w:kern w:val="2"/>
                <w:szCs w:val="21"/>
              </w:rPr>
            </w:pPr>
          </w:p>
        </w:tc>
        <w:tc>
          <w:tcPr>
            <w:tcW w:w="519" w:type="pct"/>
            <w:vAlign w:val="center"/>
          </w:tcPr>
          <w:p w14:paraId="16D8742A">
            <w:pPr>
              <w:widowControl w:val="0"/>
              <w:shd w:val="clear" w:color="auto" w:fill="auto"/>
              <w:adjustRightInd/>
              <w:snapToGrid/>
              <w:spacing w:line="240" w:lineRule="auto"/>
              <w:jc w:val="center"/>
              <w:rPr>
                <w:rFonts w:hAnsi="宋体"/>
                <w:kern w:val="2"/>
                <w:szCs w:val="21"/>
              </w:rPr>
            </w:pPr>
            <w:r>
              <w:rPr>
                <w:rFonts w:hint="eastAsia" w:hAnsi="宋体"/>
                <w:kern w:val="2"/>
                <w:szCs w:val="21"/>
              </w:rPr>
              <w:t>老鼠</w:t>
            </w:r>
          </w:p>
        </w:tc>
        <w:tc>
          <w:tcPr>
            <w:tcW w:w="1026" w:type="pct"/>
            <w:vAlign w:val="center"/>
          </w:tcPr>
          <w:p w14:paraId="31BD3B70">
            <w:pPr>
              <w:widowControl w:val="0"/>
              <w:shd w:val="clear" w:color="auto" w:fill="auto"/>
              <w:adjustRightInd/>
              <w:snapToGrid/>
              <w:spacing w:line="240" w:lineRule="auto"/>
              <w:jc w:val="center"/>
              <w:rPr>
                <w:rFonts w:hAnsi="宋体"/>
                <w:kern w:val="2"/>
                <w:szCs w:val="21"/>
              </w:rPr>
            </w:pPr>
            <w:r>
              <w:rPr>
                <w:rFonts w:hint="eastAsia" w:hAnsi="宋体"/>
                <w:kern w:val="2"/>
                <w:szCs w:val="21"/>
              </w:rPr>
              <w:t>每月灭鼠一次</w:t>
            </w:r>
          </w:p>
        </w:tc>
        <w:tc>
          <w:tcPr>
            <w:tcW w:w="1504" w:type="pct"/>
            <w:vAlign w:val="center"/>
          </w:tcPr>
          <w:p w14:paraId="662DDD9C">
            <w:pPr>
              <w:widowControl w:val="0"/>
              <w:shd w:val="clear" w:color="auto" w:fill="auto"/>
              <w:adjustRightInd/>
              <w:snapToGrid/>
              <w:spacing w:line="240" w:lineRule="auto"/>
              <w:jc w:val="center"/>
              <w:rPr>
                <w:rFonts w:hAnsi="宋体"/>
                <w:kern w:val="2"/>
                <w:szCs w:val="21"/>
              </w:rPr>
            </w:pPr>
          </w:p>
        </w:tc>
        <w:tc>
          <w:tcPr>
            <w:tcW w:w="940" w:type="pct"/>
            <w:vMerge w:val="continue"/>
            <w:vAlign w:val="center"/>
          </w:tcPr>
          <w:p w14:paraId="3977722E">
            <w:pPr>
              <w:widowControl w:val="0"/>
              <w:shd w:val="clear" w:color="auto" w:fill="auto"/>
              <w:adjustRightInd/>
              <w:snapToGrid/>
              <w:spacing w:line="240" w:lineRule="auto"/>
              <w:jc w:val="center"/>
              <w:rPr>
                <w:rFonts w:hAnsi="宋体"/>
                <w:kern w:val="2"/>
                <w:szCs w:val="21"/>
              </w:rPr>
            </w:pPr>
          </w:p>
        </w:tc>
      </w:tr>
    </w:tbl>
    <w:p w14:paraId="3E2F44BB">
      <w:pPr>
        <w:widowControl w:val="0"/>
        <w:shd w:val="clear" w:color="auto" w:fill="auto"/>
        <w:adjustRightInd/>
        <w:snapToGrid/>
        <w:spacing w:line="240" w:lineRule="auto"/>
        <w:rPr>
          <w:rFonts w:hAnsi="宋体"/>
          <w:kern w:val="2"/>
          <w:szCs w:val="21"/>
        </w:rPr>
      </w:pPr>
    </w:p>
    <w:p w14:paraId="18E9E91C">
      <w:pPr>
        <w:widowControl w:val="0"/>
        <w:adjustRightInd/>
        <w:snapToGrid/>
        <w:spacing w:line="240" w:lineRule="auto"/>
        <w:ind w:firstLine="420" w:firstLineChars="200"/>
        <w:rPr>
          <w:rFonts w:hAnsi="宋体"/>
          <w:kern w:val="2"/>
          <w:szCs w:val="21"/>
        </w:rPr>
      </w:pPr>
      <w:r>
        <w:rPr>
          <w:rFonts w:hint="eastAsia" w:hAnsi="宋体"/>
          <w:kern w:val="2"/>
          <w:szCs w:val="21"/>
        </w:rPr>
        <w:t>环境卫生管理标准：</w:t>
      </w:r>
    </w:p>
    <w:tbl>
      <w:tblPr>
        <w:tblStyle w:val="85"/>
        <w:tblW w:w="5407"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15" w:type="dxa"/>
          <w:left w:w="15" w:type="dxa"/>
          <w:bottom w:w="15" w:type="dxa"/>
          <w:right w:w="15" w:type="dxa"/>
        </w:tblCellMar>
      </w:tblPr>
      <w:tblGrid>
        <w:gridCol w:w="1043"/>
        <w:gridCol w:w="1601"/>
        <w:gridCol w:w="1344"/>
        <w:gridCol w:w="1642"/>
        <w:gridCol w:w="1181"/>
        <w:gridCol w:w="3337"/>
      </w:tblGrid>
      <w:tr w14:paraId="160DBF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420" w:hRule="atLeast"/>
          <w:jc w:val="center"/>
        </w:trPr>
        <w:tc>
          <w:tcPr>
            <w:tcW w:w="514" w:type="pct"/>
            <w:vMerge w:val="restart"/>
            <w:vAlign w:val="center"/>
          </w:tcPr>
          <w:p w14:paraId="5E7BD252">
            <w:pPr>
              <w:widowControl w:val="0"/>
              <w:shd w:val="clear" w:color="auto" w:fill="auto"/>
              <w:adjustRightInd/>
              <w:snapToGrid/>
              <w:spacing w:line="240" w:lineRule="auto"/>
              <w:jc w:val="center"/>
              <w:rPr>
                <w:rFonts w:hAnsi="宋体"/>
                <w:kern w:val="2"/>
                <w:szCs w:val="21"/>
              </w:rPr>
            </w:pPr>
            <w:r>
              <w:rPr>
                <w:rFonts w:hint="eastAsia" w:hAnsi="宋体"/>
                <w:kern w:val="2"/>
                <w:szCs w:val="21"/>
              </w:rPr>
              <w:t>区域</w:t>
            </w:r>
          </w:p>
        </w:tc>
        <w:tc>
          <w:tcPr>
            <w:tcW w:w="789" w:type="pct"/>
            <w:vMerge w:val="restart"/>
            <w:vAlign w:val="center"/>
          </w:tcPr>
          <w:p w14:paraId="3CF387BC">
            <w:pPr>
              <w:widowControl w:val="0"/>
              <w:shd w:val="clear" w:color="auto" w:fill="auto"/>
              <w:adjustRightInd/>
              <w:snapToGrid/>
              <w:spacing w:line="240" w:lineRule="auto"/>
              <w:jc w:val="center"/>
              <w:rPr>
                <w:rFonts w:hAnsi="宋体"/>
                <w:kern w:val="2"/>
                <w:szCs w:val="21"/>
              </w:rPr>
            </w:pPr>
            <w:r>
              <w:rPr>
                <w:rFonts w:hint="eastAsia" w:hAnsi="宋体"/>
                <w:kern w:val="2"/>
                <w:szCs w:val="21"/>
              </w:rPr>
              <w:t>清洁项目</w:t>
            </w:r>
          </w:p>
        </w:tc>
        <w:tc>
          <w:tcPr>
            <w:tcW w:w="2053" w:type="pct"/>
            <w:gridSpan w:val="3"/>
            <w:vAlign w:val="center"/>
          </w:tcPr>
          <w:p w14:paraId="66E7FB57">
            <w:pPr>
              <w:widowControl w:val="0"/>
              <w:shd w:val="clear" w:color="auto" w:fill="auto"/>
              <w:adjustRightInd/>
              <w:snapToGrid/>
              <w:spacing w:line="240" w:lineRule="auto"/>
              <w:jc w:val="center"/>
              <w:rPr>
                <w:rFonts w:hAnsi="宋体"/>
                <w:kern w:val="2"/>
                <w:szCs w:val="21"/>
              </w:rPr>
            </w:pPr>
            <w:r>
              <w:rPr>
                <w:rFonts w:hint="eastAsia" w:hAnsi="宋体"/>
                <w:kern w:val="2"/>
                <w:szCs w:val="21"/>
              </w:rPr>
              <w:t>清洁工作内容</w:t>
            </w:r>
          </w:p>
        </w:tc>
        <w:tc>
          <w:tcPr>
            <w:tcW w:w="1642" w:type="pct"/>
            <w:vMerge w:val="restart"/>
            <w:vAlign w:val="center"/>
          </w:tcPr>
          <w:p w14:paraId="026E8144">
            <w:pPr>
              <w:widowControl w:val="0"/>
              <w:shd w:val="clear" w:color="auto" w:fill="auto"/>
              <w:adjustRightInd/>
              <w:snapToGrid/>
              <w:spacing w:line="240" w:lineRule="auto"/>
              <w:jc w:val="center"/>
              <w:rPr>
                <w:rFonts w:hAnsi="宋体"/>
                <w:kern w:val="2"/>
                <w:szCs w:val="21"/>
              </w:rPr>
            </w:pPr>
            <w:r>
              <w:rPr>
                <w:rFonts w:hint="eastAsia" w:hAnsi="宋体"/>
                <w:kern w:val="2"/>
                <w:szCs w:val="21"/>
              </w:rPr>
              <w:t>清洁标准</w:t>
            </w:r>
          </w:p>
        </w:tc>
      </w:tr>
      <w:tr w14:paraId="44907C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656" w:hRule="atLeast"/>
          <w:jc w:val="center"/>
        </w:trPr>
        <w:tc>
          <w:tcPr>
            <w:tcW w:w="514" w:type="pct"/>
            <w:vMerge w:val="continue"/>
            <w:vAlign w:val="center"/>
          </w:tcPr>
          <w:p w14:paraId="237146D1">
            <w:pPr>
              <w:widowControl w:val="0"/>
              <w:shd w:val="clear" w:color="auto" w:fill="auto"/>
              <w:adjustRightInd/>
              <w:snapToGrid/>
              <w:spacing w:line="240" w:lineRule="auto"/>
              <w:jc w:val="center"/>
              <w:rPr>
                <w:rFonts w:hAnsi="宋体"/>
                <w:kern w:val="2"/>
                <w:szCs w:val="21"/>
              </w:rPr>
            </w:pPr>
          </w:p>
        </w:tc>
        <w:tc>
          <w:tcPr>
            <w:tcW w:w="789" w:type="pct"/>
            <w:vMerge w:val="continue"/>
            <w:vAlign w:val="center"/>
          </w:tcPr>
          <w:p w14:paraId="4FA1CC27">
            <w:pPr>
              <w:widowControl w:val="0"/>
              <w:shd w:val="clear" w:color="auto" w:fill="auto"/>
              <w:adjustRightInd/>
              <w:snapToGrid/>
              <w:spacing w:line="240" w:lineRule="auto"/>
              <w:jc w:val="center"/>
              <w:rPr>
                <w:rFonts w:hAnsi="宋体"/>
                <w:kern w:val="2"/>
                <w:szCs w:val="21"/>
              </w:rPr>
            </w:pPr>
          </w:p>
        </w:tc>
        <w:tc>
          <w:tcPr>
            <w:tcW w:w="662" w:type="pct"/>
            <w:vAlign w:val="center"/>
          </w:tcPr>
          <w:p w14:paraId="4B38C28D">
            <w:pPr>
              <w:widowControl w:val="0"/>
              <w:shd w:val="clear" w:color="auto" w:fill="auto"/>
              <w:adjustRightInd/>
              <w:snapToGrid/>
              <w:spacing w:line="240" w:lineRule="auto"/>
              <w:jc w:val="center"/>
              <w:rPr>
                <w:rFonts w:hAnsi="宋体"/>
                <w:kern w:val="2"/>
                <w:szCs w:val="21"/>
              </w:rPr>
            </w:pPr>
            <w:r>
              <w:rPr>
                <w:rFonts w:hint="eastAsia" w:hAnsi="宋体"/>
                <w:kern w:val="2"/>
                <w:szCs w:val="21"/>
              </w:rPr>
              <w:t>每天</w:t>
            </w:r>
          </w:p>
        </w:tc>
        <w:tc>
          <w:tcPr>
            <w:tcW w:w="809" w:type="pct"/>
            <w:vAlign w:val="center"/>
          </w:tcPr>
          <w:p w14:paraId="5ABDD4C0">
            <w:pPr>
              <w:widowControl w:val="0"/>
              <w:shd w:val="clear" w:color="auto" w:fill="auto"/>
              <w:adjustRightInd/>
              <w:snapToGrid/>
              <w:spacing w:line="240" w:lineRule="auto"/>
              <w:jc w:val="center"/>
              <w:rPr>
                <w:rFonts w:hAnsi="宋体"/>
                <w:kern w:val="2"/>
                <w:szCs w:val="21"/>
              </w:rPr>
            </w:pPr>
            <w:r>
              <w:rPr>
                <w:rFonts w:hint="eastAsia" w:hAnsi="宋体"/>
                <w:kern w:val="2"/>
                <w:szCs w:val="21"/>
              </w:rPr>
              <w:t>每周</w:t>
            </w:r>
          </w:p>
        </w:tc>
        <w:tc>
          <w:tcPr>
            <w:tcW w:w="581" w:type="pct"/>
            <w:vAlign w:val="center"/>
          </w:tcPr>
          <w:p w14:paraId="48609084">
            <w:pPr>
              <w:widowControl w:val="0"/>
              <w:shd w:val="clear" w:color="auto" w:fill="auto"/>
              <w:adjustRightInd/>
              <w:snapToGrid/>
              <w:spacing w:line="240" w:lineRule="auto"/>
              <w:jc w:val="center"/>
              <w:rPr>
                <w:rFonts w:hAnsi="宋体"/>
                <w:kern w:val="2"/>
                <w:szCs w:val="21"/>
              </w:rPr>
            </w:pPr>
            <w:r>
              <w:rPr>
                <w:rFonts w:hint="eastAsia" w:hAnsi="宋体"/>
                <w:kern w:val="2"/>
                <w:szCs w:val="21"/>
              </w:rPr>
              <w:t>每月</w:t>
            </w:r>
          </w:p>
        </w:tc>
        <w:tc>
          <w:tcPr>
            <w:tcW w:w="1642" w:type="pct"/>
            <w:vMerge w:val="continue"/>
            <w:vAlign w:val="center"/>
          </w:tcPr>
          <w:p w14:paraId="6E9B4D8F">
            <w:pPr>
              <w:widowControl w:val="0"/>
              <w:shd w:val="clear" w:color="auto" w:fill="auto"/>
              <w:adjustRightInd/>
              <w:snapToGrid/>
              <w:spacing w:line="240" w:lineRule="auto"/>
              <w:jc w:val="center"/>
              <w:rPr>
                <w:rFonts w:hAnsi="宋体"/>
                <w:kern w:val="2"/>
                <w:szCs w:val="21"/>
              </w:rPr>
            </w:pPr>
          </w:p>
        </w:tc>
      </w:tr>
      <w:tr w14:paraId="596491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67" w:hRule="atLeast"/>
          <w:jc w:val="center"/>
        </w:trPr>
        <w:tc>
          <w:tcPr>
            <w:tcW w:w="514" w:type="pct"/>
            <w:vMerge w:val="restart"/>
            <w:vAlign w:val="center"/>
          </w:tcPr>
          <w:p w14:paraId="1652BFAB">
            <w:pPr>
              <w:widowControl w:val="0"/>
              <w:shd w:val="clear" w:color="auto" w:fill="auto"/>
              <w:adjustRightInd/>
              <w:snapToGrid/>
              <w:spacing w:line="240" w:lineRule="auto"/>
              <w:jc w:val="center"/>
              <w:rPr>
                <w:rFonts w:hAnsi="宋体"/>
                <w:kern w:val="2"/>
                <w:szCs w:val="21"/>
              </w:rPr>
            </w:pPr>
            <w:r>
              <w:rPr>
                <w:rFonts w:hint="eastAsia" w:hAnsi="宋体"/>
                <w:kern w:val="2"/>
                <w:szCs w:val="21"/>
              </w:rPr>
              <w:t>外</w:t>
            </w:r>
          </w:p>
          <w:p w14:paraId="4C3165C3">
            <w:pPr>
              <w:widowControl w:val="0"/>
              <w:shd w:val="clear" w:color="auto" w:fill="auto"/>
              <w:adjustRightInd/>
              <w:snapToGrid/>
              <w:spacing w:line="240" w:lineRule="auto"/>
              <w:jc w:val="center"/>
              <w:rPr>
                <w:rFonts w:hAnsi="宋体"/>
                <w:kern w:val="2"/>
                <w:szCs w:val="21"/>
              </w:rPr>
            </w:pPr>
            <w:r>
              <w:rPr>
                <w:rFonts w:hint="eastAsia" w:hAnsi="宋体"/>
                <w:kern w:val="2"/>
                <w:szCs w:val="21"/>
              </w:rPr>
              <w:t>围</w:t>
            </w:r>
          </w:p>
          <w:p w14:paraId="6E9075F6">
            <w:pPr>
              <w:widowControl w:val="0"/>
              <w:shd w:val="clear" w:color="auto" w:fill="auto"/>
              <w:adjustRightInd/>
              <w:snapToGrid/>
              <w:spacing w:line="240" w:lineRule="auto"/>
              <w:jc w:val="center"/>
              <w:rPr>
                <w:rFonts w:hAnsi="宋体"/>
                <w:kern w:val="2"/>
                <w:szCs w:val="21"/>
              </w:rPr>
            </w:pPr>
            <w:r>
              <w:rPr>
                <w:rFonts w:hint="eastAsia" w:hAnsi="宋体"/>
                <w:kern w:val="2"/>
                <w:szCs w:val="21"/>
              </w:rPr>
              <w:t>部</w:t>
            </w:r>
          </w:p>
          <w:p w14:paraId="410BD80E">
            <w:pPr>
              <w:widowControl w:val="0"/>
              <w:shd w:val="clear" w:color="auto" w:fill="auto"/>
              <w:adjustRightInd/>
              <w:snapToGrid/>
              <w:spacing w:line="240" w:lineRule="auto"/>
              <w:jc w:val="center"/>
              <w:rPr>
                <w:rFonts w:hAnsi="宋体"/>
                <w:kern w:val="2"/>
                <w:szCs w:val="21"/>
              </w:rPr>
            </w:pPr>
            <w:r>
              <w:rPr>
                <w:rFonts w:hint="eastAsia" w:hAnsi="宋体"/>
                <w:kern w:val="2"/>
                <w:szCs w:val="21"/>
              </w:rPr>
              <w:t>分</w:t>
            </w:r>
          </w:p>
        </w:tc>
        <w:tc>
          <w:tcPr>
            <w:tcW w:w="789" w:type="pct"/>
            <w:vAlign w:val="center"/>
          </w:tcPr>
          <w:p w14:paraId="1943D788">
            <w:pPr>
              <w:widowControl w:val="0"/>
              <w:shd w:val="clear" w:color="auto" w:fill="auto"/>
              <w:adjustRightInd/>
              <w:snapToGrid/>
              <w:spacing w:line="240" w:lineRule="auto"/>
              <w:jc w:val="center"/>
              <w:rPr>
                <w:rFonts w:hAnsi="宋体"/>
                <w:kern w:val="2"/>
                <w:szCs w:val="21"/>
              </w:rPr>
            </w:pPr>
            <w:r>
              <w:rPr>
                <w:rFonts w:hint="eastAsia" w:hAnsi="宋体"/>
                <w:kern w:val="2"/>
                <w:szCs w:val="21"/>
              </w:rPr>
              <w:t>地面</w:t>
            </w:r>
          </w:p>
        </w:tc>
        <w:tc>
          <w:tcPr>
            <w:tcW w:w="662" w:type="pct"/>
            <w:vAlign w:val="center"/>
          </w:tcPr>
          <w:p w14:paraId="439740C0">
            <w:pPr>
              <w:widowControl w:val="0"/>
              <w:shd w:val="clear" w:color="auto" w:fill="auto"/>
              <w:adjustRightInd/>
              <w:snapToGrid/>
              <w:spacing w:line="240" w:lineRule="auto"/>
              <w:jc w:val="center"/>
              <w:rPr>
                <w:rFonts w:hAnsi="宋体"/>
                <w:kern w:val="2"/>
                <w:szCs w:val="21"/>
              </w:rPr>
            </w:pPr>
            <w:r>
              <w:rPr>
                <w:rFonts w:hint="eastAsia" w:hAnsi="宋体"/>
                <w:kern w:val="2"/>
                <w:szCs w:val="21"/>
              </w:rPr>
              <w:t>清扫2次并随时保洁</w:t>
            </w:r>
          </w:p>
        </w:tc>
        <w:tc>
          <w:tcPr>
            <w:tcW w:w="809" w:type="pct"/>
            <w:vAlign w:val="center"/>
          </w:tcPr>
          <w:p w14:paraId="7755A70D">
            <w:pPr>
              <w:widowControl w:val="0"/>
              <w:shd w:val="clear" w:color="auto" w:fill="auto"/>
              <w:adjustRightInd/>
              <w:snapToGrid/>
              <w:spacing w:line="240" w:lineRule="auto"/>
              <w:jc w:val="center"/>
              <w:rPr>
                <w:rFonts w:hAnsi="宋体"/>
                <w:kern w:val="2"/>
                <w:szCs w:val="21"/>
              </w:rPr>
            </w:pPr>
            <w:r>
              <w:rPr>
                <w:rFonts w:hint="eastAsia" w:hAnsi="宋体"/>
                <w:kern w:val="2"/>
                <w:szCs w:val="21"/>
              </w:rPr>
              <w:t>彻底清洁一次</w:t>
            </w:r>
          </w:p>
        </w:tc>
        <w:tc>
          <w:tcPr>
            <w:tcW w:w="581" w:type="pct"/>
            <w:vAlign w:val="center"/>
          </w:tcPr>
          <w:p w14:paraId="16EF8AC2">
            <w:pPr>
              <w:widowControl w:val="0"/>
              <w:shd w:val="clear" w:color="auto" w:fill="auto"/>
              <w:adjustRightInd/>
              <w:snapToGrid/>
              <w:spacing w:line="240" w:lineRule="auto"/>
              <w:jc w:val="center"/>
              <w:rPr>
                <w:rFonts w:hAnsi="宋体"/>
                <w:kern w:val="2"/>
                <w:szCs w:val="21"/>
              </w:rPr>
            </w:pPr>
          </w:p>
        </w:tc>
        <w:tc>
          <w:tcPr>
            <w:tcW w:w="1642" w:type="pct"/>
            <w:vAlign w:val="center"/>
          </w:tcPr>
          <w:p w14:paraId="15C4FC31">
            <w:pPr>
              <w:widowControl w:val="0"/>
              <w:shd w:val="clear" w:color="auto" w:fill="auto"/>
              <w:adjustRightInd/>
              <w:snapToGrid/>
              <w:spacing w:line="240" w:lineRule="auto"/>
              <w:jc w:val="center"/>
              <w:rPr>
                <w:rFonts w:hAnsi="宋体"/>
                <w:kern w:val="2"/>
                <w:szCs w:val="21"/>
              </w:rPr>
            </w:pPr>
            <w:r>
              <w:rPr>
                <w:rFonts w:hint="eastAsia" w:hAnsi="宋体"/>
                <w:kern w:val="2"/>
                <w:szCs w:val="21"/>
              </w:rPr>
              <w:t>无垃圾杂物、无污渍秽迹，无积水聚沙等</w:t>
            </w:r>
          </w:p>
        </w:tc>
      </w:tr>
      <w:tr w14:paraId="6CEC29C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67" w:hRule="atLeast"/>
          <w:jc w:val="center"/>
        </w:trPr>
        <w:tc>
          <w:tcPr>
            <w:tcW w:w="514" w:type="pct"/>
            <w:vMerge w:val="continue"/>
            <w:vAlign w:val="center"/>
          </w:tcPr>
          <w:p w14:paraId="06B4DCDC">
            <w:pPr>
              <w:widowControl w:val="0"/>
              <w:shd w:val="clear" w:color="auto" w:fill="auto"/>
              <w:adjustRightInd/>
              <w:snapToGrid/>
              <w:spacing w:line="240" w:lineRule="auto"/>
              <w:jc w:val="center"/>
              <w:rPr>
                <w:rFonts w:hAnsi="宋体"/>
                <w:kern w:val="2"/>
                <w:szCs w:val="21"/>
              </w:rPr>
            </w:pPr>
          </w:p>
        </w:tc>
        <w:tc>
          <w:tcPr>
            <w:tcW w:w="789" w:type="pct"/>
            <w:vAlign w:val="center"/>
          </w:tcPr>
          <w:p w14:paraId="5856FB45">
            <w:pPr>
              <w:widowControl w:val="0"/>
              <w:shd w:val="clear" w:color="auto" w:fill="auto"/>
              <w:adjustRightInd/>
              <w:snapToGrid/>
              <w:spacing w:line="240" w:lineRule="auto"/>
              <w:jc w:val="center"/>
              <w:rPr>
                <w:rFonts w:hAnsi="宋体"/>
                <w:kern w:val="2"/>
                <w:szCs w:val="21"/>
              </w:rPr>
            </w:pPr>
            <w:r>
              <w:rPr>
                <w:rFonts w:hint="eastAsia" w:hAnsi="宋体"/>
                <w:kern w:val="2"/>
                <w:szCs w:val="21"/>
              </w:rPr>
              <w:t>楼顶天台花草</w:t>
            </w:r>
          </w:p>
        </w:tc>
        <w:tc>
          <w:tcPr>
            <w:tcW w:w="662" w:type="pct"/>
            <w:vAlign w:val="center"/>
          </w:tcPr>
          <w:p w14:paraId="7095B45E">
            <w:pPr>
              <w:widowControl w:val="0"/>
              <w:shd w:val="clear" w:color="auto" w:fill="auto"/>
              <w:adjustRightInd/>
              <w:snapToGrid/>
              <w:spacing w:line="240" w:lineRule="auto"/>
              <w:jc w:val="center"/>
              <w:rPr>
                <w:rFonts w:hAnsi="宋体"/>
                <w:kern w:val="2"/>
                <w:szCs w:val="21"/>
              </w:rPr>
            </w:pPr>
            <w:r>
              <w:rPr>
                <w:rFonts w:hint="eastAsia" w:hAnsi="宋体"/>
                <w:kern w:val="2"/>
                <w:szCs w:val="21"/>
              </w:rPr>
              <w:t>随时拾捡垃圾杂物 并保洁</w:t>
            </w:r>
          </w:p>
        </w:tc>
        <w:tc>
          <w:tcPr>
            <w:tcW w:w="809" w:type="pct"/>
            <w:vAlign w:val="center"/>
          </w:tcPr>
          <w:p w14:paraId="381C1767">
            <w:pPr>
              <w:widowControl w:val="0"/>
              <w:shd w:val="clear" w:color="auto" w:fill="auto"/>
              <w:adjustRightInd/>
              <w:snapToGrid/>
              <w:spacing w:line="240" w:lineRule="auto"/>
              <w:jc w:val="center"/>
              <w:rPr>
                <w:rFonts w:hAnsi="宋体"/>
                <w:kern w:val="2"/>
                <w:szCs w:val="21"/>
              </w:rPr>
            </w:pPr>
            <w:r>
              <w:rPr>
                <w:rFonts w:hint="eastAsia" w:hAnsi="宋体"/>
                <w:kern w:val="2"/>
                <w:szCs w:val="21"/>
              </w:rPr>
              <w:t>彻底清理干净杂物垃圾等</w:t>
            </w:r>
          </w:p>
        </w:tc>
        <w:tc>
          <w:tcPr>
            <w:tcW w:w="581" w:type="pct"/>
            <w:vAlign w:val="center"/>
          </w:tcPr>
          <w:p w14:paraId="1400BA34">
            <w:pPr>
              <w:widowControl w:val="0"/>
              <w:shd w:val="clear" w:color="auto" w:fill="auto"/>
              <w:adjustRightInd/>
              <w:snapToGrid/>
              <w:spacing w:line="240" w:lineRule="auto"/>
              <w:jc w:val="center"/>
              <w:rPr>
                <w:rFonts w:hAnsi="宋体"/>
                <w:kern w:val="2"/>
                <w:szCs w:val="21"/>
              </w:rPr>
            </w:pPr>
            <w:r>
              <w:rPr>
                <w:rFonts w:hint="eastAsia" w:hAnsi="宋体"/>
                <w:kern w:val="2"/>
                <w:szCs w:val="21"/>
              </w:rPr>
              <w:t>每季度施肥一次</w:t>
            </w:r>
          </w:p>
        </w:tc>
        <w:tc>
          <w:tcPr>
            <w:tcW w:w="1642" w:type="pct"/>
            <w:vAlign w:val="center"/>
          </w:tcPr>
          <w:p w14:paraId="786A4179">
            <w:pPr>
              <w:widowControl w:val="0"/>
              <w:shd w:val="clear" w:color="auto" w:fill="auto"/>
              <w:adjustRightInd/>
              <w:snapToGrid/>
              <w:spacing w:line="240" w:lineRule="auto"/>
              <w:jc w:val="center"/>
              <w:rPr>
                <w:rFonts w:hAnsi="宋体"/>
                <w:kern w:val="2"/>
                <w:szCs w:val="21"/>
              </w:rPr>
            </w:pPr>
            <w:r>
              <w:rPr>
                <w:rFonts w:hint="eastAsia" w:hAnsi="宋体"/>
                <w:kern w:val="2"/>
                <w:szCs w:val="21"/>
              </w:rPr>
              <w:t>如有花草枯萎，生长茂盛，及时更换，无垃圾杂物、无污渍秽迹，无积水聚沙等</w:t>
            </w:r>
          </w:p>
        </w:tc>
      </w:tr>
      <w:tr w14:paraId="2D8C450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67" w:hRule="atLeast"/>
          <w:jc w:val="center"/>
        </w:trPr>
        <w:tc>
          <w:tcPr>
            <w:tcW w:w="514" w:type="pct"/>
            <w:vMerge w:val="continue"/>
            <w:vAlign w:val="center"/>
          </w:tcPr>
          <w:p w14:paraId="3DB02CBD">
            <w:pPr>
              <w:widowControl w:val="0"/>
              <w:shd w:val="clear" w:color="auto" w:fill="auto"/>
              <w:adjustRightInd/>
              <w:snapToGrid/>
              <w:spacing w:line="240" w:lineRule="auto"/>
              <w:jc w:val="center"/>
              <w:rPr>
                <w:rFonts w:hAnsi="宋体"/>
                <w:kern w:val="2"/>
                <w:szCs w:val="21"/>
              </w:rPr>
            </w:pPr>
          </w:p>
        </w:tc>
        <w:tc>
          <w:tcPr>
            <w:tcW w:w="789" w:type="pct"/>
            <w:vAlign w:val="center"/>
          </w:tcPr>
          <w:p w14:paraId="55833828">
            <w:pPr>
              <w:widowControl w:val="0"/>
              <w:shd w:val="clear" w:color="auto" w:fill="auto"/>
              <w:adjustRightInd/>
              <w:snapToGrid/>
              <w:spacing w:line="240" w:lineRule="auto"/>
              <w:jc w:val="center"/>
              <w:rPr>
                <w:rFonts w:hAnsi="宋体"/>
                <w:kern w:val="2"/>
                <w:szCs w:val="21"/>
              </w:rPr>
            </w:pPr>
            <w:r>
              <w:rPr>
                <w:rFonts w:hint="eastAsia" w:hAnsi="宋体"/>
                <w:kern w:val="2"/>
                <w:szCs w:val="21"/>
              </w:rPr>
              <w:t>花槽(池)盆景植草砖</w:t>
            </w:r>
          </w:p>
        </w:tc>
        <w:tc>
          <w:tcPr>
            <w:tcW w:w="662" w:type="pct"/>
            <w:vAlign w:val="center"/>
          </w:tcPr>
          <w:p w14:paraId="028A00F4">
            <w:pPr>
              <w:widowControl w:val="0"/>
              <w:shd w:val="clear" w:color="auto" w:fill="auto"/>
              <w:adjustRightInd/>
              <w:snapToGrid/>
              <w:spacing w:line="240" w:lineRule="auto"/>
              <w:jc w:val="center"/>
              <w:rPr>
                <w:rFonts w:hAnsi="宋体"/>
                <w:kern w:val="2"/>
                <w:szCs w:val="21"/>
              </w:rPr>
            </w:pPr>
            <w:r>
              <w:rPr>
                <w:rFonts w:hint="eastAsia" w:hAnsi="宋体"/>
                <w:kern w:val="2"/>
                <w:szCs w:val="21"/>
              </w:rPr>
              <w:t>随时拾捡垃圾杂物并保洁</w:t>
            </w:r>
          </w:p>
        </w:tc>
        <w:tc>
          <w:tcPr>
            <w:tcW w:w="809" w:type="pct"/>
            <w:vAlign w:val="center"/>
          </w:tcPr>
          <w:p w14:paraId="5EA3D974">
            <w:pPr>
              <w:widowControl w:val="0"/>
              <w:shd w:val="clear" w:color="auto" w:fill="auto"/>
              <w:adjustRightInd/>
              <w:snapToGrid/>
              <w:spacing w:line="240" w:lineRule="auto"/>
              <w:jc w:val="center"/>
              <w:rPr>
                <w:rFonts w:hAnsi="宋体"/>
                <w:kern w:val="2"/>
                <w:szCs w:val="21"/>
              </w:rPr>
            </w:pPr>
            <w:r>
              <w:rPr>
                <w:rFonts w:hint="eastAsia" w:hAnsi="宋体"/>
                <w:kern w:val="2"/>
                <w:szCs w:val="21"/>
              </w:rPr>
              <w:t>彻底清理干净杂物、垃圾等</w:t>
            </w:r>
          </w:p>
        </w:tc>
        <w:tc>
          <w:tcPr>
            <w:tcW w:w="581" w:type="pct"/>
            <w:vAlign w:val="center"/>
          </w:tcPr>
          <w:p w14:paraId="05A57A45">
            <w:pPr>
              <w:widowControl w:val="0"/>
              <w:shd w:val="clear" w:color="auto" w:fill="auto"/>
              <w:adjustRightInd/>
              <w:snapToGrid/>
              <w:spacing w:line="240" w:lineRule="auto"/>
              <w:jc w:val="center"/>
              <w:rPr>
                <w:rFonts w:hAnsi="宋体"/>
                <w:kern w:val="2"/>
                <w:szCs w:val="21"/>
              </w:rPr>
            </w:pPr>
          </w:p>
        </w:tc>
        <w:tc>
          <w:tcPr>
            <w:tcW w:w="1642" w:type="pct"/>
            <w:vAlign w:val="center"/>
          </w:tcPr>
          <w:p w14:paraId="2F85228A">
            <w:pPr>
              <w:widowControl w:val="0"/>
              <w:shd w:val="clear" w:color="auto" w:fill="auto"/>
              <w:adjustRightInd/>
              <w:snapToGrid/>
              <w:spacing w:line="240" w:lineRule="auto"/>
              <w:jc w:val="center"/>
              <w:rPr>
                <w:rFonts w:hAnsi="宋体"/>
                <w:kern w:val="2"/>
                <w:szCs w:val="21"/>
              </w:rPr>
            </w:pPr>
            <w:r>
              <w:rPr>
                <w:rFonts w:hint="eastAsia" w:hAnsi="宋体"/>
                <w:kern w:val="2"/>
                <w:szCs w:val="21"/>
              </w:rPr>
              <w:t>干净清洁、无杂物、无垃圾等废弃物</w:t>
            </w:r>
          </w:p>
        </w:tc>
      </w:tr>
      <w:tr w14:paraId="202433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67" w:hRule="atLeast"/>
          <w:jc w:val="center"/>
        </w:trPr>
        <w:tc>
          <w:tcPr>
            <w:tcW w:w="514" w:type="pct"/>
            <w:vMerge w:val="continue"/>
            <w:vAlign w:val="center"/>
          </w:tcPr>
          <w:p w14:paraId="04A3800B">
            <w:pPr>
              <w:widowControl w:val="0"/>
              <w:shd w:val="clear" w:color="auto" w:fill="auto"/>
              <w:adjustRightInd/>
              <w:snapToGrid/>
              <w:spacing w:line="240" w:lineRule="auto"/>
              <w:jc w:val="center"/>
              <w:rPr>
                <w:rFonts w:hAnsi="宋体"/>
                <w:kern w:val="2"/>
                <w:szCs w:val="21"/>
              </w:rPr>
            </w:pPr>
          </w:p>
        </w:tc>
        <w:tc>
          <w:tcPr>
            <w:tcW w:w="789" w:type="pct"/>
            <w:vAlign w:val="center"/>
          </w:tcPr>
          <w:p w14:paraId="5A350A27">
            <w:pPr>
              <w:widowControl w:val="0"/>
              <w:shd w:val="clear" w:color="auto" w:fill="auto"/>
              <w:adjustRightInd/>
              <w:snapToGrid/>
              <w:spacing w:line="240" w:lineRule="auto"/>
              <w:jc w:val="center"/>
              <w:rPr>
                <w:rFonts w:hAnsi="宋体"/>
                <w:kern w:val="2"/>
                <w:szCs w:val="21"/>
              </w:rPr>
            </w:pPr>
            <w:r>
              <w:rPr>
                <w:rFonts w:hint="eastAsia" w:hAnsi="宋体"/>
                <w:kern w:val="2"/>
                <w:szCs w:val="21"/>
              </w:rPr>
              <w:t>公共设施指示牌、广告牌及灯饰等</w:t>
            </w:r>
          </w:p>
        </w:tc>
        <w:tc>
          <w:tcPr>
            <w:tcW w:w="662" w:type="pct"/>
            <w:vAlign w:val="center"/>
          </w:tcPr>
          <w:p w14:paraId="4FB16D33">
            <w:pPr>
              <w:widowControl w:val="0"/>
              <w:shd w:val="clear" w:color="auto" w:fill="auto"/>
              <w:adjustRightInd/>
              <w:snapToGrid/>
              <w:spacing w:line="240" w:lineRule="auto"/>
              <w:jc w:val="center"/>
              <w:rPr>
                <w:rFonts w:hAnsi="宋体"/>
                <w:kern w:val="2"/>
                <w:szCs w:val="21"/>
              </w:rPr>
            </w:pPr>
            <w:r>
              <w:rPr>
                <w:rFonts w:hint="eastAsia" w:hAnsi="宋体"/>
                <w:kern w:val="2"/>
                <w:szCs w:val="21"/>
              </w:rPr>
              <w:t>保洁</w:t>
            </w:r>
          </w:p>
        </w:tc>
        <w:tc>
          <w:tcPr>
            <w:tcW w:w="809" w:type="pct"/>
            <w:vAlign w:val="center"/>
          </w:tcPr>
          <w:p w14:paraId="778D7082">
            <w:pPr>
              <w:widowControl w:val="0"/>
              <w:shd w:val="clear" w:color="auto" w:fill="auto"/>
              <w:adjustRightInd/>
              <w:snapToGrid/>
              <w:spacing w:line="240" w:lineRule="auto"/>
              <w:jc w:val="center"/>
              <w:rPr>
                <w:rFonts w:hAnsi="宋体"/>
                <w:kern w:val="2"/>
                <w:szCs w:val="21"/>
              </w:rPr>
            </w:pPr>
            <w:r>
              <w:rPr>
                <w:rFonts w:hint="eastAsia" w:hAnsi="宋体"/>
                <w:kern w:val="2"/>
                <w:szCs w:val="21"/>
              </w:rPr>
              <w:t>巡回清抹2次</w:t>
            </w:r>
          </w:p>
        </w:tc>
        <w:tc>
          <w:tcPr>
            <w:tcW w:w="581" w:type="pct"/>
            <w:vAlign w:val="center"/>
          </w:tcPr>
          <w:p w14:paraId="10784C03">
            <w:pPr>
              <w:widowControl w:val="0"/>
              <w:shd w:val="clear" w:color="auto" w:fill="auto"/>
              <w:adjustRightInd/>
              <w:snapToGrid/>
              <w:spacing w:line="240" w:lineRule="auto"/>
              <w:jc w:val="center"/>
              <w:rPr>
                <w:rFonts w:hAnsi="宋体"/>
                <w:kern w:val="2"/>
                <w:szCs w:val="21"/>
              </w:rPr>
            </w:pPr>
          </w:p>
        </w:tc>
        <w:tc>
          <w:tcPr>
            <w:tcW w:w="1642" w:type="pct"/>
            <w:vAlign w:val="center"/>
          </w:tcPr>
          <w:p w14:paraId="0DB90B3C">
            <w:pPr>
              <w:widowControl w:val="0"/>
              <w:shd w:val="clear" w:color="auto" w:fill="auto"/>
              <w:adjustRightInd/>
              <w:snapToGrid/>
              <w:spacing w:line="240" w:lineRule="auto"/>
              <w:jc w:val="center"/>
              <w:rPr>
                <w:rFonts w:hAnsi="宋体"/>
                <w:kern w:val="2"/>
                <w:szCs w:val="21"/>
              </w:rPr>
            </w:pPr>
            <w:r>
              <w:rPr>
                <w:rFonts w:hint="eastAsia" w:hAnsi="宋体"/>
                <w:kern w:val="2"/>
                <w:szCs w:val="21"/>
              </w:rPr>
              <w:t>无灰尘、无蛛网、无小广告</w:t>
            </w:r>
          </w:p>
        </w:tc>
      </w:tr>
      <w:tr w14:paraId="209730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67" w:hRule="atLeast"/>
          <w:jc w:val="center"/>
        </w:trPr>
        <w:tc>
          <w:tcPr>
            <w:tcW w:w="514" w:type="pct"/>
            <w:vMerge w:val="continue"/>
            <w:vAlign w:val="center"/>
          </w:tcPr>
          <w:p w14:paraId="3F8FFE2F">
            <w:pPr>
              <w:widowControl w:val="0"/>
              <w:shd w:val="clear" w:color="auto" w:fill="auto"/>
              <w:adjustRightInd/>
              <w:snapToGrid/>
              <w:spacing w:line="240" w:lineRule="auto"/>
              <w:jc w:val="center"/>
              <w:rPr>
                <w:rFonts w:hAnsi="宋体"/>
                <w:kern w:val="2"/>
                <w:szCs w:val="21"/>
              </w:rPr>
            </w:pPr>
          </w:p>
        </w:tc>
        <w:tc>
          <w:tcPr>
            <w:tcW w:w="789" w:type="pct"/>
            <w:vAlign w:val="center"/>
          </w:tcPr>
          <w:p w14:paraId="7268D0DE">
            <w:pPr>
              <w:widowControl w:val="0"/>
              <w:shd w:val="clear" w:color="auto" w:fill="auto"/>
              <w:adjustRightInd/>
              <w:snapToGrid/>
              <w:spacing w:line="240" w:lineRule="auto"/>
              <w:jc w:val="center"/>
              <w:rPr>
                <w:rFonts w:hAnsi="宋体"/>
                <w:kern w:val="2"/>
                <w:szCs w:val="21"/>
              </w:rPr>
            </w:pPr>
            <w:r>
              <w:rPr>
                <w:rFonts w:hint="eastAsia" w:hAnsi="宋体"/>
                <w:kern w:val="2"/>
                <w:szCs w:val="21"/>
              </w:rPr>
              <w:t>明沟(井)管道、雨水井、污水井</w:t>
            </w:r>
          </w:p>
        </w:tc>
        <w:tc>
          <w:tcPr>
            <w:tcW w:w="662" w:type="pct"/>
            <w:vAlign w:val="center"/>
          </w:tcPr>
          <w:p w14:paraId="18A61494">
            <w:pPr>
              <w:widowControl w:val="0"/>
              <w:shd w:val="clear" w:color="auto" w:fill="auto"/>
              <w:adjustRightInd/>
              <w:snapToGrid/>
              <w:spacing w:line="240" w:lineRule="auto"/>
              <w:jc w:val="center"/>
              <w:rPr>
                <w:rFonts w:hAnsi="宋体"/>
                <w:kern w:val="2"/>
                <w:szCs w:val="21"/>
              </w:rPr>
            </w:pPr>
            <w:r>
              <w:rPr>
                <w:rFonts w:hint="eastAsia" w:hAnsi="宋体"/>
                <w:kern w:val="2"/>
                <w:szCs w:val="21"/>
              </w:rPr>
              <w:t>明沟(井)清洁垃圾杂物2次并保洁</w:t>
            </w:r>
          </w:p>
        </w:tc>
        <w:tc>
          <w:tcPr>
            <w:tcW w:w="809" w:type="pct"/>
            <w:vAlign w:val="center"/>
          </w:tcPr>
          <w:p w14:paraId="7488A02B">
            <w:pPr>
              <w:widowControl w:val="0"/>
              <w:shd w:val="clear" w:color="auto" w:fill="auto"/>
              <w:adjustRightInd/>
              <w:snapToGrid/>
              <w:spacing w:line="240" w:lineRule="auto"/>
              <w:jc w:val="center"/>
              <w:rPr>
                <w:rFonts w:hAnsi="宋体"/>
                <w:kern w:val="2"/>
                <w:szCs w:val="21"/>
              </w:rPr>
            </w:pPr>
            <w:r>
              <w:rPr>
                <w:rFonts w:hint="eastAsia" w:hAnsi="宋体"/>
                <w:kern w:val="2"/>
                <w:szCs w:val="21"/>
              </w:rPr>
              <w:t>管道、雨水井、污水井清洁1次</w:t>
            </w:r>
          </w:p>
        </w:tc>
        <w:tc>
          <w:tcPr>
            <w:tcW w:w="581" w:type="pct"/>
            <w:vAlign w:val="center"/>
          </w:tcPr>
          <w:p w14:paraId="2D5261F7">
            <w:pPr>
              <w:widowControl w:val="0"/>
              <w:shd w:val="clear" w:color="auto" w:fill="auto"/>
              <w:adjustRightInd/>
              <w:snapToGrid/>
              <w:spacing w:line="240" w:lineRule="auto"/>
              <w:jc w:val="center"/>
              <w:rPr>
                <w:rFonts w:hAnsi="宋体"/>
                <w:kern w:val="2"/>
                <w:szCs w:val="21"/>
              </w:rPr>
            </w:pPr>
          </w:p>
        </w:tc>
        <w:tc>
          <w:tcPr>
            <w:tcW w:w="1642" w:type="pct"/>
            <w:vAlign w:val="center"/>
          </w:tcPr>
          <w:p w14:paraId="372D5A4F">
            <w:pPr>
              <w:widowControl w:val="0"/>
              <w:shd w:val="clear" w:color="auto" w:fill="auto"/>
              <w:adjustRightInd/>
              <w:snapToGrid/>
              <w:spacing w:line="240" w:lineRule="auto"/>
              <w:jc w:val="center"/>
              <w:rPr>
                <w:rFonts w:hAnsi="宋体"/>
                <w:kern w:val="2"/>
                <w:szCs w:val="21"/>
              </w:rPr>
            </w:pPr>
            <w:r>
              <w:rPr>
                <w:rFonts w:hint="eastAsia" w:hAnsi="宋体"/>
                <w:kern w:val="2"/>
                <w:szCs w:val="21"/>
              </w:rPr>
              <w:t>无垃圾、杂物、无积水、畅通无阻</w:t>
            </w:r>
          </w:p>
        </w:tc>
      </w:tr>
      <w:tr w14:paraId="4F59A5F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67" w:hRule="atLeast"/>
          <w:jc w:val="center"/>
        </w:trPr>
        <w:tc>
          <w:tcPr>
            <w:tcW w:w="514" w:type="pct"/>
            <w:vMerge w:val="restart"/>
            <w:vAlign w:val="center"/>
          </w:tcPr>
          <w:p w14:paraId="7BABD003">
            <w:pPr>
              <w:widowControl w:val="0"/>
              <w:shd w:val="clear" w:color="auto" w:fill="auto"/>
              <w:adjustRightInd/>
              <w:snapToGrid/>
              <w:spacing w:line="240" w:lineRule="auto"/>
              <w:jc w:val="center"/>
              <w:rPr>
                <w:rFonts w:hAnsi="宋体"/>
                <w:kern w:val="2"/>
                <w:szCs w:val="21"/>
              </w:rPr>
            </w:pPr>
            <w:r>
              <w:rPr>
                <w:rFonts w:hint="eastAsia" w:hAnsi="宋体"/>
                <w:kern w:val="2"/>
                <w:szCs w:val="21"/>
              </w:rPr>
              <w:t>公</w:t>
            </w:r>
          </w:p>
          <w:p w14:paraId="1C2E9C9D">
            <w:pPr>
              <w:widowControl w:val="0"/>
              <w:shd w:val="clear" w:color="auto" w:fill="auto"/>
              <w:adjustRightInd/>
              <w:snapToGrid/>
              <w:spacing w:line="240" w:lineRule="auto"/>
              <w:jc w:val="center"/>
              <w:rPr>
                <w:rFonts w:hAnsi="宋体"/>
                <w:kern w:val="2"/>
                <w:szCs w:val="21"/>
              </w:rPr>
            </w:pPr>
            <w:r>
              <w:rPr>
                <w:rFonts w:hint="eastAsia" w:hAnsi="宋体"/>
                <w:kern w:val="2"/>
                <w:szCs w:val="21"/>
              </w:rPr>
              <w:t>共</w:t>
            </w:r>
          </w:p>
          <w:p w14:paraId="240C1C70">
            <w:pPr>
              <w:widowControl w:val="0"/>
              <w:shd w:val="clear" w:color="auto" w:fill="auto"/>
              <w:adjustRightInd/>
              <w:snapToGrid/>
              <w:spacing w:line="240" w:lineRule="auto"/>
              <w:jc w:val="center"/>
              <w:rPr>
                <w:rFonts w:hAnsi="宋体"/>
                <w:kern w:val="2"/>
                <w:szCs w:val="21"/>
              </w:rPr>
            </w:pPr>
            <w:r>
              <w:rPr>
                <w:rFonts w:hint="eastAsia" w:hAnsi="宋体"/>
                <w:kern w:val="2"/>
                <w:szCs w:val="21"/>
              </w:rPr>
              <w:t>部</w:t>
            </w:r>
          </w:p>
          <w:p w14:paraId="16A7C089">
            <w:pPr>
              <w:widowControl w:val="0"/>
              <w:shd w:val="clear" w:color="auto" w:fill="auto"/>
              <w:adjustRightInd/>
              <w:snapToGrid/>
              <w:spacing w:line="240" w:lineRule="auto"/>
              <w:jc w:val="center"/>
              <w:rPr>
                <w:rFonts w:hAnsi="宋体"/>
                <w:kern w:val="2"/>
                <w:szCs w:val="21"/>
              </w:rPr>
            </w:pPr>
            <w:r>
              <w:rPr>
                <w:rFonts w:hint="eastAsia" w:hAnsi="宋体"/>
                <w:kern w:val="2"/>
                <w:szCs w:val="21"/>
              </w:rPr>
              <w:t>分</w:t>
            </w:r>
          </w:p>
        </w:tc>
        <w:tc>
          <w:tcPr>
            <w:tcW w:w="789" w:type="pct"/>
            <w:vAlign w:val="center"/>
          </w:tcPr>
          <w:p w14:paraId="071B9B66">
            <w:pPr>
              <w:widowControl w:val="0"/>
              <w:shd w:val="clear" w:color="auto" w:fill="auto"/>
              <w:adjustRightInd/>
              <w:snapToGrid/>
              <w:spacing w:line="240" w:lineRule="auto"/>
              <w:jc w:val="center"/>
              <w:rPr>
                <w:rFonts w:hAnsi="宋体"/>
                <w:kern w:val="2"/>
                <w:szCs w:val="21"/>
              </w:rPr>
            </w:pPr>
            <w:r>
              <w:rPr>
                <w:rFonts w:hint="eastAsia" w:hAnsi="宋体"/>
                <w:kern w:val="2"/>
                <w:szCs w:val="21"/>
              </w:rPr>
              <w:t>梯级(阶梯)</w:t>
            </w:r>
          </w:p>
        </w:tc>
        <w:tc>
          <w:tcPr>
            <w:tcW w:w="662" w:type="pct"/>
            <w:vAlign w:val="center"/>
          </w:tcPr>
          <w:p w14:paraId="393748BA">
            <w:pPr>
              <w:widowControl w:val="0"/>
              <w:shd w:val="clear" w:color="auto" w:fill="auto"/>
              <w:adjustRightInd/>
              <w:snapToGrid/>
              <w:spacing w:line="240" w:lineRule="auto"/>
              <w:jc w:val="center"/>
              <w:rPr>
                <w:rFonts w:hAnsi="宋体"/>
                <w:kern w:val="2"/>
                <w:szCs w:val="21"/>
              </w:rPr>
            </w:pPr>
            <w:r>
              <w:rPr>
                <w:rFonts w:hint="eastAsia" w:hAnsi="宋体"/>
                <w:kern w:val="2"/>
                <w:szCs w:val="21"/>
              </w:rPr>
              <w:t>用水拖抹2-4次，随时清扫保洁</w:t>
            </w:r>
          </w:p>
        </w:tc>
        <w:tc>
          <w:tcPr>
            <w:tcW w:w="809" w:type="pct"/>
            <w:vAlign w:val="center"/>
          </w:tcPr>
          <w:p w14:paraId="5A24BA59">
            <w:pPr>
              <w:widowControl w:val="0"/>
              <w:shd w:val="clear" w:color="auto" w:fill="auto"/>
              <w:adjustRightInd/>
              <w:snapToGrid/>
              <w:spacing w:line="240" w:lineRule="auto"/>
              <w:jc w:val="center"/>
              <w:rPr>
                <w:rFonts w:hAnsi="宋体"/>
                <w:kern w:val="2"/>
                <w:szCs w:val="21"/>
              </w:rPr>
            </w:pPr>
            <w:r>
              <w:rPr>
                <w:rFonts w:hint="eastAsia" w:hAnsi="宋体"/>
                <w:kern w:val="2"/>
                <w:szCs w:val="21"/>
              </w:rPr>
              <w:t>清洗污渍沙泥2次</w:t>
            </w:r>
          </w:p>
        </w:tc>
        <w:tc>
          <w:tcPr>
            <w:tcW w:w="581" w:type="pct"/>
            <w:vAlign w:val="center"/>
          </w:tcPr>
          <w:p w14:paraId="48702903">
            <w:pPr>
              <w:widowControl w:val="0"/>
              <w:shd w:val="clear" w:color="auto" w:fill="auto"/>
              <w:adjustRightInd/>
              <w:snapToGrid/>
              <w:spacing w:line="240" w:lineRule="auto"/>
              <w:jc w:val="center"/>
              <w:rPr>
                <w:rFonts w:hAnsi="宋体"/>
                <w:kern w:val="2"/>
                <w:szCs w:val="21"/>
              </w:rPr>
            </w:pPr>
          </w:p>
        </w:tc>
        <w:tc>
          <w:tcPr>
            <w:tcW w:w="1642" w:type="pct"/>
            <w:vAlign w:val="center"/>
          </w:tcPr>
          <w:p w14:paraId="57ADE4BD">
            <w:pPr>
              <w:widowControl w:val="0"/>
              <w:shd w:val="clear" w:color="auto" w:fill="auto"/>
              <w:adjustRightInd/>
              <w:snapToGrid/>
              <w:spacing w:line="240" w:lineRule="auto"/>
              <w:jc w:val="center"/>
              <w:rPr>
                <w:rFonts w:hAnsi="宋体"/>
                <w:kern w:val="2"/>
                <w:szCs w:val="21"/>
              </w:rPr>
            </w:pPr>
            <w:r>
              <w:rPr>
                <w:rFonts w:hint="eastAsia" w:hAnsi="宋体"/>
                <w:kern w:val="2"/>
                <w:szCs w:val="21"/>
              </w:rPr>
              <w:t>无垃圾、沙泥、无污渍油渍保持干净</w:t>
            </w:r>
          </w:p>
        </w:tc>
      </w:tr>
      <w:tr w14:paraId="3F203E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67" w:hRule="atLeast"/>
          <w:jc w:val="center"/>
        </w:trPr>
        <w:tc>
          <w:tcPr>
            <w:tcW w:w="514" w:type="pct"/>
            <w:vMerge w:val="continue"/>
            <w:vAlign w:val="center"/>
          </w:tcPr>
          <w:p w14:paraId="77D509D0">
            <w:pPr>
              <w:widowControl w:val="0"/>
              <w:shd w:val="clear" w:color="auto" w:fill="auto"/>
              <w:adjustRightInd/>
              <w:snapToGrid/>
              <w:spacing w:line="240" w:lineRule="auto"/>
              <w:jc w:val="center"/>
              <w:rPr>
                <w:rFonts w:hAnsi="宋体"/>
                <w:kern w:val="2"/>
                <w:szCs w:val="21"/>
              </w:rPr>
            </w:pPr>
          </w:p>
        </w:tc>
        <w:tc>
          <w:tcPr>
            <w:tcW w:w="789" w:type="pct"/>
            <w:vAlign w:val="center"/>
          </w:tcPr>
          <w:p w14:paraId="154C2918">
            <w:pPr>
              <w:widowControl w:val="0"/>
              <w:shd w:val="clear" w:color="auto" w:fill="auto"/>
              <w:adjustRightInd/>
              <w:snapToGrid/>
              <w:spacing w:line="240" w:lineRule="auto"/>
              <w:jc w:val="center"/>
              <w:rPr>
                <w:rFonts w:hAnsi="宋体"/>
                <w:kern w:val="2"/>
                <w:szCs w:val="21"/>
              </w:rPr>
            </w:pPr>
            <w:r>
              <w:rPr>
                <w:rFonts w:hint="eastAsia" w:hAnsi="宋体"/>
                <w:kern w:val="2"/>
                <w:szCs w:val="21"/>
              </w:rPr>
              <w:t>玻璃门、窗</w:t>
            </w:r>
          </w:p>
        </w:tc>
        <w:tc>
          <w:tcPr>
            <w:tcW w:w="662" w:type="pct"/>
            <w:vAlign w:val="center"/>
          </w:tcPr>
          <w:p w14:paraId="416A7561">
            <w:pPr>
              <w:widowControl w:val="0"/>
              <w:shd w:val="clear" w:color="auto" w:fill="auto"/>
              <w:adjustRightInd/>
              <w:snapToGrid/>
              <w:spacing w:line="240" w:lineRule="auto"/>
              <w:jc w:val="center"/>
              <w:rPr>
                <w:rFonts w:hAnsi="宋体"/>
                <w:kern w:val="2"/>
                <w:szCs w:val="21"/>
              </w:rPr>
            </w:pPr>
            <w:r>
              <w:rPr>
                <w:rFonts w:hint="eastAsia" w:hAnsi="宋体"/>
                <w:kern w:val="2"/>
                <w:szCs w:val="21"/>
              </w:rPr>
              <w:t>用玻璃水清洗2次，随时清抹保洁</w:t>
            </w:r>
          </w:p>
        </w:tc>
        <w:tc>
          <w:tcPr>
            <w:tcW w:w="809" w:type="pct"/>
            <w:vAlign w:val="center"/>
          </w:tcPr>
          <w:p w14:paraId="0B15B307">
            <w:pPr>
              <w:widowControl w:val="0"/>
              <w:shd w:val="clear" w:color="auto" w:fill="auto"/>
              <w:adjustRightInd/>
              <w:snapToGrid/>
              <w:spacing w:line="240" w:lineRule="auto"/>
              <w:jc w:val="center"/>
              <w:rPr>
                <w:rFonts w:hAnsi="宋体"/>
                <w:kern w:val="2"/>
                <w:szCs w:val="21"/>
              </w:rPr>
            </w:pPr>
          </w:p>
        </w:tc>
        <w:tc>
          <w:tcPr>
            <w:tcW w:w="581" w:type="pct"/>
            <w:vAlign w:val="center"/>
          </w:tcPr>
          <w:p w14:paraId="18B34827">
            <w:pPr>
              <w:widowControl w:val="0"/>
              <w:shd w:val="clear" w:color="auto" w:fill="auto"/>
              <w:adjustRightInd/>
              <w:snapToGrid/>
              <w:spacing w:line="240" w:lineRule="auto"/>
              <w:jc w:val="center"/>
              <w:rPr>
                <w:rFonts w:hAnsi="宋体"/>
                <w:kern w:val="2"/>
                <w:szCs w:val="21"/>
              </w:rPr>
            </w:pPr>
          </w:p>
        </w:tc>
        <w:tc>
          <w:tcPr>
            <w:tcW w:w="1642" w:type="pct"/>
            <w:vAlign w:val="center"/>
          </w:tcPr>
          <w:p w14:paraId="72F0878F">
            <w:pPr>
              <w:widowControl w:val="0"/>
              <w:shd w:val="clear" w:color="auto" w:fill="auto"/>
              <w:adjustRightInd/>
              <w:snapToGrid/>
              <w:spacing w:line="240" w:lineRule="auto"/>
              <w:jc w:val="center"/>
              <w:rPr>
                <w:rFonts w:hAnsi="宋体"/>
                <w:kern w:val="2"/>
                <w:szCs w:val="21"/>
              </w:rPr>
            </w:pPr>
            <w:r>
              <w:rPr>
                <w:rFonts w:hint="eastAsia" w:hAnsi="宋体"/>
                <w:kern w:val="2"/>
                <w:szCs w:val="21"/>
              </w:rPr>
              <w:t>无灰尘、污渍、手印、光洁明亮</w:t>
            </w:r>
          </w:p>
        </w:tc>
      </w:tr>
      <w:tr w14:paraId="2AB83B8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67" w:hRule="atLeast"/>
          <w:jc w:val="center"/>
        </w:trPr>
        <w:tc>
          <w:tcPr>
            <w:tcW w:w="514" w:type="pct"/>
            <w:vMerge w:val="continue"/>
            <w:vAlign w:val="center"/>
          </w:tcPr>
          <w:p w14:paraId="6C59BF58">
            <w:pPr>
              <w:widowControl w:val="0"/>
              <w:shd w:val="clear" w:color="auto" w:fill="auto"/>
              <w:adjustRightInd/>
              <w:snapToGrid/>
              <w:spacing w:line="240" w:lineRule="auto"/>
              <w:jc w:val="center"/>
              <w:rPr>
                <w:rFonts w:hAnsi="宋体"/>
                <w:kern w:val="2"/>
                <w:szCs w:val="21"/>
              </w:rPr>
            </w:pPr>
          </w:p>
        </w:tc>
        <w:tc>
          <w:tcPr>
            <w:tcW w:w="789" w:type="pct"/>
            <w:vAlign w:val="center"/>
          </w:tcPr>
          <w:p w14:paraId="77569938">
            <w:pPr>
              <w:widowControl w:val="0"/>
              <w:shd w:val="clear" w:color="auto" w:fill="auto"/>
              <w:adjustRightInd/>
              <w:snapToGrid/>
              <w:spacing w:line="240" w:lineRule="auto"/>
              <w:jc w:val="center"/>
              <w:rPr>
                <w:rFonts w:hAnsi="宋体"/>
                <w:kern w:val="2"/>
                <w:szCs w:val="21"/>
              </w:rPr>
            </w:pPr>
            <w:r>
              <w:rPr>
                <w:rFonts w:hint="eastAsia" w:hAnsi="宋体"/>
                <w:kern w:val="2"/>
                <w:szCs w:val="21"/>
              </w:rPr>
              <w:t>公共走廊玻璃墙面  (外侧)</w:t>
            </w:r>
          </w:p>
        </w:tc>
        <w:tc>
          <w:tcPr>
            <w:tcW w:w="662" w:type="pct"/>
            <w:vAlign w:val="center"/>
          </w:tcPr>
          <w:p w14:paraId="63616CEB">
            <w:pPr>
              <w:widowControl w:val="0"/>
              <w:shd w:val="clear" w:color="auto" w:fill="auto"/>
              <w:adjustRightInd/>
              <w:snapToGrid/>
              <w:spacing w:line="240" w:lineRule="auto"/>
              <w:jc w:val="center"/>
              <w:rPr>
                <w:rFonts w:hAnsi="宋体"/>
                <w:kern w:val="2"/>
                <w:szCs w:val="21"/>
              </w:rPr>
            </w:pPr>
            <w:r>
              <w:rPr>
                <w:rFonts w:hint="eastAsia" w:hAnsi="宋体"/>
                <w:kern w:val="2"/>
                <w:szCs w:val="21"/>
              </w:rPr>
              <w:t>保洁</w:t>
            </w:r>
          </w:p>
        </w:tc>
        <w:tc>
          <w:tcPr>
            <w:tcW w:w="809" w:type="pct"/>
            <w:vAlign w:val="center"/>
          </w:tcPr>
          <w:p w14:paraId="604B1C1D">
            <w:pPr>
              <w:widowControl w:val="0"/>
              <w:shd w:val="clear" w:color="auto" w:fill="auto"/>
              <w:adjustRightInd/>
              <w:snapToGrid/>
              <w:spacing w:line="240" w:lineRule="auto"/>
              <w:jc w:val="center"/>
              <w:rPr>
                <w:rFonts w:hAnsi="宋体"/>
                <w:kern w:val="2"/>
                <w:szCs w:val="21"/>
              </w:rPr>
            </w:pPr>
            <w:r>
              <w:rPr>
                <w:rFonts w:hint="eastAsia" w:hAnsi="宋体"/>
                <w:kern w:val="2"/>
                <w:szCs w:val="21"/>
              </w:rPr>
              <w:t>用玻璃水清洗1次</w:t>
            </w:r>
          </w:p>
        </w:tc>
        <w:tc>
          <w:tcPr>
            <w:tcW w:w="581" w:type="pct"/>
            <w:vAlign w:val="center"/>
          </w:tcPr>
          <w:p w14:paraId="6AFC2B79">
            <w:pPr>
              <w:widowControl w:val="0"/>
              <w:shd w:val="clear" w:color="auto" w:fill="auto"/>
              <w:adjustRightInd/>
              <w:snapToGrid/>
              <w:spacing w:line="240" w:lineRule="auto"/>
              <w:jc w:val="center"/>
              <w:rPr>
                <w:rFonts w:hAnsi="宋体"/>
                <w:kern w:val="2"/>
                <w:szCs w:val="21"/>
              </w:rPr>
            </w:pPr>
          </w:p>
        </w:tc>
        <w:tc>
          <w:tcPr>
            <w:tcW w:w="1642" w:type="pct"/>
            <w:vAlign w:val="center"/>
          </w:tcPr>
          <w:p w14:paraId="7236FD46">
            <w:pPr>
              <w:widowControl w:val="0"/>
              <w:shd w:val="clear" w:color="auto" w:fill="auto"/>
              <w:adjustRightInd/>
              <w:snapToGrid/>
              <w:spacing w:line="240" w:lineRule="auto"/>
              <w:jc w:val="center"/>
              <w:rPr>
                <w:rFonts w:hAnsi="宋体"/>
                <w:kern w:val="2"/>
                <w:szCs w:val="21"/>
              </w:rPr>
            </w:pPr>
            <w:r>
              <w:rPr>
                <w:rFonts w:hint="eastAsia" w:hAnsi="宋体"/>
                <w:kern w:val="2"/>
                <w:szCs w:val="21"/>
              </w:rPr>
              <w:t>无灰尘、污渍、手印、光洁明亮</w:t>
            </w:r>
          </w:p>
        </w:tc>
      </w:tr>
      <w:tr w14:paraId="6C9524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67" w:hRule="atLeast"/>
          <w:jc w:val="center"/>
        </w:trPr>
        <w:tc>
          <w:tcPr>
            <w:tcW w:w="514" w:type="pct"/>
            <w:vMerge w:val="continue"/>
            <w:vAlign w:val="center"/>
          </w:tcPr>
          <w:p w14:paraId="078953AF">
            <w:pPr>
              <w:widowControl w:val="0"/>
              <w:shd w:val="clear" w:color="auto" w:fill="auto"/>
              <w:adjustRightInd/>
              <w:snapToGrid/>
              <w:spacing w:line="240" w:lineRule="auto"/>
              <w:jc w:val="center"/>
              <w:rPr>
                <w:rFonts w:hAnsi="宋体"/>
                <w:kern w:val="2"/>
                <w:szCs w:val="21"/>
              </w:rPr>
            </w:pPr>
          </w:p>
        </w:tc>
        <w:tc>
          <w:tcPr>
            <w:tcW w:w="789" w:type="pct"/>
            <w:vAlign w:val="center"/>
          </w:tcPr>
          <w:p w14:paraId="168C9807">
            <w:pPr>
              <w:widowControl w:val="0"/>
              <w:shd w:val="clear" w:color="auto" w:fill="auto"/>
              <w:adjustRightInd/>
              <w:snapToGrid/>
              <w:spacing w:line="240" w:lineRule="auto"/>
              <w:jc w:val="center"/>
              <w:rPr>
                <w:rFonts w:hAnsi="宋体"/>
                <w:kern w:val="2"/>
                <w:szCs w:val="21"/>
              </w:rPr>
            </w:pPr>
            <w:r>
              <w:rPr>
                <w:rFonts w:hint="eastAsia" w:hAnsi="宋体"/>
                <w:kern w:val="2"/>
                <w:szCs w:val="21"/>
              </w:rPr>
              <w:t>墙面</w:t>
            </w:r>
          </w:p>
        </w:tc>
        <w:tc>
          <w:tcPr>
            <w:tcW w:w="662" w:type="pct"/>
            <w:vAlign w:val="center"/>
          </w:tcPr>
          <w:p w14:paraId="75BB8316">
            <w:pPr>
              <w:widowControl w:val="0"/>
              <w:shd w:val="clear" w:color="auto" w:fill="auto"/>
              <w:adjustRightInd/>
              <w:snapToGrid/>
              <w:spacing w:line="240" w:lineRule="auto"/>
              <w:jc w:val="center"/>
              <w:rPr>
                <w:rFonts w:hAnsi="宋体"/>
                <w:kern w:val="2"/>
                <w:szCs w:val="21"/>
              </w:rPr>
            </w:pPr>
            <w:r>
              <w:rPr>
                <w:rFonts w:hint="eastAsia" w:hAnsi="宋体"/>
                <w:kern w:val="2"/>
                <w:szCs w:val="21"/>
              </w:rPr>
              <w:t>保洁</w:t>
            </w:r>
          </w:p>
        </w:tc>
        <w:tc>
          <w:tcPr>
            <w:tcW w:w="809" w:type="pct"/>
            <w:vAlign w:val="center"/>
          </w:tcPr>
          <w:p w14:paraId="0F3C1173">
            <w:pPr>
              <w:widowControl w:val="0"/>
              <w:shd w:val="clear" w:color="auto" w:fill="auto"/>
              <w:adjustRightInd/>
              <w:snapToGrid/>
              <w:spacing w:line="240" w:lineRule="auto"/>
              <w:jc w:val="center"/>
              <w:rPr>
                <w:rFonts w:hAnsi="宋体"/>
                <w:kern w:val="2"/>
                <w:szCs w:val="21"/>
              </w:rPr>
            </w:pPr>
            <w:r>
              <w:rPr>
                <w:rFonts w:hint="eastAsia" w:hAnsi="宋体"/>
                <w:kern w:val="2"/>
                <w:szCs w:val="21"/>
              </w:rPr>
              <w:t>用绿水清抹2次</w:t>
            </w:r>
          </w:p>
        </w:tc>
        <w:tc>
          <w:tcPr>
            <w:tcW w:w="581" w:type="pct"/>
            <w:vAlign w:val="center"/>
          </w:tcPr>
          <w:p w14:paraId="24A5843C">
            <w:pPr>
              <w:widowControl w:val="0"/>
              <w:shd w:val="clear" w:color="auto" w:fill="auto"/>
              <w:adjustRightInd/>
              <w:snapToGrid/>
              <w:spacing w:line="240" w:lineRule="auto"/>
              <w:jc w:val="center"/>
              <w:rPr>
                <w:rFonts w:hAnsi="宋体"/>
                <w:kern w:val="2"/>
                <w:szCs w:val="21"/>
              </w:rPr>
            </w:pPr>
          </w:p>
        </w:tc>
        <w:tc>
          <w:tcPr>
            <w:tcW w:w="1642" w:type="pct"/>
            <w:vAlign w:val="center"/>
          </w:tcPr>
          <w:p w14:paraId="23D537C8">
            <w:pPr>
              <w:widowControl w:val="0"/>
              <w:shd w:val="clear" w:color="auto" w:fill="auto"/>
              <w:adjustRightInd/>
              <w:snapToGrid/>
              <w:spacing w:line="240" w:lineRule="auto"/>
              <w:jc w:val="center"/>
              <w:rPr>
                <w:rFonts w:hAnsi="宋体"/>
                <w:kern w:val="2"/>
                <w:szCs w:val="21"/>
              </w:rPr>
            </w:pPr>
            <w:r>
              <w:rPr>
                <w:rFonts w:hint="eastAsia" w:hAnsi="宋体"/>
                <w:kern w:val="2"/>
                <w:szCs w:val="21"/>
              </w:rPr>
              <w:t>无灰尘、无污渍</w:t>
            </w:r>
          </w:p>
        </w:tc>
      </w:tr>
      <w:tr w14:paraId="4762F5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67" w:hRule="atLeast"/>
          <w:jc w:val="center"/>
        </w:trPr>
        <w:tc>
          <w:tcPr>
            <w:tcW w:w="514" w:type="pct"/>
            <w:vMerge w:val="continue"/>
            <w:vAlign w:val="center"/>
          </w:tcPr>
          <w:p w14:paraId="513A0779">
            <w:pPr>
              <w:widowControl w:val="0"/>
              <w:shd w:val="clear" w:color="auto" w:fill="auto"/>
              <w:adjustRightInd/>
              <w:snapToGrid/>
              <w:spacing w:line="240" w:lineRule="auto"/>
              <w:jc w:val="center"/>
              <w:rPr>
                <w:rFonts w:hAnsi="宋体"/>
                <w:kern w:val="2"/>
                <w:szCs w:val="21"/>
              </w:rPr>
            </w:pPr>
          </w:p>
        </w:tc>
        <w:tc>
          <w:tcPr>
            <w:tcW w:w="789" w:type="pct"/>
            <w:vAlign w:val="center"/>
          </w:tcPr>
          <w:p w14:paraId="7343563E">
            <w:pPr>
              <w:widowControl w:val="0"/>
              <w:shd w:val="clear" w:color="auto" w:fill="auto"/>
              <w:adjustRightInd/>
              <w:snapToGrid/>
              <w:spacing w:line="240" w:lineRule="auto"/>
              <w:jc w:val="center"/>
              <w:rPr>
                <w:rFonts w:hAnsi="宋体"/>
                <w:kern w:val="2"/>
                <w:szCs w:val="21"/>
              </w:rPr>
            </w:pPr>
            <w:r>
              <w:rPr>
                <w:rFonts w:hint="eastAsia" w:hAnsi="宋体"/>
                <w:kern w:val="2"/>
                <w:szCs w:val="21"/>
              </w:rPr>
              <w:t>各层垃圾桶</w:t>
            </w:r>
          </w:p>
        </w:tc>
        <w:tc>
          <w:tcPr>
            <w:tcW w:w="662" w:type="pct"/>
            <w:vAlign w:val="center"/>
          </w:tcPr>
          <w:p w14:paraId="101ECED1">
            <w:pPr>
              <w:widowControl w:val="0"/>
              <w:shd w:val="clear" w:color="auto" w:fill="auto"/>
              <w:adjustRightInd/>
              <w:snapToGrid/>
              <w:spacing w:line="240" w:lineRule="auto"/>
              <w:jc w:val="center"/>
              <w:rPr>
                <w:rFonts w:hAnsi="宋体"/>
                <w:kern w:val="2"/>
                <w:szCs w:val="21"/>
              </w:rPr>
            </w:pPr>
            <w:r>
              <w:rPr>
                <w:rFonts w:hint="eastAsia" w:hAnsi="宋体"/>
                <w:kern w:val="2"/>
                <w:szCs w:val="21"/>
              </w:rPr>
              <w:t>上下午各收集1次并清洗垃圾桶</w:t>
            </w:r>
          </w:p>
        </w:tc>
        <w:tc>
          <w:tcPr>
            <w:tcW w:w="809" w:type="pct"/>
            <w:vAlign w:val="center"/>
          </w:tcPr>
          <w:p w14:paraId="4504C305">
            <w:pPr>
              <w:widowControl w:val="0"/>
              <w:shd w:val="clear" w:color="auto" w:fill="auto"/>
              <w:adjustRightInd/>
              <w:snapToGrid/>
              <w:spacing w:line="240" w:lineRule="auto"/>
              <w:jc w:val="center"/>
              <w:rPr>
                <w:rFonts w:hAnsi="宋体"/>
                <w:kern w:val="2"/>
                <w:szCs w:val="21"/>
              </w:rPr>
            </w:pPr>
          </w:p>
        </w:tc>
        <w:tc>
          <w:tcPr>
            <w:tcW w:w="581" w:type="pct"/>
            <w:vAlign w:val="center"/>
          </w:tcPr>
          <w:p w14:paraId="163EE4F6">
            <w:pPr>
              <w:widowControl w:val="0"/>
              <w:shd w:val="clear" w:color="auto" w:fill="auto"/>
              <w:adjustRightInd/>
              <w:snapToGrid/>
              <w:spacing w:line="240" w:lineRule="auto"/>
              <w:jc w:val="center"/>
              <w:rPr>
                <w:rFonts w:hAnsi="宋体"/>
                <w:kern w:val="2"/>
                <w:szCs w:val="21"/>
              </w:rPr>
            </w:pPr>
          </w:p>
        </w:tc>
        <w:tc>
          <w:tcPr>
            <w:tcW w:w="1642" w:type="pct"/>
            <w:vAlign w:val="center"/>
          </w:tcPr>
          <w:p w14:paraId="4F9CF26F">
            <w:pPr>
              <w:widowControl w:val="0"/>
              <w:shd w:val="clear" w:color="auto" w:fill="auto"/>
              <w:adjustRightInd/>
              <w:snapToGrid/>
              <w:spacing w:line="240" w:lineRule="auto"/>
              <w:jc w:val="center"/>
              <w:rPr>
                <w:rFonts w:hAnsi="宋体"/>
                <w:kern w:val="2"/>
                <w:szCs w:val="21"/>
              </w:rPr>
            </w:pPr>
            <w:r>
              <w:rPr>
                <w:rFonts w:hint="eastAsia" w:hAnsi="宋体"/>
                <w:kern w:val="2"/>
                <w:szCs w:val="21"/>
              </w:rPr>
              <w:t>干净整洁无臭味</w:t>
            </w:r>
          </w:p>
        </w:tc>
      </w:tr>
      <w:tr w14:paraId="6A02F0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1304" w:hRule="atLeast"/>
          <w:jc w:val="center"/>
        </w:trPr>
        <w:tc>
          <w:tcPr>
            <w:tcW w:w="514" w:type="pct"/>
            <w:vMerge w:val="continue"/>
            <w:vAlign w:val="center"/>
          </w:tcPr>
          <w:p w14:paraId="043D649B">
            <w:pPr>
              <w:widowControl w:val="0"/>
              <w:shd w:val="clear" w:color="auto" w:fill="auto"/>
              <w:adjustRightInd/>
              <w:snapToGrid/>
              <w:spacing w:line="240" w:lineRule="auto"/>
              <w:jc w:val="center"/>
              <w:rPr>
                <w:rFonts w:hAnsi="宋体"/>
                <w:kern w:val="2"/>
                <w:szCs w:val="21"/>
              </w:rPr>
            </w:pPr>
          </w:p>
        </w:tc>
        <w:tc>
          <w:tcPr>
            <w:tcW w:w="789" w:type="pct"/>
            <w:vAlign w:val="center"/>
          </w:tcPr>
          <w:p w14:paraId="147A91FD">
            <w:pPr>
              <w:widowControl w:val="0"/>
              <w:shd w:val="clear" w:color="auto" w:fill="auto"/>
              <w:adjustRightInd/>
              <w:snapToGrid/>
              <w:spacing w:line="240" w:lineRule="auto"/>
              <w:jc w:val="center"/>
              <w:rPr>
                <w:rFonts w:hAnsi="宋体"/>
                <w:kern w:val="2"/>
                <w:szCs w:val="21"/>
              </w:rPr>
            </w:pPr>
            <w:r>
              <w:rPr>
                <w:rFonts w:hint="eastAsia" w:hAnsi="宋体"/>
                <w:kern w:val="2"/>
                <w:szCs w:val="21"/>
              </w:rPr>
              <w:t>走廊地面</w:t>
            </w:r>
          </w:p>
        </w:tc>
        <w:tc>
          <w:tcPr>
            <w:tcW w:w="662" w:type="pct"/>
            <w:vAlign w:val="center"/>
          </w:tcPr>
          <w:p w14:paraId="04549DE6">
            <w:pPr>
              <w:widowControl w:val="0"/>
              <w:shd w:val="clear" w:color="auto" w:fill="auto"/>
              <w:adjustRightInd/>
              <w:snapToGrid/>
              <w:spacing w:line="240" w:lineRule="auto"/>
              <w:jc w:val="center"/>
              <w:rPr>
                <w:rFonts w:hAnsi="宋体"/>
                <w:kern w:val="2"/>
                <w:szCs w:val="21"/>
              </w:rPr>
            </w:pPr>
            <w:r>
              <w:rPr>
                <w:rFonts w:hint="eastAsia" w:hAnsi="宋体"/>
                <w:kern w:val="2"/>
                <w:szCs w:val="21"/>
              </w:rPr>
              <w:t>清扫干净后用水湿拖2次并随时保洁</w:t>
            </w:r>
          </w:p>
        </w:tc>
        <w:tc>
          <w:tcPr>
            <w:tcW w:w="809" w:type="pct"/>
            <w:vAlign w:val="center"/>
          </w:tcPr>
          <w:p w14:paraId="65F08662">
            <w:pPr>
              <w:widowControl w:val="0"/>
              <w:shd w:val="clear" w:color="auto" w:fill="auto"/>
              <w:adjustRightInd/>
              <w:snapToGrid/>
              <w:spacing w:line="240" w:lineRule="auto"/>
              <w:jc w:val="center"/>
              <w:rPr>
                <w:rFonts w:hAnsi="宋体"/>
                <w:kern w:val="2"/>
                <w:szCs w:val="21"/>
              </w:rPr>
            </w:pPr>
            <w:r>
              <w:rPr>
                <w:rFonts w:hint="eastAsia" w:hAnsi="宋体"/>
                <w:kern w:val="2"/>
                <w:szCs w:val="21"/>
              </w:rPr>
              <w:t>用洗地机擦洗地板污渍1次</w:t>
            </w:r>
          </w:p>
        </w:tc>
        <w:tc>
          <w:tcPr>
            <w:tcW w:w="581" w:type="pct"/>
            <w:vAlign w:val="center"/>
          </w:tcPr>
          <w:p w14:paraId="41929F42">
            <w:pPr>
              <w:widowControl w:val="0"/>
              <w:shd w:val="clear" w:color="auto" w:fill="auto"/>
              <w:adjustRightInd/>
              <w:snapToGrid/>
              <w:spacing w:line="240" w:lineRule="auto"/>
              <w:jc w:val="center"/>
              <w:rPr>
                <w:rFonts w:hAnsi="宋体"/>
                <w:kern w:val="2"/>
                <w:szCs w:val="21"/>
              </w:rPr>
            </w:pPr>
          </w:p>
        </w:tc>
        <w:tc>
          <w:tcPr>
            <w:tcW w:w="1642" w:type="pct"/>
            <w:vAlign w:val="center"/>
          </w:tcPr>
          <w:p w14:paraId="1CB6E797">
            <w:pPr>
              <w:widowControl w:val="0"/>
              <w:shd w:val="clear" w:color="auto" w:fill="auto"/>
              <w:adjustRightInd/>
              <w:snapToGrid/>
              <w:spacing w:line="240" w:lineRule="auto"/>
              <w:jc w:val="center"/>
              <w:rPr>
                <w:rFonts w:hAnsi="宋体"/>
                <w:kern w:val="2"/>
                <w:szCs w:val="21"/>
              </w:rPr>
            </w:pPr>
            <w:r>
              <w:rPr>
                <w:rFonts w:hint="eastAsia" w:hAnsi="宋体"/>
                <w:kern w:val="2"/>
                <w:szCs w:val="21"/>
              </w:rPr>
              <w:t>无垃圾杂物、无沙尘、无污渍秽</w:t>
            </w:r>
          </w:p>
        </w:tc>
      </w:tr>
      <w:tr w14:paraId="62142F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67" w:hRule="atLeast"/>
          <w:jc w:val="center"/>
        </w:trPr>
        <w:tc>
          <w:tcPr>
            <w:tcW w:w="514" w:type="pct"/>
            <w:vMerge w:val="continue"/>
            <w:vAlign w:val="center"/>
          </w:tcPr>
          <w:p w14:paraId="1ECBCB9B">
            <w:pPr>
              <w:widowControl w:val="0"/>
              <w:shd w:val="clear" w:color="auto" w:fill="auto"/>
              <w:adjustRightInd/>
              <w:snapToGrid/>
              <w:spacing w:line="240" w:lineRule="auto"/>
              <w:jc w:val="center"/>
              <w:rPr>
                <w:rFonts w:hAnsi="宋体"/>
                <w:kern w:val="2"/>
                <w:szCs w:val="21"/>
              </w:rPr>
            </w:pPr>
          </w:p>
        </w:tc>
        <w:tc>
          <w:tcPr>
            <w:tcW w:w="789" w:type="pct"/>
            <w:vAlign w:val="center"/>
          </w:tcPr>
          <w:p w14:paraId="15094683">
            <w:pPr>
              <w:widowControl w:val="0"/>
              <w:shd w:val="clear" w:color="auto" w:fill="auto"/>
              <w:adjustRightInd/>
              <w:snapToGrid/>
              <w:spacing w:line="240" w:lineRule="auto"/>
              <w:jc w:val="center"/>
              <w:rPr>
                <w:rFonts w:hAnsi="宋体"/>
                <w:kern w:val="2"/>
                <w:szCs w:val="21"/>
              </w:rPr>
            </w:pPr>
            <w:r>
              <w:rPr>
                <w:rFonts w:hint="eastAsia" w:hAnsi="宋体"/>
                <w:kern w:val="2"/>
                <w:szCs w:val="21"/>
              </w:rPr>
              <w:t>消防设施及指示牌等</w:t>
            </w:r>
          </w:p>
        </w:tc>
        <w:tc>
          <w:tcPr>
            <w:tcW w:w="662" w:type="pct"/>
            <w:vAlign w:val="center"/>
          </w:tcPr>
          <w:p w14:paraId="60782DE2">
            <w:pPr>
              <w:widowControl w:val="0"/>
              <w:shd w:val="clear" w:color="auto" w:fill="auto"/>
              <w:adjustRightInd/>
              <w:snapToGrid/>
              <w:spacing w:line="240" w:lineRule="auto"/>
              <w:jc w:val="center"/>
              <w:rPr>
                <w:rFonts w:hAnsi="宋体"/>
                <w:kern w:val="2"/>
                <w:szCs w:val="21"/>
              </w:rPr>
            </w:pPr>
            <w:r>
              <w:rPr>
                <w:rFonts w:hint="eastAsia" w:hAnsi="宋体"/>
                <w:kern w:val="2"/>
                <w:szCs w:val="21"/>
              </w:rPr>
              <w:t>清抹1次并保洁</w:t>
            </w:r>
          </w:p>
        </w:tc>
        <w:tc>
          <w:tcPr>
            <w:tcW w:w="809" w:type="pct"/>
            <w:vAlign w:val="center"/>
          </w:tcPr>
          <w:p w14:paraId="32076F4F">
            <w:pPr>
              <w:widowControl w:val="0"/>
              <w:shd w:val="clear" w:color="auto" w:fill="auto"/>
              <w:adjustRightInd/>
              <w:snapToGrid/>
              <w:spacing w:line="240" w:lineRule="auto"/>
              <w:jc w:val="center"/>
              <w:rPr>
                <w:rFonts w:hAnsi="宋体"/>
                <w:kern w:val="2"/>
                <w:szCs w:val="21"/>
              </w:rPr>
            </w:pPr>
          </w:p>
        </w:tc>
        <w:tc>
          <w:tcPr>
            <w:tcW w:w="581" w:type="pct"/>
            <w:vAlign w:val="center"/>
          </w:tcPr>
          <w:p w14:paraId="08065FFD">
            <w:pPr>
              <w:widowControl w:val="0"/>
              <w:shd w:val="clear" w:color="auto" w:fill="auto"/>
              <w:adjustRightInd/>
              <w:snapToGrid/>
              <w:spacing w:line="240" w:lineRule="auto"/>
              <w:jc w:val="center"/>
              <w:rPr>
                <w:rFonts w:hAnsi="宋体"/>
                <w:kern w:val="2"/>
                <w:szCs w:val="21"/>
              </w:rPr>
            </w:pPr>
          </w:p>
        </w:tc>
        <w:tc>
          <w:tcPr>
            <w:tcW w:w="1642" w:type="pct"/>
            <w:vAlign w:val="center"/>
          </w:tcPr>
          <w:p w14:paraId="3FED8E3B">
            <w:pPr>
              <w:widowControl w:val="0"/>
              <w:shd w:val="clear" w:color="auto" w:fill="auto"/>
              <w:adjustRightInd/>
              <w:snapToGrid/>
              <w:spacing w:line="240" w:lineRule="auto"/>
              <w:jc w:val="center"/>
              <w:rPr>
                <w:rFonts w:hAnsi="宋体"/>
                <w:kern w:val="2"/>
                <w:szCs w:val="21"/>
              </w:rPr>
            </w:pPr>
            <w:r>
              <w:rPr>
                <w:rFonts w:hint="eastAsia" w:hAnsi="宋体"/>
                <w:kern w:val="2"/>
                <w:szCs w:val="21"/>
              </w:rPr>
              <w:t>无灰尘、蜘蛛网等</w:t>
            </w:r>
          </w:p>
        </w:tc>
      </w:tr>
      <w:tr w14:paraId="046100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67" w:hRule="atLeast"/>
          <w:jc w:val="center"/>
        </w:trPr>
        <w:tc>
          <w:tcPr>
            <w:tcW w:w="514" w:type="pct"/>
            <w:vMerge w:val="continue"/>
            <w:vAlign w:val="center"/>
          </w:tcPr>
          <w:p w14:paraId="781B2483">
            <w:pPr>
              <w:widowControl w:val="0"/>
              <w:shd w:val="clear" w:color="auto" w:fill="auto"/>
              <w:adjustRightInd/>
              <w:snapToGrid/>
              <w:spacing w:line="240" w:lineRule="auto"/>
              <w:jc w:val="center"/>
              <w:rPr>
                <w:rFonts w:hAnsi="宋体"/>
                <w:kern w:val="2"/>
                <w:szCs w:val="21"/>
              </w:rPr>
            </w:pPr>
          </w:p>
        </w:tc>
        <w:tc>
          <w:tcPr>
            <w:tcW w:w="789" w:type="pct"/>
            <w:vAlign w:val="center"/>
          </w:tcPr>
          <w:p w14:paraId="3FE5003F">
            <w:pPr>
              <w:widowControl w:val="0"/>
              <w:shd w:val="clear" w:color="auto" w:fill="auto"/>
              <w:adjustRightInd/>
              <w:snapToGrid/>
              <w:spacing w:line="240" w:lineRule="auto"/>
              <w:jc w:val="center"/>
              <w:rPr>
                <w:rFonts w:hAnsi="宋体"/>
                <w:kern w:val="2"/>
                <w:szCs w:val="21"/>
              </w:rPr>
            </w:pPr>
            <w:r>
              <w:rPr>
                <w:rFonts w:hint="eastAsia" w:hAnsi="宋体"/>
                <w:kern w:val="2"/>
                <w:szCs w:val="21"/>
              </w:rPr>
              <w:t>天花、灯饰、冷风口等</w:t>
            </w:r>
          </w:p>
        </w:tc>
        <w:tc>
          <w:tcPr>
            <w:tcW w:w="662" w:type="pct"/>
            <w:vAlign w:val="center"/>
          </w:tcPr>
          <w:p w14:paraId="1E5A7153">
            <w:pPr>
              <w:widowControl w:val="0"/>
              <w:shd w:val="clear" w:color="auto" w:fill="auto"/>
              <w:adjustRightInd/>
              <w:snapToGrid/>
              <w:spacing w:line="240" w:lineRule="auto"/>
              <w:jc w:val="center"/>
              <w:rPr>
                <w:rFonts w:hAnsi="宋体"/>
                <w:kern w:val="2"/>
                <w:szCs w:val="21"/>
              </w:rPr>
            </w:pPr>
            <w:r>
              <w:rPr>
                <w:rFonts w:hint="eastAsia" w:hAnsi="宋体"/>
                <w:kern w:val="2"/>
                <w:szCs w:val="21"/>
              </w:rPr>
              <w:t>保洁</w:t>
            </w:r>
          </w:p>
        </w:tc>
        <w:tc>
          <w:tcPr>
            <w:tcW w:w="809" w:type="pct"/>
            <w:vAlign w:val="center"/>
          </w:tcPr>
          <w:p w14:paraId="6ABD872A">
            <w:pPr>
              <w:widowControl w:val="0"/>
              <w:shd w:val="clear" w:color="auto" w:fill="auto"/>
              <w:adjustRightInd/>
              <w:snapToGrid/>
              <w:spacing w:line="240" w:lineRule="auto"/>
              <w:jc w:val="center"/>
              <w:rPr>
                <w:rFonts w:hAnsi="宋体"/>
                <w:kern w:val="2"/>
                <w:szCs w:val="21"/>
              </w:rPr>
            </w:pPr>
          </w:p>
        </w:tc>
        <w:tc>
          <w:tcPr>
            <w:tcW w:w="581" w:type="pct"/>
            <w:vAlign w:val="center"/>
          </w:tcPr>
          <w:p w14:paraId="15AAE07C">
            <w:pPr>
              <w:widowControl w:val="0"/>
              <w:shd w:val="clear" w:color="auto" w:fill="auto"/>
              <w:adjustRightInd/>
              <w:snapToGrid/>
              <w:spacing w:line="240" w:lineRule="auto"/>
              <w:jc w:val="center"/>
              <w:rPr>
                <w:rFonts w:hAnsi="宋体"/>
                <w:kern w:val="2"/>
                <w:szCs w:val="21"/>
              </w:rPr>
            </w:pPr>
            <w:r>
              <w:rPr>
                <w:rFonts w:hint="eastAsia" w:hAnsi="宋体"/>
                <w:kern w:val="2"/>
                <w:szCs w:val="21"/>
              </w:rPr>
              <w:t>巡回清抹2次</w:t>
            </w:r>
          </w:p>
        </w:tc>
        <w:tc>
          <w:tcPr>
            <w:tcW w:w="1642" w:type="pct"/>
            <w:vAlign w:val="center"/>
          </w:tcPr>
          <w:p w14:paraId="0E282F81">
            <w:pPr>
              <w:widowControl w:val="0"/>
              <w:shd w:val="clear" w:color="auto" w:fill="auto"/>
              <w:adjustRightInd/>
              <w:snapToGrid/>
              <w:spacing w:line="240" w:lineRule="auto"/>
              <w:jc w:val="center"/>
              <w:rPr>
                <w:rFonts w:hAnsi="宋体"/>
                <w:kern w:val="2"/>
                <w:szCs w:val="21"/>
              </w:rPr>
            </w:pPr>
            <w:r>
              <w:rPr>
                <w:rFonts w:hint="eastAsia" w:hAnsi="宋体"/>
                <w:kern w:val="2"/>
                <w:szCs w:val="21"/>
              </w:rPr>
              <w:t>无灰尘、无蛛网</w:t>
            </w:r>
          </w:p>
        </w:tc>
      </w:tr>
      <w:tr w14:paraId="0AE261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67" w:hRule="atLeast"/>
          <w:jc w:val="center"/>
        </w:trPr>
        <w:tc>
          <w:tcPr>
            <w:tcW w:w="514" w:type="pct"/>
            <w:vMerge w:val="continue"/>
            <w:vAlign w:val="center"/>
          </w:tcPr>
          <w:p w14:paraId="1F18A5FD">
            <w:pPr>
              <w:widowControl w:val="0"/>
              <w:shd w:val="clear" w:color="auto" w:fill="auto"/>
              <w:adjustRightInd/>
              <w:snapToGrid/>
              <w:spacing w:line="240" w:lineRule="auto"/>
              <w:jc w:val="center"/>
              <w:rPr>
                <w:rFonts w:hAnsi="宋体"/>
                <w:kern w:val="2"/>
                <w:szCs w:val="21"/>
              </w:rPr>
            </w:pPr>
          </w:p>
        </w:tc>
        <w:tc>
          <w:tcPr>
            <w:tcW w:w="789" w:type="pct"/>
            <w:vAlign w:val="center"/>
          </w:tcPr>
          <w:p w14:paraId="03C1275A">
            <w:pPr>
              <w:widowControl w:val="0"/>
              <w:shd w:val="clear" w:color="auto" w:fill="auto"/>
              <w:adjustRightInd/>
              <w:snapToGrid/>
              <w:spacing w:line="240" w:lineRule="auto"/>
              <w:jc w:val="center"/>
              <w:rPr>
                <w:rFonts w:hAnsi="宋体"/>
                <w:kern w:val="2"/>
                <w:szCs w:val="21"/>
              </w:rPr>
            </w:pPr>
            <w:r>
              <w:rPr>
                <w:rFonts w:hint="eastAsia" w:hAnsi="宋体"/>
                <w:kern w:val="2"/>
                <w:szCs w:val="21"/>
              </w:rPr>
              <w:t>不锈钢饰物及不锈钢信箱</w:t>
            </w:r>
          </w:p>
        </w:tc>
        <w:tc>
          <w:tcPr>
            <w:tcW w:w="662" w:type="pct"/>
            <w:vAlign w:val="center"/>
          </w:tcPr>
          <w:p w14:paraId="60339D76">
            <w:pPr>
              <w:widowControl w:val="0"/>
              <w:shd w:val="clear" w:color="auto" w:fill="auto"/>
              <w:adjustRightInd/>
              <w:snapToGrid/>
              <w:spacing w:line="240" w:lineRule="auto"/>
              <w:jc w:val="center"/>
              <w:rPr>
                <w:rFonts w:hAnsi="宋体"/>
                <w:kern w:val="2"/>
                <w:szCs w:val="21"/>
              </w:rPr>
            </w:pPr>
            <w:r>
              <w:rPr>
                <w:rFonts w:hint="eastAsia" w:hAnsi="宋体"/>
                <w:kern w:val="2"/>
                <w:szCs w:val="21"/>
              </w:rPr>
              <w:t>保洁、随时清理污渍、灰尘</w:t>
            </w:r>
          </w:p>
        </w:tc>
        <w:tc>
          <w:tcPr>
            <w:tcW w:w="809" w:type="pct"/>
            <w:vAlign w:val="center"/>
          </w:tcPr>
          <w:p w14:paraId="26FF2CFA">
            <w:pPr>
              <w:widowControl w:val="0"/>
              <w:shd w:val="clear" w:color="auto" w:fill="auto"/>
              <w:adjustRightInd/>
              <w:snapToGrid/>
              <w:spacing w:line="240" w:lineRule="auto"/>
              <w:jc w:val="center"/>
              <w:rPr>
                <w:rFonts w:hAnsi="宋体"/>
                <w:kern w:val="2"/>
                <w:szCs w:val="21"/>
              </w:rPr>
            </w:pPr>
            <w:r>
              <w:rPr>
                <w:rFonts w:hint="eastAsia" w:hAnsi="宋体"/>
                <w:kern w:val="2"/>
                <w:szCs w:val="21"/>
              </w:rPr>
              <w:t>上不锈钢油2次</w:t>
            </w:r>
          </w:p>
        </w:tc>
        <w:tc>
          <w:tcPr>
            <w:tcW w:w="581" w:type="pct"/>
            <w:vAlign w:val="center"/>
          </w:tcPr>
          <w:p w14:paraId="66193CE2">
            <w:pPr>
              <w:widowControl w:val="0"/>
              <w:shd w:val="clear" w:color="auto" w:fill="auto"/>
              <w:adjustRightInd/>
              <w:snapToGrid/>
              <w:spacing w:line="240" w:lineRule="auto"/>
              <w:jc w:val="center"/>
              <w:rPr>
                <w:rFonts w:hAnsi="宋体"/>
                <w:kern w:val="2"/>
                <w:szCs w:val="21"/>
              </w:rPr>
            </w:pPr>
          </w:p>
        </w:tc>
        <w:tc>
          <w:tcPr>
            <w:tcW w:w="1642" w:type="pct"/>
            <w:vAlign w:val="center"/>
          </w:tcPr>
          <w:p w14:paraId="3DFA0AA9">
            <w:pPr>
              <w:widowControl w:val="0"/>
              <w:shd w:val="clear" w:color="auto" w:fill="auto"/>
              <w:adjustRightInd/>
              <w:snapToGrid/>
              <w:spacing w:line="240" w:lineRule="auto"/>
              <w:jc w:val="center"/>
              <w:rPr>
                <w:rFonts w:hAnsi="宋体"/>
                <w:kern w:val="2"/>
                <w:szCs w:val="21"/>
              </w:rPr>
            </w:pPr>
            <w:r>
              <w:rPr>
                <w:rFonts w:hint="eastAsia" w:hAnsi="宋体"/>
                <w:kern w:val="2"/>
                <w:szCs w:val="21"/>
              </w:rPr>
              <w:t>无灰尘、手印、污渍、钢锈</w:t>
            </w:r>
          </w:p>
        </w:tc>
      </w:tr>
      <w:tr w14:paraId="2E81B2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67" w:hRule="atLeast"/>
          <w:jc w:val="center"/>
        </w:trPr>
        <w:tc>
          <w:tcPr>
            <w:tcW w:w="514" w:type="pct"/>
            <w:vMerge w:val="continue"/>
            <w:vAlign w:val="center"/>
          </w:tcPr>
          <w:p w14:paraId="470E5DC9">
            <w:pPr>
              <w:widowControl w:val="0"/>
              <w:shd w:val="clear" w:color="auto" w:fill="auto"/>
              <w:adjustRightInd/>
              <w:snapToGrid/>
              <w:spacing w:line="240" w:lineRule="auto"/>
              <w:jc w:val="center"/>
              <w:rPr>
                <w:rFonts w:hAnsi="宋体"/>
                <w:kern w:val="2"/>
                <w:szCs w:val="21"/>
              </w:rPr>
            </w:pPr>
          </w:p>
        </w:tc>
        <w:tc>
          <w:tcPr>
            <w:tcW w:w="789" w:type="pct"/>
            <w:vAlign w:val="center"/>
          </w:tcPr>
          <w:p w14:paraId="30213871">
            <w:pPr>
              <w:widowControl w:val="0"/>
              <w:shd w:val="clear" w:color="auto" w:fill="auto"/>
              <w:adjustRightInd/>
              <w:snapToGrid/>
              <w:spacing w:line="240" w:lineRule="auto"/>
              <w:jc w:val="center"/>
              <w:rPr>
                <w:rFonts w:hAnsi="宋体"/>
                <w:kern w:val="2"/>
                <w:szCs w:val="21"/>
              </w:rPr>
            </w:pPr>
            <w:r>
              <w:rPr>
                <w:rFonts w:hint="eastAsia" w:hAnsi="宋体"/>
                <w:kern w:val="2"/>
                <w:szCs w:val="21"/>
              </w:rPr>
              <w:t>瓷砖地面</w:t>
            </w:r>
          </w:p>
        </w:tc>
        <w:tc>
          <w:tcPr>
            <w:tcW w:w="662" w:type="pct"/>
            <w:vAlign w:val="center"/>
          </w:tcPr>
          <w:p w14:paraId="3121477A">
            <w:pPr>
              <w:widowControl w:val="0"/>
              <w:shd w:val="clear" w:color="auto" w:fill="auto"/>
              <w:adjustRightInd/>
              <w:snapToGrid/>
              <w:spacing w:line="240" w:lineRule="auto"/>
              <w:jc w:val="center"/>
              <w:rPr>
                <w:rFonts w:hAnsi="宋体"/>
                <w:kern w:val="2"/>
                <w:szCs w:val="21"/>
              </w:rPr>
            </w:pPr>
            <w:r>
              <w:rPr>
                <w:rFonts w:hint="eastAsia" w:hAnsi="宋体"/>
                <w:kern w:val="2"/>
                <w:szCs w:val="21"/>
              </w:rPr>
              <w:t>清扫干净后水湿拖2次并巡回保洁</w:t>
            </w:r>
          </w:p>
        </w:tc>
        <w:tc>
          <w:tcPr>
            <w:tcW w:w="809" w:type="pct"/>
            <w:vAlign w:val="center"/>
          </w:tcPr>
          <w:p w14:paraId="62474041">
            <w:pPr>
              <w:widowControl w:val="0"/>
              <w:shd w:val="clear" w:color="auto" w:fill="auto"/>
              <w:adjustRightInd/>
              <w:snapToGrid/>
              <w:spacing w:line="240" w:lineRule="auto"/>
              <w:jc w:val="center"/>
              <w:rPr>
                <w:rFonts w:hAnsi="宋体"/>
                <w:kern w:val="2"/>
                <w:szCs w:val="21"/>
              </w:rPr>
            </w:pPr>
          </w:p>
        </w:tc>
        <w:tc>
          <w:tcPr>
            <w:tcW w:w="581" w:type="pct"/>
            <w:vAlign w:val="center"/>
          </w:tcPr>
          <w:p w14:paraId="3F6E9C0A">
            <w:pPr>
              <w:widowControl w:val="0"/>
              <w:shd w:val="clear" w:color="auto" w:fill="auto"/>
              <w:adjustRightInd/>
              <w:snapToGrid/>
              <w:spacing w:line="240" w:lineRule="auto"/>
              <w:jc w:val="center"/>
              <w:rPr>
                <w:rFonts w:hAnsi="宋体"/>
                <w:kern w:val="2"/>
                <w:szCs w:val="21"/>
              </w:rPr>
            </w:pPr>
          </w:p>
        </w:tc>
        <w:tc>
          <w:tcPr>
            <w:tcW w:w="1642" w:type="pct"/>
            <w:vAlign w:val="center"/>
          </w:tcPr>
          <w:p w14:paraId="7B2D20F2">
            <w:pPr>
              <w:widowControl w:val="0"/>
              <w:shd w:val="clear" w:color="auto" w:fill="auto"/>
              <w:adjustRightInd/>
              <w:snapToGrid/>
              <w:spacing w:line="240" w:lineRule="auto"/>
              <w:jc w:val="center"/>
              <w:rPr>
                <w:rFonts w:hAnsi="宋体"/>
                <w:kern w:val="2"/>
                <w:szCs w:val="21"/>
              </w:rPr>
            </w:pPr>
            <w:r>
              <w:rPr>
                <w:rFonts w:hint="eastAsia" w:hAnsi="宋体"/>
                <w:kern w:val="2"/>
                <w:szCs w:val="21"/>
              </w:rPr>
              <w:t>无垃圾、灰尘、无污渍秽迹等</w:t>
            </w:r>
          </w:p>
        </w:tc>
      </w:tr>
      <w:tr w14:paraId="19AF0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67" w:hRule="atLeast"/>
          <w:jc w:val="center"/>
        </w:trPr>
        <w:tc>
          <w:tcPr>
            <w:tcW w:w="514" w:type="pct"/>
            <w:vMerge w:val="continue"/>
            <w:vAlign w:val="center"/>
          </w:tcPr>
          <w:p w14:paraId="131DF437">
            <w:pPr>
              <w:widowControl w:val="0"/>
              <w:shd w:val="clear" w:color="auto" w:fill="auto"/>
              <w:adjustRightInd/>
              <w:snapToGrid/>
              <w:spacing w:line="240" w:lineRule="auto"/>
              <w:jc w:val="center"/>
              <w:rPr>
                <w:rFonts w:hAnsi="宋体"/>
                <w:kern w:val="2"/>
                <w:szCs w:val="21"/>
              </w:rPr>
            </w:pPr>
          </w:p>
        </w:tc>
        <w:tc>
          <w:tcPr>
            <w:tcW w:w="789" w:type="pct"/>
            <w:vAlign w:val="center"/>
          </w:tcPr>
          <w:p w14:paraId="2CD38477">
            <w:pPr>
              <w:widowControl w:val="0"/>
              <w:shd w:val="clear" w:color="auto" w:fill="auto"/>
              <w:adjustRightInd/>
              <w:snapToGrid/>
              <w:spacing w:line="240" w:lineRule="auto"/>
              <w:jc w:val="center"/>
              <w:rPr>
                <w:rFonts w:hAnsi="宋体"/>
                <w:kern w:val="2"/>
                <w:szCs w:val="21"/>
              </w:rPr>
            </w:pPr>
            <w:r>
              <w:rPr>
                <w:rFonts w:hint="eastAsia" w:hAnsi="宋体"/>
                <w:kern w:val="2"/>
                <w:szCs w:val="21"/>
              </w:rPr>
              <w:t>管道及灯饰</w:t>
            </w:r>
          </w:p>
        </w:tc>
        <w:tc>
          <w:tcPr>
            <w:tcW w:w="662" w:type="pct"/>
            <w:vAlign w:val="center"/>
          </w:tcPr>
          <w:p w14:paraId="454A9D13">
            <w:pPr>
              <w:widowControl w:val="0"/>
              <w:shd w:val="clear" w:color="auto" w:fill="auto"/>
              <w:adjustRightInd/>
              <w:snapToGrid/>
              <w:spacing w:line="240" w:lineRule="auto"/>
              <w:jc w:val="center"/>
              <w:rPr>
                <w:rFonts w:hAnsi="宋体"/>
                <w:kern w:val="2"/>
                <w:szCs w:val="21"/>
              </w:rPr>
            </w:pPr>
          </w:p>
        </w:tc>
        <w:tc>
          <w:tcPr>
            <w:tcW w:w="809" w:type="pct"/>
            <w:vAlign w:val="center"/>
          </w:tcPr>
          <w:p w14:paraId="6E3EA109">
            <w:pPr>
              <w:widowControl w:val="0"/>
              <w:shd w:val="clear" w:color="auto" w:fill="auto"/>
              <w:adjustRightInd/>
              <w:snapToGrid/>
              <w:spacing w:line="240" w:lineRule="auto"/>
              <w:jc w:val="center"/>
              <w:rPr>
                <w:rFonts w:hAnsi="宋体"/>
                <w:kern w:val="2"/>
                <w:szCs w:val="21"/>
              </w:rPr>
            </w:pPr>
            <w:r>
              <w:rPr>
                <w:rFonts w:hint="eastAsia" w:hAnsi="宋体"/>
                <w:kern w:val="2"/>
                <w:szCs w:val="21"/>
              </w:rPr>
              <w:t>扫除蛛网、灰尘1次</w:t>
            </w:r>
          </w:p>
        </w:tc>
        <w:tc>
          <w:tcPr>
            <w:tcW w:w="581" w:type="pct"/>
            <w:vAlign w:val="center"/>
          </w:tcPr>
          <w:p w14:paraId="46795E01">
            <w:pPr>
              <w:widowControl w:val="0"/>
              <w:shd w:val="clear" w:color="auto" w:fill="auto"/>
              <w:adjustRightInd/>
              <w:snapToGrid/>
              <w:spacing w:line="240" w:lineRule="auto"/>
              <w:jc w:val="center"/>
              <w:rPr>
                <w:rFonts w:hAnsi="宋体"/>
                <w:kern w:val="2"/>
                <w:szCs w:val="21"/>
              </w:rPr>
            </w:pPr>
          </w:p>
        </w:tc>
        <w:tc>
          <w:tcPr>
            <w:tcW w:w="1642" w:type="pct"/>
            <w:vAlign w:val="center"/>
          </w:tcPr>
          <w:p w14:paraId="387243DE">
            <w:pPr>
              <w:widowControl w:val="0"/>
              <w:shd w:val="clear" w:color="auto" w:fill="auto"/>
              <w:adjustRightInd/>
              <w:snapToGrid/>
              <w:spacing w:line="240" w:lineRule="auto"/>
              <w:jc w:val="center"/>
              <w:rPr>
                <w:rFonts w:hAnsi="宋体"/>
                <w:kern w:val="2"/>
                <w:szCs w:val="21"/>
              </w:rPr>
            </w:pPr>
            <w:r>
              <w:rPr>
                <w:rFonts w:hint="eastAsia" w:hAnsi="宋体"/>
                <w:kern w:val="2"/>
                <w:szCs w:val="21"/>
              </w:rPr>
              <w:t>无蛛网、无灰尘等</w:t>
            </w:r>
          </w:p>
        </w:tc>
      </w:tr>
      <w:tr w14:paraId="5E128DF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67" w:hRule="atLeast"/>
          <w:jc w:val="center"/>
        </w:trPr>
        <w:tc>
          <w:tcPr>
            <w:tcW w:w="514" w:type="pct"/>
            <w:vMerge w:val="restart"/>
            <w:vAlign w:val="center"/>
          </w:tcPr>
          <w:p w14:paraId="511E9805">
            <w:pPr>
              <w:widowControl w:val="0"/>
              <w:shd w:val="clear" w:color="auto" w:fill="auto"/>
              <w:adjustRightInd/>
              <w:snapToGrid/>
              <w:spacing w:line="240" w:lineRule="auto"/>
              <w:jc w:val="center"/>
              <w:rPr>
                <w:rFonts w:hAnsi="宋体"/>
                <w:kern w:val="2"/>
                <w:szCs w:val="21"/>
              </w:rPr>
            </w:pPr>
            <w:r>
              <w:rPr>
                <w:rFonts w:hint="eastAsia" w:hAnsi="宋体"/>
                <w:kern w:val="2"/>
                <w:szCs w:val="21"/>
              </w:rPr>
              <w:t>餐厅</w:t>
            </w:r>
          </w:p>
        </w:tc>
        <w:tc>
          <w:tcPr>
            <w:tcW w:w="789" w:type="pct"/>
            <w:vAlign w:val="center"/>
          </w:tcPr>
          <w:p w14:paraId="0CBAE886">
            <w:pPr>
              <w:widowControl w:val="0"/>
              <w:shd w:val="clear" w:color="auto" w:fill="auto"/>
              <w:adjustRightInd/>
              <w:snapToGrid/>
              <w:spacing w:line="240" w:lineRule="auto"/>
              <w:jc w:val="center"/>
              <w:rPr>
                <w:rFonts w:hAnsi="宋体"/>
                <w:kern w:val="2"/>
                <w:szCs w:val="21"/>
              </w:rPr>
            </w:pPr>
            <w:r>
              <w:rPr>
                <w:rFonts w:hint="eastAsia" w:hAnsi="宋体"/>
                <w:kern w:val="2"/>
                <w:szCs w:val="21"/>
              </w:rPr>
              <w:t>地面</w:t>
            </w:r>
          </w:p>
        </w:tc>
        <w:tc>
          <w:tcPr>
            <w:tcW w:w="662" w:type="pct"/>
            <w:vAlign w:val="center"/>
          </w:tcPr>
          <w:p w14:paraId="69347661">
            <w:pPr>
              <w:widowControl w:val="0"/>
              <w:shd w:val="clear" w:color="auto" w:fill="auto"/>
              <w:adjustRightInd/>
              <w:snapToGrid/>
              <w:spacing w:line="240" w:lineRule="auto"/>
              <w:jc w:val="center"/>
              <w:rPr>
                <w:rFonts w:hAnsi="宋体"/>
                <w:kern w:val="2"/>
                <w:szCs w:val="21"/>
              </w:rPr>
            </w:pPr>
            <w:r>
              <w:rPr>
                <w:rFonts w:hint="eastAsia" w:hAnsi="宋体"/>
                <w:kern w:val="2"/>
                <w:szCs w:val="21"/>
              </w:rPr>
              <w:t>清拖二次</w:t>
            </w:r>
          </w:p>
        </w:tc>
        <w:tc>
          <w:tcPr>
            <w:tcW w:w="809" w:type="pct"/>
            <w:vAlign w:val="center"/>
          </w:tcPr>
          <w:p w14:paraId="24233FBC">
            <w:pPr>
              <w:widowControl w:val="0"/>
              <w:shd w:val="clear" w:color="auto" w:fill="auto"/>
              <w:adjustRightInd/>
              <w:snapToGrid/>
              <w:spacing w:line="240" w:lineRule="auto"/>
              <w:jc w:val="center"/>
              <w:rPr>
                <w:rFonts w:hAnsi="宋体"/>
                <w:kern w:val="2"/>
                <w:szCs w:val="21"/>
              </w:rPr>
            </w:pPr>
            <w:r>
              <w:rPr>
                <w:rFonts w:hint="eastAsia" w:hAnsi="宋体"/>
                <w:kern w:val="2"/>
                <w:szCs w:val="21"/>
              </w:rPr>
              <w:t>清洗一次</w:t>
            </w:r>
          </w:p>
        </w:tc>
        <w:tc>
          <w:tcPr>
            <w:tcW w:w="581" w:type="pct"/>
            <w:vAlign w:val="center"/>
          </w:tcPr>
          <w:p w14:paraId="292DF3A2">
            <w:pPr>
              <w:widowControl w:val="0"/>
              <w:shd w:val="clear" w:color="auto" w:fill="auto"/>
              <w:adjustRightInd/>
              <w:snapToGrid/>
              <w:spacing w:line="240" w:lineRule="auto"/>
              <w:jc w:val="center"/>
              <w:rPr>
                <w:rFonts w:hAnsi="宋体"/>
                <w:kern w:val="2"/>
                <w:szCs w:val="21"/>
              </w:rPr>
            </w:pPr>
          </w:p>
        </w:tc>
        <w:tc>
          <w:tcPr>
            <w:tcW w:w="1642" w:type="pct"/>
            <w:vAlign w:val="center"/>
          </w:tcPr>
          <w:p w14:paraId="51EBE99B">
            <w:pPr>
              <w:widowControl w:val="0"/>
              <w:shd w:val="clear" w:color="auto" w:fill="auto"/>
              <w:adjustRightInd/>
              <w:snapToGrid/>
              <w:spacing w:line="240" w:lineRule="auto"/>
              <w:jc w:val="center"/>
              <w:rPr>
                <w:rFonts w:hAnsi="宋体"/>
                <w:kern w:val="2"/>
                <w:szCs w:val="21"/>
              </w:rPr>
            </w:pPr>
            <w:r>
              <w:rPr>
                <w:rFonts w:hint="eastAsia" w:hAnsi="宋体"/>
                <w:kern w:val="2"/>
                <w:szCs w:val="21"/>
              </w:rPr>
              <w:t>干净、无污渍、无杂物</w:t>
            </w:r>
          </w:p>
        </w:tc>
      </w:tr>
      <w:tr w14:paraId="2269BF5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67" w:hRule="atLeast"/>
          <w:jc w:val="center"/>
        </w:trPr>
        <w:tc>
          <w:tcPr>
            <w:tcW w:w="514" w:type="pct"/>
            <w:vMerge w:val="continue"/>
            <w:vAlign w:val="center"/>
          </w:tcPr>
          <w:p w14:paraId="20D0B401">
            <w:pPr>
              <w:widowControl w:val="0"/>
              <w:shd w:val="clear" w:color="auto" w:fill="auto"/>
              <w:adjustRightInd/>
              <w:snapToGrid/>
              <w:spacing w:line="240" w:lineRule="auto"/>
              <w:jc w:val="center"/>
              <w:rPr>
                <w:rFonts w:hAnsi="宋体"/>
                <w:kern w:val="2"/>
                <w:szCs w:val="21"/>
              </w:rPr>
            </w:pPr>
          </w:p>
        </w:tc>
        <w:tc>
          <w:tcPr>
            <w:tcW w:w="789" w:type="pct"/>
            <w:vAlign w:val="center"/>
          </w:tcPr>
          <w:p w14:paraId="5DB71CB6">
            <w:pPr>
              <w:widowControl w:val="0"/>
              <w:shd w:val="clear" w:color="auto" w:fill="auto"/>
              <w:adjustRightInd/>
              <w:snapToGrid/>
              <w:spacing w:line="240" w:lineRule="auto"/>
              <w:jc w:val="center"/>
              <w:rPr>
                <w:rFonts w:hAnsi="宋体"/>
                <w:kern w:val="2"/>
                <w:szCs w:val="21"/>
              </w:rPr>
            </w:pPr>
            <w:r>
              <w:rPr>
                <w:rFonts w:hint="eastAsia" w:hAnsi="宋体"/>
                <w:kern w:val="2"/>
                <w:szCs w:val="21"/>
              </w:rPr>
              <w:t>墙壁</w:t>
            </w:r>
          </w:p>
        </w:tc>
        <w:tc>
          <w:tcPr>
            <w:tcW w:w="662" w:type="pct"/>
            <w:vAlign w:val="center"/>
          </w:tcPr>
          <w:p w14:paraId="5EDDB760">
            <w:pPr>
              <w:widowControl w:val="0"/>
              <w:shd w:val="clear" w:color="auto" w:fill="auto"/>
              <w:adjustRightInd/>
              <w:snapToGrid/>
              <w:spacing w:line="240" w:lineRule="auto"/>
              <w:jc w:val="center"/>
              <w:rPr>
                <w:rFonts w:hAnsi="宋体"/>
                <w:kern w:val="2"/>
                <w:szCs w:val="21"/>
              </w:rPr>
            </w:pPr>
            <w:r>
              <w:rPr>
                <w:rFonts w:hint="eastAsia" w:hAnsi="宋体"/>
                <w:kern w:val="2"/>
                <w:szCs w:val="21"/>
              </w:rPr>
              <w:t>清抹一次</w:t>
            </w:r>
          </w:p>
        </w:tc>
        <w:tc>
          <w:tcPr>
            <w:tcW w:w="809" w:type="pct"/>
            <w:vAlign w:val="center"/>
          </w:tcPr>
          <w:p w14:paraId="63392B57">
            <w:pPr>
              <w:widowControl w:val="0"/>
              <w:shd w:val="clear" w:color="auto" w:fill="auto"/>
              <w:adjustRightInd/>
              <w:snapToGrid/>
              <w:spacing w:line="240" w:lineRule="auto"/>
              <w:jc w:val="center"/>
              <w:rPr>
                <w:rFonts w:hAnsi="宋体"/>
                <w:kern w:val="2"/>
                <w:szCs w:val="21"/>
              </w:rPr>
            </w:pPr>
          </w:p>
        </w:tc>
        <w:tc>
          <w:tcPr>
            <w:tcW w:w="581" w:type="pct"/>
            <w:vAlign w:val="center"/>
          </w:tcPr>
          <w:p w14:paraId="460539BE">
            <w:pPr>
              <w:widowControl w:val="0"/>
              <w:shd w:val="clear" w:color="auto" w:fill="auto"/>
              <w:adjustRightInd/>
              <w:snapToGrid/>
              <w:spacing w:line="240" w:lineRule="auto"/>
              <w:jc w:val="center"/>
              <w:rPr>
                <w:rFonts w:hAnsi="宋体"/>
                <w:kern w:val="2"/>
                <w:szCs w:val="21"/>
              </w:rPr>
            </w:pPr>
            <w:r>
              <w:rPr>
                <w:rFonts w:hint="eastAsia" w:hAnsi="宋体"/>
                <w:kern w:val="2"/>
                <w:szCs w:val="21"/>
              </w:rPr>
              <w:t>用清洁剂清洗一次</w:t>
            </w:r>
          </w:p>
        </w:tc>
        <w:tc>
          <w:tcPr>
            <w:tcW w:w="1642" w:type="pct"/>
            <w:vAlign w:val="center"/>
          </w:tcPr>
          <w:p w14:paraId="3C6102C1">
            <w:pPr>
              <w:widowControl w:val="0"/>
              <w:shd w:val="clear" w:color="auto" w:fill="auto"/>
              <w:adjustRightInd/>
              <w:snapToGrid/>
              <w:spacing w:line="240" w:lineRule="auto"/>
              <w:jc w:val="center"/>
              <w:rPr>
                <w:rFonts w:hAnsi="宋体"/>
                <w:kern w:val="2"/>
                <w:szCs w:val="21"/>
              </w:rPr>
            </w:pPr>
            <w:r>
              <w:rPr>
                <w:rFonts w:hint="eastAsia" w:hAnsi="宋体"/>
                <w:kern w:val="2"/>
                <w:szCs w:val="21"/>
              </w:rPr>
              <w:t>干净、无污渍</w:t>
            </w:r>
          </w:p>
        </w:tc>
      </w:tr>
      <w:tr w14:paraId="057267A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67" w:hRule="atLeast"/>
          <w:jc w:val="center"/>
        </w:trPr>
        <w:tc>
          <w:tcPr>
            <w:tcW w:w="514" w:type="pct"/>
            <w:vMerge w:val="continue"/>
            <w:vAlign w:val="center"/>
          </w:tcPr>
          <w:p w14:paraId="6DE89EA9">
            <w:pPr>
              <w:widowControl w:val="0"/>
              <w:shd w:val="clear" w:color="auto" w:fill="auto"/>
              <w:adjustRightInd/>
              <w:snapToGrid/>
              <w:spacing w:line="240" w:lineRule="auto"/>
              <w:jc w:val="center"/>
              <w:rPr>
                <w:rFonts w:hAnsi="宋体"/>
                <w:kern w:val="2"/>
                <w:szCs w:val="21"/>
              </w:rPr>
            </w:pPr>
          </w:p>
        </w:tc>
        <w:tc>
          <w:tcPr>
            <w:tcW w:w="789" w:type="pct"/>
            <w:vAlign w:val="center"/>
          </w:tcPr>
          <w:p w14:paraId="6788F1DB">
            <w:pPr>
              <w:widowControl w:val="0"/>
              <w:shd w:val="clear" w:color="auto" w:fill="auto"/>
              <w:adjustRightInd/>
              <w:snapToGrid/>
              <w:spacing w:line="240" w:lineRule="auto"/>
              <w:jc w:val="center"/>
              <w:rPr>
                <w:rFonts w:hAnsi="宋体"/>
                <w:kern w:val="2"/>
                <w:szCs w:val="21"/>
              </w:rPr>
            </w:pPr>
            <w:r>
              <w:rPr>
                <w:rFonts w:hint="eastAsia" w:hAnsi="宋体"/>
                <w:kern w:val="2"/>
                <w:szCs w:val="21"/>
              </w:rPr>
              <w:t>玻璃窗、门</w:t>
            </w:r>
          </w:p>
        </w:tc>
        <w:tc>
          <w:tcPr>
            <w:tcW w:w="662" w:type="pct"/>
            <w:vAlign w:val="center"/>
          </w:tcPr>
          <w:p w14:paraId="710441C4">
            <w:pPr>
              <w:widowControl w:val="0"/>
              <w:shd w:val="clear" w:color="auto" w:fill="auto"/>
              <w:adjustRightInd/>
              <w:snapToGrid/>
              <w:spacing w:line="240" w:lineRule="auto"/>
              <w:jc w:val="center"/>
              <w:rPr>
                <w:rFonts w:hAnsi="宋体"/>
                <w:kern w:val="2"/>
                <w:szCs w:val="21"/>
              </w:rPr>
            </w:pPr>
            <w:r>
              <w:rPr>
                <w:rFonts w:hint="eastAsia" w:hAnsi="宋体"/>
                <w:kern w:val="2"/>
                <w:szCs w:val="21"/>
              </w:rPr>
              <w:t>清抹一次</w:t>
            </w:r>
          </w:p>
        </w:tc>
        <w:tc>
          <w:tcPr>
            <w:tcW w:w="809" w:type="pct"/>
            <w:vAlign w:val="center"/>
          </w:tcPr>
          <w:p w14:paraId="1487438C">
            <w:pPr>
              <w:widowControl w:val="0"/>
              <w:shd w:val="clear" w:color="auto" w:fill="auto"/>
              <w:adjustRightInd/>
              <w:snapToGrid/>
              <w:spacing w:line="240" w:lineRule="auto"/>
              <w:jc w:val="center"/>
              <w:rPr>
                <w:rFonts w:hAnsi="宋体"/>
                <w:kern w:val="2"/>
                <w:szCs w:val="21"/>
              </w:rPr>
            </w:pPr>
            <w:r>
              <w:rPr>
                <w:rFonts w:hint="eastAsia" w:hAnsi="宋体"/>
                <w:kern w:val="2"/>
                <w:szCs w:val="21"/>
              </w:rPr>
              <w:t>用清洁剂清抹一次</w:t>
            </w:r>
          </w:p>
        </w:tc>
        <w:tc>
          <w:tcPr>
            <w:tcW w:w="581" w:type="pct"/>
            <w:vAlign w:val="center"/>
          </w:tcPr>
          <w:p w14:paraId="24FB1AAE">
            <w:pPr>
              <w:widowControl w:val="0"/>
              <w:shd w:val="clear" w:color="auto" w:fill="auto"/>
              <w:adjustRightInd/>
              <w:snapToGrid/>
              <w:spacing w:line="240" w:lineRule="auto"/>
              <w:jc w:val="center"/>
              <w:rPr>
                <w:rFonts w:hAnsi="宋体"/>
                <w:kern w:val="2"/>
                <w:szCs w:val="21"/>
              </w:rPr>
            </w:pPr>
          </w:p>
        </w:tc>
        <w:tc>
          <w:tcPr>
            <w:tcW w:w="1642" w:type="pct"/>
            <w:vAlign w:val="center"/>
          </w:tcPr>
          <w:p w14:paraId="1AB7A3E1">
            <w:pPr>
              <w:widowControl w:val="0"/>
              <w:shd w:val="clear" w:color="auto" w:fill="auto"/>
              <w:adjustRightInd/>
              <w:snapToGrid/>
              <w:spacing w:line="240" w:lineRule="auto"/>
              <w:jc w:val="center"/>
              <w:rPr>
                <w:rFonts w:hAnsi="宋体"/>
                <w:kern w:val="2"/>
                <w:szCs w:val="21"/>
              </w:rPr>
            </w:pPr>
            <w:r>
              <w:rPr>
                <w:rFonts w:hint="eastAsia" w:hAnsi="宋体"/>
                <w:kern w:val="2"/>
                <w:szCs w:val="21"/>
              </w:rPr>
              <w:t>无尘、无污渍</w:t>
            </w:r>
          </w:p>
        </w:tc>
      </w:tr>
      <w:tr w14:paraId="030D166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67" w:hRule="atLeast"/>
          <w:jc w:val="center"/>
        </w:trPr>
        <w:tc>
          <w:tcPr>
            <w:tcW w:w="514" w:type="pct"/>
            <w:vMerge w:val="continue"/>
            <w:vAlign w:val="center"/>
          </w:tcPr>
          <w:p w14:paraId="6B61351C">
            <w:pPr>
              <w:widowControl w:val="0"/>
              <w:shd w:val="clear" w:color="auto" w:fill="auto"/>
              <w:adjustRightInd/>
              <w:snapToGrid/>
              <w:spacing w:line="240" w:lineRule="auto"/>
              <w:jc w:val="center"/>
              <w:rPr>
                <w:rFonts w:hAnsi="宋体"/>
                <w:kern w:val="2"/>
                <w:szCs w:val="21"/>
              </w:rPr>
            </w:pPr>
          </w:p>
        </w:tc>
        <w:tc>
          <w:tcPr>
            <w:tcW w:w="789" w:type="pct"/>
            <w:vAlign w:val="center"/>
          </w:tcPr>
          <w:p w14:paraId="61FF78AD">
            <w:pPr>
              <w:widowControl w:val="0"/>
              <w:shd w:val="clear" w:color="auto" w:fill="auto"/>
              <w:adjustRightInd/>
              <w:snapToGrid/>
              <w:spacing w:line="240" w:lineRule="auto"/>
              <w:jc w:val="center"/>
              <w:rPr>
                <w:rFonts w:hAnsi="宋体"/>
                <w:kern w:val="2"/>
                <w:szCs w:val="21"/>
              </w:rPr>
            </w:pPr>
            <w:r>
              <w:rPr>
                <w:rFonts w:hint="eastAsia" w:hAnsi="宋体"/>
                <w:kern w:val="2"/>
                <w:szCs w:val="21"/>
              </w:rPr>
              <w:t>桌、椅</w:t>
            </w:r>
          </w:p>
        </w:tc>
        <w:tc>
          <w:tcPr>
            <w:tcW w:w="662" w:type="pct"/>
            <w:vAlign w:val="center"/>
          </w:tcPr>
          <w:p w14:paraId="3ABC74F8">
            <w:pPr>
              <w:widowControl w:val="0"/>
              <w:shd w:val="clear" w:color="auto" w:fill="auto"/>
              <w:adjustRightInd/>
              <w:snapToGrid/>
              <w:spacing w:line="240" w:lineRule="auto"/>
              <w:jc w:val="center"/>
              <w:rPr>
                <w:rFonts w:hAnsi="宋体"/>
                <w:kern w:val="2"/>
                <w:szCs w:val="21"/>
              </w:rPr>
            </w:pPr>
            <w:r>
              <w:rPr>
                <w:rFonts w:hint="eastAsia" w:hAnsi="宋体"/>
                <w:kern w:val="2"/>
                <w:szCs w:val="21"/>
              </w:rPr>
              <w:t>随时清抹</w:t>
            </w:r>
          </w:p>
        </w:tc>
        <w:tc>
          <w:tcPr>
            <w:tcW w:w="809" w:type="pct"/>
            <w:vAlign w:val="center"/>
          </w:tcPr>
          <w:p w14:paraId="3E05CD08">
            <w:pPr>
              <w:widowControl w:val="0"/>
              <w:shd w:val="clear" w:color="auto" w:fill="auto"/>
              <w:adjustRightInd/>
              <w:snapToGrid/>
              <w:spacing w:line="240" w:lineRule="auto"/>
              <w:jc w:val="center"/>
              <w:rPr>
                <w:rFonts w:hAnsi="宋体"/>
                <w:kern w:val="2"/>
                <w:szCs w:val="21"/>
              </w:rPr>
            </w:pPr>
            <w:r>
              <w:rPr>
                <w:rFonts w:hint="eastAsia" w:hAnsi="宋体"/>
                <w:kern w:val="2"/>
                <w:szCs w:val="21"/>
              </w:rPr>
              <w:t>全面清洗一次</w:t>
            </w:r>
          </w:p>
        </w:tc>
        <w:tc>
          <w:tcPr>
            <w:tcW w:w="581" w:type="pct"/>
            <w:vAlign w:val="center"/>
          </w:tcPr>
          <w:p w14:paraId="2623A437">
            <w:pPr>
              <w:widowControl w:val="0"/>
              <w:shd w:val="clear" w:color="auto" w:fill="auto"/>
              <w:adjustRightInd/>
              <w:snapToGrid/>
              <w:spacing w:line="240" w:lineRule="auto"/>
              <w:jc w:val="center"/>
              <w:rPr>
                <w:rFonts w:hAnsi="宋体"/>
                <w:kern w:val="2"/>
                <w:szCs w:val="21"/>
              </w:rPr>
            </w:pPr>
          </w:p>
        </w:tc>
        <w:tc>
          <w:tcPr>
            <w:tcW w:w="1642" w:type="pct"/>
            <w:vAlign w:val="center"/>
          </w:tcPr>
          <w:p w14:paraId="01084E79">
            <w:pPr>
              <w:widowControl w:val="0"/>
              <w:shd w:val="clear" w:color="auto" w:fill="auto"/>
              <w:adjustRightInd/>
              <w:snapToGrid/>
              <w:spacing w:line="240" w:lineRule="auto"/>
              <w:jc w:val="center"/>
              <w:rPr>
                <w:rFonts w:hAnsi="宋体"/>
                <w:kern w:val="2"/>
                <w:szCs w:val="21"/>
              </w:rPr>
            </w:pPr>
            <w:r>
              <w:rPr>
                <w:rFonts w:hint="eastAsia" w:hAnsi="宋体"/>
                <w:kern w:val="2"/>
                <w:szCs w:val="21"/>
              </w:rPr>
              <w:t>干净、无污渍</w:t>
            </w:r>
          </w:p>
        </w:tc>
      </w:tr>
      <w:tr w14:paraId="223A44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67" w:hRule="atLeast"/>
          <w:jc w:val="center"/>
        </w:trPr>
        <w:tc>
          <w:tcPr>
            <w:tcW w:w="514" w:type="pct"/>
            <w:vMerge w:val="restart"/>
            <w:vAlign w:val="center"/>
          </w:tcPr>
          <w:p w14:paraId="2139A6D5">
            <w:pPr>
              <w:widowControl w:val="0"/>
              <w:shd w:val="clear" w:color="auto" w:fill="auto"/>
              <w:adjustRightInd/>
              <w:snapToGrid/>
              <w:spacing w:line="240" w:lineRule="auto"/>
              <w:jc w:val="center"/>
              <w:rPr>
                <w:rFonts w:hAnsi="宋体"/>
                <w:kern w:val="2"/>
                <w:szCs w:val="21"/>
              </w:rPr>
            </w:pPr>
            <w:r>
              <w:rPr>
                <w:rFonts w:hint="eastAsia" w:hAnsi="宋体"/>
                <w:kern w:val="2"/>
                <w:szCs w:val="21"/>
              </w:rPr>
              <w:t>公</w:t>
            </w:r>
          </w:p>
          <w:p w14:paraId="39F54C72">
            <w:pPr>
              <w:widowControl w:val="0"/>
              <w:shd w:val="clear" w:color="auto" w:fill="auto"/>
              <w:adjustRightInd/>
              <w:snapToGrid/>
              <w:spacing w:line="240" w:lineRule="auto"/>
              <w:jc w:val="center"/>
              <w:rPr>
                <w:rFonts w:hAnsi="宋体"/>
                <w:kern w:val="2"/>
                <w:szCs w:val="21"/>
              </w:rPr>
            </w:pPr>
            <w:r>
              <w:rPr>
                <w:rFonts w:hint="eastAsia" w:hAnsi="宋体"/>
                <w:kern w:val="2"/>
                <w:szCs w:val="21"/>
              </w:rPr>
              <w:t>共</w:t>
            </w:r>
          </w:p>
          <w:p w14:paraId="3180204C">
            <w:pPr>
              <w:widowControl w:val="0"/>
              <w:shd w:val="clear" w:color="auto" w:fill="auto"/>
              <w:adjustRightInd/>
              <w:snapToGrid/>
              <w:spacing w:line="240" w:lineRule="auto"/>
              <w:jc w:val="center"/>
              <w:rPr>
                <w:rFonts w:hAnsi="宋体"/>
                <w:kern w:val="2"/>
                <w:szCs w:val="21"/>
              </w:rPr>
            </w:pPr>
            <w:r>
              <w:rPr>
                <w:rFonts w:hint="eastAsia" w:hAnsi="宋体"/>
                <w:kern w:val="2"/>
                <w:szCs w:val="21"/>
              </w:rPr>
              <w:t>洗</w:t>
            </w:r>
          </w:p>
          <w:p w14:paraId="6BF746BC">
            <w:pPr>
              <w:widowControl w:val="0"/>
              <w:shd w:val="clear" w:color="auto" w:fill="auto"/>
              <w:adjustRightInd/>
              <w:snapToGrid/>
              <w:spacing w:line="240" w:lineRule="auto"/>
              <w:jc w:val="center"/>
              <w:rPr>
                <w:rFonts w:hAnsi="宋体"/>
                <w:kern w:val="2"/>
                <w:szCs w:val="21"/>
              </w:rPr>
            </w:pPr>
            <w:r>
              <w:rPr>
                <w:rFonts w:hint="eastAsia" w:hAnsi="宋体"/>
                <w:kern w:val="2"/>
                <w:szCs w:val="21"/>
              </w:rPr>
              <w:t>手</w:t>
            </w:r>
          </w:p>
          <w:p w14:paraId="1D55A954">
            <w:pPr>
              <w:widowControl w:val="0"/>
              <w:shd w:val="clear" w:color="auto" w:fill="auto"/>
              <w:adjustRightInd/>
              <w:snapToGrid/>
              <w:spacing w:line="240" w:lineRule="auto"/>
              <w:jc w:val="center"/>
              <w:rPr>
                <w:rFonts w:hAnsi="宋体"/>
                <w:kern w:val="2"/>
                <w:szCs w:val="21"/>
              </w:rPr>
            </w:pPr>
            <w:r>
              <w:rPr>
                <w:rFonts w:hint="eastAsia" w:hAnsi="宋体"/>
                <w:kern w:val="2"/>
                <w:szCs w:val="21"/>
              </w:rPr>
              <w:t>间</w:t>
            </w:r>
          </w:p>
        </w:tc>
        <w:tc>
          <w:tcPr>
            <w:tcW w:w="789" w:type="pct"/>
            <w:vAlign w:val="center"/>
          </w:tcPr>
          <w:p w14:paraId="2F04E6DD">
            <w:pPr>
              <w:widowControl w:val="0"/>
              <w:shd w:val="clear" w:color="auto" w:fill="auto"/>
              <w:adjustRightInd/>
              <w:snapToGrid/>
              <w:spacing w:line="240" w:lineRule="auto"/>
              <w:jc w:val="center"/>
              <w:rPr>
                <w:rFonts w:hAnsi="宋体"/>
                <w:kern w:val="2"/>
                <w:szCs w:val="21"/>
              </w:rPr>
            </w:pPr>
            <w:r>
              <w:rPr>
                <w:rFonts w:hint="eastAsia" w:hAnsi="宋体"/>
                <w:kern w:val="2"/>
                <w:szCs w:val="21"/>
              </w:rPr>
              <w:t>洗手间大门</w:t>
            </w:r>
          </w:p>
        </w:tc>
        <w:tc>
          <w:tcPr>
            <w:tcW w:w="662" w:type="pct"/>
            <w:vAlign w:val="center"/>
          </w:tcPr>
          <w:p w14:paraId="43E73C89">
            <w:pPr>
              <w:widowControl w:val="0"/>
              <w:shd w:val="clear" w:color="auto" w:fill="auto"/>
              <w:adjustRightInd/>
              <w:snapToGrid/>
              <w:spacing w:line="240" w:lineRule="auto"/>
              <w:jc w:val="center"/>
              <w:rPr>
                <w:rFonts w:hAnsi="宋体"/>
                <w:kern w:val="2"/>
                <w:szCs w:val="21"/>
              </w:rPr>
            </w:pPr>
            <w:r>
              <w:rPr>
                <w:rFonts w:hint="eastAsia" w:hAnsi="宋体"/>
                <w:kern w:val="2"/>
                <w:szCs w:val="21"/>
              </w:rPr>
              <w:t>用消毒剂清抹1次，保洁</w:t>
            </w:r>
          </w:p>
        </w:tc>
        <w:tc>
          <w:tcPr>
            <w:tcW w:w="809" w:type="pct"/>
            <w:vAlign w:val="center"/>
          </w:tcPr>
          <w:p w14:paraId="71B93FA1">
            <w:pPr>
              <w:widowControl w:val="0"/>
              <w:shd w:val="clear" w:color="auto" w:fill="auto"/>
              <w:adjustRightInd/>
              <w:snapToGrid/>
              <w:spacing w:line="240" w:lineRule="auto"/>
              <w:jc w:val="center"/>
              <w:rPr>
                <w:rFonts w:hAnsi="宋体"/>
                <w:kern w:val="2"/>
                <w:szCs w:val="21"/>
              </w:rPr>
            </w:pPr>
          </w:p>
        </w:tc>
        <w:tc>
          <w:tcPr>
            <w:tcW w:w="581" w:type="pct"/>
            <w:vAlign w:val="center"/>
          </w:tcPr>
          <w:p w14:paraId="0698A989">
            <w:pPr>
              <w:widowControl w:val="0"/>
              <w:shd w:val="clear" w:color="auto" w:fill="auto"/>
              <w:adjustRightInd/>
              <w:snapToGrid/>
              <w:spacing w:line="240" w:lineRule="auto"/>
              <w:jc w:val="center"/>
              <w:rPr>
                <w:rFonts w:hAnsi="宋体"/>
                <w:kern w:val="2"/>
                <w:szCs w:val="21"/>
              </w:rPr>
            </w:pPr>
          </w:p>
        </w:tc>
        <w:tc>
          <w:tcPr>
            <w:tcW w:w="1642" w:type="pct"/>
            <w:vAlign w:val="center"/>
          </w:tcPr>
          <w:p w14:paraId="65760496">
            <w:pPr>
              <w:widowControl w:val="0"/>
              <w:shd w:val="clear" w:color="auto" w:fill="auto"/>
              <w:adjustRightInd/>
              <w:snapToGrid/>
              <w:spacing w:line="240" w:lineRule="auto"/>
              <w:jc w:val="center"/>
              <w:rPr>
                <w:rFonts w:hAnsi="宋体"/>
                <w:kern w:val="2"/>
                <w:szCs w:val="21"/>
              </w:rPr>
            </w:pPr>
            <w:r>
              <w:rPr>
                <w:rFonts w:hint="eastAsia" w:hAnsi="宋体"/>
                <w:kern w:val="2"/>
                <w:szCs w:val="21"/>
              </w:rPr>
              <w:t>无灰尘、无污渍手印</w:t>
            </w:r>
          </w:p>
        </w:tc>
      </w:tr>
      <w:tr w14:paraId="5A4C26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67" w:hRule="atLeast"/>
          <w:jc w:val="center"/>
        </w:trPr>
        <w:tc>
          <w:tcPr>
            <w:tcW w:w="514" w:type="pct"/>
            <w:vMerge w:val="continue"/>
            <w:vAlign w:val="center"/>
          </w:tcPr>
          <w:p w14:paraId="472E609E">
            <w:pPr>
              <w:widowControl w:val="0"/>
              <w:shd w:val="clear" w:color="auto" w:fill="auto"/>
              <w:adjustRightInd/>
              <w:snapToGrid/>
              <w:spacing w:line="240" w:lineRule="auto"/>
              <w:jc w:val="center"/>
              <w:rPr>
                <w:rFonts w:hAnsi="宋体"/>
                <w:kern w:val="2"/>
                <w:szCs w:val="21"/>
              </w:rPr>
            </w:pPr>
          </w:p>
        </w:tc>
        <w:tc>
          <w:tcPr>
            <w:tcW w:w="789" w:type="pct"/>
            <w:vAlign w:val="center"/>
          </w:tcPr>
          <w:p w14:paraId="723DF7E0">
            <w:pPr>
              <w:widowControl w:val="0"/>
              <w:shd w:val="clear" w:color="auto" w:fill="auto"/>
              <w:adjustRightInd/>
              <w:snapToGrid/>
              <w:spacing w:line="240" w:lineRule="auto"/>
              <w:jc w:val="center"/>
              <w:rPr>
                <w:rFonts w:hAnsi="宋体"/>
                <w:kern w:val="2"/>
                <w:szCs w:val="21"/>
              </w:rPr>
            </w:pPr>
            <w:r>
              <w:rPr>
                <w:rFonts w:hint="eastAsia" w:hAnsi="宋体"/>
                <w:kern w:val="2"/>
                <w:szCs w:val="21"/>
              </w:rPr>
              <w:t>地面</w:t>
            </w:r>
          </w:p>
        </w:tc>
        <w:tc>
          <w:tcPr>
            <w:tcW w:w="662" w:type="pct"/>
            <w:vAlign w:val="center"/>
          </w:tcPr>
          <w:p w14:paraId="76690DDA">
            <w:pPr>
              <w:widowControl w:val="0"/>
              <w:shd w:val="clear" w:color="auto" w:fill="auto"/>
              <w:adjustRightInd/>
              <w:snapToGrid/>
              <w:spacing w:line="240" w:lineRule="auto"/>
              <w:jc w:val="center"/>
              <w:rPr>
                <w:rFonts w:hAnsi="宋体"/>
                <w:kern w:val="2"/>
                <w:szCs w:val="21"/>
              </w:rPr>
            </w:pPr>
            <w:r>
              <w:rPr>
                <w:rFonts w:hint="eastAsia" w:hAnsi="宋体"/>
                <w:kern w:val="2"/>
                <w:szCs w:val="21"/>
              </w:rPr>
              <w:t>用消毒剂清洗4次</w:t>
            </w:r>
          </w:p>
        </w:tc>
        <w:tc>
          <w:tcPr>
            <w:tcW w:w="809" w:type="pct"/>
            <w:vAlign w:val="center"/>
          </w:tcPr>
          <w:p w14:paraId="40C1257F">
            <w:pPr>
              <w:widowControl w:val="0"/>
              <w:shd w:val="clear" w:color="auto" w:fill="auto"/>
              <w:adjustRightInd/>
              <w:snapToGrid/>
              <w:spacing w:line="240" w:lineRule="auto"/>
              <w:jc w:val="center"/>
              <w:rPr>
                <w:rFonts w:hAnsi="宋体"/>
                <w:kern w:val="2"/>
                <w:szCs w:val="21"/>
              </w:rPr>
            </w:pPr>
          </w:p>
        </w:tc>
        <w:tc>
          <w:tcPr>
            <w:tcW w:w="581" w:type="pct"/>
            <w:vAlign w:val="center"/>
          </w:tcPr>
          <w:p w14:paraId="20277FCD">
            <w:pPr>
              <w:widowControl w:val="0"/>
              <w:shd w:val="clear" w:color="auto" w:fill="auto"/>
              <w:adjustRightInd/>
              <w:snapToGrid/>
              <w:spacing w:line="240" w:lineRule="auto"/>
              <w:jc w:val="center"/>
              <w:rPr>
                <w:rFonts w:hAnsi="宋体"/>
                <w:kern w:val="2"/>
                <w:szCs w:val="21"/>
              </w:rPr>
            </w:pPr>
          </w:p>
        </w:tc>
        <w:tc>
          <w:tcPr>
            <w:tcW w:w="1642" w:type="pct"/>
            <w:vAlign w:val="center"/>
          </w:tcPr>
          <w:p w14:paraId="4C60AD75">
            <w:pPr>
              <w:widowControl w:val="0"/>
              <w:shd w:val="clear" w:color="auto" w:fill="auto"/>
              <w:adjustRightInd/>
              <w:snapToGrid/>
              <w:spacing w:line="240" w:lineRule="auto"/>
              <w:jc w:val="center"/>
              <w:rPr>
                <w:rFonts w:hAnsi="宋体"/>
                <w:kern w:val="2"/>
                <w:szCs w:val="21"/>
              </w:rPr>
            </w:pPr>
            <w:r>
              <w:rPr>
                <w:rFonts w:hint="eastAsia" w:hAnsi="宋体"/>
                <w:kern w:val="2"/>
                <w:szCs w:val="21"/>
              </w:rPr>
              <w:t>无灰尘</w:t>
            </w:r>
          </w:p>
        </w:tc>
      </w:tr>
      <w:tr w14:paraId="6260A8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67" w:hRule="atLeast"/>
          <w:jc w:val="center"/>
        </w:trPr>
        <w:tc>
          <w:tcPr>
            <w:tcW w:w="514" w:type="pct"/>
            <w:vMerge w:val="continue"/>
            <w:vAlign w:val="center"/>
          </w:tcPr>
          <w:p w14:paraId="0A3842A6">
            <w:pPr>
              <w:widowControl w:val="0"/>
              <w:shd w:val="clear" w:color="auto" w:fill="auto"/>
              <w:adjustRightInd/>
              <w:snapToGrid/>
              <w:spacing w:line="240" w:lineRule="auto"/>
              <w:jc w:val="center"/>
              <w:rPr>
                <w:rFonts w:hAnsi="宋体"/>
                <w:kern w:val="2"/>
                <w:szCs w:val="21"/>
              </w:rPr>
            </w:pPr>
          </w:p>
        </w:tc>
        <w:tc>
          <w:tcPr>
            <w:tcW w:w="789" w:type="pct"/>
            <w:vAlign w:val="center"/>
          </w:tcPr>
          <w:p w14:paraId="49E9FADA">
            <w:pPr>
              <w:widowControl w:val="0"/>
              <w:shd w:val="clear" w:color="auto" w:fill="auto"/>
              <w:adjustRightInd/>
              <w:snapToGrid/>
              <w:spacing w:line="240" w:lineRule="auto"/>
              <w:jc w:val="center"/>
              <w:rPr>
                <w:rFonts w:hAnsi="宋体"/>
                <w:kern w:val="2"/>
                <w:szCs w:val="21"/>
              </w:rPr>
            </w:pPr>
            <w:r>
              <w:rPr>
                <w:rFonts w:hint="eastAsia" w:hAnsi="宋体"/>
                <w:kern w:val="2"/>
                <w:szCs w:val="21"/>
              </w:rPr>
              <w:t>墙身</w:t>
            </w:r>
          </w:p>
        </w:tc>
        <w:tc>
          <w:tcPr>
            <w:tcW w:w="662" w:type="pct"/>
            <w:vAlign w:val="center"/>
          </w:tcPr>
          <w:p w14:paraId="4BBF0838">
            <w:pPr>
              <w:widowControl w:val="0"/>
              <w:shd w:val="clear" w:color="auto" w:fill="auto"/>
              <w:adjustRightInd/>
              <w:snapToGrid/>
              <w:spacing w:line="240" w:lineRule="auto"/>
              <w:jc w:val="center"/>
              <w:rPr>
                <w:rFonts w:hAnsi="宋体"/>
                <w:kern w:val="2"/>
                <w:szCs w:val="21"/>
              </w:rPr>
            </w:pPr>
            <w:r>
              <w:rPr>
                <w:rFonts w:hint="eastAsia" w:hAnsi="宋体"/>
                <w:kern w:val="2"/>
                <w:szCs w:val="21"/>
              </w:rPr>
              <w:t>用消毒剂清抹1次，保洁</w:t>
            </w:r>
          </w:p>
        </w:tc>
        <w:tc>
          <w:tcPr>
            <w:tcW w:w="809" w:type="pct"/>
            <w:vAlign w:val="center"/>
          </w:tcPr>
          <w:p w14:paraId="615C93E1">
            <w:pPr>
              <w:widowControl w:val="0"/>
              <w:shd w:val="clear" w:color="auto" w:fill="auto"/>
              <w:adjustRightInd/>
              <w:snapToGrid/>
              <w:spacing w:line="240" w:lineRule="auto"/>
              <w:jc w:val="center"/>
              <w:rPr>
                <w:rFonts w:hAnsi="宋体"/>
                <w:kern w:val="2"/>
                <w:szCs w:val="21"/>
              </w:rPr>
            </w:pPr>
            <w:r>
              <w:rPr>
                <w:rFonts w:hint="eastAsia" w:hAnsi="宋体"/>
                <w:kern w:val="2"/>
                <w:szCs w:val="21"/>
              </w:rPr>
              <w:t>用清洁剂清洗1次</w:t>
            </w:r>
          </w:p>
        </w:tc>
        <w:tc>
          <w:tcPr>
            <w:tcW w:w="581" w:type="pct"/>
            <w:vAlign w:val="center"/>
          </w:tcPr>
          <w:p w14:paraId="6F947517">
            <w:pPr>
              <w:widowControl w:val="0"/>
              <w:shd w:val="clear" w:color="auto" w:fill="auto"/>
              <w:adjustRightInd/>
              <w:snapToGrid/>
              <w:spacing w:line="240" w:lineRule="auto"/>
              <w:jc w:val="center"/>
              <w:rPr>
                <w:rFonts w:hAnsi="宋体"/>
                <w:kern w:val="2"/>
                <w:szCs w:val="21"/>
              </w:rPr>
            </w:pPr>
          </w:p>
        </w:tc>
        <w:tc>
          <w:tcPr>
            <w:tcW w:w="1642" w:type="pct"/>
            <w:vAlign w:val="center"/>
          </w:tcPr>
          <w:p w14:paraId="14D1A74F">
            <w:pPr>
              <w:widowControl w:val="0"/>
              <w:shd w:val="clear" w:color="auto" w:fill="auto"/>
              <w:adjustRightInd/>
              <w:snapToGrid/>
              <w:spacing w:line="240" w:lineRule="auto"/>
              <w:jc w:val="center"/>
              <w:rPr>
                <w:rFonts w:hAnsi="宋体"/>
                <w:kern w:val="2"/>
                <w:szCs w:val="21"/>
              </w:rPr>
            </w:pPr>
            <w:r>
              <w:rPr>
                <w:rFonts w:hint="eastAsia" w:hAnsi="宋体"/>
                <w:kern w:val="2"/>
                <w:szCs w:val="21"/>
              </w:rPr>
              <w:t>无灰尘、无污渍、水渍、洁净</w:t>
            </w:r>
          </w:p>
        </w:tc>
      </w:tr>
      <w:tr w14:paraId="694B51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67" w:hRule="atLeast"/>
          <w:jc w:val="center"/>
        </w:trPr>
        <w:tc>
          <w:tcPr>
            <w:tcW w:w="514" w:type="pct"/>
            <w:vMerge w:val="continue"/>
            <w:vAlign w:val="center"/>
          </w:tcPr>
          <w:p w14:paraId="5D5DF3F7">
            <w:pPr>
              <w:widowControl w:val="0"/>
              <w:shd w:val="clear" w:color="auto" w:fill="auto"/>
              <w:adjustRightInd/>
              <w:snapToGrid/>
              <w:spacing w:line="240" w:lineRule="auto"/>
              <w:jc w:val="center"/>
              <w:rPr>
                <w:rFonts w:hAnsi="宋体"/>
                <w:kern w:val="2"/>
                <w:szCs w:val="21"/>
              </w:rPr>
            </w:pPr>
          </w:p>
        </w:tc>
        <w:tc>
          <w:tcPr>
            <w:tcW w:w="789" w:type="pct"/>
            <w:vAlign w:val="center"/>
          </w:tcPr>
          <w:p w14:paraId="6FD8A5F0">
            <w:pPr>
              <w:widowControl w:val="0"/>
              <w:shd w:val="clear" w:color="auto" w:fill="auto"/>
              <w:adjustRightInd/>
              <w:snapToGrid/>
              <w:spacing w:line="240" w:lineRule="auto"/>
              <w:jc w:val="center"/>
              <w:rPr>
                <w:rFonts w:hAnsi="宋体"/>
                <w:kern w:val="2"/>
                <w:szCs w:val="21"/>
              </w:rPr>
            </w:pPr>
            <w:r>
              <w:rPr>
                <w:rFonts w:hint="eastAsia" w:hAnsi="宋体"/>
                <w:kern w:val="2"/>
                <w:szCs w:val="21"/>
              </w:rPr>
              <w:t>玻璃镜</w:t>
            </w:r>
          </w:p>
        </w:tc>
        <w:tc>
          <w:tcPr>
            <w:tcW w:w="662" w:type="pct"/>
            <w:vAlign w:val="center"/>
          </w:tcPr>
          <w:p w14:paraId="0412B7CF">
            <w:pPr>
              <w:widowControl w:val="0"/>
              <w:shd w:val="clear" w:color="auto" w:fill="auto"/>
              <w:adjustRightInd/>
              <w:snapToGrid/>
              <w:spacing w:line="240" w:lineRule="auto"/>
              <w:jc w:val="center"/>
              <w:rPr>
                <w:rFonts w:hAnsi="宋体"/>
                <w:kern w:val="2"/>
                <w:szCs w:val="21"/>
              </w:rPr>
            </w:pPr>
            <w:r>
              <w:rPr>
                <w:rFonts w:hint="eastAsia" w:hAnsi="宋体"/>
                <w:kern w:val="2"/>
                <w:szCs w:val="21"/>
              </w:rPr>
              <w:t>用玻璃水清洗1次，保洁</w:t>
            </w:r>
          </w:p>
        </w:tc>
        <w:tc>
          <w:tcPr>
            <w:tcW w:w="809" w:type="pct"/>
            <w:vAlign w:val="center"/>
          </w:tcPr>
          <w:p w14:paraId="0E50FB4B">
            <w:pPr>
              <w:widowControl w:val="0"/>
              <w:shd w:val="clear" w:color="auto" w:fill="auto"/>
              <w:adjustRightInd/>
              <w:snapToGrid/>
              <w:spacing w:line="240" w:lineRule="auto"/>
              <w:jc w:val="center"/>
              <w:rPr>
                <w:rFonts w:hAnsi="宋体"/>
                <w:kern w:val="2"/>
                <w:szCs w:val="21"/>
              </w:rPr>
            </w:pPr>
          </w:p>
        </w:tc>
        <w:tc>
          <w:tcPr>
            <w:tcW w:w="581" w:type="pct"/>
            <w:vAlign w:val="center"/>
          </w:tcPr>
          <w:p w14:paraId="3777ADD5">
            <w:pPr>
              <w:widowControl w:val="0"/>
              <w:shd w:val="clear" w:color="auto" w:fill="auto"/>
              <w:adjustRightInd/>
              <w:snapToGrid/>
              <w:spacing w:line="240" w:lineRule="auto"/>
              <w:jc w:val="center"/>
              <w:rPr>
                <w:rFonts w:hAnsi="宋体"/>
                <w:kern w:val="2"/>
                <w:szCs w:val="21"/>
              </w:rPr>
            </w:pPr>
          </w:p>
        </w:tc>
        <w:tc>
          <w:tcPr>
            <w:tcW w:w="1642" w:type="pct"/>
            <w:vAlign w:val="center"/>
          </w:tcPr>
          <w:p w14:paraId="65B61657">
            <w:pPr>
              <w:widowControl w:val="0"/>
              <w:shd w:val="clear" w:color="auto" w:fill="auto"/>
              <w:adjustRightInd/>
              <w:snapToGrid/>
              <w:spacing w:line="240" w:lineRule="auto"/>
              <w:jc w:val="center"/>
              <w:rPr>
                <w:rFonts w:hAnsi="宋体"/>
                <w:kern w:val="2"/>
                <w:szCs w:val="21"/>
              </w:rPr>
            </w:pPr>
            <w:r>
              <w:rPr>
                <w:rFonts w:hint="eastAsia" w:hAnsi="宋体"/>
                <w:kern w:val="2"/>
                <w:szCs w:val="21"/>
              </w:rPr>
              <w:t>无灰尘、污渍、手印、光亮</w:t>
            </w:r>
          </w:p>
        </w:tc>
      </w:tr>
      <w:tr w14:paraId="70337A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67" w:hRule="atLeast"/>
          <w:jc w:val="center"/>
        </w:trPr>
        <w:tc>
          <w:tcPr>
            <w:tcW w:w="514" w:type="pct"/>
            <w:vMerge w:val="continue"/>
            <w:vAlign w:val="center"/>
          </w:tcPr>
          <w:p w14:paraId="7B10AD76">
            <w:pPr>
              <w:widowControl w:val="0"/>
              <w:shd w:val="clear" w:color="auto" w:fill="auto"/>
              <w:adjustRightInd/>
              <w:snapToGrid/>
              <w:spacing w:line="240" w:lineRule="auto"/>
              <w:jc w:val="center"/>
              <w:rPr>
                <w:rFonts w:hAnsi="宋体"/>
                <w:kern w:val="2"/>
                <w:szCs w:val="21"/>
              </w:rPr>
            </w:pPr>
          </w:p>
        </w:tc>
        <w:tc>
          <w:tcPr>
            <w:tcW w:w="789" w:type="pct"/>
            <w:vAlign w:val="center"/>
          </w:tcPr>
          <w:p w14:paraId="4D70CCE1">
            <w:pPr>
              <w:widowControl w:val="0"/>
              <w:shd w:val="clear" w:color="auto" w:fill="auto"/>
              <w:adjustRightInd/>
              <w:snapToGrid/>
              <w:spacing w:line="240" w:lineRule="auto"/>
              <w:jc w:val="center"/>
              <w:rPr>
                <w:rFonts w:hAnsi="宋体"/>
                <w:kern w:val="2"/>
                <w:szCs w:val="21"/>
              </w:rPr>
            </w:pPr>
            <w:r>
              <w:rPr>
                <w:rFonts w:hint="eastAsia" w:hAnsi="宋体"/>
                <w:kern w:val="2"/>
                <w:szCs w:val="21"/>
              </w:rPr>
              <w:t>洗手盆、台面、水池</w:t>
            </w:r>
          </w:p>
        </w:tc>
        <w:tc>
          <w:tcPr>
            <w:tcW w:w="662" w:type="pct"/>
            <w:vAlign w:val="center"/>
          </w:tcPr>
          <w:p w14:paraId="7062B057">
            <w:pPr>
              <w:widowControl w:val="0"/>
              <w:shd w:val="clear" w:color="auto" w:fill="auto"/>
              <w:adjustRightInd/>
              <w:snapToGrid/>
              <w:spacing w:line="240" w:lineRule="auto"/>
              <w:jc w:val="center"/>
              <w:rPr>
                <w:rFonts w:hAnsi="宋体"/>
                <w:kern w:val="2"/>
                <w:szCs w:val="21"/>
              </w:rPr>
            </w:pPr>
            <w:r>
              <w:rPr>
                <w:rFonts w:hint="eastAsia" w:hAnsi="宋体"/>
                <w:kern w:val="2"/>
                <w:szCs w:val="21"/>
              </w:rPr>
              <w:t>用消毒剂清抹3次，保洁</w:t>
            </w:r>
          </w:p>
        </w:tc>
        <w:tc>
          <w:tcPr>
            <w:tcW w:w="809" w:type="pct"/>
            <w:vAlign w:val="center"/>
          </w:tcPr>
          <w:p w14:paraId="77D7EF72">
            <w:pPr>
              <w:widowControl w:val="0"/>
              <w:shd w:val="clear" w:color="auto" w:fill="auto"/>
              <w:adjustRightInd/>
              <w:snapToGrid/>
              <w:spacing w:line="240" w:lineRule="auto"/>
              <w:jc w:val="center"/>
              <w:rPr>
                <w:rFonts w:hAnsi="宋体"/>
                <w:kern w:val="2"/>
                <w:szCs w:val="21"/>
              </w:rPr>
            </w:pPr>
          </w:p>
        </w:tc>
        <w:tc>
          <w:tcPr>
            <w:tcW w:w="581" w:type="pct"/>
            <w:vAlign w:val="center"/>
          </w:tcPr>
          <w:p w14:paraId="3F153129">
            <w:pPr>
              <w:widowControl w:val="0"/>
              <w:shd w:val="clear" w:color="auto" w:fill="auto"/>
              <w:adjustRightInd/>
              <w:snapToGrid/>
              <w:spacing w:line="240" w:lineRule="auto"/>
              <w:jc w:val="center"/>
              <w:rPr>
                <w:rFonts w:hAnsi="宋体"/>
                <w:kern w:val="2"/>
                <w:szCs w:val="21"/>
              </w:rPr>
            </w:pPr>
          </w:p>
        </w:tc>
        <w:tc>
          <w:tcPr>
            <w:tcW w:w="1642" w:type="pct"/>
            <w:vAlign w:val="center"/>
          </w:tcPr>
          <w:p w14:paraId="52780F30">
            <w:pPr>
              <w:widowControl w:val="0"/>
              <w:shd w:val="clear" w:color="auto" w:fill="auto"/>
              <w:adjustRightInd/>
              <w:snapToGrid/>
              <w:spacing w:line="240" w:lineRule="auto"/>
              <w:jc w:val="center"/>
              <w:rPr>
                <w:rFonts w:hAnsi="宋体"/>
                <w:kern w:val="2"/>
                <w:szCs w:val="21"/>
              </w:rPr>
            </w:pPr>
            <w:r>
              <w:rPr>
                <w:rFonts w:hint="eastAsia" w:hAnsi="宋体"/>
                <w:kern w:val="2"/>
                <w:szCs w:val="21"/>
              </w:rPr>
              <w:t>无水迹、无灰尘、无污渍、无痰渍</w:t>
            </w:r>
          </w:p>
        </w:tc>
      </w:tr>
      <w:tr w14:paraId="31DD321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67" w:hRule="atLeast"/>
          <w:jc w:val="center"/>
        </w:trPr>
        <w:tc>
          <w:tcPr>
            <w:tcW w:w="514" w:type="pct"/>
            <w:vMerge w:val="continue"/>
            <w:vAlign w:val="center"/>
          </w:tcPr>
          <w:p w14:paraId="35CF47BE">
            <w:pPr>
              <w:widowControl w:val="0"/>
              <w:shd w:val="clear" w:color="auto" w:fill="auto"/>
              <w:adjustRightInd/>
              <w:snapToGrid/>
              <w:spacing w:line="240" w:lineRule="auto"/>
              <w:jc w:val="center"/>
              <w:rPr>
                <w:rFonts w:hAnsi="宋体"/>
                <w:kern w:val="2"/>
                <w:szCs w:val="21"/>
              </w:rPr>
            </w:pPr>
          </w:p>
        </w:tc>
        <w:tc>
          <w:tcPr>
            <w:tcW w:w="789" w:type="pct"/>
            <w:vAlign w:val="center"/>
          </w:tcPr>
          <w:p w14:paraId="20AE764D">
            <w:pPr>
              <w:widowControl w:val="0"/>
              <w:shd w:val="clear" w:color="auto" w:fill="auto"/>
              <w:adjustRightInd/>
              <w:snapToGrid/>
              <w:spacing w:line="240" w:lineRule="auto"/>
              <w:jc w:val="center"/>
              <w:rPr>
                <w:rFonts w:hAnsi="宋体"/>
                <w:kern w:val="2"/>
                <w:szCs w:val="21"/>
              </w:rPr>
            </w:pPr>
            <w:r>
              <w:rPr>
                <w:rFonts w:hint="eastAsia" w:hAnsi="宋体"/>
                <w:kern w:val="2"/>
                <w:szCs w:val="21"/>
              </w:rPr>
              <w:t>大小便器</w:t>
            </w:r>
          </w:p>
        </w:tc>
        <w:tc>
          <w:tcPr>
            <w:tcW w:w="662" w:type="pct"/>
            <w:vAlign w:val="center"/>
          </w:tcPr>
          <w:p w14:paraId="2E1C4C7A">
            <w:pPr>
              <w:widowControl w:val="0"/>
              <w:shd w:val="clear" w:color="auto" w:fill="auto"/>
              <w:adjustRightInd/>
              <w:snapToGrid/>
              <w:spacing w:line="240" w:lineRule="auto"/>
              <w:jc w:val="center"/>
              <w:rPr>
                <w:rFonts w:hAnsi="宋体"/>
                <w:kern w:val="2"/>
                <w:szCs w:val="21"/>
              </w:rPr>
            </w:pPr>
            <w:r>
              <w:rPr>
                <w:rFonts w:hint="eastAsia" w:hAnsi="宋体"/>
                <w:kern w:val="2"/>
                <w:szCs w:val="21"/>
              </w:rPr>
              <w:t>用消毒清洁剂清洗3次，随时保洁，定时放卫生球和喷空气清新剂</w:t>
            </w:r>
          </w:p>
        </w:tc>
        <w:tc>
          <w:tcPr>
            <w:tcW w:w="809" w:type="pct"/>
            <w:vAlign w:val="center"/>
          </w:tcPr>
          <w:p w14:paraId="0460CA1D">
            <w:pPr>
              <w:widowControl w:val="0"/>
              <w:shd w:val="clear" w:color="auto" w:fill="auto"/>
              <w:adjustRightInd/>
              <w:snapToGrid/>
              <w:spacing w:line="240" w:lineRule="auto"/>
              <w:jc w:val="center"/>
              <w:rPr>
                <w:rFonts w:hAnsi="宋体"/>
                <w:kern w:val="2"/>
                <w:szCs w:val="21"/>
              </w:rPr>
            </w:pPr>
            <w:r>
              <w:rPr>
                <w:rFonts w:hint="eastAsia" w:hAnsi="宋体"/>
                <w:kern w:val="2"/>
                <w:szCs w:val="21"/>
              </w:rPr>
              <w:t>用消毒剂全面大清洁1次</w:t>
            </w:r>
          </w:p>
        </w:tc>
        <w:tc>
          <w:tcPr>
            <w:tcW w:w="581" w:type="pct"/>
            <w:vAlign w:val="center"/>
          </w:tcPr>
          <w:p w14:paraId="742C897D">
            <w:pPr>
              <w:widowControl w:val="0"/>
              <w:shd w:val="clear" w:color="auto" w:fill="auto"/>
              <w:adjustRightInd/>
              <w:snapToGrid/>
              <w:spacing w:line="240" w:lineRule="auto"/>
              <w:jc w:val="center"/>
              <w:rPr>
                <w:rFonts w:hAnsi="宋体"/>
                <w:kern w:val="2"/>
                <w:szCs w:val="21"/>
              </w:rPr>
            </w:pPr>
            <w:r>
              <w:rPr>
                <w:rFonts w:hint="eastAsia" w:hAnsi="宋体"/>
                <w:kern w:val="2"/>
                <w:szCs w:val="21"/>
              </w:rPr>
              <w:t>定时检查管道畅通情况，发现堵塞及时处理</w:t>
            </w:r>
          </w:p>
        </w:tc>
        <w:tc>
          <w:tcPr>
            <w:tcW w:w="1642" w:type="pct"/>
            <w:vAlign w:val="center"/>
          </w:tcPr>
          <w:p w14:paraId="594EA24C">
            <w:pPr>
              <w:widowControl w:val="0"/>
              <w:shd w:val="clear" w:color="auto" w:fill="auto"/>
              <w:adjustRightInd/>
              <w:snapToGrid/>
              <w:spacing w:line="240" w:lineRule="auto"/>
              <w:jc w:val="center"/>
              <w:rPr>
                <w:rFonts w:hAnsi="宋体"/>
                <w:kern w:val="2"/>
                <w:szCs w:val="21"/>
              </w:rPr>
            </w:pPr>
            <w:r>
              <w:rPr>
                <w:rFonts w:hint="eastAsia" w:hAnsi="宋体"/>
                <w:kern w:val="2"/>
                <w:szCs w:val="21"/>
              </w:rPr>
              <w:t>无臭味异味、无污渍无垢、干净清洁</w:t>
            </w:r>
          </w:p>
        </w:tc>
      </w:tr>
      <w:tr w14:paraId="33F91AE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67" w:hRule="atLeast"/>
          <w:jc w:val="center"/>
        </w:trPr>
        <w:tc>
          <w:tcPr>
            <w:tcW w:w="514" w:type="pct"/>
            <w:vMerge w:val="restart"/>
            <w:vAlign w:val="center"/>
          </w:tcPr>
          <w:p w14:paraId="0AF351AF">
            <w:pPr>
              <w:widowControl w:val="0"/>
              <w:shd w:val="clear" w:color="auto" w:fill="auto"/>
              <w:adjustRightInd/>
              <w:snapToGrid/>
              <w:spacing w:line="240" w:lineRule="auto"/>
              <w:jc w:val="center"/>
              <w:rPr>
                <w:rFonts w:hAnsi="宋体"/>
                <w:kern w:val="2"/>
                <w:szCs w:val="21"/>
              </w:rPr>
            </w:pPr>
            <w:r>
              <w:rPr>
                <w:rFonts w:hint="eastAsia" w:hAnsi="宋体"/>
                <w:kern w:val="2"/>
                <w:szCs w:val="21"/>
              </w:rPr>
              <w:t>办</w:t>
            </w:r>
          </w:p>
          <w:p w14:paraId="03463470">
            <w:pPr>
              <w:widowControl w:val="0"/>
              <w:shd w:val="clear" w:color="auto" w:fill="auto"/>
              <w:adjustRightInd/>
              <w:snapToGrid/>
              <w:spacing w:line="240" w:lineRule="auto"/>
              <w:jc w:val="center"/>
              <w:rPr>
                <w:rFonts w:hAnsi="宋体"/>
                <w:kern w:val="2"/>
                <w:szCs w:val="21"/>
              </w:rPr>
            </w:pPr>
            <w:r>
              <w:rPr>
                <w:rFonts w:hint="eastAsia" w:hAnsi="宋体"/>
                <w:kern w:val="2"/>
                <w:szCs w:val="21"/>
              </w:rPr>
              <w:t>公</w:t>
            </w:r>
          </w:p>
          <w:p w14:paraId="40D39D60">
            <w:pPr>
              <w:widowControl w:val="0"/>
              <w:shd w:val="clear" w:color="auto" w:fill="auto"/>
              <w:adjustRightInd/>
              <w:snapToGrid/>
              <w:spacing w:line="240" w:lineRule="auto"/>
              <w:jc w:val="center"/>
              <w:rPr>
                <w:rFonts w:hAnsi="宋体"/>
                <w:kern w:val="2"/>
                <w:szCs w:val="21"/>
              </w:rPr>
            </w:pPr>
            <w:r>
              <w:rPr>
                <w:rFonts w:hint="eastAsia" w:hAnsi="宋体"/>
                <w:kern w:val="2"/>
                <w:szCs w:val="21"/>
              </w:rPr>
              <w:t>室</w:t>
            </w:r>
          </w:p>
          <w:p w14:paraId="17E22934">
            <w:pPr>
              <w:widowControl w:val="0"/>
              <w:shd w:val="clear" w:color="auto" w:fill="auto"/>
              <w:adjustRightInd/>
              <w:snapToGrid/>
              <w:spacing w:line="240" w:lineRule="auto"/>
              <w:jc w:val="center"/>
              <w:rPr>
                <w:rFonts w:hAnsi="宋体"/>
                <w:kern w:val="2"/>
                <w:szCs w:val="21"/>
              </w:rPr>
            </w:pPr>
            <w:r>
              <w:rPr>
                <w:rFonts w:hint="eastAsia" w:hAnsi="宋体"/>
                <w:kern w:val="2"/>
                <w:szCs w:val="21"/>
              </w:rPr>
              <w:t>部</w:t>
            </w:r>
          </w:p>
          <w:p w14:paraId="589BF5F7">
            <w:pPr>
              <w:widowControl w:val="0"/>
              <w:shd w:val="clear" w:color="auto" w:fill="auto"/>
              <w:adjustRightInd/>
              <w:snapToGrid/>
              <w:spacing w:line="240" w:lineRule="auto"/>
              <w:jc w:val="center"/>
              <w:rPr>
                <w:rFonts w:hAnsi="宋体"/>
                <w:kern w:val="2"/>
                <w:szCs w:val="21"/>
              </w:rPr>
            </w:pPr>
            <w:r>
              <w:rPr>
                <w:rFonts w:hint="eastAsia" w:hAnsi="宋体"/>
                <w:kern w:val="2"/>
                <w:szCs w:val="21"/>
              </w:rPr>
              <w:t>分</w:t>
            </w:r>
          </w:p>
        </w:tc>
        <w:tc>
          <w:tcPr>
            <w:tcW w:w="789" w:type="pct"/>
            <w:vAlign w:val="center"/>
          </w:tcPr>
          <w:p w14:paraId="0BDEEAC6">
            <w:pPr>
              <w:widowControl w:val="0"/>
              <w:shd w:val="clear" w:color="auto" w:fill="auto"/>
              <w:adjustRightInd/>
              <w:snapToGrid/>
              <w:spacing w:line="240" w:lineRule="auto"/>
              <w:jc w:val="center"/>
              <w:rPr>
                <w:rFonts w:hAnsi="宋体"/>
                <w:kern w:val="2"/>
                <w:szCs w:val="21"/>
              </w:rPr>
            </w:pPr>
            <w:r>
              <w:rPr>
                <w:rFonts w:hint="eastAsia" w:hAnsi="宋体"/>
                <w:kern w:val="2"/>
                <w:szCs w:val="21"/>
              </w:rPr>
              <w:t>间隔板和门</w:t>
            </w:r>
          </w:p>
        </w:tc>
        <w:tc>
          <w:tcPr>
            <w:tcW w:w="662" w:type="pct"/>
            <w:vAlign w:val="center"/>
          </w:tcPr>
          <w:p w14:paraId="736C4F44">
            <w:pPr>
              <w:widowControl w:val="0"/>
              <w:shd w:val="clear" w:color="auto" w:fill="auto"/>
              <w:adjustRightInd/>
              <w:snapToGrid/>
              <w:spacing w:line="240" w:lineRule="auto"/>
              <w:jc w:val="center"/>
              <w:rPr>
                <w:rFonts w:hAnsi="宋体"/>
                <w:kern w:val="2"/>
                <w:szCs w:val="21"/>
              </w:rPr>
            </w:pPr>
            <w:r>
              <w:rPr>
                <w:rFonts w:hint="eastAsia" w:hAnsi="宋体"/>
                <w:kern w:val="2"/>
                <w:szCs w:val="21"/>
              </w:rPr>
              <w:t>清抹2次  保洁</w:t>
            </w:r>
          </w:p>
        </w:tc>
        <w:tc>
          <w:tcPr>
            <w:tcW w:w="809" w:type="pct"/>
            <w:vAlign w:val="center"/>
          </w:tcPr>
          <w:p w14:paraId="552E3CD5">
            <w:pPr>
              <w:widowControl w:val="0"/>
              <w:shd w:val="clear" w:color="auto" w:fill="auto"/>
              <w:adjustRightInd/>
              <w:snapToGrid/>
              <w:spacing w:line="240" w:lineRule="auto"/>
              <w:jc w:val="center"/>
              <w:rPr>
                <w:rFonts w:hAnsi="宋体"/>
                <w:kern w:val="2"/>
                <w:szCs w:val="21"/>
              </w:rPr>
            </w:pPr>
            <w:r>
              <w:rPr>
                <w:rFonts w:hint="eastAsia" w:hAnsi="宋体"/>
                <w:kern w:val="2"/>
                <w:szCs w:val="21"/>
              </w:rPr>
              <w:t>用清洁剂清洁污渍1次</w:t>
            </w:r>
          </w:p>
        </w:tc>
        <w:tc>
          <w:tcPr>
            <w:tcW w:w="581" w:type="pct"/>
            <w:vAlign w:val="center"/>
          </w:tcPr>
          <w:p w14:paraId="43FEAFFF">
            <w:pPr>
              <w:widowControl w:val="0"/>
              <w:shd w:val="clear" w:color="auto" w:fill="auto"/>
              <w:adjustRightInd/>
              <w:snapToGrid/>
              <w:spacing w:line="240" w:lineRule="auto"/>
              <w:jc w:val="center"/>
              <w:rPr>
                <w:rFonts w:hAnsi="宋体"/>
                <w:kern w:val="2"/>
                <w:szCs w:val="21"/>
              </w:rPr>
            </w:pPr>
          </w:p>
        </w:tc>
        <w:tc>
          <w:tcPr>
            <w:tcW w:w="1642" w:type="pct"/>
            <w:vAlign w:val="center"/>
          </w:tcPr>
          <w:p w14:paraId="7BA7572F">
            <w:pPr>
              <w:widowControl w:val="0"/>
              <w:shd w:val="clear" w:color="auto" w:fill="auto"/>
              <w:adjustRightInd/>
              <w:snapToGrid/>
              <w:spacing w:line="240" w:lineRule="auto"/>
              <w:jc w:val="center"/>
              <w:rPr>
                <w:rFonts w:hAnsi="宋体"/>
                <w:kern w:val="2"/>
                <w:szCs w:val="21"/>
              </w:rPr>
            </w:pPr>
            <w:r>
              <w:rPr>
                <w:rFonts w:hint="eastAsia" w:hAnsi="宋体"/>
                <w:kern w:val="2"/>
                <w:szCs w:val="21"/>
              </w:rPr>
              <w:t>无灰尘、无污渍</w:t>
            </w:r>
          </w:p>
        </w:tc>
      </w:tr>
      <w:tr w14:paraId="54CDB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67" w:hRule="atLeast"/>
          <w:jc w:val="center"/>
        </w:trPr>
        <w:tc>
          <w:tcPr>
            <w:tcW w:w="514" w:type="pct"/>
            <w:vMerge w:val="continue"/>
            <w:vAlign w:val="center"/>
          </w:tcPr>
          <w:p w14:paraId="47B7EA2C">
            <w:pPr>
              <w:widowControl w:val="0"/>
              <w:shd w:val="clear" w:color="auto" w:fill="auto"/>
              <w:adjustRightInd/>
              <w:snapToGrid/>
              <w:spacing w:line="240" w:lineRule="auto"/>
              <w:jc w:val="center"/>
              <w:rPr>
                <w:rFonts w:hAnsi="宋体"/>
                <w:kern w:val="2"/>
                <w:szCs w:val="21"/>
              </w:rPr>
            </w:pPr>
          </w:p>
        </w:tc>
        <w:tc>
          <w:tcPr>
            <w:tcW w:w="789" w:type="pct"/>
            <w:vAlign w:val="center"/>
          </w:tcPr>
          <w:p w14:paraId="53DEBA70">
            <w:pPr>
              <w:widowControl w:val="0"/>
              <w:shd w:val="clear" w:color="auto" w:fill="auto"/>
              <w:adjustRightInd/>
              <w:snapToGrid/>
              <w:spacing w:line="240" w:lineRule="auto"/>
              <w:jc w:val="center"/>
              <w:rPr>
                <w:rFonts w:hAnsi="宋体"/>
                <w:kern w:val="2"/>
                <w:szCs w:val="21"/>
              </w:rPr>
            </w:pPr>
            <w:r>
              <w:rPr>
                <w:rFonts w:hint="eastAsia" w:hAnsi="宋体"/>
                <w:kern w:val="2"/>
                <w:szCs w:val="21"/>
              </w:rPr>
              <w:t>灯饰、风口</w:t>
            </w:r>
          </w:p>
        </w:tc>
        <w:tc>
          <w:tcPr>
            <w:tcW w:w="662" w:type="pct"/>
            <w:vAlign w:val="center"/>
          </w:tcPr>
          <w:p w14:paraId="62B5BDB7">
            <w:pPr>
              <w:widowControl w:val="0"/>
              <w:shd w:val="clear" w:color="auto" w:fill="auto"/>
              <w:adjustRightInd/>
              <w:snapToGrid/>
              <w:spacing w:line="240" w:lineRule="auto"/>
              <w:jc w:val="center"/>
              <w:rPr>
                <w:rFonts w:hAnsi="宋体"/>
                <w:kern w:val="2"/>
                <w:szCs w:val="21"/>
              </w:rPr>
            </w:pPr>
            <w:r>
              <w:rPr>
                <w:rFonts w:hint="eastAsia" w:hAnsi="宋体"/>
                <w:kern w:val="2"/>
                <w:szCs w:val="21"/>
              </w:rPr>
              <w:t>保洁</w:t>
            </w:r>
          </w:p>
        </w:tc>
        <w:tc>
          <w:tcPr>
            <w:tcW w:w="809" w:type="pct"/>
            <w:vAlign w:val="center"/>
          </w:tcPr>
          <w:p w14:paraId="779333B1">
            <w:pPr>
              <w:widowControl w:val="0"/>
              <w:shd w:val="clear" w:color="auto" w:fill="auto"/>
              <w:adjustRightInd/>
              <w:snapToGrid/>
              <w:spacing w:line="240" w:lineRule="auto"/>
              <w:jc w:val="center"/>
              <w:rPr>
                <w:rFonts w:hAnsi="宋体"/>
                <w:kern w:val="2"/>
                <w:szCs w:val="21"/>
              </w:rPr>
            </w:pPr>
            <w:r>
              <w:rPr>
                <w:rFonts w:hint="eastAsia" w:hAnsi="宋体"/>
                <w:kern w:val="2"/>
                <w:szCs w:val="21"/>
              </w:rPr>
              <w:t>清抹1次</w:t>
            </w:r>
          </w:p>
        </w:tc>
        <w:tc>
          <w:tcPr>
            <w:tcW w:w="581" w:type="pct"/>
            <w:vAlign w:val="center"/>
          </w:tcPr>
          <w:p w14:paraId="0BBA4366">
            <w:pPr>
              <w:widowControl w:val="0"/>
              <w:shd w:val="clear" w:color="auto" w:fill="auto"/>
              <w:adjustRightInd/>
              <w:snapToGrid/>
              <w:spacing w:line="240" w:lineRule="auto"/>
              <w:jc w:val="center"/>
              <w:rPr>
                <w:rFonts w:hAnsi="宋体"/>
                <w:kern w:val="2"/>
                <w:szCs w:val="21"/>
              </w:rPr>
            </w:pPr>
          </w:p>
        </w:tc>
        <w:tc>
          <w:tcPr>
            <w:tcW w:w="1642" w:type="pct"/>
            <w:vAlign w:val="center"/>
          </w:tcPr>
          <w:p w14:paraId="122D8715">
            <w:pPr>
              <w:widowControl w:val="0"/>
              <w:shd w:val="clear" w:color="auto" w:fill="auto"/>
              <w:adjustRightInd/>
              <w:snapToGrid/>
              <w:spacing w:line="240" w:lineRule="auto"/>
              <w:jc w:val="center"/>
              <w:rPr>
                <w:rFonts w:hAnsi="宋体"/>
                <w:kern w:val="2"/>
                <w:szCs w:val="21"/>
              </w:rPr>
            </w:pPr>
            <w:r>
              <w:rPr>
                <w:rFonts w:hint="eastAsia" w:hAnsi="宋体"/>
                <w:kern w:val="2"/>
                <w:szCs w:val="21"/>
              </w:rPr>
              <w:t>无灰尘、无蜘蛛网</w:t>
            </w:r>
          </w:p>
        </w:tc>
      </w:tr>
      <w:tr w14:paraId="17C1E2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67" w:hRule="atLeast"/>
          <w:jc w:val="center"/>
        </w:trPr>
        <w:tc>
          <w:tcPr>
            <w:tcW w:w="514" w:type="pct"/>
            <w:vMerge w:val="restart"/>
            <w:vAlign w:val="center"/>
          </w:tcPr>
          <w:p w14:paraId="6B646508">
            <w:pPr>
              <w:widowControl w:val="0"/>
              <w:shd w:val="clear" w:color="auto" w:fill="auto"/>
              <w:adjustRightInd/>
              <w:snapToGrid/>
              <w:spacing w:line="240" w:lineRule="auto"/>
              <w:jc w:val="center"/>
              <w:rPr>
                <w:rFonts w:hAnsi="宋体"/>
                <w:kern w:val="2"/>
                <w:szCs w:val="21"/>
              </w:rPr>
            </w:pPr>
          </w:p>
        </w:tc>
        <w:tc>
          <w:tcPr>
            <w:tcW w:w="789" w:type="pct"/>
            <w:vAlign w:val="center"/>
          </w:tcPr>
          <w:p w14:paraId="4EAFF37B">
            <w:pPr>
              <w:widowControl w:val="0"/>
              <w:shd w:val="clear" w:color="auto" w:fill="auto"/>
              <w:adjustRightInd/>
              <w:snapToGrid/>
              <w:spacing w:line="240" w:lineRule="auto"/>
              <w:jc w:val="center"/>
              <w:rPr>
                <w:rFonts w:hAnsi="宋体"/>
                <w:kern w:val="2"/>
                <w:szCs w:val="21"/>
              </w:rPr>
            </w:pPr>
            <w:r>
              <w:rPr>
                <w:rFonts w:hint="eastAsia" w:hAnsi="宋体"/>
                <w:kern w:val="2"/>
                <w:szCs w:val="21"/>
              </w:rPr>
              <w:t>地面、墙身</w:t>
            </w:r>
          </w:p>
        </w:tc>
        <w:tc>
          <w:tcPr>
            <w:tcW w:w="662" w:type="pct"/>
            <w:vAlign w:val="center"/>
          </w:tcPr>
          <w:p w14:paraId="0BA6F649">
            <w:pPr>
              <w:widowControl w:val="0"/>
              <w:shd w:val="clear" w:color="auto" w:fill="auto"/>
              <w:adjustRightInd/>
              <w:snapToGrid/>
              <w:spacing w:line="240" w:lineRule="auto"/>
              <w:jc w:val="center"/>
              <w:rPr>
                <w:rFonts w:hAnsi="宋体"/>
                <w:kern w:val="2"/>
                <w:szCs w:val="21"/>
              </w:rPr>
            </w:pPr>
            <w:r>
              <w:rPr>
                <w:rFonts w:hint="eastAsia" w:hAnsi="宋体"/>
                <w:kern w:val="2"/>
                <w:szCs w:val="21"/>
              </w:rPr>
              <w:t>用清洁剂拖抹</w:t>
            </w:r>
          </w:p>
        </w:tc>
        <w:tc>
          <w:tcPr>
            <w:tcW w:w="809" w:type="pct"/>
            <w:vAlign w:val="center"/>
          </w:tcPr>
          <w:p w14:paraId="025A5D7A">
            <w:pPr>
              <w:widowControl w:val="0"/>
              <w:shd w:val="clear" w:color="auto" w:fill="auto"/>
              <w:adjustRightInd/>
              <w:snapToGrid/>
              <w:spacing w:line="240" w:lineRule="auto"/>
              <w:jc w:val="center"/>
              <w:rPr>
                <w:rFonts w:hAnsi="宋体"/>
                <w:kern w:val="2"/>
                <w:szCs w:val="21"/>
              </w:rPr>
            </w:pPr>
            <w:r>
              <w:rPr>
                <w:rFonts w:hint="eastAsia" w:hAnsi="宋体"/>
                <w:kern w:val="2"/>
                <w:szCs w:val="21"/>
              </w:rPr>
              <w:t>用清洁剂重点清洁污渍2次</w:t>
            </w:r>
          </w:p>
        </w:tc>
        <w:tc>
          <w:tcPr>
            <w:tcW w:w="581" w:type="pct"/>
            <w:vAlign w:val="center"/>
          </w:tcPr>
          <w:p w14:paraId="77D443BE">
            <w:pPr>
              <w:widowControl w:val="0"/>
              <w:shd w:val="clear" w:color="auto" w:fill="auto"/>
              <w:adjustRightInd/>
              <w:snapToGrid/>
              <w:spacing w:line="240" w:lineRule="auto"/>
              <w:jc w:val="center"/>
              <w:rPr>
                <w:rFonts w:hAnsi="宋体"/>
                <w:kern w:val="2"/>
                <w:szCs w:val="21"/>
              </w:rPr>
            </w:pPr>
          </w:p>
        </w:tc>
        <w:tc>
          <w:tcPr>
            <w:tcW w:w="1642" w:type="pct"/>
            <w:vAlign w:val="center"/>
          </w:tcPr>
          <w:p w14:paraId="29CDA6D5">
            <w:pPr>
              <w:widowControl w:val="0"/>
              <w:shd w:val="clear" w:color="auto" w:fill="auto"/>
              <w:adjustRightInd/>
              <w:snapToGrid/>
              <w:spacing w:line="240" w:lineRule="auto"/>
              <w:jc w:val="center"/>
              <w:rPr>
                <w:rFonts w:hAnsi="宋体"/>
                <w:kern w:val="2"/>
                <w:szCs w:val="21"/>
              </w:rPr>
            </w:pPr>
            <w:r>
              <w:rPr>
                <w:rFonts w:hint="eastAsia" w:hAnsi="宋体"/>
                <w:kern w:val="2"/>
                <w:szCs w:val="21"/>
              </w:rPr>
              <w:t>干净清洁、无污渍</w:t>
            </w:r>
          </w:p>
        </w:tc>
      </w:tr>
      <w:tr w14:paraId="2DD677E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67" w:hRule="atLeast"/>
          <w:jc w:val="center"/>
        </w:trPr>
        <w:tc>
          <w:tcPr>
            <w:tcW w:w="514" w:type="pct"/>
            <w:vMerge w:val="continue"/>
            <w:vAlign w:val="center"/>
          </w:tcPr>
          <w:p w14:paraId="5CCBAB1D">
            <w:pPr>
              <w:widowControl w:val="0"/>
              <w:shd w:val="clear" w:color="auto" w:fill="auto"/>
              <w:adjustRightInd/>
              <w:snapToGrid/>
              <w:spacing w:line="240" w:lineRule="auto"/>
              <w:jc w:val="center"/>
              <w:rPr>
                <w:rFonts w:hAnsi="宋体"/>
                <w:kern w:val="2"/>
                <w:szCs w:val="21"/>
              </w:rPr>
            </w:pPr>
          </w:p>
        </w:tc>
        <w:tc>
          <w:tcPr>
            <w:tcW w:w="789" w:type="pct"/>
            <w:vAlign w:val="center"/>
          </w:tcPr>
          <w:p w14:paraId="6E5A9679">
            <w:pPr>
              <w:widowControl w:val="0"/>
              <w:shd w:val="clear" w:color="auto" w:fill="auto"/>
              <w:adjustRightInd/>
              <w:snapToGrid/>
              <w:spacing w:line="240" w:lineRule="auto"/>
              <w:jc w:val="center"/>
              <w:rPr>
                <w:rFonts w:hAnsi="宋体"/>
                <w:kern w:val="2"/>
                <w:szCs w:val="21"/>
              </w:rPr>
            </w:pPr>
            <w:r>
              <w:rPr>
                <w:rFonts w:hint="eastAsia" w:hAnsi="宋体"/>
                <w:kern w:val="2"/>
                <w:szCs w:val="21"/>
              </w:rPr>
              <w:t>天花灯具</w:t>
            </w:r>
          </w:p>
        </w:tc>
        <w:tc>
          <w:tcPr>
            <w:tcW w:w="662" w:type="pct"/>
            <w:vAlign w:val="center"/>
          </w:tcPr>
          <w:p w14:paraId="25E602D0">
            <w:pPr>
              <w:widowControl w:val="0"/>
              <w:shd w:val="clear" w:color="auto" w:fill="auto"/>
              <w:adjustRightInd/>
              <w:snapToGrid/>
              <w:spacing w:line="240" w:lineRule="auto"/>
              <w:jc w:val="center"/>
              <w:rPr>
                <w:rFonts w:hAnsi="宋体"/>
                <w:kern w:val="2"/>
                <w:szCs w:val="21"/>
              </w:rPr>
            </w:pPr>
            <w:r>
              <w:rPr>
                <w:rFonts w:hint="eastAsia" w:hAnsi="宋体"/>
                <w:kern w:val="2"/>
                <w:szCs w:val="21"/>
              </w:rPr>
              <w:t>保洁</w:t>
            </w:r>
          </w:p>
        </w:tc>
        <w:tc>
          <w:tcPr>
            <w:tcW w:w="809" w:type="pct"/>
            <w:vAlign w:val="center"/>
          </w:tcPr>
          <w:p w14:paraId="5119706D">
            <w:pPr>
              <w:widowControl w:val="0"/>
              <w:shd w:val="clear" w:color="auto" w:fill="auto"/>
              <w:adjustRightInd/>
              <w:snapToGrid/>
              <w:spacing w:line="240" w:lineRule="auto"/>
              <w:jc w:val="center"/>
              <w:rPr>
                <w:rFonts w:hAnsi="宋体"/>
                <w:kern w:val="2"/>
                <w:szCs w:val="21"/>
              </w:rPr>
            </w:pPr>
          </w:p>
        </w:tc>
        <w:tc>
          <w:tcPr>
            <w:tcW w:w="581" w:type="pct"/>
            <w:vAlign w:val="center"/>
          </w:tcPr>
          <w:p w14:paraId="5ABD0A1B">
            <w:pPr>
              <w:widowControl w:val="0"/>
              <w:shd w:val="clear" w:color="auto" w:fill="auto"/>
              <w:adjustRightInd/>
              <w:snapToGrid/>
              <w:spacing w:line="240" w:lineRule="auto"/>
              <w:jc w:val="center"/>
              <w:rPr>
                <w:rFonts w:hAnsi="宋体"/>
                <w:kern w:val="2"/>
                <w:szCs w:val="21"/>
              </w:rPr>
            </w:pPr>
            <w:r>
              <w:rPr>
                <w:rFonts w:hint="eastAsia" w:hAnsi="宋体"/>
                <w:kern w:val="2"/>
                <w:szCs w:val="21"/>
              </w:rPr>
              <w:t>清抹1次</w:t>
            </w:r>
          </w:p>
        </w:tc>
        <w:tc>
          <w:tcPr>
            <w:tcW w:w="1642" w:type="pct"/>
            <w:vAlign w:val="center"/>
          </w:tcPr>
          <w:p w14:paraId="7EB0C4F4">
            <w:pPr>
              <w:widowControl w:val="0"/>
              <w:shd w:val="clear" w:color="auto" w:fill="auto"/>
              <w:adjustRightInd/>
              <w:snapToGrid/>
              <w:spacing w:line="240" w:lineRule="auto"/>
              <w:jc w:val="center"/>
              <w:rPr>
                <w:rFonts w:hAnsi="宋体"/>
                <w:kern w:val="2"/>
                <w:szCs w:val="21"/>
              </w:rPr>
            </w:pPr>
            <w:r>
              <w:rPr>
                <w:rFonts w:hint="eastAsia" w:hAnsi="宋体"/>
                <w:kern w:val="2"/>
                <w:szCs w:val="21"/>
              </w:rPr>
              <w:t>无灰尘、蜘蛛网</w:t>
            </w:r>
          </w:p>
        </w:tc>
      </w:tr>
      <w:tr w14:paraId="7F99F1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67" w:hRule="atLeast"/>
          <w:jc w:val="center"/>
        </w:trPr>
        <w:tc>
          <w:tcPr>
            <w:tcW w:w="514" w:type="pct"/>
            <w:vMerge w:val="restart"/>
            <w:vAlign w:val="center"/>
          </w:tcPr>
          <w:p w14:paraId="51F3F847">
            <w:pPr>
              <w:widowControl w:val="0"/>
              <w:shd w:val="clear" w:color="auto" w:fill="auto"/>
              <w:adjustRightInd/>
              <w:snapToGrid/>
              <w:spacing w:line="240" w:lineRule="auto"/>
              <w:jc w:val="center"/>
              <w:rPr>
                <w:rFonts w:hAnsi="宋体"/>
                <w:kern w:val="2"/>
                <w:szCs w:val="21"/>
              </w:rPr>
            </w:pPr>
            <w:r>
              <w:rPr>
                <w:rFonts w:hint="eastAsia" w:hAnsi="宋体"/>
                <w:kern w:val="2"/>
                <w:szCs w:val="21"/>
              </w:rPr>
              <w:t>会议室</w:t>
            </w:r>
          </w:p>
        </w:tc>
        <w:tc>
          <w:tcPr>
            <w:tcW w:w="4485" w:type="pct"/>
            <w:gridSpan w:val="5"/>
            <w:vAlign w:val="center"/>
          </w:tcPr>
          <w:p w14:paraId="492F3BDF">
            <w:pPr>
              <w:widowControl w:val="0"/>
              <w:shd w:val="clear" w:color="auto" w:fill="auto"/>
              <w:adjustRightInd/>
              <w:snapToGrid/>
              <w:spacing w:line="240" w:lineRule="auto"/>
              <w:jc w:val="center"/>
              <w:rPr>
                <w:rFonts w:hAnsi="宋体"/>
                <w:kern w:val="2"/>
                <w:szCs w:val="21"/>
              </w:rPr>
            </w:pPr>
            <w:r>
              <w:rPr>
                <w:rFonts w:hint="eastAsia" w:hAnsi="宋体"/>
                <w:kern w:val="2"/>
                <w:szCs w:val="21"/>
              </w:rPr>
              <w:t>会前清抹桌椅灰尘，适当通风后开灯、开空调，整理桌椅以及在开会时提供开水。</w:t>
            </w:r>
          </w:p>
        </w:tc>
      </w:tr>
      <w:tr w14:paraId="7427EF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15" w:type="dxa"/>
            <w:left w:w="15" w:type="dxa"/>
            <w:bottom w:w="15" w:type="dxa"/>
            <w:right w:w="15" w:type="dxa"/>
          </w:tblCellMar>
        </w:tblPrEx>
        <w:trPr>
          <w:trHeight w:val="567" w:hRule="atLeast"/>
          <w:jc w:val="center"/>
        </w:trPr>
        <w:tc>
          <w:tcPr>
            <w:tcW w:w="514" w:type="pct"/>
            <w:vMerge w:val="continue"/>
            <w:vAlign w:val="center"/>
          </w:tcPr>
          <w:p w14:paraId="3F74ED39">
            <w:pPr>
              <w:widowControl w:val="0"/>
              <w:shd w:val="clear" w:color="auto" w:fill="auto"/>
              <w:adjustRightInd/>
              <w:snapToGrid/>
              <w:spacing w:line="240" w:lineRule="auto"/>
              <w:jc w:val="center"/>
              <w:rPr>
                <w:rFonts w:hAnsi="宋体"/>
                <w:kern w:val="2"/>
                <w:szCs w:val="21"/>
              </w:rPr>
            </w:pPr>
          </w:p>
        </w:tc>
        <w:tc>
          <w:tcPr>
            <w:tcW w:w="4485" w:type="pct"/>
            <w:gridSpan w:val="5"/>
            <w:vAlign w:val="center"/>
          </w:tcPr>
          <w:p w14:paraId="09B13E9C">
            <w:pPr>
              <w:widowControl w:val="0"/>
              <w:shd w:val="clear" w:color="auto" w:fill="auto"/>
              <w:adjustRightInd/>
              <w:snapToGrid/>
              <w:spacing w:line="240" w:lineRule="auto"/>
              <w:jc w:val="center"/>
              <w:rPr>
                <w:rFonts w:hAnsi="宋体"/>
                <w:kern w:val="2"/>
                <w:szCs w:val="21"/>
              </w:rPr>
            </w:pPr>
            <w:r>
              <w:rPr>
                <w:rFonts w:hint="eastAsia" w:hAnsi="宋体"/>
                <w:kern w:val="2"/>
                <w:szCs w:val="21"/>
              </w:rPr>
              <w:t>会后清扫地面，擦拭并整理桌椅，清洗烟灰缸、清倒垃圾桶，关闭空调，照明</w:t>
            </w:r>
          </w:p>
        </w:tc>
      </w:tr>
    </w:tbl>
    <w:p w14:paraId="5B30108B">
      <w:pPr>
        <w:widowControl w:val="0"/>
        <w:shd w:val="clear" w:color="auto" w:fill="auto"/>
        <w:adjustRightInd/>
        <w:snapToGrid/>
        <w:spacing w:line="240" w:lineRule="auto"/>
        <w:rPr>
          <w:rFonts w:hAnsi="宋体"/>
          <w:kern w:val="2"/>
          <w:szCs w:val="21"/>
        </w:rPr>
      </w:pPr>
    </w:p>
    <w:p w14:paraId="49386EE6">
      <w:pPr>
        <w:widowControl w:val="0"/>
        <w:adjustRightInd/>
        <w:snapToGrid/>
        <w:spacing w:line="240" w:lineRule="auto"/>
        <w:ind w:firstLine="420" w:firstLineChars="200"/>
        <w:rPr>
          <w:rFonts w:hAnsi="宋体"/>
          <w:kern w:val="2"/>
          <w:szCs w:val="21"/>
        </w:rPr>
      </w:pPr>
      <w:r>
        <w:rPr>
          <w:rFonts w:hint="eastAsia" w:hAnsi="宋体"/>
          <w:kern w:val="2"/>
          <w:szCs w:val="21"/>
        </w:rPr>
        <w:t>绿化养护标准：</w:t>
      </w:r>
    </w:p>
    <w:tbl>
      <w:tblPr>
        <w:tblStyle w:val="85"/>
        <w:tblW w:w="5279"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354"/>
        <w:gridCol w:w="2142"/>
        <w:gridCol w:w="2231"/>
        <w:gridCol w:w="2124"/>
        <w:gridCol w:w="2253"/>
      </w:tblGrid>
      <w:tr w14:paraId="795C9E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70" w:type="pct"/>
            <w:vAlign w:val="center"/>
          </w:tcPr>
          <w:p w14:paraId="2C9D830D">
            <w:pPr>
              <w:widowControl w:val="0"/>
              <w:shd w:val="clear" w:color="auto" w:fill="auto"/>
              <w:adjustRightInd/>
              <w:snapToGrid/>
              <w:spacing w:line="240" w:lineRule="auto"/>
              <w:jc w:val="center"/>
              <w:rPr>
                <w:rFonts w:hAnsi="宋体"/>
                <w:kern w:val="2"/>
                <w:szCs w:val="21"/>
              </w:rPr>
            </w:pPr>
            <w:r>
              <w:rPr>
                <w:rFonts w:hint="eastAsia" w:hAnsi="宋体"/>
                <w:kern w:val="2"/>
                <w:szCs w:val="21"/>
              </w:rPr>
              <w:t>类别</w:t>
            </w:r>
          </w:p>
        </w:tc>
        <w:tc>
          <w:tcPr>
            <w:tcW w:w="1060" w:type="pct"/>
            <w:vAlign w:val="center"/>
          </w:tcPr>
          <w:p w14:paraId="3C0D7BBD">
            <w:pPr>
              <w:widowControl w:val="0"/>
              <w:shd w:val="clear" w:color="auto" w:fill="auto"/>
              <w:adjustRightInd/>
              <w:snapToGrid/>
              <w:spacing w:line="240" w:lineRule="auto"/>
              <w:jc w:val="center"/>
              <w:rPr>
                <w:rFonts w:hAnsi="宋体"/>
                <w:kern w:val="2"/>
                <w:szCs w:val="21"/>
              </w:rPr>
            </w:pPr>
            <w:r>
              <w:rPr>
                <w:rFonts w:hint="eastAsia" w:hAnsi="宋体"/>
                <w:kern w:val="2"/>
                <w:szCs w:val="21"/>
              </w:rPr>
              <w:t>修剪</w:t>
            </w:r>
          </w:p>
        </w:tc>
        <w:tc>
          <w:tcPr>
            <w:tcW w:w="1104" w:type="pct"/>
            <w:vAlign w:val="center"/>
          </w:tcPr>
          <w:p w14:paraId="0384FB32">
            <w:pPr>
              <w:widowControl w:val="0"/>
              <w:shd w:val="clear" w:color="auto" w:fill="auto"/>
              <w:adjustRightInd/>
              <w:snapToGrid/>
              <w:spacing w:line="240" w:lineRule="auto"/>
              <w:jc w:val="center"/>
              <w:rPr>
                <w:rFonts w:hAnsi="宋体"/>
                <w:kern w:val="2"/>
                <w:szCs w:val="21"/>
              </w:rPr>
            </w:pPr>
            <w:r>
              <w:rPr>
                <w:rFonts w:hint="eastAsia" w:hAnsi="宋体"/>
                <w:kern w:val="2"/>
                <w:szCs w:val="21"/>
              </w:rPr>
              <w:t>淋水</w:t>
            </w:r>
          </w:p>
        </w:tc>
        <w:tc>
          <w:tcPr>
            <w:tcW w:w="1051" w:type="pct"/>
            <w:vAlign w:val="center"/>
          </w:tcPr>
          <w:p w14:paraId="2D0E0641">
            <w:pPr>
              <w:widowControl w:val="0"/>
              <w:shd w:val="clear" w:color="auto" w:fill="auto"/>
              <w:adjustRightInd/>
              <w:snapToGrid/>
              <w:spacing w:line="240" w:lineRule="auto"/>
              <w:jc w:val="center"/>
              <w:rPr>
                <w:rFonts w:hAnsi="宋体"/>
                <w:kern w:val="2"/>
                <w:szCs w:val="21"/>
              </w:rPr>
            </w:pPr>
            <w:r>
              <w:rPr>
                <w:rFonts w:hint="eastAsia" w:hAnsi="宋体"/>
                <w:kern w:val="2"/>
                <w:szCs w:val="21"/>
              </w:rPr>
              <w:t>施肥</w:t>
            </w:r>
          </w:p>
        </w:tc>
        <w:tc>
          <w:tcPr>
            <w:tcW w:w="1114" w:type="pct"/>
            <w:vAlign w:val="center"/>
          </w:tcPr>
          <w:p w14:paraId="16CB4A96">
            <w:pPr>
              <w:widowControl w:val="0"/>
              <w:shd w:val="clear" w:color="auto" w:fill="auto"/>
              <w:adjustRightInd/>
              <w:snapToGrid/>
              <w:spacing w:line="240" w:lineRule="auto"/>
              <w:jc w:val="center"/>
              <w:rPr>
                <w:rFonts w:hAnsi="宋体"/>
                <w:kern w:val="2"/>
                <w:szCs w:val="21"/>
              </w:rPr>
            </w:pPr>
            <w:r>
              <w:rPr>
                <w:rFonts w:hint="eastAsia" w:hAnsi="宋体"/>
                <w:kern w:val="2"/>
                <w:szCs w:val="21"/>
              </w:rPr>
              <w:t>喷药</w:t>
            </w:r>
          </w:p>
        </w:tc>
      </w:tr>
      <w:tr w14:paraId="125DF25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70" w:type="pct"/>
            <w:vMerge w:val="restart"/>
            <w:vAlign w:val="center"/>
          </w:tcPr>
          <w:p w14:paraId="62B5B2E6">
            <w:pPr>
              <w:widowControl w:val="0"/>
              <w:shd w:val="clear" w:color="auto" w:fill="auto"/>
              <w:adjustRightInd/>
              <w:snapToGrid/>
              <w:spacing w:line="240" w:lineRule="auto"/>
              <w:jc w:val="center"/>
              <w:rPr>
                <w:rFonts w:hAnsi="宋体"/>
                <w:kern w:val="2"/>
                <w:szCs w:val="21"/>
              </w:rPr>
            </w:pPr>
            <w:r>
              <w:rPr>
                <w:rFonts w:hint="eastAsia" w:hAnsi="宋体"/>
                <w:kern w:val="2"/>
                <w:szCs w:val="21"/>
              </w:rPr>
              <w:t>乔</w:t>
            </w:r>
          </w:p>
          <w:p w14:paraId="6924E750">
            <w:pPr>
              <w:widowControl w:val="0"/>
              <w:shd w:val="clear" w:color="auto" w:fill="auto"/>
              <w:adjustRightInd/>
              <w:snapToGrid/>
              <w:spacing w:line="240" w:lineRule="auto"/>
              <w:jc w:val="center"/>
              <w:rPr>
                <w:rFonts w:hAnsi="宋体"/>
                <w:kern w:val="2"/>
                <w:szCs w:val="21"/>
              </w:rPr>
            </w:pPr>
            <w:r>
              <w:rPr>
                <w:rFonts w:hint="eastAsia" w:hAnsi="宋体"/>
                <w:kern w:val="2"/>
                <w:szCs w:val="21"/>
              </w:rPr>
              <w:t>木</w:t>
            </w:r>
          </w:p>
        </w:tc>
        <w:tc>
          <w:tcPr>
            <w:tcW w:w="1060" w:type="pct"/>
            <w:vAlign w:val="center"/>
          </w:tcPr>
          <w:p w14:paraId="216CEBDD">
            <w:pPr>
              <w:widowControl w:val="0"/>
              <w:shd w:val="clear" w:color="auto" w:fill="auto"/>
              <w:adjustRightInd/>
              <w:snapToGrid/>
              <w:spacing w:line="240" w:lineRule="auto"/>
              <w:jc w:val="center"/>
              <w:rPr>
                <w:rFonts w:hAnsi="宋体"/>
                <w:kern w:val="2"/>
                <w:szCs w:val="21"/>
              </w:rPr>
            </w:pPr>
            <w:r>
              <w:rPr>
                <w:rFonts w:hint="eastAsia" w:hAnsi="宋体"/>
                <w:kern w:val="2"/>
                <w:szCs w:val="21"/>
              </w:rPr>
              <w:t>1.乔木的修剪要根据其叶芽和花芽的萌发期而进行。</w:t>
            </w:r>
          </w:p>
          <w:p w14:paraId="4128B36E">
            <w:pPr>
              <w:widowControl w:val="0"/>
              <w:shd w:val="clear" w:color="auto" w:fill="auto"/>
              <w:adjustRightInd/>
              <w:snapToGrid/>
              <w:spacing w:line="240" w:lineRule="auto"/>
              <w:jc w:val="center"/>
              <w:rPr>
                <w:rFonts w:hAnsi="宋体"/>
                <w:kern w:val="2"/>
                <w:szCs w:val="21"/>
              </w:rPr>
            </w:pPr>
            <w:r>
              <w:rPr>
                <w:rFonts w:hint="eastAsia" w:hAnsi="宋体"/>
                <w:kern w:val="2"/>
                <w:szCs w:val="21"/>
              </w:rPr>
              <w:t>2.乔木的修剪整形与周围的环境相协调。</w:t>
            </w:r>
          </w:p>
          <w:p w14:paraId="5F78C2B3">
            <w:pPr>
              <w:widowControl w:val="0"/>
              <w:shd w:val="clear" w:color="auto" w:fill="auto"/>
              <w:adjustRightInd/>
              <w:snapToGrid/>
              <w:spacing w:line="240" w:lineRule="auto"/>
              <w:jc w:val="center"/>
              <w:rPr>
                <w:rFonts w:hAnsi="宋体"/>
                <w:kern w:val="2"/>
                <w:szCs w:val="21"/>
              </w:rPr>
            </w:pPr>
            <w:r>
              <w:rPr>
                <w:rFonts w:hint="eastAsia" w:hAnsi="宋体"/>
                <w:kern w:val="2"/>
                <w:szCs w:val="21"/>
              </w:rPr>
              <w:t>3.行道树的修剪要按人行道车道高压线等公共设施的功能而进行。</w:t>
            </w:r>
          </w:p>
          <w:p w14:paraId="631FC9A0">
            <w:pPr>
              <w:widowControl w:val="0"/>
              <w:shd w:val="clear" w:color="auto" w:fill="auto"/>
              <w:adjustRightInd/>
              <w:snapToGrid/>
              <w:spacing w:line="240" w:lineRule="auto"/>
              <w:jc w:val="center"/>
              <w:rPr>
                <w:rFonts w:hAnsi="宋体"/>
                <w:kern w:val="2"/>
                <w:szCs w:val="21"/>
              </w:rPr>
            </w:pPr>
            <w:r>
              <w:rPr>
                <w:rFonts w:hint="eastAsia" w:hAnsi="宋体"/>
                <w:kern w:val="2"/>
                <w:szCs w:val="21"/>
              </w:rPr>
              <w:t>4.修剪操作要根据树冠美感，主侧枝的分布等因素而进行。</w:t>
            </w:r>
          </w:p>
          <w:p w14:paraId="4F135D6D">
            <w:pPr>
              <w:widowControl w:val="0"/>
              <w:shd w:val="clear" w:color="auto" w:fill="auto"/>
              <w:adjustRightInd/>
              <w:snapToGrid/>
              <w:spacing w:line="240" w:lineRule="auto"/>
              <w:jc w:val="center"/>
              <w:rPr>
                <w:rFonts w:hAnsi="宋体"/>
                <w:kern w:val="2"/>
                <w:szCs w:val="21"/>
              </w:rPr>
            </w:pPr>
            <w:r>
              <w:rPr>
                <w:rFonts w:hint="eastAsia" w:hAnsi="宋体"/>
                <w:kern w:val="2"/>
                <w:szCs w:val="21"/>
              </w:rPr>
              <w:t>5.修剪叶要尽量减少树干伤口。</w:t>
            </w:r>
          </w:p>
        </w:tc>
        <w:tc>
          <w:tcPr>
            <w:tcW w:w="1104" w:type="pct"/>
            <w:vAlign w:val="center"/>
          </w:tcPr>
          <w:p w14:paraId="2F7C81F5">
            <w:pPr>
              <w:widowControl w:val="0"/>
              <w:shd w:val="clear" w:color="auto" w:fill="auto"/>
              <w:adjustRightInd/>
              <w:snapToGrid/>
              <w:spacing w:line="240" w:lineRule="auto"/>
              <w:jc w:val="center"/>
              <w:rPr>
                <w:rFonts w:hAnsi="宋体"/>
                <w:kern w:val="2"/>
                <w:szCs w:val="21"/>
              </w:rPr>
            </w:pPr>
            <w:r>
              <w:rPr>
                <w:rFonts w:hint="eastAsia" w:hAnsi="宋体"/>
                <w:kern w:val="2"/>
                <w:szCs w:val="21"/>
              </w:rPr>
              <w:t>定期或遇长时间干旱时树枝叶进行冲洒，以增加枝叶，空气及土壤的温度。</w:t>
            </w:r>
          </w:p>
        </w:tc>
        <w:tc>
          <w:tcPr>
            <w:tcW w:w="1051" w:type="pct"/>
            <w:vAlign w:val="center"/>
          </w:tcPr>
          <w:p w14:paraId="40AA4289">
            <w:pPr>
              <w:widowControl w:val="0"/>
              <w:shd w:val="clear" w:color="auto" w:fill="auto"/>
              <w:adjustRightInd/>
              <w:snapToGrid/>
              <w:spacing w:line="240" w:lineRule="auto"/>
              <w:jc w:val="center"/>
              <w:rPr>
                <w:rFonts w:hAnsi="宋体"/>
                <w:kern w:val="2"/>
                <w:szCs w:val="21"/>
              </w:rPr>
            </w:pPr>
            <w:r>
              <w:rPr>
                <w:rFonts w:hint="eastAsia" w:hAnsi="宋体"/>
                <w:kern w:val="2"/>
                <w:szCs w:val="21"/>
              </w:rPr>
              <w:t>施放基肥时要以埋施的方式进行。</w:t>
            </w:r>
          </w:p>
        </w:tc>
        <w:tc>
          <w:tcPr>
            <w:tcW w:w="1114" w:type="pct"/>
            <w:vAlign w:val="center"/>
          </w:tcPr>
          <w:p w14:paraId="76919237">
            <w:pPr>
              <w:widowControl w:val="0"/>
              <w:shd w:val="clear" w:color="auto" w:fill="auto"/>
              <w:adjustRightInd/>
              <w:snapToGrid/>
              <w:spacing w:line="240" w:lineRule="auto"/>
              <w:jc w:val="center"/>
              <w:rPr>
                <w:rFonts w:hAnsi="宋体"/>
                <w:kern w:val="2"/>
                <w:szCs w:val="21"/>
              </w:rPr>
            </w:pPr>
            <w:r>
              <w:rPr>
                <w:rFonts w:hint="eastAsia" w:hAnsi="宋体"/>
                <w:kern w:val="2"/>
                <w:szCs w:val="21"/>
              </w:rPr>
              <w:t>定期施放普性杀虫药，预防并抑制病虫害发生和漫延。</w:t>
            </w:r>
          </w:p>
        </w:tc>
      </w:tr>
      <w:tr w14:paraId="7090F5E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70" w:type="pct"/>
            <w:vMerge w:val="continue"/>
            <w:vAlign w:val="center"/>
          </w:tcPr>
          <w:p w14:paraId="0C6BDCE8">
            <w:pPr>
              <w:widowControl w:val="0"/>
              <w:shd w:val="clear" w:color="auto" w:fill="auto"/>
              <w:adjustRightInd/>
              <w:snapToGrid/>
              <w:spacing w:line="240" w:lineRule="auto"/>
              <w:jc w:val="center"/>
              <w:rPr>
                <w:rFonts w:hAnsi="宋体"/>
                <w:kern w:val="2"/>
                <w:szCs w:val="21"/>
              </w:rPr>
            </w:pPr>
          </w:p>
        </w:tc>
        <w:tc>
          <w:tcPr>
            <w:tcW w:w="4329" w:type="pct"/>
            <w:gridSpan w:val="4"/>
            <w:vAlign w:val="center"/>
          </w:tcPr>
          <w:p w14:paraId="4900F903">
            <w:pPr>
              <w:widowControl w:val="0"/>
              <w:shd w:val="clear" w:color="auto" w:fill="auto"/>
              <w:adjustRightInd/>
              <w:snapToGrid/>
              <w:spacing w:line="240" w:lineRule="auto"/>
              <w:jc w:val="left"/>
              <w:rPr>
                <w:rFonts w:hAnsi="宋体"/>
                <w:kern w:val="2"/>
                <w:szCs w:val="21"/>
              </w:rPr>
            </w:pPr>
            <w:r>
              <w:rPr>
                <w:rFonts w:hint="eastAsia" w:hAnsi="宋体"/>
                <w:kern w:val="2"/>
                <w:szCs w:val="21"/>
              </w:rPr>
              <w:t>标准：</w:t>
            </w:r>
          </w:p>
          <w:p w14:paraId="781FC816">
            <w:pPr>
              <w:widowControl w:val="0"/>
              <w:shd w:val="clear" w:color="auto" w:fill="auto"/>
              <w:adjustRightInd/>
              <w:snapToGrid/>
              <w:spacing w:line="240" w:lineRule="auto"/>
              <w:jc w:val="left"/>
              <w:rPr>
                <w:rFonts w:hAnsi="宋体"/>
                <w:kern w:val="2"/>
                <w:szCs w:val="21"/>
              </w:rPr>
            </w:pPr>
            <w:r>
              <w:rPr>
                <w:rFonts w:hint="eastAsia" w:hAnsi="宋体"/>
                <w:kern w:val="2"/>
                <w:szCs w:val="21"/>
              </w:rPr>
              <w:t>(1)生长健壮、形态整齐、无凌乱枝条和冗长枝叶。</w:t>
            </w:r>
          </w:p>
          <w:p w14:paraId="708EB99F">
            <w:pPr>
              <w:widowControl w:val="0"/>
              <w:shd w:val="clear" w:color="auto" w:fill="auto"/>
              <w:adjustRightInd/>
              <w:snapToGrid/>
              <w:spacing w:line="240" w:lineRule="auto"/>
              <w:jc w:val="left"/>
              <w:rPr>
                <w:rFonts w:hAnsi="宋体"/>
                <w:kern w:val="2"/>
                <w:szCs w:val="21"/>
              </w:rPr>
            </w:pPr>
            <w:r>
              <w:rPr>
                <w:rFonts w:hint="eastAsia" w:hAnsi="宋体"/>
                <w:kern w:val="2"/>
                <w:szCs w:val="21"/>
              </w:rPr>
              <w:t>(2)适时适量浇水、松土、施肥，采用穴施或沟施肥，覆土平整，肥料不露出土面。</w:t>
            </w:r>
          </w:p>
          <w:p w14:paraId="517B79D8">
            <w:pPr>
              <w:widowControl w:val="0"/>
              <w:shd w:val="clear" w:color="auto" w:fill="auto"/>
              <w:adjustRightInd/>
              <w:snapToGrid/>
              <w:spacing w:line="240" w:lineRule="auto"/>
              <w:jc w:val="left"/>
              <w:rPr>
                <w:rFonts w:hAnsi="宋体"/>
                <w:kern w:val="2"/>
                <w:szCs w:val="21"/>
              </w:rPr>
            </w:pPr>
            <w:r>
              <w:rPr>
                <w:rFonts w:hint="eastAsia" w:hAnsi="宋体"/>
                <w:kern w:val="2"/>
                <w:szCs w:val="21"/>
              </w:rPr>
              <w:t>(3)基部无30cm高以上萌蘖枝，无杂草、杂物，土面不板结，透气良好。</w:t>
            </w:r>
          </w:p>
          <w:p w14:paraId="0E8332A7">
            <w:pPr>
              <w:widowControl w:val="0"/>
              <w:shd w:val="clear" w:color="auto" w:fill="auto"/>
              <w:adjustRightInd/>
              <w:snapToGrid/>
              <w:spacing w:line="240" w:lineRule="auto"/>
              <w:jc w:val="left"/>
              <w:rPr>
                <w:rFonts w:hAnsi="宋体"/>
                <w:kern w:val="2"/>
                <w:szCs w:val="21"/>
              </w:rPr>
            </w:pPr>
            <w:r>
              <w:rPr>
                <w:rFonts w:hint="eastAsia" w:hAnsi="宋体"/>
                <w:kern w:val="2"/>
                <w:szCs w:val="21"/>
              </w:rPr>
              <w:t>(4)及时修剪，保持造型优美，修剪截口与枝位平齐，主侧枝分布均匀。</w:t>
            </w:r>
          </w:p>
          <w:p w14:paraId="754AC40B">
            <w:pPr>
              <w:widowControl w:val="0"/>
              <w:shd w:val="clear" w:color="auto" w:fill="auto"/>
              <w:adjustRightInd/>
              <w:snapToGrid/>
              <w:spacing w:line="240" w:lineRule="auto"/>
              <w:jc w:val="left"/>
              <w:rPr>
                <w:rFonts w:hAnsi="宋体"/>
                <w:kern w:val="2"/>
                <w:szCs w:val="21"/>
              </w:rPr>
            </w:pPr>
            <w:r>
              <w:rPr>
                <w:rFonts w:hint="eastAsia" w:hAnsi="宋体"/>
                <w:kern w:val="2"/>
                <w:szCs w:val="21"/>
              </w:rPr>
              <w:t>(5)无明显病害枝。</w:t>
            </w:r>
          </w:p>
        </w:tc>
      </w:tr>
      <w:tr w14:paraId="5CEDC2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70" w:type="pct"/>
            <w:vMerge w:val="restart"/>
            <w:vAlign w:val="center"/>
          </w:tcPr>
          <w:p w14:paraId="3E06BF66">
            <w:pPr>
              <w:widowControl w:val="0"/>
              <w:shd w:val="clear" w:color="auto" w:fill="auto"/>
              <w:adjustRightInd/>
              <w:snapToGrid/>
              <w:spacing w:line="240" w:lineRule="auto"/>
              <w:jc w:val="center"/>
              <w:rPr>
                <w:rFonts w:hAnsi="宋体"/>
                <w:kern w:val="2"/>
                <w:szCs w:val="21"/>
              </w:rPr>
            </w:pPr>
            <w:r>
              <w:rPr>
                <w:rFonts w:hint="eastAsia" w:hAnsi="宋体"/>
                <w:kern w:val="2"/>
                <w:szCs w:val="21"/>
              </w:rPr>
              <w:t>灌</w:t>
            </w:r>
          </w:p>
          <w:p w14:paraId="69FE5908">
            <w:pPr>
              <w:widowControl w:val="0"/>
              <w:shd w:val="clear" w:color="auto" w:fill="auto"/>
              <w:adjustRightInd/>
              <w:snapToGrid/>
              <w:spacing w:line="240" w:lineRule="auto"/>
              <w:jc w:val="center"/>
              <w:rPr>
                <w:rFonts w:hAnsi="宋体"/>
                <w:kern w:val="2"/>
                <w:szCs w:val="21"/>
              </w:rPr>
            </w:pPr>
            <w:r>
              <w:rPr>
                <w:rFonts w:hint="eastAsia" w:hAnsi="宋体"/>
                <w:kern w:val="2"/>
                <w:szCs w:val="21"/>
              </w:rPr>
              <w:t>木</w:t>
            </w:r>
          </w:p>
        </w:tc>
        <w:tc>
          <w:tcPr>
            <w:tcW w:w="1060" w:type="pct"/>
            <w:vAlign w:val="center"/>
          </w:tcPr>
          <w:p w14:paraId="2A007D82">
            <w:pPr>
              <w:widowControl w:val="0"/>
              <w:shd w:val="clear" w:color="auto" w:fill="auto"/>
              <w:adjustRightInd/>
              <w:snapToGrid/>
              <w:spacing w:line="240" w:lineRule="auto"/>
              <w:jc w:val="center"/>
              <w:rPr>
                <w:rFonts w:hAnsi="宋体"/>
                <w:kern w:val="2"/>
                <w:szCs w:val="21"/>
              </w:rPr>
            </w:pPr>
            <w:r>
              <w:rPr>
                <w:rFonts w:hint="eastAsia" w:hAnsi="宋体"/>
                <w:kern w:val="2"/>
                <w:szCs w:val="21"/>
              </w:rPr>
              <w:t>每年12月一次剪除徒长枝、树身的萌蘖枝、病虫枝、交叉枝、扭伤枝、枯枝等；生长季非观花类每25天修剪1次，观花类每次观花后修剪1次。</w:t>
            </w:r>
          </w:p>
        </w:tc>
        <w:tc>
          <w:tcPr>
            <w:tcW w:w="1104" w:type="pct"/>
            <w:vAlign w:val="center"/>
          </w:tcPr>
          <w:p w14:paraId="33E2B595">
            <w:pPr>
              <w:widowControl w:val="0"/>
              <w:shd w:val="clear" w:color="auto" w:fill="auto"/>
              <w:adjustRightInd/>
              <w:snapToGrid/>
              <w:spacing w:line="240" w:lineRule="auto"/>
              <w:jc w:val="center"/>
              <w:rPr>
                <w:rFonts w:hAnsi="宋体"/>
                <w:kern w:val="2"/>
                <w:szCs w:val="21"/>
              </w:rPr>
            </w:pPr>
            <w:r>
              <w:rPr>
                <w:rFonts w:hint="eastAsia" w:hAnsi="宋体"/>
                <w:kern w:val="2"/>
                <w:szCs w:val="21"/>
              </w:rPr>
              <w:t>生长季(非雨季)每周3—4次；非生长季(非雨季)每半月1-2次。</w:t>
            </w:r>
          </w:p>
        </w:tc>
        <w:tc>
          <w:tcPr>
            <w:tcW w:w="1051" w:type="pct"/>
            <w:vAlign w:val="center"/>
          </w:tcPr>
          <w:p w14:paraId="33F87202">
            <w:pPr>
              <w:widowControl w:val="0"/>
              <w:shd w:val="clear" w:color="auto" w:fill="auto"/>
              <w:adjustRightInd/>
              <w:snapToGrid/>
              <w:spacing w:line="240" w:lineRule="auto"/>
              <w:jc w:val="center"/>
              <w:rPr>
                <w:rFonts w:hAnsi="宋体"/>
                <w:kern w:val="2"/>
                <w:szCs w:val="21"/>
              </w:rPr>
            </w:pPr>
            <w:r>
              <w:rPr>
                <w:rFonts w:hint="eastAsia" w:hAnsi="宋体"/>
                <w:kern w:val="2"/>
                <w:szCs w:val="21"/>
              </w:rPr>
              <w:t>早春或入冬前施有机肥或复合肥1次；生长季每两个月追施复合肥1次。</w:t>
            </w:r>
          </w:p>
        </w:tc>
        <w:tc>
          <w:tcPr>
            <w:tcW w:w="1114" w:type="pct"/>
            <w:vAlign w:val="center"/>
          </w:tcPr>
          <w:p w14:paraId="12D4D23A">
            <w:pPr>
              <w:widowControl w:val="0"/>
              <w:shd w:val="clear" w:color="auto" w:fill="auto"/>
              <w:adjustRightInd/>
              <w:snapToGrid/>
              <w:spacing w:line="240" w:lineRule="auto"/>
              <w:jc w:val="center"/>
              <w:rPr>
                <w:rFonts w:hAnsi="宋体"/>
                <w:kern w:val="2"/>
                <w:szCs w:val="21"/>
              </w:rPr>
            </w:pPr>
            <w:r>
              <w:rPr>
                <w:rFonts w:hint="eastAsia" w:hAnsi="宋体"/>
                <w:kern w:val="2"/>
                <w:szCs w:val="21"/>
              </w:rPr>
              <w:t>每月喷施广普性杀菌条虫药1次；突发病虫害进行针对性防治。要求利用周末或下班时间喷药，不允许使用刺激性强或中等毒以上农药。</w:t>
            </w:r>
          </w:p>
        </w:tc>
      </w:tr>
      <w:tr w14:paraId="6356E0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70" w:type="pct"/>
            <w:vMerge w:val="continue"/>
            <w:vAlign w:val="center"/>
          </w:tcPr>
          <w:p w14:paraId="0B3584F0">
            <w:pPr>
              <w:widowControl w:val="0"/>
              <w:shd w:val="clear" w:color="auto" w:fill="auto"/>
              <w:adjustRightInd/>
              <w:snapToGrid/>
              <w:spacing w:line="240" w:lineRule="auto"/>
              <w:jc w:val="center"/>
              <w:rPr>
                <w:rFonts w:hAnsi="宋体"/>
                <w:kern w:val="2"/>
                <w:szCs w:val="21"/>
              </w:rPr>
            </w:pPr>
          </w:p>
        </w:tc>
        <w:tc>
          <w:tcPr>
            <w:tcW w:w="4329" w:type="pct"/>
            <w:gridSpan w:val="4"/>
            <w:vAlign w:val="center"/>
          </w:tcPr>
          <w:p w14:paraId="25C07149">
            <w:pPr>
              <w:widowControl w:val="0"/>
              <w:shd w:val="clear" w:color="auto" w:fill="auto"/>
              <w:adjustRightInd/>
              <w:snapToGrid/>
              <w:spacing w:line="240" w:lineRule="auto"/>
              <w:jc w:val="left"/>
              <w:rPr>
                <w:rFonts w:hAnsi="宋体"/>
                <w:kern w:val="2"/>
                <w:szCs w:val="21"/>
              </w:rPr>
            </w:pPr>
            <w:r>
              <w:rPr>
                <w:rFonts w:hint="eastAsia" w:hAnsi="宋体"/>
                <w:kern w:val="2"/>
                <w:szCs w:val="21"/>
              </w:rPr>
              <w:t>标准：</w:t>
            </w:r>
          </w:p>
          <w:p w14:paraId="6B731C11">
            <w:pPr>
              <w:widowControl w:val="0"/>
              <w:shd w:val="clear" w:color="auto" w:fill="auto"/>
              <w:adjustRightInd/>
              <w:snapToGrid/>
              <w:spacing w:line="240" w:lineRule="auto"/>
              <w:jc w:val="left"/>
              <w:rPr>
                <w:rFonts w:hAnsi="宋体"/>
                <w:kern w:val="2"/>
                <w:szCs w:val="21"/>
              </w:rPr>
            </w:pPr>
            <w:r>
              <w:rPr>
                <w:rFonts w:hint="eastAsia" w:hAnsi="宋体"/>
                <w:kern w:val="2"/>
                <w:szCs w:val="21"/>
              </w:rPr>
              <w:t>（1）株形整齐、造型植物轮廓清晰，修剪面平直整齐，棱角分明。</w:t>
            </w:r>
          </w:p>
          <w:p w14:paraId="6606482A">
            <w:pPr>
              <w:widowControl w:val="0"/>
              <w:shd w:val="clear" w:color="auto" w:fill="auto"/>
              <w:adjustRightInd/>
              <w:snapToGrid/>
              <w:spacing w:line="240" w:lineRule="auto"/>
              <w:jc w:val="left"/>
              <w:rPr>
                <w:rFonts w:hAnsi="宋体"/>
                <w:kern w:val="2"/>
                <w:szCs w:val="21"/>
              </w:rPr>
            </w:pPr>
            <w:r>
              <w:rPr>
                <w:rFonts w:hint="eastAsia" w:hAnsi="宋体"/>
                <w:kern w:val="2"/>
                <w:szCs w:val="21"/>
              </w:rPr>
              <w:t>（2）适时适量浇水、松土、施肥，采用穴施或沟施肥，覆土平整，肥料不露出土面。</w:t>
            </w:r>
          </w:p>
          <w:p w14:paraId="4A66CA93">
            <w:pPr>
              <w:widowControl w:val="0"/>
              <w:shd w:val="clear" w:color="auto" w:fill="auto"/>
              <w:adjustRightInd/>
              <w:snapToGrid/>
              <w:spacing w:line="240" w:lineRule="auto"/>
              <w:jc w:val="left"/>
              <w:rPr>
                <w:rFonts w:hAnsi="宋体"/>
                <w:kern w:val="2"/>
                <w:szCs w:val="21"/>
              </w:rPr>
            </w:pPr>
            <w:r>
              <w:rPr>
                <w:rFonts w:hint="eastAsia" w:hAnsi="宋体"/>
                <w:kern w:val="2"/>
                <w:szCs w:val="21"/>
              </w:rPr>
              <w:t>（3）灌木脚部整齐清洁，无过长杂草杂物，无严重黄叶、积尘。</w:t>
            </w:r>
          </w:p>
          <w:p w14:paraId="3FFABD07">
            <w:pPr>
              <w:widowControl w:val="0"/>
              <w:shd w:val="clear" w:color="auto" w:fill="auto"/>
              <w:adjustRightInd/>
              <w:snapToGrid/>
              <w:spacing w:line="240" w:lineRule="auto"/>
              <w:jc w:val="left"/>
              <w:rPr>
                <w:rFonts w:hAnsi="宋体"/>
                <w:kern w:val="2"/>
                <w:szCs w:val="21"/>
              </w:rPr>
            </w:pPr>
            <w:r>
              <w:rPr>
                <w:rFonts w:hint="eastAsia" w:hAnsi="宋体"/>
                <w:kern w:val="2"/>
                <w:szCs w:val="21"/>
              </w:rPr>
              <w:t>（4）及时修剪，造型优美。</w:t>
            </w:r>
          </w:p>
          <w:p w14:paraId="41A86697">
            <w:pPr>
              <w:widowControl w:val="0"/>
              <w:shd w:val="clear" w:color="auto" w:fill="auto"/>
              <w:adjustRightInd/>
              <w:snapToGrid/>
              <w:spacing w:line="240" w:lineRule="auto"/>
              <w:jc w:val="left"/>
              <w:rPr>
                <w:rFonts w:hAnsi="宋体"/>
                <w:kern w:val="2"/>
                <w:szCs w:val="21"/>
              </w:rPr>
            </w:pPr>
            <w:r>
              <w:rPr>
                <w:rFonts w:hint="eastAsia" w:hAnsi="宋体"/>
                <w:kern w:val="2"/>
                <w:szCs w:val="21"/>
              </w:rPr>
              <w:t>（5）无长20cm以上枯枝黄叶、折断枝、修剪残留枝。</w:t>
            </w:r>
          </w:p>
          <w:p w14:paraId="77E9F3C4">
            <w:pPr>
              <w:widowControl w:val="0"/>
              <w:shd w:val="clear" w:color="auto" w:fill="auto"/>
              <w:adjustRightInd/>
              <w:snapToGrid/>
              <w:spacing w:line="240" w:lineRule="auto"/>
              <w:jc w:val="left"/>
              <w:rPr>
                <w:rFonts w:hAnsi="宋体"/>
                <w:kern w:val="2"/>
                <w:szCs w:val="21"/>
              </w:rPr>
            </w:pPr>
            <w:r>
              <w:rPr>
                <w:rFonts w:hint="eastAsia" w:hAnsi="宋体"/>
                <w:kern w:val="2"/>
                <w:szCs w:val="21"/>
              </w:rPr>
              <w:t>（6）无明显病害枝。</w:t>
            </w:r>
          </w:p>
          <w:p w14:paraId="3BF1A81E">
            <w:pPr>
              <w:widowControl w:val="0"/>
              <w:shd w:val="clear" w:color="auto" w:fill="auto"/>
              <w:adjustRightInd/>
              <w:snapToGrid/>
              <w:spacing w:line="240" w:lineRule="auto"/>
              <w:jc w:val="left"/>
              <w:rPr>
                <w:rFonts w:hAnsi="宋体"/>
                <w:kern w:val="2"/>
                <w:szCs w:val="21"/>
              </w:rPr>
            </w:pPr>
            <w:r>
              <w:rPr>
                <w:rFonts w:hint="eastAsia" w:hAnsi="宋体"/>
                <w:kern w:val="2"/>
                <w:szCs w:val="21"/>
              </w:rPr>
              <w:t>（7）对遭受自然和人为损害的花木及时修补、扶持和补苗。</w:t>
            </w:r>
          </w:p>
        </w:tc>
      </w:tr>
      <w:tr w14:paraId="5180421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70" w:type="pct"/>
            <w:vMerge w:val="restart"/>
            <w:vAlign w:val="center"/>
          </w:tcPr>
          <w:p w14:paraId="27DBA506">
            <w:pPr>
              <w:widowControl w:val="0"/>
              <w:shd w:val="clear" w:color="auto" w:fill="auto"/>
              <w:adjustRightInd/>
              <w:snapToGrid/>
              <w:spacing w:line="240" w:lineRule="auto"/>
              <w:jc w:val="center"/>
              <w:rPr>
                <w:rFonts w:hAnsi="宋体"/>
                <w:kern w:val="2"/>
                <w:szCs w:val="21"/>
              </w:rPr>
            </w:pPr>
            <w:r>
              <w:rPr>
                <w:rFonts w:hint="eastAsia" w:hAnsi="宋体"/>
                <w:kern w:val="2"/>
                <w:szCs w:val="21"/>
              </w:rPr>
              <w:t>绿</w:t>
            </w:r>
          </w:p>
          <w:p w14:paraId="29A33197">
            <w:pPr>
              <w:widowControl w:val="0"/>
              <w:shd w:val="clear" w:color="auto" w:fill="auto"/>
              <w:adjustRightInd/>
              <w:snapToGrid/>
              <w:spacing w:line="240" w:lineRule="auto"/>
              <w:jc w:val="center"/>
              <w:rPr>
                <w:rFonts w:hAnsi="宋体"/>
                <w:kern w:val="2"/>
                <w:szCs w:val="21"/>
              </w:rPr>
            </w:pPr>
            <w:r>
              <w:rPr>
                <w:rFonts w:hint="eastAsia" w:hAnsi="宋体"/>
                <w:kern w:val="2"/>
                <w:szCs w:val="21"/>
              </w:rPr>
              <w:t>篱</w:t>
            </w:r>
          </w:p>
        </w:tc>
        <w:tc>
          <w:tcPr>
            <w:tcW w:w="1060" w:type="pct"/>
            <w:vAlign w:val="center"/>
          </w:tcPr>
          <w:p w14:paraId="75F34050">
            <w:pPr>
              <w:widowControl w:val="0"/>
              <w:shd w:val="clear" w:color="auto" w:fill="auto"/>
              <w:adjustRightInd/>
              <w:snapToGrid/>
              <w:spacing w:line="240" w:lineRule="auto"/>
              <w:jc w:val="center"/>
              <w:rPr>
                <w:rFonts w:hAnsi="宋体"/>
                <w:kern w:val="2"/>
                <w:szCs w:val="21"/>
              </w:rPr>
            </w:pPr>
            <w:r>
              <w:rPr>
                <w:rFonts w:hint="eastAsia" w:hAnsi="宋体"/>
                <w:kern w:val="2"/>
                <w:szCs w:val="21"/>
              </w:rPr>
              <w:t>每年开春前将高度压到定高点重剪1次；生长季每25天修剪1次。</w:t>
            </w:r>
          </w:p>
        </w:tc>
        <w:tc>
          <w:tcPr>
            <w:tcW w:w="1104" w:type="pct"/>
            <w:vAlign w:val="center"/>
          </w:tcPr>
          <w:p w14:paraId="5C15B93C">
            <w:pPr>
              <w:widowControl w:val="0"/>
              <w:shd w:val="clear" w:color="auto" w:fill="auto"/>
              <w:adjustRightInd/>
              <w:snapToGrid/>
              <w:spacing w:line="240" w:lineRule="auto"/>
              <w:jc w:val="center"/>
              <w:rPr>
                <w:rFonts w:hAnsi="宋体"/>
                <w:kern w:val="2"/>
                <w:szCs w:val="21"/>
              </w:rPr>
            </w:pPr>
            <w:r>
              <w:rPr>
                <w:rFonts w:hint="eastAsia" w:hAnsi="宋体"/>
                <w:kern w:val="2"/>
                <w:szCs w:val="21"/>
              </w:rPr>
              <w:t>生长季(非雨季)每周2-3次；非生长季(非雨季)每半个月2次。</w:t>
            </w:r>
          </w:p>
        </w:tc>
        <w:tc>
          <w:tcPr>
            <w:tcW w:w="1051" w:type="pct"/>
            <w:vAlign w:val="center"/>
          </w:tcPr>
          <w:p w14:paraId="5CA18D18">
            <w:pPr>
              <w:widowControl w:val="0"/>
              <w:shd w:val="clear" w:color="auto" w:fill="auto"/>
              <w:adjustRightInd/>
              <w:snapToGrid/>
              <w:spacing w:line="240" w:lineRule="auto"/>
              <w:jc w:val="center"/>
              <w:rPr>
                <w:rFonts w:hAnsi="宋体"/>
                <w:kern w:val="2"/>
                <w:szCs w:val="21"/>
              </w:rPr>
            </w:pPr>
            <w:r>
              <w:rPr>
                <w:rFonts w:hint="eastAsia" w:hAnsi="宋体"/>
                <w:kern w:val="2"/>
                <w:szCs w:val="21"/>
              </w:rPr>
              <w:t>早春或入冬前施有机肥或复合肥1次；生长季每两个月追施复合肥1次。</w:t>
            </w:r>
          </w:p>
        </w:tc>
        <w:tc>
          <w:tcPr>
            <w:tcW w:w="1114" w:type="pct"/>
            <w:vAlign w:val="center"/>
          </w:tcPr>
          <w:p w14:paraId="12ED4782">
            <w:pPr>
              <w:widowControl w:val="0"/>
              <w:shd w:val="clear" w:color="auto" w:fill="auto"/>
              <w:adjustRightInd/>
              <w:snapToGrid/>
              <w:spacing w:line="240" w:lineRule="auto"/>
              <w:jc w:val="center"/>
              <w:rPr>
                <w:rFonts w:hAnsi="宋体"/>
                <w:kern w:val="2"/>
                <w:szCs w:val="21"/>
              </w:rPr>
            </w:pPr>
            <w:r>
              <w:rPr>
                <w:rFonts w:hint="eastAsia" w:hAnsi="宋体"/>
                <w:kern w:val="2"/>
                <w:szCs w:val="21"/>
              </w:rPr>
              <w:t>每月喷施广普性杀菌条虫药1次；突发病虫害进行针对性防治。要求利用周末或下班时间喷药，不允许使用刺激性强或中等毒以上农药。</w:t>
            </w:r>
          </w:p>
        </w:tc>
      </w:tr>
      <w:tr w14:paraId="4ADDE7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70" w:type="pct"/>
            <w:vMerge w:val="continue"/>
            <w:vAlign w:val="center"/>
          </w:tcPr>
          <w:p w14:paraId="790D3531">
            <w:pPr>
              <w:widowControl w:val="0"/>
              <w:shd w:val="clear" w:color="auto" w:fill="auto"/>
              <w:adjustRightInd/>
              <w:snapToGrid/>
              <w:spacing w:line="240" w:lineRule="auto"/>
              <w:jc w:val="left"/>
              <w:rPr>
                <w:rFonts w:hAnsi="宋体"/>
                <w:kern w:val="2"/>
                <w:szCs w:val="21"/>
              </w:rPr>
            </w:pPr>
          </w:p>
        </w:tc>
        <w:tc>
          <w:tcPr>
            <w:tcW w:w="4329" w:type="pct"/>
            <w:gridSpan w:val="4"/>
            <w:vAlign w:val="center"/>
          </w:tcPr>
          <w:p w14:paraId="3445A4EC">
            <w:pPr>
              <w:widowControl w:val="0"/>
              <w:shd w:val="clear" w:color="auto" w:fill="auto"/>
              <w:adjustRightInd/>
              <w:snapToGrid/>
              <w:spacing w:line="240" w:lineRule="auto"/>
              <w:jc w:val="left"/>
              <w:rPr>
                <w:rFonts w:hAnsi="宋体"/>
                <w:kern w:val="2"/>
                <w:szCs w:val="21"/>
              </w:rPr>
            </w:pPr>
            <w:r>
              <w:rPr>
                <w:rFonts w:hint="eastAsia" w:hAnsi="宋体"/>
                <w:kern w:val="2"/>
                <w:szCs w:val="21"/>
              </w:rPr>
              <w:t>标准：</w:t>
            </w:r>
          </w:p>
          <w:p w14:paraId="630B569F">
            <w:pPr>
              <w:widowControl w:val="0"/>
              <w:shd w:val="clear" w:color="auto" w:fill="auto"/>
              <w:adjustRightInd/>
              <w:snapToGrid/>
              <w:spacing w:line="240" w:lineRule="auto"/>
              <w:jc w:val="left"/>
              <w:rPr>
                <w:rFonts w:hAnsi="宋体"/>
                <w:kern w:val="2"/>
                <w:szCs w:val="21"/>
              </w:rPr>
            </w:pPr>
            <w:r>
              <w:rPr>
                <w:rFonts w:hint="eastAsia" w:hAnsi="宋体"/>
                <w:kern w:val="2"/>
                <w:szCs w:val="21"/>
              </w:rPr>
              <w:t>（1）造型绿篱轮廓清晰，棱角分明；</w:t>
            </w:r>
          </w:p>
          <w:p w14:paraId="07493EB8">
            <w:pPr>
              <w:widowControl w:val="0"/>
              <w:shd w:val="clear" w:color="auto" w:fill="auto"/>
              <w:adjustRightInd/>
              <w:snapToGrid/>
              <w:spacing w:line="240" w:lineRule="auto"/>
              <w:jc w:val="left"/>
              <w:rPr>
                <w:rFonts w:hAnsi="宋体"/>
                <w:kern w:val="2"/>
                <w:szCs w:val="21"/>
              </w:rPr>
            </w:pPr>
            <w:r>
              <w:rPr>
                <w:rFonts w:hint="eastAsia" w:hAnsi="宋体"/>
                <w:kern w:val="2"/>
                <w:szCs w:val="21"/>
              </w:rPr>
              <w:t>（2）绿篱侧面垂直，平面水平，无明显缺剪漏剪，无崩口，脚部整齐；</w:t>
            </w:r>
          </w:p>
          <w:p w14:paraId="2774020F">
            <w:pPr>
              <w:widowControl w:val="0"/>
              <w:shd w:val="clear" w:color="auto" w:fill="auto"/>
              <w:adjustRightInd/>
              <w:snapToGrid/>
              <w:spacing w:line="240" w:lineRule="auto"/>
              <w:jc w:val="left"/>
              <w:rPr>
                <w:rFonts w:hAnsi="宋体"/>
                <w:kern w:val="2"/>
                <w:szCs w:val="21"/>
              </w:rPr>
            </w:pPr>
            <w:r>
              <w:rPr>
                <w:rFonts w:hint="eastAsia" w:hAnsi="宋体"/>
                <w:kern w:val="2"/>
                <w:szCs w:val="21"/>
              </w:rPr>
              <w:t>（3）每次修剪原则上不超过上一次剪口，已定型的绿篱新枝留高不超过5cm；</w:t>
            </w:r>
          </w:p>
          <w:p w14:paraId="38CFD461">
            <w:pPr>
              <w:widowControl w:val="0"/>
              <w:shd w:val="clear" w:color="auto" w:fill="auto"/>
              <w:adjustRightInd/>
              <w:snapToGrid/>
              <w:spacing w:line="240" w:lineRule="auto"/>
              <w:jc w:val="left"/>
              <w:rPr>
                <w:rFonts w:hAnsi="宋体"/>
                <w:kern w:val="2"/>
                <w:szCs w:val="21"/>
              </w:rPr>
            </w:pPr>
            <w:r>
              <w:rPr>
                <w:rFonts w:hint="eastAsia" w:hAnsi="宋体"/>
                <w:kern w:val="2"/>
                <w:szCs w:val="21"/>
              </w:rPr>
              <w:t>（4）片植绿篱修剪应有坡度变化，但坡度应平滑，不能有明显交接口；</w:t>
            </w:r>
          </w:p>
          <w:p w14:paraId="3367A056">
            <w:pPr>
              <w:widowControl w:val="0"/>
              <w:shd w:val="clear" w:color="auto" w:fill="auto"/>
              <w:adjustRightInd/>
              <w:snapToGrid/>
              <w:spacing w:line="240" w:lineRule="auto"/>
              <w:jc w:val="left"/>
              <w:rPr>
                <w:rFonts w:hAnsi="宋体"/>
                <w:kern w:val="2"/>
                <w:szCs w:val="21"/>
              </w:rPr>
            </w:pPr>
            <w:r>
              <w:rPr>
                <w:rFonts w:hint="eastAsia" w:hAnsi="宋体"/>
                <w:kern w:val="2"/>
                <w:szCs w:val="21"/>
              </w:rPr>
              <w:t>（5）绿篱内生出的杂生植物、爬藤等应及时予以连根清除。</w:t>
            </w:r>
          </w:p>
        </w:tc>
      </w:tr>
      <w:tr w14:paraId="447E0E4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70" w:type="pct"/>
            <w:vMerge w:val="restart"/>
            <w:vAlign w:val="center"/>
          </w:tcPr>
          <w:p w14:paraId="5EA94772">
            <w:pPr>
              <w:widowControl w:val="0"/>
              <w:shd w:val="clear" w:color="auto" w:fill="auto"/>
              <w:adjustRightInd/>
              <w:snapToGrid/>
              <w:spacing w:line="240" w:lineRule="auto"/>
              <w:jc w:val="center"/>
              <w:rPr>
                <w:rFonts w:hAnsi="宋体"/>
                <w:kern w:val="2"/>
                <w:szCs w:val="21"/>
              </w:rPr>
            </w:pPr>
            <w:r>
              <w:rPr>
                <w:rFonts w:hint="eastAsia" w:hAnsi="宋体"/>
                <w:kern w:val="2"/>
                <w:szCs w:val="21"/>
              </w:rPr>
              <w:t>时</w:t>
            </w:r>
          </w:p>
          <w:p w14:paraId="3F8BE520">
            <w:pPr>
              <w:widowControl w:val="0"/>
              <w:shd w:val="clear" w:color="auto" w:fill="auto"/>
              <w:adjustRightInd/>
              <w:snapToGrid/>
              <w:spacing w:line="240" w:lineRule="auto"/>
              <w:jc w:val="center"/>
              <w:rPr>
                <w:rFonts w:hAnsi="宋体"/>
                <w:kern w:val="2"/>
                <w:szCs w:val="21"/>
              </w:rPr>
            </w:pPr>
            <w:r>
              <w:rPr>
                <w:rFonts w:hint="eastAsia" w:hAnsi="宋体"/>
                <w:kern w:val="2"/>
                <w:szCs w:val="21"/>
              </w:rPr>
              <w:t>花</w:t>
            </w:r>
          </w:p>
        </w:tc>
        <w:tc>
          <w:tcPr>
            <w:tcW w:w="1060" w:type="pct"/>
            <w:vAlign w:val="center"/>
          </w:tcPr>
          <w:p w14:paraId="37871631">
            <w:pPr>
              <w:widowControl w:val="0"/>
              <w:shd w:val="clear" w:color="auto" w:fill="auto"/>
              <w:adjustRightInd/>
              <w:snapToGrid/>
              <w:spacing w:line="240" w:lineRule="auto"/>
              <w:jc w:val="center"/>
              <w:rPr>
                <w:rFonts w:hAnsi="宋体"/>
                <w:kern w:val="2"/>
                <w:szCs w:val="21"/>
              </w:rPr>
            </w:pPr>
            <w:r>
              <w:rPr>
                <w:rFonts w:hint="eastAsia" w:hAnsi="宋体"/>
                <w:kern w:val="2"/>
                <w:szCs w:val="21"/>
              </w:rPr>
              <w:t>每天清除残花黄叶1次；每周修花边1次；每月松土、除杂草1次。</w:t>
            </w:r>
          </w:p>
        </w:tc>
        <w:tc>
          <w:tcPr>
            <w:tcW w:w="1104" w:type="pct"/>
            <w:vAlign w:val="center"/>
          </w:tcPr>
          <w:p w14:paraId="79526E94">
            <w:pPr>
              <w:widowControl w:val="0"/>
              <w:shd w:val="clear" w:color="auto" w:fill="auto"/>
              <w:adjustRightInd/>
              <w:snapToGrid/>
              <w:spacing w:line="240" w:lineRule="auto"/>
              <w:jc w:val="center"/>
              <w:rPr>
                <w:rFonts w:hAnsi="宋体"/>
                <w:kern w:val="2"/>
                <w:szCs w:val="21"/>
              </w:rPr>
            </w:pPr>
            <w:r>
              <w:rPr>
                <w:rFonts w:hint="eastAsia" w:hAnsi="宋体"/>
                <w:kern w:val="2"/>
                <w:szCs w:val="21"/>
              </w:rPr>
              <w:t>生长季(非雨季)每天1—2次；非生长季(非雨季)每周2次。</w:t>
            </w:r>
          </w:p>
        </w:tc>
        <w:tc>
          <w:tcPr>
            <w:tcW w:w="1051" w:type="pct"/>
            <w:vAlign w:val="center"/>
          </w:tcPr>
          <w:p w14:paraId="4A4EC4CC">
            <w:pPr>
              <w:widowControl w:val="0"/>
              <w:shd w:val="clear" w:color="auto" w:fill="auto"/>
              <w:adjustRightInd/>
              <w:snapToGrid/>
              <w:spacing w:line="240" w:lineRule="auto"/>
              <w:jc w:val="center"/>
              <w:rPr>
                <w:rFonts w:hAnsi="宋体"/>
                <w:kern w:val="2"/>
                <w:szCs w:val="21"/>
              </w:rPr>
            </w:pPr>
            <w:r>
              <w:rPr>
                <w:rFonts w:hint="eastAsia" w:hAnsi="宋体"/>
                <w:kern w:val="2"/>
                <w:szCs w:val="21"/>
              </w:rPr>
              <w:t>地栽时花每年入冬前施1次磷钾肥，生长季花后追施全效有机肥或复合肥；盆栽时花出圃前施1次磷钾肥。</w:t>
            </w:r>
          </w:p>
        </w:tc>
        <w:tc>
          <w:tcPr>
            <w:tcW w:w="1114" w:type="pct"/>
            <w:vAlign w:val="center"/>
          </w:tcPr>
          <w:p w14:paraId="41AB400A">
            <w:pPr>
              <w:widowControl w:val="0"/>
              <w:shd w:val="clear" w:color="auto" w:fill="auto"/>
              <w:adjustRightInd/>
              <w:snapToGrid/>
              <w:spacing w:line="240" w:lineRule="auto"/>
              <w:jc w:val="center"/>
              <w:rPr>
                <w:rFonts w:hAnsi="宋体"/>
                <w:kern w:val="2"/>
                <w:szCs w:val="21"/>
              </w:rPr>
            </w:pPr>
            <w:r>
              <w:rPr>
                <w:rFonts w:hint="eastAsia" w:hAnsi="宋体"/>
                <w:kern w:val="2"/>
                <w:szCs w:val="21"/>
              </w:rPr>
              <w:t>每月喷施广普性杀菌条虫药1次；突发病虫害进行针对性防治。要求利用周末或下班时间喷药，不允许使用刺激性强或中等毒以上农药。</w:t>
            </w:r>
          </w:p>
        </w:tc>
      </w:tr>
      <w:tr w14:paraId="170211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670" w:type="pct"/>
            <w:vMerge w:val="continue"/>
            <w:vAlign w:val="center"/>
          </w:tcPr>
          <w:p w14:paraId="23F8B89C">
            <w:pPr>
              <w:widowControl w:val="0"/>
              <w:shd w:val="clear" w:color="auto" w:fill="auto"/>
              <w:adjustRightInd/>
              <w:snapToGrid/>
              <w:spacing w:line="240" w:lineRule="auto"/>
              <w:jc w:val="left"/>
              <w:rPr>
                <w:rFonts w:hAnsi="宋体"/>
                <w:kern w:val="2"/>
                <w:szCs w:val="21"/>
              </w:rPr>
            </w:pPr>
          </w:p>
        </w:tc>
        <w:tc>
          <w:tcPr>
            <w:tcW w:w="4329" w:type="pct"/>
            <w:gridSpan w:val="4"/>
            <w:vAlign w:val="center"/>
          </w:tcPr>
          <w:p w14:paraId="285F0665">
            <w:pPr>
              <w:widowControl w:val="0"/>
              <w:shd w:val="clear" w:color="auto" w:fill="auto"/>
              <w:adjustRightInd/>
              <w:snapToGrid/>
              <w:spacing w:line="240" w:lineRule="auto"/>
              <w:jc w:val="left"/>
              <w:rPr>
                <w:rFonts w:hAnsi="宋体"/>
                <w:kern w:val="2"/>
                <w:szCs w:val="21"/>
              </w:rPr>
            </w:pPr>
            <w:r>
              <w:rPr>
                <w:rFonts w:hint="eastAsia" w:hAnsi="宋体"/>
                <w:kern w:val="2"/>
                <w:szCs w:val="21"/>
              </w:rPr>
              <w:t>标准：</w:t>
            </w:r>
          </w:p>
          <w:p w14:paraId="0BC5365E">
            <w:pPr>
              <w:widowControl w:val="0"/>
              <w:shd w:val="clear" w:color="auto" w:fill="auto"/>
              <w:adjustRightInd/>
              <w:snapToGrid/>
              <w:spacing w:line="240" w:lineRule="auto"/>
              <w:jc w:val="left"/>
              <w:rPr>
                <w:rFonts w:hAnsi="宋体"/>
                <w:kern w:val="2"/>
                <w:szCs w:val="21"/>
              </w:rPr>
            </w:pPr>
            <w:r>
              <w:rPr>
                <w:rFonts w:hint="eastAsia" w:hAnsi="宋体"/>
                <w:kern w:val="2"/>
                <w:szCs w:val="21"/>
              </w:rPr>
              <w:t>(1)无残花、黄叶，无高出花面的竹签、杂草等；</w:t>
            </w:r>
          </w:p>
          <w:p w14:paraId="2CB7D688">
            <w:pPr>
              <w:widowControl w:val="0"/>
              <w:shd w:val="clear" w:color="auto" w:fill="auto"/>
              <w:adjustRightInd/>
              <w:snapToGrid/>
              <w:spacing w:line="240" w:lineRule="auto"/>
              <w:jc w:val="left"/>
              <w:rPr>
                <w:rFonts w:hAnsi="宋体"/>
                <w:kern w:val="2"/>
                <w:szCs w:val="21"/>
              </w:rPr>
            </w:pPr>
            <w:r>
              <w:rPr>
                <w:rFonts w:hint="eastAsia" w:hAnsi="宋体"/>
                <w:kern w:val="2"/>
                <w:szCs w:val="21"/>
              </w:rPr>
              <w:t>(2)花盆摆放整齐，盆内无杂物，最外一圈面对客人的盆边整洁美观；</w:t>
            </w:r>
          </w:p>
          <w:p w14:paraId="2D7652D4">
            <w:pPr>
              <w:widowControl w:val="0"/>
              <w:shd w:val="clear" w:color="auto" w:fill="auto"/>
              <w:adjustRightInd/>
              <w:snapToGrid/>
              <w:spacing w:line="240" w:lineRule="auto"/>
              <w:jc w:val="left"/>
              <w:rPr>
                <w:rFonts w:hAnsi="宋体"/>
                <w:kern w:val="2"/>
                <w:szCs w:val="21"/>
              </w:rPr>
            </w:pPr>
            <w:r>
              <w:rPr>
                <w:rFonts w:hint="eastAsia" w:hAnsi="宋体"/>
                <w:kern w:val="2"/>
                <w:szCs w:val="21"/>
              </w:rPr>
              <w:t>(3)整个花坛待换花不超过1／3；</w:t>
            </w:r>
          </w:p>
          <w:p w14:paraId="1060C255">
            <w:pPr>
              <w:widowControl w:val="0"/>
              <w:shd w:val="clear" w:color="auto" w:fill="auto"/>
              <w:adjustRightInd/>
              <w:snapToGrid/>
              <w:spacing w:line="240" w:lineRule="auto"/>
              <w:jc w:val="left"/>
              <w:rPr>
                <w:rFonts w:hAnsi="宋体"/>
                <w:kern w:val="2"/>
                <w:szCs w:val="21"/>
              </w:rPr>
            </w:pPr>
            <w:r>
              <w:rPr>
                <w:rFonts w:hint="eastAsia" w:hAnsi="宋体"/>
                <w:kern w:val="2"/>
                <w:szCs w:val="21"/>
              </w:rPr>
              <w:t>(4)地栽时花生长良好，无杂草，无秃斑，边界分明，边界草不蔓入时花境内；</w:t>
            </w:r>
          </w:p>
          <w:p w14:paraId="3AF06A4E">
            <w:pPr>
              <w:widowControl w:val="0"/>
              <w:shd w:val="clear" w:color="auto" w:fill="auto"/>
              <w:adjustRightInd/>
              <w:snapToGrid/>
              <w:spacing w:line="240" w:lineRule="auto"/>
              <w:jc w:val="left"/>
              <w:rPr>
                <w:rFonts w:hAnsi="宋体"/>
                <w:kern w:val="2"/>
                <w:szCs w:val="21"/>
              </w:rPr>
            </w:pPr>
            <w:r>
              <w:rPr>
                <w:rFonts w:hint="eastAsia" w:hAnsi="宋体"/>
                <w:kern w:val="2"/>
                <w:szCs w:val="21"/>
              </w:rPr>
              <w:t>(5)无明显病虫害，大叶时花叶面无虫口；</w:t>
            </w:r>
          </w:p>
          <w:p w14:paraId="65D374E3">
            <w:pPr>
              <w:widowControl w:val="0"/>
              <w:shd w:val="clear" w:color="auto" w:fill="auto"/>
              <w:adjustRightInd/>
              <w:snapToGrid/>
              <w:spacing w:line="240" w:lineRule="auto"/>
              <w:jc w:val="left"/>
              <w:rPr>
                <w:rFonts w:hAnsi="宋体"/>
                <w:kern w:val="2"/>
                <w:szCs w:val="21"/>
              </w:rPr>
            </w:pPr>
            <w:r>
              <w:rPr>
                <w:rFonts w:hint="eastAsia" w:hAnsi="宋体"/>
                <w:kern w:val="2"/>
                <w:szCs w:val="21"/>
              </w:rPr>
              <w:t>(6)无缺水干旱现象，植株生长良好。</w:t>
            </w:r>
          </w:p>
        </w:tc>
      </w:tr>
    </w:tbl>
    <w:p w14:paraId="63CBB77F">
      <w:pPr>
        <w:widowControl w:val="0"/>
        <w:shd w:val="clear" w:color="auto" w:fill="auto"/>
        <w:adjustRightInd/>
        <w:snapToGrid/>
        <w:spacing w:line="240" w:lineRule="auto"/>
        <w:rPr>
          <w:rFonts w:hAnsi="宋体"/>
          <w:kern w:val="2"/>
          <w:szCs w:val="21"/>
        </w:rPr>
      </w:pPr>
    </w:p>
    <w:p w14:paraId="48A8179C">
      <w:pPr>
        <w:widowControl w:val="0"/>
        <w:numPr>
          <w:ilvl w:val="0"/>
          <w:numId w:val="36"/>
        </w:numPr>
        <w:shd w:val="clear" w:color="auto" w:fill="auto"/>
        <w:adjustRightInd/>
        <w:snapToGrid/>
        <w:spacing w:line="240" w:lineRule="auto"/>
        <w:rPr>
          <w:rFonts w:hAnsi="宋体"/>
          <w:b/>
          <w:bCs/>
          <w:kern w:val="2"/>
          <w:szCs w:val="21"/>
        </w:rPr>
      </w:pPr>
      <w:r>
        <w:rPr>
          <w:rFonts w:hint="eastAsia" w:hAnsi="宋体"/>
          <w:b/>
          <w:bCs/>
          <w:kern w:val="2"/>
          <w:szCs w:val="21"/>
        </w:rPr>
        <w:t>人员要求：</w:t>
      </w:r>
    </w:p>
    <w:p w14:paraId="5AEE8AD9">
      <w:pPr>
        <w:widowControl w:val="0"/>
        <w:numPr>
          <w:ilvl w:val="0"/>
          <w:numId w:val="37"/>
        </w:numPr>
        <w:shd w:val="clear" w:color="auto" w:fill="auto"/>
        <w:adjustRightInd/>
        <w:snapToGrid/>
        <w:spacing w:line="240" w:lineRule="auto"/>
        <w:ind w:firstLine="420" w:firstLineChars="200"/>
        <w:rPr>
          <w:rFonts w:hAnsi="宋体"/>
          <w:kern w:val="2"/>
          <w:szCs w:val="21"/>
        </w:rPr>
      </w:pPr>
      <w:r>
        <w:rPr>
          <w:rFonts w:hint="eastAsia" w:hAnsi="宋体"/>
          <w:kern w:val="2"/>
          <w:szCs w:val="21"/>
        </w:rPr>
        <w:t>原则是“精干、高效、专业、敬业、健康”。配备提供本服务的人员均应取得符合条件的健康证及要求的其他证件，且健康证及其他证件的有效期应当覆盖整个服务期限。</w:t>
      </w:r>
    </w:p>
    <w:p w14:paraId="221ACB62">
      <w:pPr>
        <w:widowControl w:val="0"/>
        <w:numPr>
          <w:ilvl w:val="0"/>
          <w:numId w:val="37"/>
        </w:numPr>
        <w:shd w:val="clear" w:color="auto" w:fill="auto"/>
        <w:adjustRightInd/>
        <w:snapToGrid/>
        <w:spacing w:line="240" w:lineRule="auto"/>
        <w:ind w:firstLine="420" w:firstLineChars="200"/>
        <w:rPr>
          <w:rFonts w:hAnsi="宋体"/>
          <w:kern w:val="2"/>
          <w:szCs w:val="21"/>
        </w:rPr>
      </w:pPr>
      <w:r>
        <w:rPr>
          <w:rFonts w:hint="eastAsia" w:hAnsi="宋体"/>
          <w:kern w:val="2"/>
          <w:szCs w:val="21"/>
        </w:rPr>
        <w:t>员工管理实行采购单位备案制度（包括员工从业上岗资格和新进员工备案），中标单位应当与指派提供本合同服务的员工形成合法的劳动用工法律关系，有关劳动争议以及其他一切争议或赔偿由中标单位自行负责，与采购单位无关。</w:t>
      </w:r>
    </w:p>
    <w:p w14:paraId="6D963417">
      <w:pPr>
        <w:widowControl w:val="0"/>
        <w:numPr>
          <w:ilvl w:val="0"/>
          <w:numId w:val="37"/>
        </w:numPr>
        <w:shd w:val="clear" w:color="auto" w:fill="auto"/>
        <w:adjustRightInd/>
        <w:snapToGrid/>
        <w:spacing w:line="240" w:lineRule="auto"/>
        <w:ind w:firstLine="420" w:firstLineChars="200"/>
        <w:rPr>
          <w:rFonts w:hAnsi="宋体"/>
          <w:kern w:val="2"/>
          <w:szCs w:val="21"/>
        </w:rPr>
      </w:pPr>
      <w:r>
        <w:rPr>
          <w:rFonts w:hint="eastAsia" w:hAnsi="宋体"/>
          <w:kern w:val="2"/>
          <w:szCs w:val="21"/>
        </w:rPr>
        <w:t>对于不适合或不称职的员工，采购单位有权提出调整要求，中标单位应及时予以调整。</w:t>
      </w:r>
    </w:p>
    <w:p w14:paraId="40DDC7E1">
      <w:pPr>
        <w:widowControl w:val="0"/>
        <w:numPr>
          <w:ilvl w:val="0"/>
          <w:numId w:val="37"/>
        </w:numPr>
        <w:shd w:val="clear" w:color="auto" w:fill="auto"/>
        <w:adjustRightInd/>
        <w:snapToGrid/>
        <w:spacing w:line="240" w:lineRule="auto"/>
        <w:ind w:firstLine="420" w:firstLineChars="200"/>
        <w:rPr>
          <w:rFonts w:hAnsi="宋体"/>
          <w:kern w:val="2"/>
          <w:szCs w:val="21"/>
        </w:rPr>
      </w:pPr>
      <w:r>
        <w:rPr>
          <w:rFonts w:hint="eastAsia" w:hAnsi="宋体"/>
          <w:kern w:val="2"/>
          <w:szCs w:val="21"/>
        </w:rPr>
        <w:t xml:space="preserve">员工的工作时间和具体工作轮休时间由中标单位根据国家有关规定及实际工作需要做具体安排。 </w:t>
      </w:r>
    </w:p>
    <w:p w14:paraId="7B1D6E30">
      <w:pPr>
        <w:widowControl w:val="0"/>
        <w:numPr>
          <w:ilvl w:val="0"/>
          <w:numId w:val="37"/>
        </w:numPr>
        <w:shd w:val="clear" w:color="auto" w:fill="auto"/>
        <w:adjustRightInd/>
        <w:snapToGrid/>
        <w:spacing w:line="240" w:lineRule="auto"/>
        <w:ind w:firstLine="420" w:firstLineChars="200"/>
        <w:rPr>
          <w:rFonts w:hAnsi="宋体"/>
          <w:kern w:val="2"/>
          <w:szCs w:val="21"/>
        </w:rPr>
      </w:pPr>
      <w:r>
        <w:rPr>
          <w:rFonts w:hint="eastAsia" w:hAnsi="宋体"/>
          <w:kern w:val="2"/>
          <w:szCs w:val="21"/>
        </w:rPr>
        <w:t>员工要言行规范，要注意仪容仪表、公众形象，自觉维护采购单位形象。男员工不准留胡须、蓄长发、染发（黑色除外）、刺青纹身、佩戴过分的饰物；女员工不准浓妆艳抹或佩戴过分的饰物，头发染色不能过艳。</w:t>
      </w:r>
    </w:p>
    <w:p w14:paraId="07F12091">
      <w:pPr>
        <w:widowControl w:val="0"/>
        <w:shd w:val="clear" w:color="auto" w:fill="auto"/>
        <w:adjustRightInd/>
        <w:snapToGrid/>
        <w:spacing w:line="240" w:lineRule="auto"/>
        <w:rPr>
          <w:rFonts w:hAnsi="宋体"/>
          <w:b/>
          <w:bCs/>
          <w:kern w:val="2"/>
          <w:szCs w:val="21"/>
        </w:rPr>
      </w:pPr>
      <w:r>
        <w:rPr>
          <w:rFonts w:hint="eastAsia" w:hAnsi="宋体"/>
          <w:b/>
          <w:bCs/>
          <w:kern w:val="2"/>
          <w:szCs w:val="21"/>
        </w:rPr>
        <w:t>（6）设备设施要求：</w:t>
      </w:r>
      <w:r>
        <w:rPr>
          <w:rFonts w:hint="eastAsia" w:hAnsi="宋体"/>
          <w:kern w:val="2"/>
          <w:szCs w:val="21"/>
        </w:rPr>
        <w:t>中标单位自行提供工具。</w:t>
      </w:r>
    </w:p>
    <w:p w14:paraId="7A677EAB">
      <w:pPr>
        <w:pStyle w:val="3"/>
        <w:numPr>
          <w:ilvl w:val="0"/>
          <w:numId w:val="0"/>
        </w:numPr>
        <w:rPr>
          <w:sz w:val="24"/>
        </w:rPr>
      </w:pPr>
      <w:bookmarkStart w:id="85" w:name="_Toc120892145"/>
      <w:bookmarkStart w:id="86" w:name="_Toc145666465"/>
      <w:bookmarkStart w:id="87" w:name="_Toc152759234"/>
      <w:r>
        <w:rPr>
          <w:rFonts w:hint="eastAsia"/>
          <w:sz w:val="24"/>
        </w:rPr>
        <w:t>五、商务需求</w:t>
      </w:r>
      <w:bookmarkEnd w:id="85"/>
      <w:bookmarkEnd w:id="86"/>
      <w:bookmarkEnd w:id="87"/>
    </w:p>
    <w:p w14:paraId="5AE5F61F">
      <w:pPr>
        <w:widowControl w:val="0"/>
        <w:shd w:val="clear" w:color="auto" w:fill="auto"/>
        <w:adjustRightInd/>
        <w:snapToGrid/>
        <w:spacing w:line="240" w:lineRule="auto"/>
        <w:jc w:val="left"/>
        <w:rPr>
          <w:rFonts w:hAnsi="宋体"/>
          <w:kern w:val="2"/>
          <w:szCs w:val="21"/>
        </w:rPr>
      </w:pPr>
      <w:r>
        <w:rPr>
          <w:rFonts w:hint="eastAsia" w:hAnsi="宋体"/>
          <w:b/>
          <w:bCs/>
          <w:kern w:val="2"/>
          <w:szCs w:val="21"/>
        </w:rPr>
        <w:t>1.服务期限：</w:t>
      </w:r>
      <w:r>
        <w:rPr>
          <w:rFonts w:hint="eastAsia" w:hAnsi="宋体"/>
          <w:kern w:val="2"/>
          <w:szCs w:val="21"/>
        </w:rPr>
        <w:t>自合同签订之日起至2025年12月14日。</w:t>
      </w:r>
    </w:p>
    <w:p w14:paraId="4262EE36">
      <w:pPr>
        <w:widowControl w:val="0"/>
        <w:shd w:val="clear" w:color="auto" w:fill="auto"/>
        <w:adjustRightInd/>
        <w:snapToGrid/>
        <w:spacing w:line="240" w:lineRule="auto"/>
        <w:rPr>
          <w:rFonts w:hAnsi="宋体"/>
          <w:kern w:val="2"/>
          <w:szCs w:val="21"/>
        </w:rPr>
      </w:pPr>
      <w:r>
        <w:rPr>
          <w:rFonts w:hint="eastAsia" w:hAnsi="宋体"/>
          <w:b/>
          <w:bCs/>
          <w:kern w:val="2"/>
          <w:szCs w:val="21"/>
        </w:rPr>
        <w:t>2.服务地点：</w:t>
      </w:r>
      <w:r>
        <w:rPr>
          <w:rFonts w:hint="eastAsia" w:hAnsi="宋体"/>
          <w:kern w:val="2"/>
          <w:szCs w:val="21"/>
        </w:rPr>
        <w:t>深圳市消防救援支队特勤大队深中通道三围消防站、西人工岛消防站</w:t>
      </w:r>
    </w:p>
    <w:p w14:paraId="56F73862">
      <w:pPr>
        <w:widowControl w:val="0"/>
        <w:shd w:val="clear" w:color="auto" w:fill="auto"/>
        <w:adjustRightInd/>
        <w:snapToGrid/>
        <w:spacing w:line="240" w:lineRule="auto"/>
        <w:rPr>
          <w:rFonts w:hAnsi="宋体"/>
          <w:b/>
          <w:bCs/>
          <w:kern w:val="2"/>
          <w:szCs w:val="21"/>
        </w:rPr>
      </w:pPr>
      <w:r>
        <w:rPr>
          <w:rFonts w:hint="eastAsia" w:hAnsi="宋体"/>
          <w:b/>
          <w:bCs/>
          <w:kern w:val="2"/>
          <w:szCs w:val="21"/>
        </w:rPr>
        <w:t xml:space="preserve">3.报价方式及说明 </w:t>
      </w:r>
    </w:p>
    <w:p w14:paraId="023474B0">
      <w:pPr>
        <w:widowControl w:val="0"/>
        <w:shd w:val="clear" w:color="auto" w:fill="auto"/>
        <w:adjustRightInd/>
        <w:snapToGrid/>
        <w:spacing w:line="240" w:lineRule="auto"/>
        <w:ind w:firstLine="420" w:firstLineChars="200"/>
        <w:rPr>
          <w:rFonts w:hAnsi="宋体"/>
          <w:kern w:val="2"/>
          <w:szCs w:val="21"/>
        </w:rPr>
      </w:pPr>
      <w:r>
        <w:rPr>
          <w:rFonts w:hint="eastAsia" w:hAnsi="宋体"/>
          <w:kern w:val="2"/>
          <w:szCs w:val="21"/>
        </w:rPr>
        <w:t xml:space="preserve">投标人的总报价不得超过采购预算限额和最高限价。 </w:t>
      </w:r>
    </w:p>
    <w:p w14:paraId="365FB65D">
      <w:pPr>
        <w:widowControl w:val="0"/>
        <w:shd w:val="clear" w:color="auto" w:fill="auto"/>
        <w:adjustRightInd/>
        <w:snapToGrid/>
        <w:spacing w:line="240" w:lineRule="auto"/>
        <w:ind w:firstLine="420" w:firstLineChars="200"/>
        <w:rPr>
          <w:rFonts w:hAnsi="宋体"/>
          <w:kern w:val="2"/>
          <w:szCs w:val="21"/>
        </w:rPr>
      </w:pPr>
      <w:r>
        <w:rPr>
          <w:rFonts w:hint="eastAsia" w:hAnsi="宋体"/>
          <w:kern w:val="2"/>
          <w:szCs w:val="21"/>
        </w:rPr>
        <w:t>若该项目涉及分项报价，投标人自行提供（格式自拟）。</w:t>
      </w:r>
    </w:p>
    <w:p w14:paraId="3B8A7160">
      <w:pPr>
        <w:widowControl w:val="0"/>
        <w:shd w:val="clear" w:color="auto" w:fill="auto"/>
        <w:adjustRightInd/>
        <w:snapToGrid/>
        <w:spacing w:line="240" w:lineRule="auto"/>
        <w:ind w:firstLine="420" w:firstLineChars="200"/>
        <w:rPr>
          <w:rFonts w:hAnsi="宋体"/>
          <w:b/>
          <w:bCs/>
          <w:kern w:val="2"/>
          <w:szCs w:val="21"/>
        </w:rPr>
      </w:pPr>
      <w:r>
        <w:rPr>
          <w:rFonts w:hint="eastAsia" w:hAnsi="宋体"/>
          <w:kern w:val="2"/>
          <w:szCs w:val="21"/>
        </w:rPr>
        <w:t>本项目投标报价采用包干制，应包括成本、法定税费和相应的利润，应涵盖本项目招标范围和招标文件所列的各项内容中所述的全部。由投标单位根据招标需求自行测算投标报价；一经中标，投标报价即作为中标单位与采购单位签订的合同的总金额。</w:t>
      </w:r>
      <w:r>
        <w:rPr>
          <w:rFonts w:hint="eastAsia" w:hAnsi="宋体"/>
          <w:b/>
          <w:bCs/>
          <w:kern w:val="2"/>
          <w:szCs w:val="21"/>
        </w:rPr>
        <w:t>物业消杀所需药剂药物，绿化维护所需肥料杀菌条虫药剂及更换植株，洗手间厕纸、洗手液、擦手纸、香薰等耗材由采购单位承担。本项目服务范围内的设备设施日常维修、养护、检测(不包含办公设备、专用设备的维修、养护及配套设施的更新改造)单项单价300元(含)以下的的维修、养护材料费，由中标单位承担和实施；单项单价300元以上的维修、养护材料费用由采购单位负担(涉及政府采购项目按规定办固定资产登记采购)。具体维修标准：中标单位依据实际情况，对单项单价超过300元的材料费提出申请(附维修事项的相片)，并提供报价单报告采购单位，经采购单位确认后方可实施，验收合格后，中标单位提供合法有效的发票及其他相关材料向采购单位报销。紧急情况下，中标单位可口头或电话通知采购单位，经采购单位同意，中标单位可进行维修。</w:t>
      </w:r>
    </w:p>
    <w:p w14:paraId="6426003E">
      <w:pPr>
        <w:widowControl w:val="0"/>
        <w:shd w:val="clear" w:color="auto" w:fill="auto"/>
        <w:adjustRightInd/>
        <w:snapToGrid/>
        <w:spacing w:line="240" w:lineRule="auto"/>
        <w:ind w:firstLine="420" w:firstLineChars="200"/>
        <w:rPr>
          <w:rFonts w:hAnsi="宋体"/>
          <w:kern w:val="2"/>
          <w:szCs w:val="21"/>
        </w:rPr>
      </w:pPr>
      <w:r>
        <w:rPr>
          <w:rFonts w:hint="eastAsia" w:hAnsi="宋体"/>
          <w:kern w:val="2"/>
          <w:szCs w:val="21"/>
        </w:rPr>
        <w:t>评标委员会认为投标单位的报价明显低于其他通过符合性审查投标单位的报价，有可能影响产品质量或者不能诚信履约的，应当要求其在评标现场合理的时间内提供书面说明，必要时提交相关证明材料；投标单位不能证明其报价合理性的，评标委员会应当将其作为无效投标处理。</w:t>
      </w:r>
    </w:p>
    <w:p w14:paraId="1D9F0E2E">
      <w:pPr>
        <w:widowControl w:val="0"/>
        <w:numPr>
          <w:ilvl w:val="0"/>
          <w:numId w:val="38"/>
        </w:numPr>
        <w:shd w:val="clear" w:color="auto" w:fill="auto"/>
        <w:tabs>
          <w:tab w:val="clear" w:pos="426"/>
        </w:tabs>
        <w:adjustRightInd/>
        <w:snapToGrid/>
        <w:spacing w:line="240" w:lineRule="auto"/>
        <w:rPr>
          <w:rFonts w:hAnsi="宋体"/>
          <w:b/>
          <w:bCs/>
          <w:kern w:val="2"/>
          <w:szCs w:val="21"/>
        </w:rPr>
      </w:pPr>
      <w:r>
        <w:rPr>
          <w:rFonts w:hint="eastAsia" w:hAnsi="宋体"/>
          <w:b/>
          <w:bCs/>
          <w:kern w:val="2"/>
          <w:szCs w:val="21"/>
        </w:rPr>
        <w:t xml:space="preserve">付款方式 </w:t>
      </w:r>
    </w:p>
    <w:p w14:paraId="008FC7F3">
      <w:pPr>
        <w:pStyle w:val="585"/>
        <w:spacing w:line="240" w:lineRule="auto"/>
        <w:rPr>
          <w:rFonts w:ascii="宋体" w:hAnsi="宋体" w:eastAsia="宋体" w:cs="宋体"/>
          <w:b w:val="0"/>
          <w:sz w:val="21"/>
          <w:szCs w:val="21"/>
        </w:rPr>
      </w:pPr>
      <w:r>
        <w:rPr>
          <w:rFonts w:hint="eastAsia" w:ascii="宋体" w:hAnsi="宋体" w:eastAsia="宋体" w:cs="宋体"/>
          <w:b w:val="0"/>
          <w:kern w:val="2"/>
          <w:sz w:val="21"/>
          <w:szCs w:val="21"/>
        </w:rPr>
        <w:t>由采购人按下列程序付款：中标单位应在每月10日之前将物业服务管理总费用发票及相关附件提交给采购单位，采购单位应在收到中标单位提交的发票后10个工作日内将资金汇至中标单位指定的开户银行。</w:t>
      </w:r>
    </w:p>
    <w:p w14:paraId="2CF14D89">
      <w:pPr>
        <w:widowControl w:val="0"/>
        <w:numPr>
          <w:ilvl w:val="0"/>
          <w:numId w:val="38"/>
        </w:numPr>
        <w:tabs>
          <w:tab w:val="clear" w:pos="426"/>
        </w:tabs>
        <w:adjustRightInd/>
        <w:snapToGrid/>
        <w:spacing w:line="240" w:lineRule="auto"/>
        <w:rPr>
          <w:rFonts w:hAnsi="宋体"/>
          <w:b/>
          <w:bCs/>
          <w:kern w:val="2"/>
          <w:szCs w:val="21"/>
        </w:rPr>
      </w:pPr>
      <w:bookmarkStart w:id="88" w:name="_Toc152759235"/>
      <w:r>
        <w:rPr>
          <w:rFonts w:hint="eastAsia" w:hAnsi="宋体"/>
          <w:b/>
          <w:bCs/>
          <w:kern w:val="2"/>
          <w:szCs w:val="21"/>
        </w:rPr>
        <w:t>合同类型</w:t>
      </w:r>
    </w:p>
    <w:p w14:paraId="5E1D1892">
      <w:pPr>
        <w:spacing w:line="240" w:lineRule="auto"/>
        <w:jc w:val="left"/>
        <w:rPr>
          <w:rFonts w:hAnsi="宋体"/>
          <w:szCs w:val="21"/>
        </w:rPr>
      </w:pPr>
      <w:r>
        <w:rPr>
          <w:rFonts w:hint="eastAsia" w:hAnsi="宋体"/>
          <w:szCs w:val="21"/>
        </w:rPr>
        <w:t>物业服务合同</w:t>
      </w:r>
    </w:p>
    <w:p w14:paraId="4487B72F">
      <w:pPr>
        <w:widowControl w:val="0"/>
        <w:numPr>
          <w:ilvl w:val="0"/>
          <w:numId w:val="38"/>
        </w:numPr>
        <w:tabs>
          <w:tab w:val="clear" w:pos="426"/>
        </w:tabs>
        <w:adjustRightInd/>
        <w:snapToGrid/>
        <w:spacing w:line="240" w:lineRule="auto"/>
        <w:rPr>
          <w:rFonts w:hAnsi="宋体"/>
          <w:b/>
          <w:bCs/>
          <w:kern w:val="2"/>
          <w:szCs w:val="21"/>
        </w:rPr>
      </w:pPr>
      <w:r>
        <w:rPr>
          <w:rFonts w:hint="eastAsia" w:hAnsi="宋体"/>
          <w:b/>
          <w:bCs/>
          <w:kern w:val="2"/>
          <w:szCs w:val="21"/>
        </w:rPr>
        <w:t>定价方式</w:t>
      </w:r>
    </w:p>
    <w:p w14:paraId="69335F6B">
      <w:pPr>
        <w:spacing w:line="240" w:lineRule="auto"/>
        <w:jc w:val="left"/>
        <w:rPr>
          <w:rFonts w:hAnsi="宋体"/>
          <w:color w:val="000000" w:themeColor="text1"/>
          <w:szCs w:val="21"/>
          <w:u w:val="single"/>
          <w14:textFill>
            <w14:solidFill>
              <w14:schemeClr w14:val="tx1"/>
            </w14:solidFill>
          </w14:textFill>
        </w:rPr>
      </w:pPr>
      <w:r>
        <w:rPr>
          <w:rFonts w:hint="eastAsia" w:hAnsi="宋体"/>
          <w:color w:val="000000" w:themeColor="text1"/>
          <w:szCs w:val="21"/>
          <w14:textFill>
            <w14:solidFill>
              <w14:schemeClr w14:val="tx1"/>
            </w14:solidFill>
          </w14:textFill>
        </w:rPr>
        <w:t>固定总价，要求：</w:t>
      </w:r>
      <w:r>
        <w:rPr>
          <w:rFonts w:hint="eastAsia" w:hAnsi="宋体"/>
          <w:szCs w:val="21"/>
        </w:rPr>
        <w:t>年度预算支付金额上限。</w:t>
      </w:r>
      <w:r>
        <w:rPr>
          <w:rFonts w:hint="eastAsia" w:hAnsi="宋体"/>
          <w:color w:val="000000" w:themeColor="text1"/>
          <w:szCs w:val="21"/>
          <w14:textFill>
            <w14:solidFill>
              <w14:schemeClr w14:val="tx1"/>
            </w14:solidFill>
          </w14:textFill>
        </w:rPr>
        <w:t xml:space="preserve"> </w:t>
      </w:r>
    </w:p>
    <w:p w14:paraId="268D76E4">
      <w:pPr>
        <w:widowControl w:val="0"/>
        <w:numPr>
          <w:ilvl w:val="0"/>
          <w:numId w:val="38"/>
        </w:numPr>
        <w:tabs>
          <w:tab w:val="clear" w:pos="426"/>
        </w:tabs>
        <w:adjustRightInd/>
        <w:snapToGrid/>
        <w:spacing w:line="240" w:lineRule="auto"/>
        <w:rPr>
          <w:rFonts w:hAnsi="宋体"/>
          <w:b/>
          <w:bCs/>
          <w:kern w:val="2"/>
          <w:szCs w:val="21"/>
        </w:rPr>
      </w:pPr>
      <w:r>
        <w:rPr>
          <w:rFonts w:hint="eastAsia" w:hAnsi="宋体"/>
          <w:b/>
          <w:bCs/>
          <w:kern w:val="2"/>
          <w:szCs w:val="21"/>
        </w:rPr>
        <w:t>验收方案</w:t>
      </w:r>
    </w:p>
    <w:p w14:paraId="1BC6CD79">
      <w:pPr>
        <w:spacing w:line="240" w:lineRule="auto"/>
        <w:jc w:val="left"/>
        <w:rPr>
          <w:rFonts w:hAnsi="宋体"/>
          <w:color w:val="000000" w:themeColor="text1"/>
          <w:szCs w:val="21"/>
          <w14:textFill>
            <w14:solidFill>
              <w14:schemeClr w14:val="tx1"/>
            </w14:solidFill>
          </w14:textFill>
        </w:rPr>
      </w:pPr>
      <w:r>
        <w:rPr>
          <w:rFonts w:hint="eastAsia" w:hAnsi="宋体"/>
          <w:szCs w:val="21"/>
        </w:rPr>
        <w:t>（1）交付验收主体：</w:t>
      </w:r>
      <w:r>
        <w:rPr>
          <w:rFonts w:hint="eastAsia" w:hAnsi="宋体"/>
          <w:color w:val="000000" w:themeColor="text1"/>
          <w:szCs w:val="21"/>
          <w14:textFill>
            <w14:solidFill>
              <w14:schemeClr w14:val="tx1"/>
            </w14:solidFill>
          </w14:textFill>
        </w:rPr>
        <w:t>采购人（</w:t>
      </w:r>
      <w:r>
        <w:rPr>
          <w:rFonts w:hint="eastAsia" w:hAnsi="宋体"/>
          <w:szCs w:val="21"/>
        </w:rPr>
        <w:t>深圳市消防救援支队特勤大队</w:t>
      </w:r>
      <w:r>
        <w:rPr>
          <w:rFonts w:hint="eastAsia" w:hAnsi="宋体"/>
          <w:color w:val="000000" w:themeColor="text1"/>
          <w:szCs w:val="21"/>
          <w14:textFill>
            <w14:solidFill>
              <w14:schemeClr w14:val="tx1"/>
            </w14:solidFill>
          </w14:textFill>
        </w:rPr>
        <w:t xml:space="preserve">）。     </w:t>
      </w:r>
    </w:p>
    <w:p w14:paraId="0782B590">
      <w:pPr>
        <w:spacing w:line="240" w:lineRule="auto"/>
        <w:jc w:val="lef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（2）交付验收时间：</w:t>
      </w:r>
      <w:r>
        <w:rPr>
          <w:rFonts w:hint="eastAsia" w:hAnsi="宋体"/>
          <w:szCs w:val="21"/>
        </w:rPr>
        <w:t>按月验收。</w:t>
      </w:r>
      <w:r>
        <w:rPr>
          <w:rFonts w:hint="eastAsia" w:hAnsi="宋体"/>
          <w:color w:val="000000" w:themeColor="text1"/>
          <w:szCs w:val="21"/>
          <w14:textFill>
            <w14:solidFill>
              <w14:schemeClr w14:val="tx1"/>
            </w14:solidFill>
          </w14:textFill>
        </w:rPr>
        <w:t xml:space="preserve">                                              </w:t>
      </w:r>
    </w:p>
    <w:p w14:paraId="7E6F120B">
      <w:pPr>
        <w:spacing w:line="240" w:lineRule="auto"/>
        <w:jc w:val="lef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 xml:space="preserve">（3）交付验收方式：委托检测。                                              </w:t>
      </w:r>
    </w:p>
    <w:p w14:paraId="76CBDE25">
      <w:pPr>
        <w:spacing w:line="240" w:lineRule="auto"/>
        <w:jc w:val="lef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 xml:space="preserve">（4）交付验收程序：组建验收小组。                                                 </w:t>
      </w:r>
    </w:p>
    <w:p w14:paraId="4A18D3DE">
      <w:pPr>
        <w:spacing w:line="240" w:lineRule="auto"/>
        <w:jc w:val="lef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 xml:space="preserve">（5）交付验收内容：通过问卷调查方式。                                </w:t>
      </w:r>
    </w:p>
    <w:p w14:paraId="15CA02F5">
      <w:pPr>
        <w:spacing w:line="240" w:lineRule="auto"/>
        <w:jc w:val="lef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 xml:space="preserve">（6）交付验收验收标准：合格。                                            </w:t>
      </w:r>
    </w:p>
    <w:p w14:paraId="209BE056">
      <w:pPr>
        <w:spacing w:line="240" w:lineRule="auto"/>
        <w:jc w:val="lef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 xml:space="preserve">（7）交付验收其他事项：/。                                              </w:t>
      </w:r>
    </w:p>
    <w:p w14:paraId="144A3B1B">
      <w:pPr>
        <w:widowControl w:val="0"/>
        <w:numPr>
          <w:ilvl w:val="0"/>
          <w:numId w:val="38"/>
        </w:numPr>
        <w:tabs>
          <w:tab w:val="clear" w:pos="426"/>
        </w:tabs>
        <w:adjustRightInd/>
        <w:snapToGrid/>
        <w:spacing w:line="240" w:lineRule="auto"/>
        <w:rPr>
          <w:rFonts w:hAnsi="宋体"/>
          <w:b/>
          <w:bCs/>
          <w:kern w:val="2"/>
          <w:szCs w:val="21"/>
        </w:rPr>
      </w:pPr>
      <w:r>
        <w:rPr>
          <w:rFonts w:hint="eastAsia" w:hAnsi="宋体"/>
          <w:b/>
          <w:bCs/>
          <w:kern w:val="2"/>
          <w:szCs w:val="21"/>
        </w:rPr>
        <w:t>风险管控措施</w:t>
      </w:r>
    </w:p>
    <w:p w14:paraId="0E59CA19">
      <w:pPr>
        <w:spacing w:line="240" w:lineRule="auto"/>
        <w:jc w:val="left"/>
        <w:rPr>
          <w:rFonts w:hAnsi="宋体"/>
          <w:color w:val="000000" w:themeColor="text1"/>
          <w:szCs w:val="21"/>
          <w:u w:val="single"/>
          <w14:textFill>
            <w14:solidFill>
              <w14:schemeClr w14:val="tx1"/>
            </w14:solidFill>
          </w14:textFill>
        </w:rPr>
      </w:pPr>
      <w:r>
        <w:rPr>
          <w:rFonts w:hint="eastAsia" w:hAnsi="宋体"/>
          <w:color w:val="000000" w:themeColor="text1"/>
          <w:szCs w:val="21"/>
          <w14:textFill>
            <w14:solidFill>
              <w14:schemeClr w14:val="tx1"/>
            </w14:solidFill>
          </w14:textFill>
        </w:rPr>
        <w:t>（1）国家政策变化应对措施：根据要求，重新制定招标文件，开展招标工作。</w:t>
      </w:r>
    </w:p>
    <w:p w14:paraId="50181E81">
      <w:pPr>
        <w:spacing w:line="240" w:lineRule="auto"/>
        <w:jc w:val="left"/>
        <w:rPr>
          <w:rFonts w:hAnsi="宋体"/>
          <w:color w:val="000000" w:themeColor="text1"/>
          <w:szCs w:val="21"/>
          <w:u w:val="single"/>
          <w14:textFill>
            <w14:solidFill>
              <w14:schemeClr w14:val="tx1"/>
            </w14:solidFill>
          </w14:textFill>
        </w:rPr>
      </w:pPr>
      <w:r>
        <w:rPr>
          <w:rFonts w:hint="eastAsia" w:hAnsi="宋体"/>
          <w:color w:val="000000" w:themeColor="text1"/>
          <w:szCs w:val="21"/>
          <w14:textFill>
            <w14:solidFill>
              <w14:schemeClr w14:val="tx1"/>
            </w14:solidFill>
          </w14:textFill>
        </w:rPr>
        <w:t>（2）实施环境变化应对措施：与乙方协商，签订补充协议，变更服务地点。</w:t>
      </w:r>
    </w:p>
    <w:p w14:paraId="640F7DA1">
      <w:pPr>
        <w:spacing w:line="240" w:lineRule="auto"/>
        <w:jc w:val="left"/>
        <w:rPr>
          <w:rFonts w:hAnsi="宋体"/>
          <w:color w:val="000000" w:themeColor="text1"/>
          <w:szCs w:val="21"/>
          <w:u w:val="single"/>
          <w14:textFill>
            <w14:solidFill>
              <w14:schemeClr w14:val="tx1"/>
            </w14:solidFill>
          </w14:textFill>
        </w:rPr>
      </w:pPr>
      <w:r>
        <w:rPr>
          <w:rFonts w:hint="eastAsia" w:hAnsi="宋体"/>
          <w:color w:val="000000" w:themeColor="text1"/>
          <w:szCs w:val="21"/>
          <w14:textFill>
            <w14:solidFill>
              <w14:schemeClr w14:val="tx1"/>
            </w14:solidFill>
          </w14:textFill>
        </w:rPr>
        <w:t>（3）重大技术变化应对措施：根据要求，与乙方协商，签订补充协议。</w:t>
      </w:r>
    </w:p>
    <w:p w14:paraId="766E43A3">
      <w:pPr>
        <w:spacing w:line="240" w:lineRule="auto"/>
        <w:jc w:val="left"/>
        <w:rPr>
          <w:rFonts w:hAnsi="宋体"/>
          <w:color w:val="000000" w:themeColor="text1"/>
          <w:szCs w:val="21"/>
          <w:u w:val="single"/>
          <w14:textFill>
            <w14:solidFill>
              <w14:schemeClr w14:val="tx1"/>
            </w14:solidFill>
          </w14:textFill>
        </w:rPr>
      </w:pPr>
      <w:r>
        <w:rPr>
          <w:rFonts w:hint="eastAsia" w:hAnsi="宋体"/>
          <w:color w:val="000000" w:themeColor="text1"/>
          <w:szCs w:val="21"/>
          <w14:textFill>
            <w14:solidFill>
              <w14:schemeClr w14:val="tx1"/>
            </w14:solidFill>
          </w14:textFill>
        </w:rPr>
        <w:t>（4）预算项目调整应对措施：根据要求，重新制定招标文件，开展招标工作。</w:t>
      </w:r>
    </w:p>
    <w:p w14:paraId="55D25494">
      <w:pPr>
        <w:spacing w:line="240" w:lineRule="auto"/>
        <w:jc w:val="left"/>
        <w:rPr>
          <w:rFonts w:hAnsi="宋体"/>
          <w:color w:val="000000" w:themeColor="text1"/>
          <w:szCs w:val="21"/>
          <w:u w:val="single"/>
          <w14:textFill>
            <w14:solidFill>
              <w14:schemeClr w14:val="tx1"/>
            </w14:solidFill>
          </w14:textFill>
        </w:rPr>
      </w:pPr>
      <w:r>
        <w:rPr>
          <w:rFonts w:hint="eastAsia" w:hAnsi="宋体"/>
          <w:color w:val="000000" w:themeColor="text1"/>
          <w:szCs w:val="21"/>
          <w14:textFill>
            <w14:solidFill>
              <w14:schemeClr w14:val="tx1"/>
            </w14:solidFill>
          </w14:textFill>
        </w:rPr>
        <w:t>（5）因质疑投诉影响采购进度应对措施：根据要求，重新制定招标文件，开展招标工作。</w:t>
      </w:r>
    </w:p>
    <w:p w14:paraId="627B9F22">
      <w:pPr>
        <w:spacing w:line="240" w:lineRule="auto"/>
        <w:jc w:val="left"/>
        <w:rPr>
          <w:rFonts w:hAnsi="宋体"/>
          <w:color w:val="000000" w:themeColor="text1"/>
          <w:szCs w:val="21"/>
          <w:u w:val="single"/>
          <w14:textFill>
            <w14:solidFill>
              <w14:schemeClr w14:val="tx1"/>
            </w14:solidFill>
          </w14:textFill>
        </w:rPr>
      </w:pPr>
      <w:r>
        <w:rPr>
          <w:rFonts w:hint="eastAsia" w:hAnsi="宋体"/>
          <w:color w:val="000000" w:themeColor="text1"/>
          <w:szCs w:val="21"/>
          <w14:textFill>
            <w14:solidFill>
              <w14:schemeClr w14:val="tx1"/>
            </w14:solidFill>
          </w14:textFill>
        </w:rPr>
        <w:t>（6）采购失败应对措施：重新制定招标文件，开展招标工作。</w:t>
      </w:r>
    </w:p>
    <w:p w14:paraId="6894F2B2">
      <w:pPr>
        <w:spacing w:line="240" w:lineRule="auto"/>
        <w:jc w:val="left"/>
        <w:rPr>
          <w:rFonts w:hAnsi="宋体"/>
          <w:color w:val="000000" w:themeColor="text1"/>
          <w:szCs w:val="21"/>
          <w:u w:val="single"/>
          <w14:textFill>
            <w14:solidFill>
              <w14:schemeClr w14:val="tx1"/>
            </w14:solidFill>
          </w14:textFill>
        </w:rPr>
      </w:pPr>
      <w:r>
        <w:rPr>
          <w:rFonts w:hint="eastAsia" w:hAnsi="宋体"/>
          <w:color w:val="000000" w:themeColor="text1"/>
          <w:szCs w:val="21"/>
          <w14:textFill>
            <w14:solidFill>
              <w14:schemeClr w14:val="tx1"/>
            </w14:solidFill>
          </w14:textFill>
        </w:rPr>
        <w:t>（7）不按规定签订或者履行合同应对措施：重新制定招标文件，开展招标工作。</w:t>
      </w:r>
    </w:p>
    <w:p w14:paraId="6FF3BA24">
      <w:pPr>
        <w:spacing w:line="240" w:lineRule="auto"/>
        <w:jc w:val="left"/>
        <w:rPr>
          <w:rFonts w:hAnsi="宋体"/>
          <w:color w:val="000000" w:themeColor="text1"/>
          <w:szCs w:val="21"/>
          <w14:textFill>
            <w14:solidFill>
              <w14:schemeClr w14:val="tx1"/>
            </w14:solidFill>
          </w14:textFill>
        </w:rPr>
      </w:pPr>
      <w:r>
        <w:rPr>
          <w:rFonts w:hint="eastAsia" w:hAnsi="宋体"/>
          <w:color w:val="000000" w:themeColor="text1"/>
          <w:szCs w:val="21"/>
          <w14:textFill>
            <w14:solidFill>
              <w14:schemeClr w14:val="tx1"/>
            </w14:solidFill>
          </w14:textFill>
        </w:rPr>
        <w:t>（8）出现损害国家利益和社会公共利益情形应对措施：重新制定招标文件，开展招标工作。</w:t>
      </w:r>
    </w:p>
    <w:p w14:paraId="0600F1D4">
      <w:pPr>
        <w:shd w:val="clear" w:color="auto" w:fill="auto"/>
        <w:tabs>
          <w:tab w:val="clear" w:pos="426"/>
        </w:tabs>
        <w:adjustRightInd/>
        <w:snapToGrid/>
        <w:spacing w:line="240" w:lineRule="auto"/>
        <w:jc w:val="left"/>
        <w:rPr>
          <w:rFonts w:ascii="Cambria" w:hAnsi="Cambria" w:cs="Times New Roman"/>
          <w:b/>
          <w:bCs/>
          <w:kern w:val="28"/>
          <w:sz w:val="28"/>
          <w:szCs w:val="32"/>
        </w:rPr>
      </w:pPr>
      <w:r>
        <w:br w:type="page"/>
      </w:r>
    </w:p>
    <w:p w14:paraId="23A9281F">
      <w:pPr>
        <w:pStyle w:val="62"/>
        <w:tabs>
          <w:tab w:val="clear" w:pos="426"/>
        </w:tabs>
      </w:pPr>
      <w:r>
        <w:rPr>
          <w:rFonts w:hint="eastAsia"/>
        </w:rPr>
        <w:t>第四章采购合同的签订、履约及验收</w:t>
      </w:r>
      <w:bookmarkEnd w:id="81"/>
      <w:bookmarkEnd w:id="88"/>
    </w:p>
    <w:p w14:paraId="4B74C904">
      <w:pPr>
        <w:tabs>
          <w:tab w:val="clear" w:pos="426"/>
        </w:tabs>
        <w:jc w:val="center"/>
        <w:rPr>
          <w:b/>
          <w:sz w:val="24"/>
        </w:rPr>
      </w:pPr>
      <w:r>
        <w:rPr>
          <w:rFonts w:hint="eastAsia"/>
          <w:b/>
          <w:sz w:val="24"/>
        </w:rPr>
        <w:t>一、重要提示</w:t>
      </w:r>
    </w:p>
    <w:p w14:paraId="3771F234">
      <w:pPr>
        <w:widowControl w:val="0"/>
        <w:shd w:val="clear" w:color="auto" w:fill="auto"/>
        <w:tabs>
          <w:tab w:val="clear" w:pos="426"/>
        </w:tabs>
        <w:adjustRightInd/>
        <w:snapToGrid/>
        <w:ind w:firstLine="420" w:firstLineChars="200"/>
        <w:rPr>
          <w:rFonts w:cs="Times New Roman"/>
          <w:kern w:val="2"/>
          <w:szCs w:val="21"/>
        </w:rPr>
      </w:pPr>
      <w:bookmarkStart w:id="89" w:name="_Hlk2096823"/>
      <w:r>
        <w:rPr>
          <w:rFonts w:hint="eastAsia" w:cs="Times New Roman"/>
          <w:kern w:val="2"/>
          <w:szCs w:val="21"/>
        </w:rPr>
        <w:t>（一）</w:t>
      </w:r>
      <w:r>
        <w:rPr>
          <w:rFonts w:hint="eastAsia"/>
          <w:szCs w:val="21"/>
        </w:rPr>
        <w:t>中标供应商应在中标通知书发出后立即与采购人取得联系。</w:t>
      </w:r>
      <w:r>
        <w:rPr>
          <w:rFonts w:hint="eastAsia" w:cs="Times New Roman"/>
          <w:kern w:val="2"/>
          <w:szCs w:val="21"/>
        </w:rPr>
        <w:t>中标供应商将于中标通知书发出之日起三十日内，按照招标文件和投标文件内容与采购人签订书面合同，合同书应采用本招标文件规定的合同样本；</w:t>
      </w:r>
    </w:p>
    <w:p w14:paraId="33E67D3F">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（二）中标供应商应当按照合同约定履行义务，完成中标项目，不得将中标项目转让（转包）给他人；</w:t>
      </w:r>
    </w:p>
    <w:p w14:paraId="7652E521">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（三）采购人与中标供应商签订的合同必须遵守本招标文件的合同条件，并且不得更改合同条件。</w:t>
      </w:r>
    </w:p>
    <w:p w14:paraId="15ED7618">
      <w:pPr>
        <w:widowControl w:val="0"/>
        <w:shd w:val="clear" w:color="auto" w:fill="auto"/>
        <w:tabs>
          <w:tab w:val="clear" w:pos="426"/>
        </w:tabs>
        <w:adjustRightInd/>
        <w:snapToGrid/>
        <w:ind w:firstLine="420" w:firstLineChars="200"/>
        <w:rPr>
          <w:rFonts w:cs="Times New Roman"/>
          <w:kern w:val="2"/>
          <w:szCs w:val="21"/>
        </w:rPr>
      </w:pPr>
      <w:r>
        <w:rPr>
          <w:rFonts w:hint="eastAsia" w:cs="Times New Roman"/>
          <w:kern w:val="2"/>
          <w:szCs w:val="21"/>
        </w:rPr>
        <w:t>（四）供应商必须诚信投标，对项目需求进行实质性响应。</w:t>
      </w:r>
      <w:bookmarkEnd w:id="89"/>
    </w:p>
    <w:p w14:paraId="2396C2BF">
      <w:pPr>
        <w:shd w:val="clear" w:color="auto" w:fill="auto"/>
        <w:tabs>
          <w:tab w:val="clear" w:pos="426"/>
        </w:tabs>
        <w:adjustRightInd/>
        <w:snapToGrid/>
        <w:spacing w:line="240" w:lineRule="auto"/>
        <w:jc w:val="left"/>
        <w:rPr>
          <w:rFonts w:ascii="Times New Roman" w:cs="Times New Roman"/>
          <w:b/>
          <w:kern w:val="2"/>
          <w:sz w:val="24"/>
        </w:rPr>
      </w:pPr>
    </w:p>
    <w:p w14:paraId="6DFE34F1">
      <w:pPr>
        <w:shd w:val="clear" w:color="auto" w:fill="auto"/>
        <w:tabs>
          <w:tab w:val="clear" w:pos="426"/>
        </w:tabs>
        <w:adjustRightInd/>
        <w:snapToGrid/>
        <w:spacing w:line="240" w:lineRule="auto"/>
        <w:jc w:val="left"/>
        <w:rPr>
          <w:rFonts w:ascii="Times New Roman" w:cs="Times New Roman"/>
          <w:b/>
          <w:kern w:val="2"/>
          <w:sz w:val="24"/>
        </w:rPr>
      </w:pPr>
      <w:r>
        <w:rPr>
          <w:rFonts w:ascii="Times New Roman" w:cs="Times New Roman"/>
          <w:b/>
          <w:kern w:val="2"/>
          <w:sz w:val="24"/>
        </w:rPr>
        <w:br w:type="page"/>
      </w:r>
    </w:p>
    <w:p w14:paraId="26F39F25">
      <w:pPr>
        <w:tabs>
          <w:tab w:val="clear" w:pos="426"/>
        </w:tabs>
        <w:ind w:firstLine="482" w:firstLineChars="200"/>
        <w:jc w:val="center"/>
        <w:rPr>
          <w:b/>
          <w:sz w:val="24"/>
        </w:rPr>
      </w:pPr>
      <w:r>
        <w:rPr>
          <w:rFonts w:hint="eastAsia"/>
          <w:b/>
          <w:sz w:val="24"/>
        </w:rPr>
        <w:t>二、合同主要条款及格式</w:t>
      </w:r>
    </w:p>
    <w:bookmarkEnd w:id="69"/>
    <w:bookmarkEnd w:id="70"/>
    <w:p w14:paraId="2989E804">
      <w:pPr>
        <w:jc w:val="center"/>
        <w:rPr>
          <w:rFonts w:hAnsi="宋体"/>
          <w:b/>
          <w:sz w:val="22"/>
          <w:szCs w:val="21"/>
        </w:rPr>
      </w:pPr>
      <w:bookmarkStart w:id="90" w:name="_Toc398220526"/>
      <w:bookmarkStart w:id="91" w:name="_Toc432592818"/>
      <w:r>
        <w:rPr>
          <w:rFonts w:hint="eastAsia" w:hAnsi="宋体"/>
          <w:b/>
          <w:sz w:val="22"/>
          <w:szCs w:val="21"/>
        </w:rPr>
        <w:t>注：仅供参考，具体条款内容由采购单位和中标单位协商确定。</w:t>
      </w:r>
    </w:p>
    <w:p w14:paraId="67A780FC">
      <w:pPr>
        <w:jc w:val="left"/>
        <w:rPr>
          <w:rFonts w:hAnsi="宋体"/>
          <w:szCs w:val="21"/>
        </w:rPr>
      </w:pPr>
    </w:p>
    <w:p w14:paraId="618E4162">
      <w:pPr>
        <w:pStyle w:val="44"/>
        <w:ind w:firstLine="420" w:firstLineChars="200"/>
        <w:rPr>
          <w:rFonts w:hAnsi="宋体" w:cs="宋体"/>
          <w:szCs w:val="21"/>
        </w:rPr>
      </w:pPr>
    </w:p>
    <w:p w14:paraId="134BD4A4">
      <w:pPr>
        <w:rPr>
          <w:rFonts w:hAnsi="宋体"/>
          <w:b/>
          <w:bCs/>
          <w:szCs w:val="21"/>
        </w:rPr>
      </w:pPr>
      <w:r>
        <w:rPr>
          <w:rFonts w:hint="eastAsia" w:hAnsi="宋体"/>
          <w:b/>
          <w:bCs/>
          <w:szCs w:val="21"/>
        </w:rPr>
        <w:t>甲方：</w:t>
      </w:r>
    </w:p>
    <w:p w14:paraId="138AFE55">
      <w:pPr>
        <w:rPr>
          <w:rFonts w:hAnsi="宋体"/>
          <w:szCs w:val="21"/>
        </w:rPr>
      </w:pPr>
      <w:r>
        <w:rPr>
          <w:rFonts w:hint="eastAsia" w:hAnsi="宋体"/>
          <w:szCs w:val="21"/>
        </w:rPr>
        <w:t>地址：</w:t>
      </w:r>
    </w:p>
    <w:p w14:paraId="511227E3">
      <w:pPr>
        <w:rPr>
          <w:rFonts w:hAnsi="宋体"/>
          <w:szCs w:val="21"/>
        </w:rPr>
      </w:pPr>
      <w:r>
        <w:rPr>
          <w:rFonts w:hint="eastAsia" w:hAnsi="宋体"/>
          <w:szCs w:val="21"/>
        </w:rPr>
        <w:t>联系人：</w:t>
      </w:r>
    </w:p>
    <w:p w14:paraId="394E1330">
      <w:pPr>
        <w:rPr>
          <w:rFonts w:hAnsi="宋体"/>
          <w:b/>
          <w:bCs/>
          <w:szCs w:val="21"/>
        </w:rPr>
      </w:pPr>
      <w:r>
        <w:rPr>
          <w:rFonts w:hint="eastAsia" w:hAnsi="宋体"/>
          <w:szCs w:val="21"/>
        </w:rPr>
        <w:t>联系电话：</w:t>
      </w:r>
    </w:p>
    <w:p w14:paraId="733D6E95">
      <w:pPr>
        <w:rPr>
          <w:rFonts w:hAnsi="宋体"/>
          <w:b/>
          <w:bCs/>
          <w:szCs w:val="21"/>
        </w:rPr>
      </w:pPr>
    </w:p>
    <w:p w14:paraId="6B18EADB">
      <w:pPr>
        <w:rPr>
          <w:rFonts w:hAnsi="宋体"/>
          <w:b/>
          <w:bCs/>
          <w:szCs w:val="21"/>
        </w:rPr>
      </w:pPr>
      <w:r>
        <w:rPr>
          <w:rFonts w:hint="eastAsia" w:hAnsi="宋体"/>
          <w:b/>
          <w:bCs/>
          <w:szCs w:val="21"/>
        </w:rPr>
        <w:t>乙方：</w:t>
      </w:r>
    </w:p>
    <w:p w14:paraId="1437375E">
      <w:pPr>
        <w:rPr>
          <w:rFonts w:hAnsi="宋体"/>
          <w:szCs w:val="21"/>
        </w:rPr>
      </w:pPr>
      <w:r>
        <w:rPr>
          <w:rFonts w:hint="eastAsia" w:hAnsi="宋体"/>
          <w:szCs w:val="21"/>
        </w:rPr>
        <w:t>地址：</w:t>
      </w:r>
    </w:p>
    <w:p w14:paraId="53321F5D">
      <w:pPr>
        <w:rPr>
          <w:rFonts w:hAnsi="宋体"/>
          <w:szCs w:val="21"/>
        </w:rPr>
      </w:pPr>
      <w:r>
        <w:rPr>
          <w:rFonts w:hint="eastAsia" w:hAnsi="宋体"/>
          <w:szCs w:val="21"/>
        </w:rPr>
        <w:t>联系人：</w:t>
      </w:r>
    </w:p>
    <w:p w14:paraId="28DF4F2F">
      <w:pPr>
        <w:rPr>
          <w:rFonts w:hAnsi="宋体"/>
          <w:b/>
          <w:bCs/>
          <w:szCs w:val="21"/>
        </w:rPr>
      </w:pPr>
      <w:r>
        <w:rPr>
          <w:rFonts w:hint="eastAsia" w:hAnsi="宋体"/>
          <w:szCs w:val="21"/>
        </w:rPr>
        <w:t>联系电话：</w:t>
      </w:r>
    </w:p>
    <w:p w14:paraId="59DA581D">
      <w:pPr>
        <w:rPr>
          <w:rFonts w:hAnsi="宋体"/>
          <w:szCs w:val="21"/>
        </w:rPr>
      </w:pPr>
    </w:p>
    <w:p w14:paraId="45028266">
      <w:pPr>
        <w:rPr>
          <w:rFonts w:hAnsi="宋体"/>
          <w:szCs w:val="21"/>
        </w:rPr>
      </w:pPr>
    </w:p>
    <w:p w14:paraId="1531782E">
      <w:pPr>
        <w:ind w:firstLine="420" w:firstLineChars="200"/>
        <w:jc w:val="left"/>
        <w:rPr>
          <w:rFonts w:hAnsi="宋体"/>
          <w:szCs w:val="21"/>
        </w:rPr>
      </w:pPr>
      <w:r>
        <w:rPr>
          <w:rFonts w:hint="eastAsia" w:hAnsi="宋体"/>
          <w:szCs w:val="21"/>
        </w:rPr>
        <w:t>根据深圳***项目的投标结果，***单位为中标人。按照《中华人民共和国民法典》和《中华人民共和国政府采购法》等相关法律法规等的规定，经深圳市消防救援支队（以下简称甲方）和单位（以下简称乙方）协商，就甲方委托乙方承担</w:t>
      </w:r>
      <w:r>
        <w:rPr>
          <w:rFonts w:hint="eastAsia" w:hAnsi="宋体"/>
          <w:b/>
          <w:bCs/>
          <w:snapToGrid w:val="0"/>
          <w:szCs w:val="21"/>
          <w:u w:val="single"/>
          <w:lang w:val="zh-CN"/>
        </w:rPr>
        <w:t xml:space="preserve">                      服务项目</w:t>
      </w:r>
      <w:r>
        <w:rPr>
          <w:rFonts w:hint="eastAsia" w:hAnsi="宋体"/>
          <w:szCs w:val="21"/>
        </w:rPr>
        <w:t>，达成以下合同条款：</w:t>
      </w:r>
    </w:p>
    <w:p w14:paraId="38EE6EDF">
      <w:pPr>
        <w:ind w:firstLine="422" w:firstLineChars="200"/>
        <w:rPr>
          <w:rFonts w:hAnsi="宋体"/>
          <w:b/>
          <w:bCs/>
          <w:szCs w:val="21"/>
        </w:rPr>
      </w:pPr>
      <w:r>
        <w:rPr>
          <w:rFonts w:hint="eastAsia" w:hAnsi="宋体"/>
          <w:b/>
          <w:bCs/>
          <w:szCs w:val="21"/>
        </w:rPr>
        <w:t>第一条　项目概况</w:t>
      </w:r>
    </w:p>
    <w:p w14:paraId="523BDB4D">
      <w:pPr>
        <w:ind w:firstLine="420" w:firstLineChars="200"/>
        <w:rPr>
          <w:rFonts w:hAnsi="宋体"/>
          <w:szCs w:val="21"/>
        </w:rPr>
      </w:pPr>
      <w:r>
        <w:rPr>
          <w:rFonts w:hint="eastAsia" w:hAnsi="宋体"/>
          <w:szCs w:val="21"/>
        </w:rPr>
        <w:t xml:space="preserve">项目名称： </w:t>
      </w:r>
    </w:p>
    <w:p w14:paraId="695F09FE">
      <w:pPr>
        <w:ind w:firstLine="420" w:firstLineChars="200"/>
        <w:rPr>
          <w:rFonts w:hAnsi="宋体"/>
          <w:szCs w:val="21"/>
        </w:rPr>
      </w:pPr>
      <w:r>
        <w:rPr>
          <w:rFonts w:hint="eastAsia" w:hAnsi="宋体"/>
          <w:szCs w:val="21"/>
        </w:rPr>
        <w:t xml:space="preserve">项目内容： </w:t>
      </w:r>
    </w:p>
    <w:p w14:paraId="4FFDEBD5">
      <w:pPr>
        <w:ind w:firstLine="420" w:firstLineChars="200"/>
        <w:rPr>
          <w:rFonts w:hAnsi="宋体"/>
          <w:szCs w:val="21"/>
        </w:rPr>
      </w:pPr>
      <w:r>
        <w:rPr>
          <w:rFonts w:hint="eastAsia" w:hAnsi="宋体"/>
          <w:szCs w:val="21"/>
        </w:rPr>
        <w:t xml:space="preserve">服务时间： </w:t>
      </w:r>
    </w:p>
    <w:p w14:paraId="3175FC6E">
      <w:pPr>
        <w:ind w:firstLine="420" w:firstLineChars="200"/>
        <w:rPr>
          <w:rFonts w:hAnsi="宋体"/>
          <w:szCs w:val="21"/>
        </w:rPr>
      </w:pPr>
      <w:r>
        <w:rPr>
          <w:rFonts w:hint="eastAsia" w:hAnsi="宋体"/>
          <w:szCs w:val="21"/>
        </w:rPr>
        <w:t>合同价款：本合同采用包干形式，合同总价为元，含一切税、费。本合同总价包括乙方为实施本项目***所需的服务人员报酬福利等、设备仪器费、车辆租赁费、服务和技术费用等成本，为固定不变价格，且不随通货膨胀的影响而波动。合同总价包括乙方履行本合同义务所发生的一切费用和支出和以各种方式寄送技术资料到甲方办公室所发生的费用。</w:t>
      </w:r>
    </w:p>
    <w:p w14:paraId="12544A73">
      <w:pPr>
        <w:pStyle w:val="7"/>
        <w:rPr>
          <w:rFonts w:ascii="宋体" w:hAnsi="宋体" w:cs="宋体"/>
          <w:szCs w:val="21"/>
        </w:rPr>
      </w:pPr>
      <w:r>
        <w:rPr>
          <w:rFonts w:hint="eastAsia" w:ascii="宋体" w:hAnsi="宋体" w:cs="宋体"/>
          <w:szCs w:val="21"/>
        </w:rPr>
        <w:t>支付方式：分期支付。</w:t>
      </w:r>
    </w:p>
    <w:p w14:paraId="1266CCA7">
      <w:pPr>
        <w:numPr>
          <w:ilvl w:val="0"/>
          <w:numId w:val="39"/>
        </w:numPr>
        <w:ind w:firstLine="422" w:firstLineChars="200"/>
        <w:rPr>
          <w:rFonts w:hAnsi="宋体"/>
          <w:b/>
          <w:bCs/>
          <w:szCs w:val="21"/>
        </w:rPr>
      </w:pPr>
      <w:r>
        <w:rPr>
          <w:rFonts w:hint="eastAsia" w:hAnsi="宋体"/>
          <w:b/>
          <w:bCs/>
          <w:szCs w:val="21"/>
        </w:rPr>
        <w:t xml:space="preserve"> 服务范围</w:t>
      </w:r>
    </w:p>
    <w:p w14:paraId="344036B8">
      <w:pPr>
        <w:pStyle w:val="32"/>
        <w:numPr>
          <w:ilvl w:val="255"/>
          <w:numId w:val="0"/>
        </w:numPr>
        <w:ind w:firstLine="422" w:firstLineChars="200"/>
        <w:rPr>
          <w:rFonts w:hAnsi="宋体" w:cs="宋体"/>
          <w:sz w:val="21"/>
          <w:szCs w:val="21"/>
        </w:rPr>
      </w:pPr>
      <w:r>
        <w:rPr>
          <w:rFonts w:hint="eastAsia" w:hAnsi="宋体" w:cs="宋体"/>
          <w:sz w:val="21"/>
          <w:szCs w:val="21"/>
        </w:rPr>
        <w:t>乙方在本合同期限内，为本本合同约定管理的物业区域内提供以下服务，具体的服务内容和标准要求详见采购文件中的规定附件一：物业管理服务的具体要求和标准</w:t>
      </w:r>
    </w:p>
    <w:p w14:paraId="0F445569">
      <w:pPr>
        <w:ind w:firstLine="420" w:firstLineChars="200"/>
        <w:rPr>
          <w:rFonts w:hAnsi="宋体"/>
          <w:szCs w:val="21"/>
        </w:rPr>
      </w:pPr>
      <w:r>
        <w:rPr>
          <w:rFonts w:hint="eastAsia" w:hAnsi="宋体"/>
          <w:szCs w:val="21"/>
        </w:rPr>
        <w:t>1、 公共设备设施的维护管理服务</w:t>
      </w:r>
    </w:p>
    <w:p w14:paraId="4D78742C">
      <w:pPr>
        <w:ind w:firstLine="420" w:firstLineChars="200"/>
        <w:rPr>
          <w:rFonts w:hAnsi="宋体"/>
          <w:szCs w:val="21"/>
        </w:rPr>
      </w:pPr>
      <w:r>
        <w:rPr>
          <w:rFonts w:hint="eastAsia" w:hAnsi="宋体"/>
          <w:szCs w:val="21"/>
        </w:rPr>
        <w:t>2、 环境卫生管理</w:t>
      </w:r>
    </w:p>
    <w:p w14:paraId="569226C3">
      <w:pPr>
        <w:numPr>
          <w:ilvl w:val="0"/>
          <w:numId w:val="40"/>
        </w:numPr>
        <w:ind w:firstLine="420" w:firstLineChars="200"/>
        <w:rPr>
          <w:rFonts w:hAnsi="宋体"/>
          <w:szCs w:val="21"/>
        </w:rPr>
      </w:pPr>
      <w:r>
        <w:rPr>
          <w:rFonts w:hint="eastAsia" w:hAnsi="宋体"/>
          <w:szCs w:val="21"/>
        </w:rPr>
        <w:t>消杀服务</w:t>
      </w:r>
    </w:p>
    <w:p w14:paraId="5BDBA41F">
      <w:pPr>
        <w:pStyle w:val="32"/>
        <w:numPr>
          <w:ilvl w:val="0"/>
          <w:numId w:val="40"/>
        </w:numPr>
        <w:ind w:firstLine="420" w:firstLineChars="200"/>
        <w:rPr>
          <w:rFonts w:hAnsi="宋体" w:cs="宋体"/>
          <w:b w:val="0"/>
          <w:bCs w:val="0"/>
          <w:sz w:val="21"/>
          <w:szCs w:val="21"/>
        </w:rPr>
      </w:pPr>
      <w:r>
        <w:rPr>
          <w:rFonts w:hint="eastAsia" w:hAnsi="宋体" w:cs="宋体"/>
          <w:b w:val="0"/>
          <w:bCs w:val="0"/>
          <w:sz w:val="21"/>
          <w:szCs w:val="21"/>
        </w:rPr>
        <w:t>绿化养护管理</w:t>
      </w:r>
    </w:p>
    <w:p w14:paraId="37770F6E">
      <w:pPr>
        <w:pStyle w:val="32"/>
        <w:numPr>
          <w:ilvl w:val="0"/>
          <w:numId w:val="40"/>
        </w:numPr>
        <w:ind w:firstLine="420" w:firstLineChars="200"/>
        <w:rPr>
          <w:rFonts w:hAnsi="宋体" w:cs="宋体"/>
          <w:b w:val="0"/>
          <w:bCs w:val="0"/>
          <w:sz w:val="21"/>
          <w:szCs w:val="21"/>
        </w:rPr>
      </w:pPr>
      <w:r>
        <w:rPr>
          <w:rFonts w:hint="eastAsia" w:hAnsi="宋体" w:cs="宋体"/>
          <w:b w:val="0"/>
          <w:bCs w:val="0"/>
          <w:sz w:val="21"/>
          <w:szCs w:val="21"/>
        </w:rPr>
        <w:t>会务、接待服务</w:t>
      </w:r>
    </w:p>
    <w:p w14:paraId="38A4ACA9">
      <w:pPr>
        <w:pStyle w:val="32"/>
        <w:numPr>
          <w:ilvl w:val="0"/>
          <w:numId w:val="40"/>
        </w:numPr>
        <w:ind w:firstLine="420" w:firstLineChars="200"/>
        <w:rPr>
          <w:rFonts w:hAnsi="宋体" w:cs="宋体"/>
          <w:b w:val="0"/>
          <w:bCs w:val="0"/>
          <w:sz w:val="21"/>
          <w:szCs w:val="21"/>
        </w:rPr>
      </w:pPr>
      <w:r>
        <w:rPr>
          <w:rFonts w:hint="eastAsia" w:hAnsi="宋体" w:cs="宋体"/>
          <w:b w:val="0"/>
          <w:bCs w:val="0"/>
          <w:sz w:val="21"/>
          <w:szCs w:val="21"/>
        </w:rPr>
        <w:t>后勤服务</w:t>
      </w:r>
    </w:p>
    <w:p w14:paraId="28483055">
      <w:pPr>
        <w:ind w:firstLine="420" w:firstLineChars="200"/>
        <w:rPr>
          <w:rFonts w:hAnsi="宋体"/>
          <w:szCs w:val="21"/>
        </w:rPr>
      </w:pPr>
      <w:r>
        <w:rPr>
          <w:rFonts w:hint="eastAsia" w:hAnsi="宋体"/>
          <w:szCs w:val="21"/>
        </w:rPr>
        <w:t>7、 采购文件中要求和乙方投标响应的在本合同未明示的相关服务和工作。</w:t>
      </w:r>
    </w:p>
    <w:p w14:paraId="58E89D04">
      <w:pPr>
        <w:ind w:firstLine="422" w:firstLineChars="200"/>
        <w:rPr>
          <w:rFonts w:hAnsi="宋体"/>
          <w:b/>
          <w:bCs/>
          <w:szCs w:val="21"/>
        </w:rPr>
      </w:pPr>
      <w:r>
        <w:rPr>
          <w:rFonts w:hint="eastAsia" w:hAnsi="宋体"/>
          <w:b/>
          <w:bCs/>
          <w:szCs w:val="21"/>
        </w:rPr>
        <w:t>第三条  服务人员要求</w:t>
      </w:r>
    </w:p>
    <w:p w14:paraId="783FA92F">
      <w:pPr>
        <w:ind w:firstLine="420" w:firstLineChars="200"/>
        <w:rPr>
          <w:rFonts w:hAnsi="宋体"/>
          <w:szCs w:val="21"/>
        </w:rPr>
      </w:pPr>
      <w:r>
        <w:rPr>
          <w:rFonts w:hint="eastAsia" w:hAnsi="宋体"/>
          <w:szCs w:val="21"/>
        </w:rPr>
        <w:t>1、人员配备：</w:t>
      </w:r>
    </w:p>
    <w:p w14:paraId="0DF50856">
      <w:pPr>
        <w:ind w:firstLine="420" w:firstLineChars="200"/>
        <w:rPr>
          <w:rFonts w:hAnsi="宋体"/>
          <w:szCs w:val="21"/>
        </w:rPr>
      </w:pPr>
      <w:r>
        <w:rPr>
          <w:rFonts w:hint="eastAsia" w:hAnsi="宋体"/>
          <w:szCs w:val="21"/>
        </w:rPr>
        <w:t>2、人员素质</w:t>
      </w:r>
    </w:p>
    <w:p w14:paraId="10FBC00D">
      <w:pPr>
        <w:ind w:firstLine="420" w:firstLineChars="200"/>
        <w:rPr>
          <w:rFonts w:hAnsi="宋体"/>
          <w:szCs w:val="21"/>
        </w:rPr>
      </w:pPr>
      <w:r>
        <w:rPr>
          <w:rFonts w:hint="eastAsia" w:hAnsi="宋体"/>
          <w:szCs w:val="21"/>
        </w:rPr>
        <w:t>3、员工管理</w:t>
      </w:r>
    </w:p>
    <w:p w14:paraId="21B27F9A">
      <w:pPr>
        <w:ind w:firstLine="420" w:firstLineChars="200"/>
        <w:rPr>
          <w:rFonts w:hAnsi="宋体"/>
          <w:szCs w:val="21"/>
        </w:rPr>
      </w:pPr>
      <w:r>
        <w:rPr>
          <w:rFonts w:hint="eastAsia" w:hAnsi="宋体"/>
          <w:szCs w:val="21"/>
        </w:rPr>
        <w:t>4、其他要求</w:t>
      </w:r>
    </w:p>
    <w:p w14:paraId="3252F2BF">
      <w:pPr>
        <w:ind w:firstLine="422" w:firstLineChars="200"/>
        <w:rPr>
          <w:rFonts w:hAnsi="宋体"/>
          <w:b/>
          <w:bCs/>
          <w:szCs w:val="21"/>
        </w:rPr>
      </w:pPr>
      <w:r>
        <w:rPr>
          <w:rFonts w:hint="eastAsia" w:hAnsi="宋体"/>
          <w:b/>
          <w:bCs/>
          <w:szCs w:val="21"/>
        </w:rPr>
        <w:t>第四条  服务期限和服务地点</w:t>
      </w:r>
    </w:p>
    <w:p w14:paraId="342F4C39">
      <w:pPr>
        <w:adjustRightInd/>
        <w:ind w:firstLine="420" w:firstLineChars="200"/>
        <w:rPr>
          <w:rFonts w:hAnsi="宋体"/>
          <w:szCs w:val="21"/>
        </w:rPr>
      </w:pPr>
      <w:r>
        <w:rPr>
          <w:rFonts w:hint="eastAsia" w:hAnsi="宋体"/>
          <w:szCs w:val="21"/>
        </w:rPr>
        <w:t>1、服务期限：自合同签订之日起至2025年12月14日止。</w:t>
      </w:r>
    </w:p>
    <w:p w14:paraId="7061057A">
      <w:pPr>
        <w:ind w:firstLine="420" w:firstLineChars="200"/>
        <w:rPr>
          <w:rFonts w:hAnsi="宋体"/>
          <w:szCs w:val="21"/>
        </w:rPr>
      </w:pPr>
      <w:r>
        <w:rPr>
          <w:rFonts w:hint="eastAsia" w:hAnsi="宋体"/>
          <w:szCs w:val="21"/>
        </w:rPr>
        <w:t>2、服务地点：深圳市消防救援支队特勤大队深中通道三围消防站、西人工岛消防站</w:t>
      </w:r>
    </w:p>
    <w:p w14:paraId="09FF81FC">
      <w:pPr>
        <w:ind w:firstLine="420" w:firstLineChars="200"/>
        <w:rPr>
          <w:rFonts w:hAnsi="宋体"/>
          <w:szCs w:val="21"/>
        </w:rPr>
      </w:pPr>
      <w:r>
        <w:rPr>
          <w:rFonts w:hint="eastAsia" w:hAnsi="宋体"/>
          <w:szCs w:val="21"/>
        </w:rPr>
        <w:t>3、关于物业管理过程中的维修费用</w:t>
      </w:r>
    </w:p>
    <w:p w14:paraId="1FC74E66">
      <w:pPr>
        <w:ind w:firstLine="420" w:firstLineChars="200"/>
        <w:rPr>
          <w:rFonts w:hAnsi="宋体"/>
          <w:szCs w:val="21"/>
        </w:rPr>
      </w:pPr>
      <w:r>
        <w:rPr>
          <w:rFonts w:hint="eastAsia" w:hAnsi="宋体"/>
          <w:szCs w:val="21"/>
        </w:rPr>
        <w:t>本项目服务范围内的设备设施日常维修、养护、检测(不包含办公设备、专用设备的维修、养护及配套设施的更新改造)单项单价300元(含)以下的的维修、养护材料费，由中标单位承担和实施:单项单价300元以上的维修、养护材料费用由采购单位负担(涉及政府采购项目按规定办固定资产登记采购)。具体维修标准;中标单位依据实际情况，对单项单价超过300元的材料费提出申请(附维修事项的相片)，并提供报价单报告采购单位，经采购单位确认后方可实施，验收合格后，中标单位提供合法有效的发票及相关资料向采购单位报销。紧急情况下，中标单位可口头或电话通知采购单位，经采购单位同意，中标单位可进行维修。</w:t>
      </w:r>
    </w:p>
    <w:p w14:paraId="36B51168">
      <w:pPr>
        <w:ind w:firstLine="420" w:firstLineChars="200"/>
        <w:rPr>
          <w:rFonts w:hAnsi="宋体"/>
          <w:szCs w:val="21"/>
        </w:rPr>
      </w:pPr>
      <w:r>
        <w:rPr>
          <w:rFonts w:hint="eastAsia" w:hAnsi="宋体"/>
          <w:szCs w:val="21"/>
        </w:rPr>
        <w:t>应当由甲方承担的维修费用的开票信息：</w:t>
      </w:r>
    </w:p>
    <w:p w14:paraId="1B196777">
      <w:pPr>
        <w:ind w:firstLine="420" w:firstLineChars="200"/>
        <w:rPr>
          <w:rFonts w:hAnsi="宋体"/>
          <w:szCs w:val="21"/>
        </w:rPr>
      </w:pPr>
      <w:r>
        <w:rPr>
          <w:rFonts w:hint="eastAsia" w:hAnsi="宋体"/>
          <w:szCs w:val="21"/>
        </w:rPr>
        <w:t>名称：</w:t>
      </w:r>
    </w:p>
    <w:p w14:paraId="5F678A8B">
      <w:pPr>
        <w:ind w:firstLine="420" w:firstLineChars="200"/>
        <w:rPr>
          <w:rFonts w:hAnsi="宋体"/>
          <w:szCs w:val="21"/>
        </w:rPr>
      </w:pPr>
      <w:r>
        <w:rPr>
          <w:rFonts w:hint="eastAsia" w:hAnsi="宋体"/>
          <w:szCs w:val="21"/>
        </w:rPr>
        <w:t>纳税人识别号：</w:t>
      </w:r>
    </w:p>
    <w:p w14:paraId="746D004F">
      <w:pPr>
        <w:ind w:firstLine="420" w:firstLineChars="200"/>
        <w:rPr>
          <w:rFonts w:hAnsi="宋体"/>
          <w:szCs w:val="21"/>
        </w:rPr>
      </w:pPr>
    </w:p>
    <w:p w14:paraId="4479E6E9">
      <w:pPr>
        <w:ind w:firstLine="422" w:firstLineChars="200"/>
        <w:rPr>
          <w:rFonts w:hAnsi="宋体"/>
          <w:b/>
          <w:bCs/>
          <w:szCs w:val="21"/>
        </w:rPr>
      </w:pPr>
      <w:r>
        <w:rPr>
          <w:rFonts w:hint="eastAsia" w:hAnsi="宋体"/>
          <w:b/>
          <w:bCs/>
          <w:szCs w:val="21"/>
        </w:rPr>
        <w:t>第五条  甲方的权利义务</w:t>
      </w:r>
    </w:p>
    <w:p w14:paraId="16619B26">
      <w:pPr>
        <w:ind w:firstLine="420" w:firstLineChars="200"/>
        <w:rPr>
          <w:rFonts w:hAnsi="宋体"/>
          <w:szCs w:val="21"/>
        </w:rPr>
      </w:pPr>
      <w:r>
        <w:rPr>
          <w:rFonts w:hint="eastAsia" w:hAnsi="宋体"/>
          <w:szCs w:val="21"/>
        </w:rPr>
        <w:t>1、有权对乙方指派的服务人员提出异议，要求乙方更换不合格人员。</w:t>
      </w:r>
    </w:p>
    <w:p w14:paraId="1A1F0E44">
      <w:pPr>
        <w:numPr>
          <w:ilvl w:val="255"/>
          <w:numId w:val="0"/>
        </w:numPr>
        <w:ind w:firstLine="420" w:firstLineChars="200"/>
        <w:rPr>
          <w:rFonts w:hAnsi="宋体"/>
          <w:szCs w:val="21"/>
        </w:rPr>
      </w:pPr>
      <w:r>
        <w:rPr>
          <w:rFonts w:hint="eastAsia" w:hAnsi="宋体"/>
          <w:szCs w:val="21"/>
        </w:rPr>
        <w:t>2、甲方应当根据合同约定提供物业管理所需的场所及其他保障和支持。</w:t>
      </w:r>
    </w:p>
    <w:p w14:paraId="6FCC978E">
      <w:pPr>
        <w:ind w:firstLine="420" w:firstLineChars="200"/>
        <w:rPr>
          <w:rFonts w:hAnsi="宋体"/>
          <w:szCs w:val="21"/>
        </w:rPr>
      </w:pPr>
      <w:r>
        <w:rPr>
          <w:rFonts w:hint="eastAsia" w:hAnsi="宋体"/>
          <w:szCs w:val="21"/>
        </w:rPr>
        <w:t>3、按时向乙方支付服务费用。</w:t>
      </w:r>
    </w:p>
    <w:p w14:paraId="68ADEE70">
      <w:pPr>
        <w:ind w:firstLine="422" w:firstLineChars="200"/>
        <w:rPr>
          <w:rFonts w:hAnsi="宋体"/>
          <w:b/>
          <w:bCs/>
          <w:szCs w:val="21"/>
        </w:rPr>
      </w:pPr>
      <w:r>
        <w:rPr>
          <w:rFonts w:hint="eastAsia" w:hAnsi="宋体"/>
          <w:b/>
          <w:bCs/>
          <w:szCs w:val="21"/>
        </w:rPr>
        <w:t>第六条　乙方的权利义务</w:t>
      </w:r>
    </w:p>
    <w:p w14:paraId="1BA1B9F2">
      <w:pPr>
        <w:ind w:firstLine="420" w:firstLineChars="200"/>
        <w:rPr>
          <w:rFonts w:hAnsi="宋体"/>
          <w:szCs w:val="21"/>
        </w:rPr>
      </w:pPr>
      <w:r>
        <w:rPr>
          <w:rFonts w:hint="eastAsia" w:hAnsi="宋体"/>
          <w:szCs w:val="21"/>
        </w:rPr>
        <w:t>１、根据合同要求及物业管理条例的相关规定履行物业服务义务。</w:t>
      </w:r>
    </w:p>
    <w:p w14:paraId="30C3F0C1">
      <w:pPr>
        <w:ind w:firstLine="420" w:firstLineChars="200"/>
        <w:rPr>
          <w:rFonts w:hAnsi="宋体"/>
          <w:szCs w:val="21"/>
        </w:rPr>
      </w:pPr>
      <w:r>
        <w:rPr>
          <w:rFonts w:hint="eastAsia" w:hAnsi="宋体"/>
          <w:szCs w:val="21"/>
        </w:rPr>
        <w:t>2、乙方人员应当严格遵守甲方管理要求，乙方人员违反甲方管理要求一次的视为乙方的服务一次不合格，累计超过两次的，视为乙方的服务不合格。</w:t>
      </w:r>
    </w:p>
    <w:p w14:paraId="04A38B7E">
      <w:pPr>
        <w:ind w:firstLine="420" w:firstLineChars="200"/>
        <w:rPr>
          <w:rFonts w:hAnsi="宋体"/>
          <w:szCs w:val="21"/>
        </w:rPr>
      </w:pPr>
      <w:r>
        <w:rPr>
          <w:rFonts w:hint="eastAsia" w:hAnsi="宋体"/>
          <w:szCs w:val="21"/>
        </w:rPr>
        <w:t>3、按照要求配备符合甲方要求的服务人员，根据甲方要求更换不合格人员，乙方负责本服务的人员原则上不得随意更换，确因客观原因需要更换的，替换人员应当经过甲方审核同意。</w:t>
      </w:r>
    </w:p>
    <w:p w14:paraId="2765E655">
      <w:pPr>
        <w:ind w:firstLine="422" w:firstLineChars="200"/>
        <w:rPr>
          <w:rFonts w:hAnsi="宋体"/>
          <w:b/>
          <w:bCs/>
          <w:szCs w:val="21"/>
        </w:rPr>
      </w:pPr>
      <w:r>
        <w:rPr>
          <w:rFonts w:hint="eastAsia" w:hAnsi="宋体"/>
          <w:b/>
          <w:bCs/>
          <w:szCs w:val="21"/>
        </w:rPr>
        <w:t>第七条  保密要求</w:t>
      </w:r>
    </w:p>
    <w:p w14:paraId="142E372A">
      <w:pPr>
        <w:ind w:firstLine="420" w:firstLineChars="200"/>
        <w:rPr>
          <w:rFonts w:hAnsi="宋体"/>
          <w:szCs w:val="21"/>
        </w:rPr>
      </w:pPr>
      <w:r>
        <w:rPr>
          <w:rFonts w:hint="eastAsia" w:hAnsi="宋体"/>
          <w:szCs w:val="21"/>
        </w:rPr>
        <w:t>乙方及乙方人员在提供本服务过程中获取的甲方相关的信息、资料等应当履行严格的保密义务，不得外泄，否则应当承担支付人民币20万元的违约金。</w:t>
      </w:r>
    </w:p>
    <w:p w14:paraId="422F05A7">
      <w:pPr>
        <w:ind w:firstLine="422" w:firstLineChars="200"/>
        <w:rPr>
          <w:rFonts w:hAnsi="宋体"/>
          <w:b/>
          <w:bCs/>
          <w:szCs w:val="21"/>
        </w:rPr>
      </w:pPr>
      <w:r>
        <w:rPr>
          <w:rFonts w:hint="eastAsia" w:hAnsi="宋体"/>
          <w:b/>
          <w:bCs/>
          <w:szCs w:val="21"/>
        </w:rPr>
        <w:t xml:space="preserve">第八条  验收     </w:t>
      </w:r>
    </w:p>
    <w:p w14:paraId="55C9158E">
      <w:pPr>
        <w:ind w:firstLine="420" w:firstLineChars="200"/>
        <w:rPr>
          <w:rFonts w:hAnsi="宋体"/>
          <w:szCs w:val="21"/>
        </w:rPr>
      </w:pPr>
      <w:r>
        <w:rPr>
          <w:rFonts w:hint="eastAsia" w:hAnsi="宋体"/>
          <w:szCs w:val="21"/>
        </w:rPr>
        <w:t>1、本项目实行半年度验收，/服务内容全部完成后甲方对乙方的服务进行验收。</w:t>
      </w:r>
    </w:p>
    <w:p w14:paraId="538FB4A0">
      <w:pPr>
        <w:ind w:firstLine="420" w:firstLineChars="200"/>
        <w:rPr>
          <w:rFonts w:hAnsi="宋体"/>
          <w:szCs w:val="21"/>
        </w:rPr>
      </w:pPr>
      <w:r>
        <w:rPr>
          <w:rFonts w:hint="eastAsia" w:hAnsi="宋体"/>
          <w:szCs w:val="21"/>
        </w:rPr>
        <w:t>2、乙方应当向甲方提交服务期间内的维修记录、服务记录、服务人员的有效健康证及其他体检证明、服务人员的有效劳动合同等验收资料。</w:t>
      </w:r>
    </w:p>
    <w:p w14:paraId="1C1C8537">
      <w:pPr>
        <w:ind w:firstLine="420" w:firstLineChars="200"/>
        <w:rPr>
          <w:rFonts w:hAnsi="宋体"/>
          <w:szCs w:val="21"/>
        </w:rPr>
      </w:pPr>
      <w:r>
        <w:rPr>
          <w:rFonts w:hint="eastAsia" w:hAnsi="宋体"/>
          <w:szCs w:val="21"/>
        </w:rPr>
        <w:t>3、验收标准：服从甲方的单位管理要求，并安排合格人员保质保量的为甲方服务，对甲方的服务要求及时响应。</w:t>
      </w:r>
    </w:p>
    <w:p w14:paraId="5F729021">
      <w:pPr>
        <w:ind w:firstLine="422" w:firstLineChars="200"/>
        <w:rPr>
          <w:rFonts w:hAnsi="宋体"/>
          <w:b/>
          <w:bCs/>
          <w:szCs w:val="21"/>
        </w:rPr>
      </w:pPr>
      <w:r>
        <w:rPr>
          <w:rFonts w:hint="eastAsia" w:hAnsi="宋体"/>
          <w:b/>
          <w:bCs/>
          <w:szCs w:val="21"/>
        </w:rPr>
        <w:t>第九条  付款方式</w:t>
      </w:r>
    </w:p>
    <w:p w14:paraId="418944BE">
      <w:pPr>
        <w:ind w:firstLine="420" w:firstLineChars="200"/>
        <w:rPr>
          <w:rFonts w:hAnsi="宋体"/>
          <w:szCs w:val="21"/>
        </w:rPr>
      </w:pPr>
      <w:r>
        <w:rPr>
          <w:rFonts w:hint="eastAsia" w:hAnsi="宋体"/>
          <w:szCs w:val="21"/>
        </w:rPr>
        <w:t>乙方应在每月10日之前将上月的物业服务管理总费用发票及相关附件提交给甲方，甲方应在收到乙方提交的发票后30个工作日内将资金汇至乙方指定的以下开户银行：</w:t>
      </w:r>
    </w:p>
    <w:p w14:paraId="53943D53">
      <w:pPr>
        <w:ind w:firstLine="420" w:firstLineChars="200"/>
        <w:rPr>
          <w:rFonts w:hAnsi="宋体"/>
          <w:szCs w:val="21"/>
        </w:rPr>
      </w:pPr>
      <w:r>
        <w:rPr>
          <w:rFonts w:hint="eastAsia" w:hAnsi="宋体"/>
          <w:szCs w:val="21"/>
        </w:rPr>
        <w:t>账户名：</w:t>
      </w:r>
    </w:p>
    <w:p w14:paraId="3D3BBA9E">
      <w:pPr>
        <w:ind w:firstLine="420" w:firstLineChars="200"/>
        <w:rPr>
          <w:rFonts w:hAnsi="宋体"/>
          <w:szCs w:val="21"/>
        </w:rPr>
      </w:pPr>
      <w:r>
        <w:rPr>
          <w:rFonts w:hint="eastAsia" w:hAnsi="宋体"/>
          <w:szCs w:val="21"/>
        </w:rPr>
        <w:t>账号：</w:t>
      </w:r>
    </w:p>
    <w:p w14:paraId="38E322EB">
      <w:pPr>
        <w:ind w:firstLine="420" w:firstLineChars="200"/>
        <w:rPr>
          <w:rFonts w:hAnsi="宋体"/>
          <w:szCs w:val="21"/>
        </w:rPr>
      </w:pPr>
      <w:r>
        <w:rPr>
          <w:rFonts w:hint="eastAsia" w:hAnsi="宋体"/>
          <w:szCs w:val="21"/>
        </w:rPr>
        <w:t>开户行：</w:t>
      </w:r>
    </w:p>
    <w:p w14:paraId="09586542">
      <w:pPr>
        <w:ind w:firstLine="422" w:firstLineChars="200"/>
        <w:rPr>
          <w:rFonts w:hAnsi="宋体"/>
          <w:b/>
          <w:bCs/>
          <w:szCs w:val="21"/>
        </w:rPr>
      </w:pPr>
      <w:r>
        <w:rPr>
          <w:rFonts w:hint="eastAsia" w:hAnsi="宋体"/>
          <w:b/>
          <w:bCs/>
          <w:szCs w:val="21"/>
        </w:rPr>
        <w:t>第十条  争议解决办法</w:t>
      </w:r>
    </w:p>
    <w:p w14:paraId="43AE0482">
      <w:pPr>
        <w:ind w:firstLine="420" w:firstLineChars="200"/>
        <w:rPr>
          <w:rFonts w:hAnsi="宋体"/>
          <w:szCs w:val="21"/>
        </w:rPr>
      </w:pPr>
      <w:r>
        <w:rPr>
          <w:rFonts w:hint="eastAsia" w:hAnsi="宋体"/>
          <w:szCs w:val="21"/>
        </w:rPr>
        <w:t>执行本合同发生的争议，由甲乙双方协商解决，如协商不成的，应提交甲方所在地人民法院诉讼解决。</w:t>
      </w:r>
    </w:p>
    <w:p w14:paraId="04990CDD">
      <w:pPr>
        <w:ind w:firstLine="422" w:firstLineChars="200"/>
        <w:rPr>
          <w:rFonts w:hAnsi="宋体"/>
          <w:b/>
          <w:bCs/>
          <w:szCs w:val="21"/>
        </w:rPr>
      </w:pPr>
      <w:r>
        <w:rPr>
          <w:rFonts w:hint="eastAsia" w:hAnsi="宋体"/>
          <w:b/>
          <w:bCs/>
          <w:szCs w:val="21"/>
        </w:rPr>
        <w:t>第十一条  违约责任</w:t>
      </w:r>
    </w:p>
    <w:p w14:paraId="6A34324E">
      <w:pPr>
        <w:ind w:firstLine="420" w:firstLineChars="200"/>
        <w:rPr>
          <w:rFonts w:hAnsi="宋体"/>
          <w:szCs w:val="21"/>
        </w:rPr>
      </w:pPr>
      <w:r>
        <w:rPr>
          <w:rFonts w:hint="eastAsia" w:hAnsi="宋体"/>
          <w:szCs w:val="21"/>
        </w:rPr>
        <w:t>１、如乙方未能按照合同约定及采购文件的要求提供各项服务内容的，累计次数两次以上的，甲方有权解除合同，要求乙方返还全部已经收取的服务费，并追究乙方支付相当于合同总金额的20%的违约责任。</w:t>
      </w:r>
    </w:p>
    <w:p w14:paraId="51344EAE">
      <w:pPr>
        <w:ind w:firstLine="420" w:firstLineChars="200"/>
        <w:rPr>
          <w:rFonts w:hAnsi="宋体"/>
          <w:szCs w:val="21"/>
        </w:rPr>
      </w:pPr>
      <w:r>
        <w:rPr>
          <w:rFonts w:hint="eastAsia" w:hAnsi="宋体"/>
          <w:szCs w:val="21"/>
        </w:rPr>
        <w:t>2、乙方提供的服务经甲方验收判定为服务不合格的，甲方有权终止合同，要求乙方返还全部已经收取的服务费，并追究乙方支付相当于合同总金额的20%的违约责任。</w:t>
      </w:r>
    </w:p>
    <w:p w14:paraId="19996E04">
      <w:pPr>
        <w:ind w:firstLine="420" w:firstLineChars="200"/>
        <w:rPr>
          <w:rFonts w:hAnsi="宋体"/>
          <w:szCs w:val="21"/>
        </w:rPr>
      </w:pPr>
      <w:r>
        <w:rPr>
          <w:rFonts w:hint="eastAsia" w:hAnsi="宋体"/>
          <w:szCs w:val="21"/>
        </w:rPr>
        <w:t>3、若甲方发现乙方派出的服务人员或提供的维修不符合合同要求，乙方应在3天之内按要求派出人员或提供符合要求的维修服务，否则甲方有权终止合同，要求乙方返还全部已经收取的服务费，并追究乙方支付相当于合同总金额的20%的违约责任。</w:t>
      </w:r>
    </w:p>
    <w:p w14:paraId="53E22CE9">
      <w:pPr>
        <w:ind w:firstLine="420" w:firstLineChars="200"/>
        <w:rPr>
          <w:rFonts w:hAnsi="宋体"/>
          <w:szCs w:val="21"/>
        </w:rPr>
      </w:pPr>
      <w:r>
        <w:rPr>
          <w:rFonts w:hint="eastAsia" w:hAnsi="宋体"/>
          <w:szCs w:val="21"/>
        </w:rPr>
        <w:t>4、因乙方提供的服务成果受到侵权指控或者引发法律纠纷，影响甲方使用服务成果或者导致合同目的不能实现的，甲方有权要求乙方按合同总额   %支付违约金，并有权解除合同。</w:t>
      </w:r>
    </w:p>
    <w:p w14:paraId="1D7E16A2">
      <w:pPr>
        <w:ind w:firstLine="422" w:firstLineChars="200"/>
        <w:rPr>
          <w:rFonts w:hAnsi="宋体"/>
          <w:b/>
          <w:bCs/>
          <w:szCs w:val="21"/>
        </w:rPr>
      </w:pPr>
      <w:r>
        <w:rPr>
          <w:rFonts w:hint="eastAsia" w:hAnsi="宋体"/>
          <w:b/>
          <w:bCs/>
          <w:szCs w:val="21"/>
        </w:rPr>
        <w:t>第十二条  其他</w:t>
      </w:r>
    </w:p>
    <w:p w14:paraId="5F306C40">
      <w:pPr>
        <w:ind w:firstLine="420" w:firstLineChars="200"/>
        <w:rPr>
          <w:rFonts w:hAnsi="宋体"/>
          <w:szCs w:val="21"/>
        </w:rPr>
      </w:pPr>
      <w:r>
        <w:rPr>
          <w:rFonts w:hint="eastAsia" w:hAnsi="宋体"/>
          <w:szCs w:val="21"/>
        </w:rPr>
        <w:t>1、本合同与招标文件、乙方投标文件如有抵触之处，以本合同条款为准。</w:t>
      </w:r>
    </w:p>
    <w:p w14:paraId="1DAF9C2C">
      <w:pPr>
        <w:ind w:firstLine="420" w:firstLineChars="200"/>
        <w:rPr>
          <w:rFonts w:hAnsi="宋体"/>
          <w:szCs w:val="21"/>
        </w:rPr>
      </w:pPr>
      <w:r>
        <w:rPr>
          <w:rFonts w:hint="eastAsia" w:hAnsi="宋体"/>
          <w:szCs w:val="21"/>
        </w:rPr>
        <w:t>2、下列文件均为本合同的组成部分：</w:t>
      </w:r>
    </w:p>
    <w:p w14:paraId="3AA1D182">
      <w:pPr>
        <w:ind w:firstLine="420" w:firstLineChars="200"/>
        <w:rPr>
          <w:rFonts w:hAnsi="宋体"/>
          <w:szCs w:val="21"/>
        </w:rPr>
      </w:pPr>
      <w:r>
        <w:rPr>
          <w:rFonts w:hint="eastAsia" w:hAnsi="宋体"/>
          <w:szCs w:val="21"/>
        </w:rPr>
        <w:t>（1）号招标文件、答疑及补充通知；</w:t>
      </w:r>
    </w:p>
    <w:p w14:paraId="5A71CE75">
      <w:pPr>
        <w:ind w:firstLine="420" w:firstLineChars="200"/>
        <w:rPr>
          <w:rFonts w:hAnsi="宋体"/>
          <w:szCs w:val="21"/>
        </w:rPr>
      </w:pPr>
      <w:r>
        <w:rPr>
          <w:rFonts w:hint="eastAsia" w:hAnsi="宋体"/>
          <w:szCs w:val="21"/>
        </w:rPr>
        <w:t>（2）投标文件；</w:t>
      </w:r>
    </w:p>
    <w:p w14:paraId="4B16E303">
      <w:pPr>
        <w:ind w:firstLine="420" w:firstLineChars="200"/>
        <w:rPr>
          <w:rFonts w:hAnsi="宋体"/>
          <w:szCs w:val="21"/>
        </w:rPr>
      </w:pPr>
      <w:r>
        <w:rPr>
          <w:rFonts w:hint="eastAsia" w:hAnsi="宋体"/>
          <w:szCs w:val="21"/>
        </w:rPr>
        <w:t>（3）本合同执行中共同签署的补充与修正文件。</w:t>
      </w:r>
    </w:p>
    <w:p w14:paraId="6DFB8F8A">
      <w:pPr>
        <w:ind w:firstLine="420" w:firstLineChars="200"/>
        <w:rPr>
          <w:rFonts w:hAnsi="宋体"/>
          <w:szCs w:val="21"/>
        </w:rPr>
      </w:pPr>
      <w:r>
        <w:rPr>
          <w:rFonts w:hint="eastAsia" w:hAnsi="宋体"/>
          <w:szCs w:val="21"/>
        </w:rPr>
        <w:t>本合同一式份，甲、乙方双方各执份，具有同等法律效力。本合同自双方法人代表签字（盖章）认可之日起生效。</w:t>
      </w:r>
    </w:p>
    <w:p w14:paraId="4E6E3C44">
      <w:pPr>
        <w:ind w:firstLine="420" w:firstLineChars="200"/>
        <w:rPr>
          <w:rFonts w:hAnsi="宋体"/>
          <w:szCs w:val="21"/>
        </w:rPr>
      </w:pPr>
      <w:r>
        <w:rPr>
          <w:rFonts w:hint="eastAsia" w:hAnsi="宋体"/>
          <w:szCs w:val="21"/>
        </w:rPr>
        <w:t>本合同未尽事宜，双方友好协商，达成解决方案，经双方签字后，可作为本合同的有效附件。</w:t>
      </w:r>
    </w:p>
    <w:p w14:paraId="55D28262">
      <w:pPr>
        <w:ind w:firstLine="420" w:firstLineChars="200"/>
        <w:rPr>
          <w:rFonts w:hAnsi="宋体"/>
          <w:szCs w:val="21"/>
        </w:rPr>
      </w:pPr>
    </w:p>
    <w:p w14:paraId="686ABDFB">
      <w:pPr>
        <w:ind w:firstLine="420" w:firstLineChars="200"/>
        <w:rPr>
          <w:rFonts w:hAnsi="宋体"/>
          <w:szCs w:val="21"/>
        </w:rPr>
      </w:pPr>
    </w:p>
    <w:p w14:paraId="27D21EFF">
      <w:pPr>
        <w:ind w:firstLine="420" w:firstLineChars="200"/>
        <w:jc w:val="left"/>
        <w:rPr>
          <w:rFonts w:hAnsi="宋体"/>
          <w:szCs w:val="21"/>
        </w:rPr>
      </w:pPr>
      <w:r>
        <w:rPr>
          <w:rFonts w:hint="eastAsia" w:hAnsi="宋体"/>
          <w:szCs w:val="21"/>
        </w:rPr>
        <w:t>甲方（采购人）：   （盖章）       乙方（供应商）：    （盖章）</w:t>
      </w:r>
    </w:p>
    <w:p w14:paraId="6E123ECD">
      <w:pPr>
        <w:ind w:firstLine="420" w:firstLineChars="200"/>
        <w:jc w:val="left"/>
        <w:rPr>
          <w:rFonts w:hAnsi="宋体"/>
          <w:szCs w:val="21"/>
        </w:rPr>
      </w:pPr>
      <w:r>
        <w:rPr>
          <w:rFonts w:hint="eastAsia" w:hAnsi="宋体"/>
          <w:szCs w:val="21"/>
        </w:rPr>
        <w:t xml:space="preserve">法定代表人：                      法定代表人： </w:t>
      </w:r>
    </w:p>
    <w:p w14:paraId="6ABE34C6">
      <w:pPr>
        <w:ind w:firstLine="420" w:firstLineChars="200"/>
        <w:jc w:val="left"/>
        <w:rPr>
          <w:rFonts w:hAnsi="宋体"/>
          <w:szCs w:val="21"/>
        </w:rPr>
      </w:pPr>
      <w:r>
        <w:rPr>
          <w:rFonts w:hint="eastAsia" w:hAnsi="宋体"/>
          <w:szCs w:val="21"/>
        </w:rPr>
        <w:t>委托代理人：                      委托代理人：</w:t>
      </w:r>
    </w:p>
    <w:p w14:paraId="064E4AF5">
      <w:pPr>
        <w:ind w:firstLine="420" w:firstLineChars="200"/>
        <w:rPr>
          <w:rFonts w:hAnsi="宋体"/>
          <w:szCs w:val="21"/>
        </w:rPr>
      </w:pPr>
      <w:r>
        <w:rPr>
          <w:rFonts w:hint="eastAsia" w:hAnsi="宋体"/>
          <w:szCs w:val="21"/>
        </w:rPr>
        <w:t>日期：   年     月    日          日期：   年     月    日</w:t>
      </w:r>
    </w:p>
    <w:p w14:paraId="4E146A5C">
      <w:pPr>
        <w:ind w:firstLine="480" w:firstLineChars="200"/>
        <w:jc w:val="left"/>
        <w:rPr>
          <w:rFonts w:ascii="仿宋" w:hAnsi="仿宋" w:eastAsia="仿宋" w:cs="仿宋"/>
          <w:sz w:val="24"/>
        </w:rPr>
      </w:pPr>
    </w:p>
    <w:p w14:paraId="596779DB">
      <w:pPr>
        <w:pStyle w:val="62"/>
        <w:tabs>
          <w:tab w:val="clear" w:pos="426"/>
        </w:tabs>
      </w:pPr>
      <w:r>
        <w:br w:type="page"/>
      </w:r>
      <w:bookmarkStart w:id="92" w:name="_Toc152759236"/>
      <w:r>
        <w:rPr>
          <w:rFonts w:hint="eastAsia"/>
        </w:rPr>
        <w:t>第五章投标文件格式、附件</w:t>
      </w:r>
      <w:bookmarkEnd w:id="90"/>
      <w:bookmarkEnd w:id="91"/>
      <w:bookmarkEnd w:id="92"/>
    </w:p>
    <w:p w14:paraId="3C4AA762">
      <w:pPr>
        <w:tabs>
          <w:tab w:val="clear" w:pos="426"/>
        </w:tabs>
        <w:spacing w:line="276" w:lineRule="auto"/>
      </w:pPr>
      <w:r>
        <w:rPr>
          <w:rStyle w:val="128"/>
          <w:rFonts w:hint="eastAsia" w:ascii="宋体" w:eastAsia="宋体"/>
          <w:sz w:val="24"/>
        </w:rPr>
        <w:t>特别提醒：</w:t>
      </w:r>
      <w:r>
        <w:rPr>
          <w:rFonts w:hint="eastAsia"/>
        </w:rPr>
        <w:t>投标供应商在编辑投标文件时，应严格按照招标文件提供的格式进行编写，因未按要求编写导致投标文件不予受理、无效标或废标的，一切后果由供应商自行承担。</w:t>
      </w:r>
    </w:p>
    <w:p w14:paraId="55BBCF07">
      <w:pPr>
        <w:tabs>
          <w:tab w:val="clear" w:pos="426"/>
        </w:tabs>
        <w:spacing w:line="276" w:lineRule="auto"/>
      </w:pPr>
    </w:p>
    <w:p w14:paraId="5B760E97">
      <w:pPr>
        <w:tabs>
          <w:tab w:val="clear" w:pos="426"/>
        </w:tabs>
        <w:spacing w:line="276" w:lineRule="auto"/>
      </w:pPr>
    </w:p>
    <w:p w14:paraId="1263B240">
      <w:pPr>
        <w:tabs>
          <w:tab w:val="clear" w:pos="426"/>
        </w:tabs>
        <w:spacing w:line="276" w:lineRule="auto"/>
      </w:pPr>
      <w:r>
        <w:rPr>
          <w:rFonts w:hint="eastAsia"/>
        </w:rPr>
        <w:t>投标文件组成：</w:t>
      </w:r>
    </w:p>
    <w:p w14:paraId="371B8579">
      <w:pPr>
        <w:tabs>
          <w:tab w:val="clear" w:pos="426"/>
        </w:tabs>
        <w:spacing w:line="276" w:lineRule="auto"/>
      </w:pPr>
    </w:p>
    <w:p w14:paraId="37376F30">
      <w:pPr>
        <w:tabs>
          <w:tab w:val="clear" w:pos="426"/>
        </w:tabs>
        <w:spacing w:line="276" w:lineRule="auto"/>
      </w:pPr>
      <w:r>
        <w:rPr>
          <w:rFonts w:hint="eastAsia"/>
        </w:rPr>
        <w:t>密封袋封条格式</w:t>
      </w:r>
    </w:p>
    <w:p w14:paraId="455A78FC">
      <w:pPr>
        <w:tabs>
          <w:tab w:val="clear" w:pos="426"/>
        </w:tabs>
        <w:spacing w:line="276" w:lineRule="auto"/>
      </w:pPr>
      <w:r>
        <w:rPr>
          <w:rFonts w:hint="eastAsia"/>
        </w:rPr>
        <w:t>投标文件封面格式</w:t>
      </w:r>
    </w:p>
    <w:p w14:paraId="5F7C7D67">
      <w:pPr>
        <w:tabs>
          <w:tab w:val="clear" w:pos="426"/>
        </w:tabs>
        <w:spacing w:line="276" w:lineRule="auto"/>
      </w:pPr>
      <w:r>
        <w:rPr>
          <w:rFonts w:hint="eastAsia"/>
        </w:rPr>
        <w:t>目录（目录格式自定）</w:t>
      </w:r>
    </w:p>
    <w:p w14:paraId="05D20906">
      <w:pPr>
        <w:tabs>
          <w:tab w:val="clear" w:pos="426"/>
        </w:tabs>
        <w:spacing w:line="276" w:lineRule="auto"/>
      </w:pPr>
      <w:r>
        <w:rPr>
          <w:rFonts w:hint="eastAsia"/>
        </w:rPr>
        <w:t>评标指引表</w:t>
      </w:r>
    </w:p>
    <w:p w14:paraId="3E196793">
      <w:pPr>
        <w:tabs>
          <w:tab w:val="clear" w:pos="426"/>
        </w:tabs>
        <w:spacing w:line="276" w:lineRule="auto"/>
      </w:pPr>
    </w:p>
    <w:p w14:paraId="721B8F50">
      <w:pPr>
        <w:numPr>
          <w:ilvl w:val="1"/>
          <w:numId w:val="41"/>
        </w:numPr>
        <w:tabs>
          <w:tab w:val="clear" w:pos="426"/>
        </w:tabs>
        <w:spacing w:line="276" w:lineRule="auto"/>
      </w:pPr>
      <w:r>
        <w:rPr>
          <w:rFonts w:hint="eastAsia"/>
        </w:rPr>
        <w:t>投标函</w:t>
      </w:r>
    </w:p>
    <w:p w14:paraId="07DBA018">
      <w:pPr>
        <w:numPr>
          <w:ilvl w:val="1"/>
          <w:numId w:val="41"/>
        </w:numPr>
        <w:tabs>
          <w:tab w:val="clear" w:pos="426"/>
        </w:tabs>
        <w:spacing w:line="276" w:lineRule="auto"/>
      </w:pPr>
      <w:r>
        <w:rPr>
          <w:rFonts w:hint="eastAsia"/>
        </w:rPr>
        <w:t>政府采购投标及履约承诺函</w:t>
      </w:r>
    </w:p>
    <w:p w14:paraId="3EE04D84">
      <w:pPr>
        <w:numPr>
          <w:ilvl w:val="1"/>
          <w:numId w:val="41"/>
        </w:numPr>
        <w:tabs>
          <w:tab w:val="clear" w:pos="426"/>
        </w:tabs>
        <w:spacing w:line="276" w:lineRule="auto"/>
      </w:pPr>
      <w:r>
        <w:rPr>
          <w:rFonts w:hint="eastAsia"/>
        </w:rPr>
        <w:t>法定代表人授权委托书、法定代表人证明书</w:t>
      </w:r>
    </w:p>
    <w:p w14:paraId="3BC30557">
      <w:pPr>
        <w:numPr>
          <w:ilvl w:val="1"/>
          <w:numId w:val="41"/>
        </w:numPr>
        <w:tabs>
          <w:tab w:val="clear" w:pos="426"/>
        </w:tabs>
        <w:spacing w:line="276" w:lineRule="auto"/>
      </w:pPr>
      <w:r>
        <w:rPr>
          <w:rFonts w:hint="eastAsia"/>
        </w:rPr>
        <w:t>投标供应商基本情况表</w:t>
      </w:r>
    </w:p>
    <w:p w14:paraId="418A1C3A">
      <w:pPr>
        <w:numPr>
          <w:ilvl w:val="1"/>
          <w:numId w:val="41"/>
        </w:numPr>
        <w:tabs>
          <w:tab w:val="clear" w:pos="426"/>
        </w:tabs>
        <w:spacing w:line="276" w:lineRule="auto"/>
      </w:pPr>
      <w:r>
        <w:rPr>
          <w:rFonts w:hint="eastAsia"/>
        </w:rPr>
        <w:t>开标一览表（报价表）</w:t>
      </w:r>
    </w:p>
    <w:p w14:paraId="37BF1BC5">
      <w:pPr>
        <w:numPr>
          <w:ilvl w:val="1"/>
          <w:numId w:val="41"/>
        </w:numPr>
        <w:tabs>
          <w:tab w:val="clear" w:pos="426"/>
        </w:tabs>
        <w:spacing w:line="276" w:lineRule="auto"/>
      </w:pPr>
      <w:r>
        <w:rPr>
          <w:rFonts w:hint="eastAsia"/>
        </w:rPr>
        <w:t>实质性响应条款偏离表</w:t>
      </w:r>
    </w:p>
    <w:p w14:paraId="0D2C6C7C">
      <w:pPr>
        <w:numPr>
          <w:ilvl w:val="1"/>
          <w:numId w:val="41"/>
        </w:numPr>
        <w:tabs>
          <w:tab w:val="clear" w:pos="426"/>
        </w:tabs>
        <w:spacing w:line="276" w:lineRule="auto"/>
      </w:pPr>
      <w:r>
        <w:rPr>
          <w:rFonts w:hint="eastAsia"/>
        </w:rPr>
        <w:t>项目需求响应表（实质性条款除外）</w:t>
      </w:r>
    </w:p>
    <w:p w14:paraId="1AE84AD9">
      <w:pPr>
        <w:numPr>
          <w:ilvl w:val="1"/>
          <w:numId w:val="41"/>
        </w:numPr>
        <w:tabs>
          <w:tab w:val="clear" w:pos="426"/>
        </w:tabs>
        <w:spacing w:line="276" w:lineRule="auto"/>
      </w:pPr>
      <w:r>
        <w:rPr>
          <w:rFonts w:hint="eastAsia"/>
        </w:rPr>
        <w:t>服务方案（格式自拟）</w:t>
      </w:r>
    </w:p>
    <w:p w14:paraId="377B3527">
      <w:pPr>
        <w:numPr>
          <w:ilvl w:val="1"/>
          <w:numId w:val="41"/>
        </w:numPr>
        <w:tabs>
          <w:tab w:val="clear" w:pos="426"/>
        </w:tabs>
        <w:spacing w:line="276" w:lineRule="auto"/>
      </w:pPr>
      <w:r>
        <w:rPr>
          <w:rFonts w:hint="eastAsia"/>
        </w:rPr>
        <w:t>质量（完成时间、安全、环保）保障措施及方案（格式自拟）</w:t>
      </w:r>
    </w:p>
    <w:p w14:paraId="1DDAEF4F">
      <w:pPr>
        <w:numPr>
          <w:ilvl w:val="1"/>
          <w:numId w:val="41"/>
        </w:numPr>
        <w:tabs>
          <w:tab w:val="clear" w:pos="426"/>
        </w:tabs>
        <w:spacing w:line="276" w:lineRule="auto"/>
      </w:pPr>
      <w:r>
        <w:rPr>
          <w:rFonts w:hint="eastAsia"/>
        </w:rPr>
        <w:t>项目重点难点分析、应对措施及相关的 合理化建议（格式自拟）</w:t>
      </w:r>
    </w:p>
    <w:p w14:paraId="52AB90BA">
      <w:pPr>
        <w:numPr>
          <w:ilvl w:val="1"/>
          <w:numId w:val="41"/>
        </w:numPr>
        <w:tabs>
          <w:tab w:val="clear" w:pos="426"/>
        </w:tabs>
        <w:spacing w:line="276" w:lineRule="auto"/>
      </w:pPr>
      <w:r>
        <w:rPr>
          <w:rFonts w:hint="eastAsia"/>
        </w:rPr>
        <w:t>违约承诺（格式自拟）</w:t>
      </w:r>
    </w:p>
    <w:p w14:paraId="0788E6C7">
      <w:pPr>
        <w:numPr>
          <w:ilvl w:val="1"/>
          <w:numId w:val="41"/>
        </w:numPr>
        <w:tabs>
          <w:tab w:val="clear" w:pos="426"/>
        </w:tabs>
        <w:spacing w:line="276" w:lineRule="auto"/>
      </w:pPr>
      <w:r>
        <w:rPr>
          <w:rFonts w:hint="eastAsia"/>
        </w:rPr>
        <w:t>投标人同类项目业绩情况（格式自拟）</w:t>
      </w:r>
    </w:p>
    <w:p w14:paraId="24B909B8">
      <w:pPr>
        <w:numPr>
          <w:ilvl w:val="1"/>
          <w:numId w:val="41"/>
        </w:numPr>
        <w:tabs>
          <w:tab w:val="clear" w:pos="426"/>
        </w:tabs>
        <w:spacing w:line="276" w:lineRule="auto"/>
      </w:pPr>
      <w:r>
        <w:rPr>
          <w:rFonts w:hint="eastAsia"/>
        </w:rPr>
        <w:t>投标人通过相关认证情况（格式自拟）</w:t>
      </w:r>
    </w:p>
    <w:p w14:paraId="1711D5A7">
      <w:pPr>
        <w:numPr>
          <w:ilvl w:val="1"/>
          <w:numId w:val="41"/>
        </w:numPr>
        <w:tabs>
          <w:tab w:val="clear" w:pos="426"/>
        </w:tabs>
        <w:spacing w:line="276" w:lineRule="auto"/>
      </w:pPr>
      <w:r>
        <w:rPr>
          <w:rFonts w:hint="eastAsia"/>
        </w:rPr>
        <w:t>拟安排项目团队负责人情况（格式自拟）</w:t>
      </w:r>
    </w:p>
    <w:p w14:paraId="1C150293">
      <w:pPr>
        <w:numPr>
          <w:ilvl w:val="1"/>
          <w:numId w:val="41"/>
        </w:numPr>
        <w:tabs>
          <w:tab w:val="clear" w:pos="426"/>
        </w:tabs>
        <w:spacing w:line="276" w:lineRule="auto"/>
      </w:pPr>
      <w:r>
        <w:rPr>
          <w:rFonts w:hint="eastAsia"/>
        </w:rPr>
        <w:t>拟安排项目团队成员情况（格式自拟）</w:t>
      </w:r>
    </w:p>
    <w:p w14:paraId="7FC62C09">
      <w:pPr>
        <w:numPr>
          <w:ilvl w:val="1"/>
          <w:numId w:val="41"/>
        </w:numPr>
        <w:tabs>
          <w:tab w:val="clear" w:pos="426"/>
        </w:tabs>
        <w:spacing w:line="276" w:lineRule="auto"/>
      </w:pPr>
      <w:r>
        <w:rPr>
          <w:rFonts w:hint="eastAsia"/>
        </w:rPr>
        <w:t>企业诚信（格式自拟）</w:t>
      </w:r>
    </w:p>
    <w:p w14:paraId="30B4FE5E">
      <w:pPr>
        <w:numPr>
          <w:ilvl w:val="1"/>
          <w:numId w:val="41"/>
        </w:numPr>
        <w:tabs>
          <w:tab w:val="clear" w:pos="426"/>
        </w:tabs>
        <w:spacing w:line="276" w:lineRule="auto"/>
        <w:rPr>
          <w:rFonts w:hAnsi="宋体"/>
          <w:szCs w:val="21"/>
        </w:rPr>
      </w:pPr>
      <w:r>
        <w:rPr>
          <w:rFonts w:hint="eastAsia" w:hAnsi="宋体"/>
          <w:szCs w:val="21"/>
        </w:rPr>
        <w:t>招标代理服务费承诺书</w:t>
      </w:r>
    </w:p>
    <w:p w14:paraId="41D2E26F">
      <w:pPr>
        <w:numPr>
          <w:ilvl w:val="1"/>
          <w:numId w:val="41"/>
        </w:numPr>
        <w:tabs>
          <w:tab w:val="clear" w:pos="426"/>
        </w:tabs>
        <w:spacing w:line="276" w:lineRule="auto"/>
        <w:rPr>
          <w:rFonts w:hAnsi="宋体"/>
          <w:szCs w:val="21"/>
        </w:rPr>
      </w:pPr>
      <w:r>
        <w:rPr>
          <w:rFonts w:hint="eastAsia" w:hAnsi="宋体"/>
          <w:szCs w:val="21"/>
        </w:rPr>
        <w:t>招标文件要求的其他内容及投标供应商认为需要加以说明的其他内容</w:t>
      </w:r>
    </w:p>
    <w:p w14:paraId="244BD1BC">
      <w:pPr>
        <w:adjustRightInd/>
        <w:snapToGrid/>
        <w:spacing w:before="280" w:after="290" w:line="376" w:lineRule="auto"/>
        <w:jc w:val="center"/>
        <w:rPr>
          <w:b/>
          <w:sz w:val="24"/>
        </w:rPr>
      </w:pPr>
      <w:r>
        <w:br w:type="page"/>
      </w:r>
      <w:bookmarkStart w:id="93" w:name="_Toc528675178"/>
      <w:bookmarkStart w:id="94" w:name="_Toc518464366"/>
      <w:bookmarkStart w:id="95" w:name="_Toc528170806"/>
      <w:r>
        <w:rPr>
          <w:rFonts w:hint="eastAsia"/>
          <w:b/>
          <w:sz w:val="24"/>
        </w:rPr>
        <w:t>密封袋封条格式</w:t>
      </w:r>
      <w:bookmarkEnd w:id="93"/>
      <w:bookmarkEnd w:id="94"/>
      <w:bookmarkEnd w:id="95"/>
    </w:p>
    <w:p w14:paraId="6146029B">
      <w:pPr>
        <w:tabs>
          <w:tab w:val="clear" w:pos="426"/>
        </w:tabs>
        <w:jc w:val="center"/>
        <w:rPr>
          <w:sz w:val="44"/>
          <w:szCs w:val="44"/>
        </w:rPr>
      </w:pPr>
    </w:p>
    <w:p w14:paraId="534AAA64">
      <w:pPr>
        <w:tabs>
          <w:tab w:val="clear" w:pos="426"/>
        </w:tabs>
        <w:jc w:val="center"/>
        <w:rPr>
          <w:sz w:val="44"/>
          <w:szCs w:val="44"/>
        </w:rPr>
      </w:pPr>
      <w:r>
        <w:rPr>
          <w:rFonts w:hint="eastAsia"/>
          <w:sz w:val="44"/>
          <w:szCs w:val="44"/>
        </w:rPr>
        <w:t>广东省深圳市消防救援支队特勤大队2025年深中通道消防站物业管理服务采购项目</w:t>
      </w:r>
    </w:p>
    <w:p w14:paraId="608DE941">
      <w:pPr>
        <w:tabs>
          <w:tab w:val="clear" w:pos="426"/>
        </w:tabs>
        <w:jc w:val="center"/>
      </w:pPr>
    </w:p>
    <w:p w14:paraId="272CFF53">
      <w:pPr>
        <w:tabs>
          <w:tab w:val="clear" w:pos="426"/>
        </w:tabs>
        <w:jc w:val="center"/>
      </w:pPr>
    </w:p>
    <w:p w14:paraId="469501F8">
      <w:pPr>
        <w:tabs>
          <w:tab w:val="clear" w:pos="426"/>
        </w:tabs>
        <w:jc w:val="center"/>
        <w:rPr>
          <w:sz w:val="52"/>
          <w:szCs w:val="52"/>
        </w:rPr>
      </w:pPr>
      <w:r>
        <w:rPr>
          <w:rFonts w:hint="eastAsia"/>
          <w:sz w:val="52"/>
          <w:szCs w:val="52"/>
        </w:rPr>
        <w:t>□投标文件</w:t>
      </w:r>
    </w:p>
    <w:p w14:paraId="60A78C75">
      <w:pPr>
        <w:tabs>
          <w:tab w:val="clear" w:pos="426"/>
        </w:tabs>
        <w:jc w:val="center"/>
        <w:rPr>
          <w:sz w:val="52"/>
          <w:szCs w:val="52"/>
        </w:rPr>
      </w:pPr>
      <w:r>
        <w:rPr>
          <w:rFonts w:hint="eastAsia"/>
          <w:sz w:val="52"/>
          <w:szCs w:val="52"/>
        </w:rPr>
        <w:t>□开标信封</w:t>
      </w:r>
    </w:p>
    <w:p w14:paraId="35DFFEE9">
      <w:pPr>
        <w:tabs>
          <w:tab w:val="clear" w:pos="426"/>
        </w:tabs>
      </w:pPr>
    </w:p>
    <w:p w14:paraId="2AE69B2E">
      <w:pPr>
        <w:tabs>
          <w:tab w:val="clear" w:pos="426"/>
        </w:tabs>
      </w:pPr>
    </w:p>
    <w:p w14:paraId="3F083E5A">
      <w:pPr>
        <w:tabs>
          <w:tab w:val="clear" w:pos="426"/>
        </w:tabs>
      </w:pPr>
    </w:p>
    <w:p w14:paraId="1C0D41AE">
      <w:pPr>
        <w:tabs>
          <w:tab w:val="clear" w:pos="426"/>
        </w:tabs>
      </w:pPr>
    </w:p>
    <w:p w14:paraId="3A028F40">
      <w:pPr>
        <w:tabs>
          <w:tab w:val="clear" w:pos="426"/>
        </w:tabs>
      </w:pPr>
    </w:p>
    <w:p w14:paraId="52DE82BB">
      <w:pPr>
        <w:tabs>
          <w:tab w:val="clear" w:pos="426"/>
        </w:tabs>
      </w:pPr>
    </w:p>
    <w:p w14:paraId="5686681B">
      <w:pPr>
        <w:tabs>
          <w:tab w:val="clear" w:pos="426"/>
        </w:tabs>
        <w:ind w:left="708" w:leftChars="337" w:right="706" w:rightChars="336"/>
        <w:rPr>
          <w:sz w:val="28"/>
          <w:szCs w:val="28"/>
        </w:rPr>
      </w:pPr>
      <w:r>
        <w:rPr>
          <w:rFonts w:hint="eastAsia"/>
          <w:sz w:val="28"/>
          <w:szCs w:val="28"/>
        </w:rPr>
        <w:t>项目编号：</w:t>
      </w:r>
    </w:p>
    <w:p w14:paraId="66B59569">
      <w:pPr>
        <w:tabs>
          <w:tab w:val="clear" w:pos="426"/>
        </w:tabs>
        <w:ind w:left="708" w:leftChars="337"/>
        <w:rPr>
          <w:sz w:val="28"/>
          <w:szCs w:val="28"/>
        </w:rPr>
      </w:pPr>
      <w:r>
        <w:rPr>
          <w:rFonts w:hint="eastAsia"/>
          <w:sz w:val="28"/>
          <w:szCs w:val="28"/>
        </w:rPr>
        <w:t>投标供应商名称（公章</w:t>
      </w:r>
      <w:r>
        <w:rPr>
          <w:sz w:val="28"/>
          <w:szCs w:val="28"/>
        </w:rPr>
        <w:t>)</w:t>
      </w:r>
      <w:r>
        <w:rPr>
          <w:rFonts w:hint="eastAsia"/>
          <w:sz w:val="28"/>
          <w:szCs w:val="28"/>
        </w:rPr>
        <w:t>：</w:t>
      </w:r>
    </w:p>
    <w:p w14:paraId="505D7F30">
      <w:pPr>
        <w:tabs>
          <w:tab w:val="clear" w:pos="426"/>
        </w:tabs>
        <w:ind w:left="708" w:leftChars="337"/>
        <w:rPr>
          <w:sz w:val="28"/>
          <w:szCs w:val="28"/>
        </w:rPr>
      </w:pPr>
      <w:r>
        <w:rPr>
          <w:rFonts w:hint="eastAsia"/>
          <w:sz w:val="28"/>
          <w:szCs w:val="28"/>
        </w:rPr>
        <w:t>投标供应商代表（签名或盖章）：</w:t>
      </w:r>
    </w:p>
    <w:p w14:paraId="4DA0FC8D">
      <w:pPr>
        <w:tabs>
          <w:tab w:val="clear" w:pos="426"/>
        </w:tabs>
        <w:ind w:left="708" w:leftChars="337"/>
        <w:rPr>
          <w:sz w:val="28"/>
          <w:szCs w:val="28"/>
        </w:rPr>
      </w:pPr>
      <w:r>
        <w:rPr>
          <w:rFonts w:hint="eastAsia"/>
          <w:sz w:val="28"/>
          <w:szCs w:val="28"/>
        </w:rPr>
        <w:t>投标截止日期：</w:t>
      </w:r>
      <w:r>
        <w:rPr>
          <w:sz w:val="28"/>
          <w:szCs w:val="28"/>
        </w:rPr>
        <w:t>__________</w:t>
      </w:r>
      <w:r>
        <w:rPr>
          <w:rFonts w:hint="eastAsia"/>
          <w:sz w:val="28"/>
          <w:szCs w:val="28"/>
        </w:rPr>
        <w:t>年</w:t>
      </w:r>
      <w:r>
        <w:rPr>
          <w:sz w:val="28"/>
          <w:szCs w:val="28"/>
        </w:rPr>
        <w:t>____</w:t>
      </w:r>
      <w:r>
        <w:rPr>
          <w:rFonts w:hint="eastAsia"/>
          <w:sz w:val="28"/>
          <w:szCs w:val="28"/>
        </w:rPr>
        <w:t>月</w:t>
      </w:r>
      <w:r>
        <w:rPr>
          <w:sz w:val="28"/>
          <w:szCs w:val="28"/>
        </w:rPr>
        <w:t>____</w:t>
      </w:r>
      <w:r>
        <w:rPr>
          <w:rFonts w:hint="eastAsia"/>
          <w:sz w:val="28"/>
          <w:szCs w:val="28"/>
        </w:rPr>
        <w:t>日</w:t>
      </w:r>
      <w:r>
        <w:rPr>
          <w:sz w:val="28"/>
          <w:szCs w:val="28"/>
        </w:rPr>
        <w:t>____</w:t>
      </w:r>
      <w:r>
        <w:rPr>
          <w:rFonts w:hint="eastAsia"/>
          <w:sz w:val="28"/>
          <w:szCs w:val="28"/>
        </w:rPr>
        <w:t>时</w:t>
      </w:r>
      <w:r>
        <w:rPr>
          <w:sz w:val="28"/>
          <w:szCs w:val="28"/>
        </w:rPr>
        <w:t>____</w:t>
      </w:r>
      <w:r>
        <w:rPr>
          <w:rFonts w:hint="eastAsia"/>
          <w:sz w:val="28"/>
          <w:szCs w:val="28"/>
        </w:rPr>
        <w:t>分（前不得开封）</w:t>
      </w:r>
    </w:p>
    <w:p w14:paraId="726A5EB0">
      <w:pPr>
        <w:adjustRightInd/>
        <w:snapToGrid/>
        <w:spacing w:before="280" w:after="290" w:line="376" w:lineRule="auto"/>
        <w:jc w:val="center"/>
        <w:rPr>
          <w:b/>
          <w:sz w:val="24"/>
        </w:rPr>
      </w:pPr>
      <w:r>
        <w:br w:type="page"/>
      </w:r>
      <w:bookmarkStart w:id="96" w:name="_Toc528170807"/>
      <w:bookmarkStart w:id="97" w:name="_Toc518464367"/>
      <w:bookmarkStart w:id="98" w:name="_Toc528675179"/>
      <w:r>
        <w:rPr>
          <w:rFonts w:hint="eastAsia"/>
          <w:b/>
          <w:sz w:val="24"/>
        </w:rPr>
        <w:t>投标文件封面格式</w:t>
      </w:r>
      <w:bookmarkEnd w:id="96"/>
      <w:bookmarkEnd w:id="97"/>
      <w:bookmarkEnd w:id="98"/>
    </w:p>
    <w:p w14:paraId="4BDA7AC6">
      <w:pPr>
        <w:tabs>
          <w:tab w:val="clear" w:pos="426"/>
        </w:tabs>
        <w:jc w:val="right"/>
        <w:rPr>
          <w:sz w:val="44"/>
          <w:szCs w:val="44"/>
          <w:u w:val="single"/>
        </w:rPr>
      </w:pPr>
      <w:r>
        <w:rPr>
          <w:rFonts w:hint="eastAsia"/>
          <w:sz w:val="44"/>
          <w:szCs w:val="44"/>
          <w:u w:val="single"/>
        </w:rPr>
        <w:t>正</w:t>
      </w:r>
      <w:r>
        <w:rPr>
          <w:sz w:val="44"/>
          <w:szCs w:val="44"/>
          <w:u w:val="single"/>
        </w:rPr>
        <w:t>/</w:t>
      </w:r>
      <w:r>
        <w:rPr>
          <w:rFonts w:hint="eastAsia"/>
          <w:sz w:val="44"/>
          <w:szCs w:val="44"/>
          <w:u w:val="single"/>
        </w:rPr>
        <w:t>副本</w:t>
      </w:r>
    </w:p>
    <w:p w14:paraId="043A1E10">
      <w:pPr>
        <w:tabs>
          <w:tab w:val="clear" w:pos="426"/>
        </w:tabs>
        <w:jc w:val="center"/>
        <w:rPr>
          <w:sz w:val="44"/>
          <w:szCs w:val="44"/>
          <w:u w:val="single"/>
        </w:rPr>
      </w:pPr>
    </w:p>
    <w:p w14:paraId="30303451">
      <w:pPr>
        <w:tabs>
          <w:tab w:val="clear" w:pos="426"/>
        </w:tabs>
        <w:jc w:val="center"/>
        <w:rPr>
          <w:sz w:val="44"/>
          <w:szCs w:val="44"/>
        </w:rPr>
      </w:pPr>
      <w:r>
        <w:rPr>
          <w:rFonts w:hint="eastAsia"/>
          <w:sz w:val="44"/>
          <w:szCs w:val="44"/>
        </w:rPr>
        <w:t>广东省深圳市消防救援支队特勤大队2025年深中通道消防站物业管理服务采购项目</w:t>
      </w:r>
    </w:p>
    <w:p w14:paraId="173D09D7">
      <w:pPr>
        <w:tabs>
          <w:tab w:val="clear" w:pos="426"/>
        </w:tabs>
        <w:jc w:val="center"/>
      </w:pPr>
    </w:p>
    <w:p w14:paraId="18CCE829">
      <w:pPr>
        <w:tabs>
          <w:tab w:val="clear" w:pos="426"/>
        </w:tabs>
        <w:jc w:val="center"/>
      </w:pPr>
    </w:p>
    <w:p w14:paraId="262399D4">
      <w:pPr>
        <w:tabs>
          <w:tab w:val="clear" w:pos="426"/>
        </w:tabs>
        <w:jc w:val="center"/>
        <w:rPr>
          <w:sz w:val="52"/>
          <w:szCs w:val="52"/>
        </w:rPr>
      </w:pPr>
      <w:r>
        <w:rPr>
          <w:rFonts w:hint="eastAsia"/>
          <w:sz w:val="52"/>
          <w:szCs w:val="52"/>
        </w:rPr>
        <w:t>投标文件</w:t>
      </w:r>
    </w:p>
    <w:p w14:paraId="469728FC">
      <w:pPr>
        <w:tabs>
          <w:tab w:val="clear" w:pos="426"/>
        </w:tabs>
        <w:jc w:val="center"/>
      </w:pPr>
    </w:p>
    <w:p w14:paraId="56BD7B4C">
      <w:pPr>
        <w:tabs>
          <w:tab w:val="clear" w:pos="426"/>
        </w:tabs>
        <w:jc w:val="center"/>
      </w:pPr>
    </w:p>
    <w:p w14:paraId="6A98C6AB">
      <w:pPr>
        <w:tabs>
          <w:tab w:val="clear" w:pos="426"/>
        </w:tabs>
      </w:pPr>
    </w:p>
    <w:p w14:paraId="2A2B9AA6">
      <w:pPr>
        <w:tabs>
          <w:tab w:val="clear" w:pos="426"/>
        </w:tabs>
      </w:pPr>
    </w:p>
    <w:p w14:paraId="474F5A5F">
      <w:pPr>
        <w:tabs>
          <w:tab w:val="clear" w:pos="426"/>
        </w:tabs>
      </w:pPr>
    </w:p>
    <w:p w14:paraId="5B798150">
      <w:pPr>
        <w:tabs>
          <w:tab w:val="clear" w:pos="426"/>
        </w:tabs>
      </w:pPr>
    </w:p>
    <w:p w14:paraId="0AAC2019">
      <w:pPr>
        <w:tabs>
          <w:tab w:val="clear" w:pos="426"/>
        </w:tabs>
        <w:ind w:left="1275" w:leftChars="607"/>
        <w:rPr>
          <w:sz w:val="28"/>
          <w:szCs w:val="28"/>
        </w:rPr>
      </w:pPr>
      <w:r>
        <w:rPr>
          <w:rFonts w:hint="eastAsia"/>
          <w:sz w:val="28"/>
          <w:szCs w:val="28"/>
        </w:rPr>
        <w:t>项目编号：</w:t>
      </w:r>
    </w:p>
    <w:p w14:paraId="31B70159">
      <w:pPr>
        <w:tabs>
          <w:tab w:val="clear" w:pos="426"/>
        </w:tabs>
        <w:ind w:left="1275" w:leftChars="607"/>
        <w:rPr>
          <w:sz w:val="28"/>
          <w:szCs w:val="28"/>
        </w:rPr>
      </w:pPr>
      <w:r>
        <w:rPr>
          <w:rFonts w:hint="eastAsia"/>
          <w:sz w:val="28"/>
          <w:szCs w:val="28"/>
        </w:rPr>
        <w:t>投标供应商名称（公章</w:t>
      </w:r>
      <w:r>
        <w:rPr>
          <w:sz w:val="28"/>
          <w:szCs w:val="28"/>
        </w:rPr>
        <w:t>)</w:t>
      </w:r>
      <w:r>
        <w:rPr>
          <w:rFonts w:hint="eastAsia"/>
          <w:sz w:val="28"/>
          <w:szCs w:val="28"/>
        </w:rPr>
        <w:t>：</w:t>
      </w:r>
    </w:p>
    <w:p w14:paraId="3E52AA2E">
      <w:pPr>
        <w:tabs>
          <w:tab w:val="clear" w:pos="426"/>
        </w:tabs>
        <w:ind w:left="1275" w:leftChars="607"/>
        <w:rPr>
          <w:sz w:val="28"/>
          <w:szCs w:val="28"/>
        </w:rPr>
      </w:pPr>
      <w:r>
        <w:rPr>
          <w:rFonts w:hint="eastAsia"/>
          <w:sz w:val="28"/>
          <w:szCs w:val="28"/>
        </w:rPr>
        <w:t>投标供应商代表（签名或盖章）：</w:t>
      </w:r>
    </w:p>
    <w:p w14:paraId="5D66B0E1">
      <w:pPr>
        <w:tabs>
          <w:tab w:val="clear" w:pos="426"/>
        </w:tabs>
        <w:ind w:left="1275" w:leftChars="607"/>
        <w:rPr>
          <w:sz w:val="28"/>
          <w:szCs w:val="28"/>
        </w:rPr>
      </w:pPr>
      <w:r>
        <w:rPr>
          <w:rFonts w:hint="eastAsia"/>
          <w:sz w:val="28"/>
          <w:szCs w:val="28"/>
        </w:rPr>
        <w:t>投标日期：</w:t>
      </w:r>
      <w:r>
        <w:rPr>
          <w:sz w:val="28"/>
          <w:szCs w:val="28"/>
        </w:rPr>
        <w:t>__________</w:t>
      </w:r>
      <w:r>
        <w:rPr>
          <w:rFonts w:hint="eastAsia"/>
          <w:sz w:val="28"/>
          <w:szCs w:val="28"/>
        </w:rPr>
        <w:t>年</w:t>
      </w:r>
      <w:r>
        <w:rPr>
          <w:sz w:val="28"/>
          <w:szCs w:val="28"/>
        </w:rPr>
        <w:t>____</w:t>
      </w:r>
      <w:r>
        <w:rPr>
          <w:rFonts w:hint="eastAsia"/>
          <w:sz w:val="28"/>
          <w:szCs w:val="28"/>
        </w:rPr>
        <w:t>月</w:t>
      </w:r>
      <w:r>
        <w:rPr>
          <w:sz w:val="28"/>
          <w:szCs w:val="28"/>
        </w:rPr>
        <w:t>____</w:t>
      </w:r>
      <w:r>
        <w:rPr>
          <w:rFonts w:hint="eastAsia"/>
          <w:sz w:val="28"/>
          <w:szCs w:val="28"/>
        </w:rPr>
        <w:t>日</w:t>
      </w:r>
    </w:p>
    <w:p w14:paraId="302573A2">
      <w:pPr>
        <w:tabs>
          <w:tab w:val="clear" w:pos="426"/>
        </w:tabs>
      </w:pPr>
    </w:p>
    <w:p w14:paraId="53E55053">
      <w:pPr>
        <w:adjustRightInd/>
        <w:snapToGrid/>
        <w:spacing w:before="280" w:after="290" w:line="376" w:lineRule="auto"/>
        <w:jc w:val="center"/>
        <w:rPr>
          <w:b/>
          <w:sz w:val="24"/>
        </w:rPr>
      </w:pPr>
      <w:r>
        <w:br w:type="page"/>
      </w:r>
      <w:bookmarkStart w:id="99" w:name="_Toc528675180"/>
      <w:bookmarkStart w:id="100" w:name="_Toc518464368"/>
      <w:bookmarkStart w:id="101" w:name="_Toc528170808"/>
      <w:r>
        <w:rPr>
          <w:rFonts w:hint="eastAsia"/>
          <w:b/>
          <w:sz w:val="24"/>
        </w:rPr>
        <w:t>投标文件目录（目录格式自定）</w:t>
      </w:r>
      <w:bookmarkEnd w:id="99"/>
      <w:bookmarkEnd w:id="100"/>
      <w:bookmarkEnd w:id="101"/>
    </w:p>
    <w:p w14:paraId="334C2755">
      <w:pPr>
        <w:tabs>
          <w:tab w:val="clear" w:pos="426"/>
        </w:tabs>
      </w:pPr>
      <w:r>
        <w:rPr>
          <w:rFonts w:hint="eastAsia"/>
        </w:rPr>
        <w:t>按照招标文件的要求编制投标文件相应内容，请标明各部分内容的页码。</w:t>
      </w:r>
    </w:p>
    <w:p w14:paraId="24DD8EBE">
      <w:pPr>
        <w:tabs>
          <w:tab w:val="clear" w:pos="426"/>
        </w:tabs>
      </w:pPr>
    </w:p>
    <w:p w14:paraId="3F2C02CE">
      <w:pPr>
        <w:tabs>
          <w:tab w:val="clear" w:pos="426"/>
        </w:tabs>
      </w:pPr>
    </w:p>
    <w:p w14:paraId="73E006B3">
      <w:pPr>
        <w:adjustRightInd/>
        <w:snapToGrid/>
        <w:spacing w:before="280" w:after="290" w:line="376" w:lineRule="auto"/>
        <w:jc w:val="center"/>
        <w:rPr>
          <w:b/>
          <w:sz w:val="24"/>
        </w:rPr>
      </w:pPr>
      <w:r>
        <w:br w:type="page"/>
      </w:r>
      <w:bookmarkStart w:id="102" w:name="_Toc528170809"/>
      <w:bookmarkStart w:id="103" w:name="_Toc528675181"/>
      <w:bookmarkStart w:id="104" w:name="_Toc518464369"/>
      <w:r>
        <w:rPr>
          <w:rFonts w:hint="eastAsia"/>
          <w:b/>
          <w:sz w:val="24"/>
        </w:rPr>
        <w:t>评标指引表</w:t>
      </w:r>
      <w:bookmarkEnd w:id="102"/>
      <w:bookmarkEnd w:id="103"/>
      <w:bookmarkEnd w:id="104"/>
    </w:p>
    <w:p w14:paraId="3560C3B5">
      <w:pPr>
        <w:tabs>
          <w:tab w:val="clear" w:pos="426"/>
        </w:tabs>
        <w:jc w:val="center"/>
        <w:rPr>
          <w:b/>
        </w:rPr>
      </w:pPr>
      <w:r>
        <w:rPr>
          <w:rFonts w:hint="eastAsia"/>
          <w:b/>
        </w:rPr>
        <w:t>（置于投标文件的首页）</w:t>
      </w:r>
    </w:p>
    <w:p w14:paraId="02D0BF1F">
      <w:pPr>
        <w:tabs>
          <w:tab w:val="clear" w:pos="426"/>
        </w:tabs>
        <w:ind w:firstLine="420" w:firstLineChars="200"/>
      </w:pPr>
      <w:r>
        <w:rPr>
          <w:rFonts w:hint="eastAsia"/>
          <w:szCs w:val="21"/>
        </w:rPr>
        <w:t>为方便参与该项目的评委专家的评标，快速找到评标事项与该项目投标文件所对应的位置，请投标供应商参照下表格式，编制本项目评标指引表。</w:t>
      </w:r>
    </w:p>
    <w:p w14:paraId="6CC2381C">
      <w:pPr>
        <w:pStyle w:val="7"/>
        <w:tabs>
          <w:tab w:val="clear" w:pos="426"/>
        </w:tabs>
        <w:ind w:firstLine="0"/>
      </w:pPr>
      <w:r>
        <w:rPr>
          <w:rFonts w:hint="eastAsia"/>
        </w:rPr>
        <w:t>项目名称：</w:t>
      </w:r>
    </w:p>
    <w:p w14:paraId="404C3961">
      <w:pPr>
        <w:pStyle w:val="7"/>
        <w:tabs>
          <w:tab w:val="clear" w:pos="426"/>
        </w:tabs>
        <w:ind w:firstLine="0"/>
      </w:pPr>
      <w:r>
        <w:rPr>
          <w:rFonts w:hint="eastAsia"/>
        </w:rPr>
        <w:t>项目编号：</w:t>
      </w:r>
    </w:p>
    <w:p w14:paraId="2FA35A39">
      <w:pPr>
        <w:tabs>
          <w:tab w:val="clear" w:pos="426"/>
        </w:tabs>
        <w:jc w:val="center"/>
        <w:rPr>
          <w:b/>
        </w:rPr>
      </w:pPr>
      <w:r>
        <w:rPr>
          <w:rFonts w:hint="eastAsia"/>
          <w:b/>
        </w:rPr>
        <w:t>项目评标指引表</w:t>
      </w:r>
    </w:p>
    <w:tbl>
      <w:tblPr>
        <w:tblStyle w:val="85"/>
        <w:tblW w:w="95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5"/>
        <w:gridCol w:w="346"/>
        <w:gridCol w:w="3857"/>
        <w:gridCol w:w="1642"/>
        <w:gridCol w:w="98"/>
        <w:gridCol w:w="1365"/>
        <w:gridCol w:w="1397"/>
      </w:tblGrid>
      <w:tr w14:paraId="5DC64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14:paraId="1806B464">
            <w:pPr>
              <w:tabs>
                <w:tab w:val="clear" w:pos="426"/>
              </w:tabs>
              <w:adjustRightInd/>
              <w:snapToGrid/>
              <w:spacing w:line="240" w:lineRule="auto"/>
              <w:jc w:val="center"/>
              <w:rPr>
                <w:b/>
              </w:rPr>
            </w:pPr>
            <w:r>
              <w:rPr>
                <w:rFonts w:hint="eastAsia"/>
                <w:b/>
              </w:rPr>
              <w:t>一、资格性审查指引</w:t>
            </w:r>
          </w:p>
        </w:tc>
      </w:tr>
      <w:tr w14:paraId="0BF0B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14:paraId="4DBB31B9">
            <w:pPr>
              <w:tabs>
                <w:tab w:val="clear" w:pos="426"/>
              </w:tabs>
              <w:adjustRightInd/>
              <w:snapToGrid/>
              <w:spacing w:line="240" w:lineRule="auto"/>
              <w:jc w:val="center"/>
              <w:rPr>
                <w:b/>
              </w:rPr>
            </w:pPr>
            <w:r>
              <w:rPr>
                <w:rFonts w:hint="eastAsia"/>
                <w:b/>
              </w:rPr>
              <w:t>序号</w:t>
            </w:r>
          </w:p>
        </w:tc>
        <w:tc>
          <w:tcPr>
            <w:tcW w:w="4203" w:type="dxa"/>
            <w:gridSpan w:val="2"/>
            <w:vAlign w:val="center"/>
          </w:tcPr>
          <w:p w14:paraId="702C948D">
            <w:pPr>
              <w:tabs>
                <w:tab w:val="clear" w:pos="426"/>
              </w:tabs>
              <w:adjustRightInd/>
              <w:snapToGrid/>
              <w:spacing w:line="240" w:lineRule="auto"/>
              <w:ind w:firstLine="422"/>
              <w:jc w:val="center"/>
              <w:rPr>
                <w:b/>
                <w:kern w:val="2"/>
              </w:rPr>
            </w:pPr>
            <w:r>
              <w:rPr>
                <w:rFonts w:hint="eastAsia"/>
                <w:b/>
              </w:rPr>
              <w:t>资格性检查项目</w:t>
            </w:r>
          </w:p>
        </w:tc>
        <w:tc>
          <w:tcPr>
            <w:tcW w:w="3105" w:type="dxa"/>
            <w:gridSpan w:val="3"/>
            <w:vAlign w:val="center"/>
          </w:tcPr>
          <w:p w14:paraId="0E0D3869">
            <w:pPr>
              <w:tabs>
                <w:tab w:val="clear" w:pos="426"/>
              </w:tabs>
              <w:adjustRightInd/>
              <w:snapToGrid/>
              <w:spacing w:line="240" w:lineRule="auto"/>
              <w:jc w:val="center"/>
              <w:rPr>
                <w:b/>
              </w:rPr>
            </w:pPr>
            <w:r>
              <w:rPr>
                <w:rFonts w:hint="eastAsia"/>
                <w:b/>
              </w:rPr>
              <w:t>证明文件</w:t>
            </w:r>
          </w:p>
        </w:tc>
        <w:tc>
          <w:tcPr>
            <w:tcW w:w="1397" w:type="dxa"/>
            <w:vAlign w:val="center"/>
          </w:tcPr>
          <w:p w14:paraId="6C257121">
            <w:pPr>
              <w:tabs>
                <w:tab w:val="clear" w:pos="426"/>
              </w:tabs>
              <w:adjustRightInd/>
              <w:snapToGrid/>
              <w:spacing w:line="240" w:lineRule="auto"/>
              <w:jc w:val="center"/>
              <w:rPr>
                <w:b/>
              </w:rPr>
            </w:pPr>
            <w:r>
              <w:rPr>
                <w:rFonts w:hint="eastAsia"/>
                <w:b/>
              </w:rPr>
              <w:t>起止页码</w:t>
            </w:r>
          </w:p>
        </w:tc>
      </w:tr>
      <w:tr w14:paraId="5EE9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restart"/>
            <w:vAlign w:val="center"/>
          </w:tcPr>
          <w:p w14:paraId="3C3AF5F1">
            <w:pPr>
              <w:tabs>
                <w:tab w:val="clear" w:pos="426"/>
              </w:tabs>
              <w:adjustRightInd/>
              <w:snapToGrid/>
              <w:spacing w:line="240" w:lineRule="auto"/>
              <w:jc w:val="center"/>
              <w:rPr>
                <w:b/>
              </w:rPr>
            </w:pPr>
            <w:r>
              <w:rPr>
                <w:b/>
              </w:rPr>
              <w:t>1</w:t>
            </w:r>
          </w:p>
        </w:tc>
        <w:tc>
          <w:tcPr>
            <w:tcW w:w="4203" w:type="dxa"/>
            <w:gridSpan w:val="2"/>
            <w:vMerge w:val="restart"/>
            <w:vAlign w:val="center"/>
          </w:tcPr>
          <w:p w14:paraId="3658FD04">
            <w:pPr>
              <w:tabs>
                <w:tab w:val="clear" w:pos="426"/>
              </w:tabs>
              <w:adjustRightInd/>
              <w:snapToGrid/>
              <w:spacing w:line="240" w:lineRule="auto"/>
              <w:jc w:val="center"/>
              <w:rPr>
                <w:b/>
                <w:kern w:val="2"/>
              </w:rPr>
            </w:pPr>
            <w:r>
              <w:rPr>
                <w:rFonts w:hint="eastAsia"/>
              </w:rPr>
              <w:t>投标供应商资质要求</w:t>
            </w:r>
          </w:p>
        </w:tc>
        <w:tc>
          <w:tcPr>
            <w:tcW w:w="3105" w:type="dxa"/>
            <w:gridSpan w:val="3"/>
            <w:vAlign w:val="center"/>
          </w:tcPr>
          <w:p w14:paraId="030E0138">
            <w:pPr>
              <w:tabs>
                <w:tab w:val="clear" w:pos="426"/>
              </w:tabs>
              <w:adjustRightInd/>
              <w:snapToGrid/>
              <w:spacing w:line="240" w:lineRule="auto"/>
              <w:jc w:val="center"/>
              <w:rPr>
                <w:kern w:val="2"/>
              </w:rPr>
            </w:pPr>
            <w:r>
              <w:rPr>
                <w:rFonts w:hint="eastAsia"/>
              </w:rPr>
              <w:t>营业执照</w:t>
            </w:r>
          </w:p>
        </w:tc>
        <w:tc>
          <w:tcPr>
            <w:tcW w:w="1397" w:type="dxa"/>
            <w:vAlign w:val="center"/>
          </w:tcPr>
          <w:p w14:paraId="79290F11">
            <w:pPr>
              <w:tabs>
                <w:tab w:val="clear" w:pos="426"/>
              </w:tabs>
              <w:adjustRightInd/>
              <w:snapToGrid/>
              <w:spacing w:line="240" w:lineRule="auto"/>
              <w:jc w:val="center"/>
              <w:rPr>
                <w:b/>
              </w:rPr>
            </w:pPr>
          </w:p>
        </w:tc>
      </w:tr>
      <w:tr w14:paraId="3F414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14:paraId="4FD66553"/>
        </w:tc>
        <w:tc>
          <w:tcPr>
            <w:tcW w:w="4203" w:type="dxa"/>
            <w:gridSpan w:val="2"/>
            <w:vMerge w:val="continue"/>
            <w:vAlign w:val="center"/>
          </w:tcPr>
          <w:p w14:paraId="31B9812B"/>
        </w:tc>
        <w:tc>
          <w:tcPr>
            <w:tcW w:w="3105" w:type="dxa"/>
            <w:gridSpan w:val="3"/>
            <w:vAlign w:val="center"/>
          </w:tcPr>
          <w:p w14:paraId="75AA1D4A">
            <w:pPr>
              <w:tabs>
                <w:tab w:val="clear" w:pos="426"/>
              </w:tabs>
              <w:adjustRightInd/>
              <w:snapToGrid/>
              <w:spacing w:line="240" w:lineRule="auto"/>
              <w:jc w:val="center"/>
            </w:pPr>
          </w:p>
        </w:tc>
        <w:tc>
          <w:tcPr>
            <w:tcW w:w="1397" w:type="dxa"/>
            <w:vAlign w:val="center"/>
          </w:tcPr>
          <w:p w14:paraId="6137351F">
            <w:pPr>
              <w:tabs>
                <w:tab w:val="clear" w:pos="426"/>
              </w:tabs>
              <w:adjustRightInd/>
              <w:snapToGrid/>
              <w:spacing w:line="240" w:lineRule="auto"/>
              <w:jc w:val="center"/>
              <w:rPr>
                <w:b/>
              </w:rPr>
            </w:pPr>
          </w:p>
        </w:tc>
      </w:tr>
      <w:tr w14:paraId="613E4E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14:paraId="2C5A860E"/>
        </w:tc>
        <w:tc>
          <w:tcPr>
            <w:tcW w:w="4203" w:type="dxa"/>
            <w:gridSpan w:val="2"/>
            <w:vMerge w:val="continue"/>
            <w:vAlign w:val="center"/>
          </w:tcPr>
          <w:p w14:paraId="0CF51002"/>
        </w:tc>
        <w:tc>
          <w:tcPr>
            <w:tcW w:w="3105" w:type="dxa"/>
            <w:gridSpan w:val="3"/>
            <w:vAlign w:val="center"/>
          </w:tcPr>
          <w:p w14:paraId="1BE11508">
            <w:pPr>
              <w:tabs>
                <w:tab w:val="clear" w:pos="426"/>
              </w:tabs>
              <w:adjustRightInd/>
              <w:snapToGrid/>
              <w:spacing w:line="240" w:lineRule="auto"/>
              <w:jc w:val="center"/>
            </w:pPr>
          </w:p>
        </w:tc>
        <w:tc>
          <w:tcPr>
            <w:tcW w:w="1397" w:type="dxa"/>
            <w:vAlign w:val="center"/>
          </w:tcPr>
          <w:p w14:paraId="3D45D6E3">
            <w:pPr>
              <w:tabs>
                <w:tab w:val="clear" w:pos="426"/>
              </w:tabs>
              <w:adjustRightInd/>
              <w:snapToGrid/>
              <w:spacing w:line="240" w:lineRule="auto"/>
              <w:jc w:val="center"/>
              <w:rPr>
                <w:b/>
              </w:rPr>
            </w:pPr>
          </w:p>
        </w:tc>
      </w:tr>
      <w:tr w14:paraId="79E0E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14:paraId="127DD411"/>
        </w:tc>
        <w:tc>
          <w:tcPr>
            <w:tcW w:w="4203" w:type="dxa"/>
            <w:gridSpan w:val="2"/>
            <w:vMerge w:val="continue"/>
            <w:vAlign w:val="center"/>
          </w:tcPr>
          <w:p w14:paraId="39BF5445"/>
        </w:tc>
        <w:tc>
          <w:tcPr>
            <w:tcW w:w="3105" w:type="dxa"/>
            <w:gridSpan w:val="3"/>
            <w:vAlign w:val="center"/>
          </w:tcPr>
          <w:p w14:paraId="05C7C980">
            <w:pPr>
              <w:tabs>
                <w:tab w:val="clear" w:pos="426"/>
              </w:tabs>
              <w:adjustRightInd/>
              <w:snapToGrid/>
              <w:spacing w:line="240" w:lineRule="auto"/>
              <w:jc w:val="center"/>
              <w:rPr>
                <w:b/>
              </w:rPr>
            </w:pPr>
          </w:p>
        </w:tc>
        <w:tc>
          <w:tcPr>
            <w:tcW w:w="1397" w:type="dxa"/>
            <w:vAlign w:val="center"/>
          </w:tcPr>
          <w:p w14:paraId="0D834510">
            <w:pPr>
              <w:tabs>
                <w:tab w:val="clear" w:pos="426"/>
              </w:tabs>
              <w:adjustRightInd/>
              <w:snapToGrid/>
              <w:spacing w:line="240" w:lineRule="auto"/>
              <w:jc w:val="center"/>
              <w:rPr>
                <w:b/>
              </w:rPr>
            </w:pPr>
          </w:p>
        </w:tc>
      </w:tr>
      <w:tr w14:paraId="47AC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14:paraId="07CBB300"/>
        </w:tc>
        <w:tc>
          <w:tcPr>
            <w:tcW w:w="4203" w:type="dxa"/>
            <w:gridSpan w:val="2"/>
            <w:vMerge w:val="continue"/>
            <w:vAlign w:val="center"/>
          </w:tcPr>
          <w:p w14:paraId="30FF482D"/>
        </w:tc>
        <w:tc>
          <w:tcPr>
            <w:tcW w:w="3105" w:type="dxa"/>
            <w:gridSpan w:val="3"/>
            <w:vAlign w:val="center"/>
          </w:tcPr>
          <w:p w14:paraId="6895EB81">
            <w:pPr>
              <w:tabs>
                <w:tab w:val="clear" w:pos="426"/>
              </w:tabs>
              <w:adjustRightInd/>
              <w:snapToGrid/>
              <w:spacing w:line="240" w:lineRule="auto"/>
              <w:jc w:val="center"/>
              <w:rPr>
                <w:b/>
              </w:rPr>
            </w:pPr>
          </w:p>
        </w:tc>
        <w:tc>
          <w:tcPr>
            <w:tcW w:w="1397" w:type="dxa"/>
            <w:vAlign w:val="center"/>
          </w:tcPr>
          <w:p w14:paraId="74F71767">
            <w:pPr>
              <w:tabs>
                <w:tab w:val="clear" w:pos="426"/>
              </w:tabs>
              <w:adjustRightInd/>
              <w:snapToGrid/>
              <w:spacing w:line="240" w:lineRule="auto"/>
              <w:jc w:val="center"/>
              <w:rPr>
                <w:b/>
              </w:rPr>
            </w:pPr>
          </w:p>
        </w:tc>
      </w:tr>
      <w:tr w14:paraId="10128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Merge w:val="continue"/>
            <w:vAlign w:val="center"/>
          </w:tcPr>
          <w:p w14:paraId="7FE8D87A"/>
        </w:tc>
        <w:tc>
          <w:tcPr>
            <w:tcW w:w="4203" w:type="dxa"/>
            <w:gridSpan w:val="2"/>
            <w:vMerge w:val="continue"/>
            <w:vAlign w:val="center"/>
          </w:tcPr>
          <w:p w14:paraId="5E77D8EA"/>
        </w:tc>
        <w:tc>
          <w:tcPr>
            <w:tcW w:w="3105" w:type="dxa"/>
            <w:gridSpan w:val="3"/>
            <w:vAlign w:val="center"/>
          </w:tcPr>
          <w:p w14:paraId="4B50DDFA">
            <w:pPr>
              <w:tabs>
                <w:tab w:val="clear" w:pos="426"/>
              </w:tabs>
              <w:adjustRightInd/>
              <w:snapToGrid/>
              <w:spacing w:line="240" w:lineRule="auto"/>
              <w:jc w:val="center"/>
              <w:rPr>
                <w:b/>
              </w:rPr>
            </w:pPr>
          </w:p>
        </w:tc>
        <w:tc>
          <w:tcPr>
            <w:tcW w:w="1397" w:type="dxa"/>
            <w:vAlign w:val="center"/>
          </w:tcPr>
          <w:p w14:paraId="7A0F5E31">
            <w:pPr>
              <w:tabs>
                <w:tab w:val="clear" w:pos="426"/>
              </w:tabs>
              <w:adjustRightInd/>
              <w:snapToGrid/>
              <w:spacing w:line="240" w:lineRule="auto"/>
              <w:jc w:val="center"/>
              <w:rPr>
                <w:b/>
              </w:rPr>
            </w:pPr>
          </w:p>
        </w:tc>
      </w:tr>
      <w:tr w14:paraId="4B6D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14:paraId="0EC14BD1">
            <w:pPr>
              <w:tabs>
                <w:tab w:val="clear" w:pos="426"/>
              </w:tabs>
              <w:adjustRightInd/>
              <w:snapToGrid/>
              <w:spacing w:line="240" w:lineRule="auto"/>
              <w:ind w:firstLine="422"/>
              <w:jc w:val="center"/>
              <w:rPr>
                <w:b/>
                <w:kern w:val="2"/>
              </w:rPr>
            </w:pPr>
            <w:r>
              <w:rPr>
                <w:rFonts w:hint="eastAsia"/>
                <w:b/>
              </w:rPr>
              <w:t>二、符合性审查指引</w:t>
            </w:r>
          </w:p>
        </w:tc>
      </w:tr>
      <w:tr w14:paraId="71250D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14:paraId="686A873E">
            <w:pPr>
              <w:tabs>
                <w:tab w:val="clear" w:pos="426"/>
              </w:tabs>
              <w:adjustRightInd/>
              <w:snapToGrid/>
              <w:spacing w:line="240" w:lineRule="auto"/>
              <w:jc w:val="center"/>
              <w:rPr>
                <w:b/>
                <w:kern w:val="2"/>
              </w:rPr>
            </w:pPr>
            <w:r>
              <w:rPr>
                <w:rFonts w:hint="eastAsia"/>
                <w:b/>
              </w:rPr>
              <w:t>序号</w:t>
            </w:r>
          </w:p>
        </w:tc>
        <w:tc>
          <w:tcPr>
            <w:tcW w:w="5943" w:type="dxa"/>
            <w:gridSpan w:val="4"/>
            <w:vAlign w:val="center"/>
          </w:tcPr>
          <w:p w14:paraId="6EFC6393">
            <w:pPr>
              <w:tabs>
                <w:tab w:val="clear" w:pos="426"/>
              </w:tabs>
              <w:adjustRightInd/>
              <w:snapToGrid/>
              <w:spacing w:line="240" w:lineRule="auto"/>
              <w:jc w:val="center"/>
              <w:rPr>
                <w:b/>
                <w:kern w:val="2"/>
              </w:rPr>
            </w:pPr>
            <w:r>
              <w:rPr>
                <w:rFonts w:hint="eastAsia"/>
                <w:b/>
              </w:rPr>
              <w:t>符合性审查项目</w:t>
            </w:r>
          </w:p>
        </w:tc>
        <w:tc>
          <w:tcPr>
            <w:tcW w:w="2762" w:type="dxa"/>
            <w:gridSpan w:val="2"/>
            <w:vAlign w:val="center"/>
          </w:tcPr>
          <w:p w14:paraId="49FA5887">
            <w:pPr>
              <w:tabs>
                <w:tab w:val="clear" w:pos="426"/>
              </w:tabs>
              <w:adjustRightInd/>
              <w:snapToGrid/>
              <w:spacing w:line="240" w:lineRule="auto"/>
              <w:jc w:val="center"/>
              <w:rPr>
                <w:b/>
                <w:kern w:val="2"/>
              </w:rPr>
            </w:pPr>
            <w:r>
              <w:rPr>
                <w:rFonts w:hint="eastAsia"/>
                <w:b/>
              </w:rPr>
              <w:t>说明</w:t>
            </w:r>
          </w:p>
        </w:tc>
      </w:tr>
      <w:tr w14:paraId="2208E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14:paraId="70135B91">
            <w:pPr>
              <w:widowControl w:val="0"/>
              <w:shd w:val="clear" w:color="auto" w:fill="auto"/>
              <w:tabs>
                <w:tab w:val="clear" w:pos="426"/>
              </w:tabs>
              <w:adjustRightInd/>
              <w:snapToGrid/>
              <w:spacing w:line="240" w:lineRule="auto"/>
              <w:jc w:val="center"/>
              <w:rPr>
                <w:kern w:val="2"/>
              </w:rPr>
            </w:pPr>
            <w:r>
              <w:t>1</w:t>
            </w:r>
          </w:p>
        </w:tc>
        <w:tc>
          <w:tcPr>
            <w:tcW w:w="5943" w:type="dxa"/>
            <w:gridSpan w:val="4"/>
            <w:vAlign w:val="center"/>
          </w:tcPr>
          <w:p w14:paraId="31036A46">
            <w:pPr>
              <w:tabs>
                <w:tab w:val="clear" w:pos="426"/>
              </w:tabs>
              <w:adjustRightInd/>
              <w:snapToGrid/>
              <w:spacing w:line="240" w:lineRule="auto"/>
            </w:pPr>
            <w:r>
              <w:rPr>
                <w:rFonts w:hint="eastAsia"/>
              </w:rPr>
              <w:t>未出现将一个包或一个包的内容拆开投标；</w:t>
            </w:r>
          </w:p>
        </w:tc>
        <w:tc>
          <w:tcPr>
            <w:tcW w:w="2762" w:type="dxa"/>
            <w:gridSpan w:val="2"/>
            <w:vAlign w:val="center"/>
          </w:tcPr>
          <w:p w14:paraId="60FD8CDB">
            <w:pPr>
              <w:tabs>
                <w:tab w:val="clear" w:pos="426"/>
              </w:tabs>
              <w:adjustRightInd/>
              <w:snapToGrid/>
              <w:spacing w:line="240" w:lineRule="auto"/>
              <w:jc w:val="center"/>
              <w:rPr>
                <w:kern w:val="2"/>
              </w:rPr>
            </w:pPr>
            <w:r>
              <w:rPr>
                <w:rFonts w:hint="eastAsia"/>
              </w:rPr>
              <w:t>符合</w:t>
            </w:r>
            <w:r>
              <w:t>/</w:t>
            </w:r>
            <w:r>
              <w:rPr>
                <w:rFonts w:hint="eastAsia"/>
              </w:rPr>
              <w:t>不符合</w:t>
            </w:r>
          </w:p>
        </w:tc>
      </w:tr>
      <w:tr w14:paraId="5E5D6C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14:paraId="53781B89">
            <w:pPr>
              <w:widowControl w:val="0"/>
              <w:shd w:val="clear" w:color="auto" w:fill="auto"/>
              <w:tabs>
                <w:tab w:val="clear" w:pos="426"/>
              </w:tabs>
              <w:adjustRightInd/>
              <w:snapToGrid/>
              <w:spacing w:line="240" w:lineRule="auto"/>
              <w:jc w:val="center"/>
              <w:rPr>
                <w:kern w:val="2"/>
              </w:rPr>
            </w:pPr>
            <w:r>
              <w:t>2</w:t>
            </w:r>
          </w:p>
        </w:tc>
        <w:tc>
          <w:tcPr>
            <w:tcW w:w="5943" w:type="dxa"/>
            <w:gridSpan w:val="4"/>
            <w:vAlign w:val="center"/>
          </w:tcPr>
          <w:p w14:paraId="54B75C5A">
            <w:pPr>
              <w:tabs>
                <w:tab w:val="clear" w:pos="426"/>
              </w:tabs>
              <w:adjustRightInd/>
              <w:snapToGrid/>
              <w:spacing w:line="240" w:lineRule="auto"/>
            </w:pPr>
            <w:r>
              <w:rPr>
                <w:rFonts w:hint="eastAsia"/>
              </w:rPr>
              <w:t>投标文件及开标一览表按规定密封、签字、盖章</w:t>
            </w:r>
          </w:p>
        </w:tc>
        <w:tc>
          <w:tcPr>
            <w:tcW w:w="2762" w:type="dxa"/>
            <w:gridSpan w:val="2"/>
            <w:vAlign w:val="center"/>
          </w:tcPr>
          <w:p w14:paraId="54BE92DD">
            <w:pPr>
              <w:tabs>
                <w:tab w:val="clear" w:pos="426"/>
              </w:tabs>
              <w:adjustRightInd/>
              <w:snapToGrid/>
              <w:spacing w:line="240" w:lineRule="auto"/>
              <w:jc w:val="center"/>
            </w:pPr>
          </w:p>
        </w:tc>
      </w:tr>
      <w:tr w14:paraId="7828E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14:paraId="2560A8E3">
            <w:pPr>
              <w:widowControl w:val="0"/>
              <w:shd w:val="clear" w:color="auto" w:fill="auto"/>
              <w:tabs>
                <w:tab w:val="clear" w:pos="426"/>
              </w:tabs>
              <w:adjustRightInd/>
              <w:snapToGrid/>
              <w:spacing w:line="240" w:lineRule="auto"/>
              <w:jc w:val="center"/>
              <w:rPr>
                <w:kern w:val="2"/>
              </w:rPr>
            </w:pPr>
            <w:r>
              <w:t>3</w:t>
            </w:r>
          </w:p>
        </w:tc>
        <w:tc>
          <w:tcPr>
            <w:tcW w:w="5943" w:type="dxa"/>
            <w:gridSpan w:val="4"/>
            <w:vAlign w:val="center"/>
          </w:tcPr>
          <w:p w14:paraId="5C10F75D">
            <w:pPr>
              <w:tabs>
                <w:tab w:val="clear" w:pos="426"/>
              </w:tabs>
              <w:adjustRightInd/>
              <w:snapToGrid/>
              <w:spacing w:line="240" w:lineRule="auto"/>
            </w:pPr>
            <w:r>
              <w:rPr>
                <w:rFonts w:hint="eastAsia"/>
              </w:rPr>
              <w:t>除招标文件规定允许有替代方案外，对同一项目投标时，未提供两套或两套以上的投标方案；</w:t>
            </w:r>
          </w:p>
        </w:tc>
        <w:tc>
          <w:tcPr>
            <w:tcW w:w="2762" w:type="dxa"/>
            <w:gridSpan w:val="2"/>
            <w:vAlign w:val="center"/>
          </w:tcPr>
          <w:p w14:paraId="0F131657">
            <w:pPr>
              <w:tabs>
                <w:tab w:val="clear" w:pos="426"/>
              </w:tabs>
              <w:adjustRightInd/>
              <w:snapToGrid/>
              <w:spacing w:line="240" w:lineRule="auto"/>
              <w:jc w:val="center"/>
            </w:pPr>
          </w:p>
        </w:tc>
      </w:tr>
      <w:tr w14:paraId="578DD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865" w:type="dxa"/>
            <w:vAlign w:val="center"/>
          </w:tcPr>
          <w:p w14:paraId="411DF17E">
            <w:pPr>
              <w:widowControl w:val="0"/>
              <w:shd w:val="clear" w:color="auto" w:fill="auto"/>
              <w:tabs>
                <w:tab w:val="clear" w:pos="426"/>
              </w:tabs>
              <w:adjustRightInd/>
              <w:snapToGrid/>
              <w:spacing w:line="240" w:lineRule="auto"/>
              <w:jc w:val="center"/>
              <w:rPr>
                <w:kern w:val="2"/>
              </w:rPr>
            </w:pPr>
            <w:r>
              <w:t>4</w:t>
            </w:r>
          </w:p>
        </w:tc>
        <w:tc>
          <w:tcPr>
            <w:tcW w:w="5943" w:type="dxa"/>
            <w:gridSpan w:val="4"/>
            <w:vAlign w:val="center"/>
          </w:tcPr>
          <w:p w14:paraId="04503FCE">
            <w:pPr>
              <w:tabs>
                <w:tab w:val="clear" w:pos="426"/>
              </w:tabs>
              <w:adjustRightInd/>
              <w:snapToGrid/>
              <w:spacing w:line="240" w:lineRule="auto"/>
            </w:pPr>
            <w:r>
              <w:rPr>
                <w:rFonts w:hint="eastAsia"/>
              </w:rPr>
              <w:t>按招标文件所提供的样式填写《投标函》；按招标文件所提供的《政府采购投标及履约承诺函》进行承诺；</w:t>
            </w:r>
          </w:p>
        </w:tc>
        <w:tc>
          <w:tcPr>
            <w:tcW w:w="2762" w:type="dxa"/>
            <w:gridSpan w:val="2"/>
            <w:vAlign w:val="center"/>
          </w:tcPr>
          <w:p w14:paraId="3DBCD848">
            <w:pPr>
              <w:tabs>
                <w:tab w:val="clear" w:pos="426"/>
              </w:tabs>
              <w:adjustRightInd/>
              <w:snapToGrid/>
              <w:spacing w:line="240" w:lineRule="auto"/>
              <w:jc w:val="center"/>
              <w:rPr>
                <w:b/>
              </w:rPr>
            </w:pPr>
          </w:p>
        </w:tc>
      </w:tr>
      <w:tr w14:paraId="2EB20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trPr>
        <w:tc>
          <w:tcPr>
            <w:tcW w:w="865" w:type="dxa"/>
            <w:vAlign w:val="center"/>
          </w:tcPr>
          <w:p w14:paraId="0A9768F2">
            <w:pPr>
              <w:widowControl w:val="0"/>
              <w:shd w:val="clear" w:color="auto" w:fill="auto"/>
              <w:tabs>
                <w:tab w:val="clear" w:pos="426"/>
              </w:tabs>
              <w:adjustRightInd/>
              <w:snapToGrid/>
              <w:spacing w:line="240" w:lineRule="auto"/>
              <w:jc w:val="center"/>
              <w:rPr>
                <w:kern w:val="2"/>
              </w:rPr>
            </w:pPr>
            <w:r>
              <w:t>5</w:t>
            </w:r>
          </w:p>
        </w:tc>
        <w:tc>
          <w:tcPr>
            <w:tcW w:w="5943" w:type="dxa"/>
            <w:gridSpan w:val="4"/>
            <w:vAlign w:val="center"/>
          </w:tcPr>
          <w:p w14:paraId="0A251904">
            <w:pPr>
              <w:tabs>
                <w:tab w:val="clear" w:pos="426"/>
              </w:tabs>
              <w:adjustRightInd/>
              <w:snapToGrid/>
              <w:spacing w:line="240" w:lineRule="auto"/>
            </w:pPr>
            <w:r>
              <w:rPr>
                <w:rFonts w:hint="eastAsia"/>
              </w:rPr>
              <w:t>按照招标文件规定要求签署、盖章；投标文件有法定代表人签字、投标文件签字人有法定代表人有效授权书的；</w:t>
            </w:r>
          </w:p>
        </w:tc>
        <w:tc>
          <w:tcPr>
            <w:tcW w:w="2762" w:type="dxa"/>
            <w:gridSpan w:val="2"/>
            <w:vAlign w:val="center"/>
          </w:tcPr>
          <w:p w14:paraId="7CCE9FF5">
            <w:pPr>
              <w:tabs>
                <w:tab w:val="clear" w:pos="426"/>
              </w:tabs>
              <w:adjustRightInd/>
              <w:snapToGrid/>
              <w:spacing w:line="240" w:lineRule="auto"/>
              <w:jc w:val="center"/>
              <w:rPr>
                <w:b/>
              </w:rPr>
            </w:pPr>
          </w:p>
        </w:tc>
      </w:tr>
      <w:tr w14:paraId="1953E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14:paraId="1DF5DD8F">
            <w:pPr>
              <w:widowControl w:val="0"/>
              <w:shd w:val="clear" w:color="auto" w:fill="auto"/>
              <w:tabs>
                <w:tab w:val="clear" w:pos="426"/>
              </w:tabs>
              <w:adjustRightInd/>
              <w:snapToGrid/>
              <w:spacing w:line="240" w:lineRule="auto"/>
              <w:jc w:val="center"/>
              <w:rPr>
                <w:kern w:val="2"/>
              </w:rPr>
            </w:pPr>
            <w:r>
              <w:t>6</w:t>
            </w:r>
          </w:p>
        </w:tc>
        <w:tc>
          <w:tcPr>
            <w:tcW w:w="5943" w:type="dxa"/>
            <w:gridSpan w:val="4"/>
            <w:vAlign w:val="center"/>
          </w:tcPr>
          <w:p w14:paraId="05D4838A">
            <w:pPr>
              <w:tabs>
                <w:tab w:val="clear" w:pos="426"/>
              </w:tabs>
              <w:adjustRightInd/>
              <w:snapToGrid/>
              <w:spacing w:line="240" w:lineRule="auto"/>
            </w:pPr>
            <w:r>
              <w:rPr>
                <w:rFonts w:hint="eastAsia"/>
              </w:rPr>
              <w:t>投标总价或分项报价未高于财政预算限额（最高投标限价）；</w:t>
            </w:r>
          </w:p>
        </w:tc>
        <w:tc>
          <w:tcPr>
            <w:tcW w:w="2762" w:type="dxa"/>
            <w:gridSpan w:val="2"/>
            <w:vAlign w:val="center"/>
          </w:tcPr>
          <w:p w14:paraId="4B9B35DE">
            <w:pPr>
              <w:tabs>
                <w:tab w:val="clear" w:pos="426"/>
              </w:tabs>
              <w:adjustRightInd/>
              <w:snapToGrid/>
              <w:spacing w:line="240" w:lineRule="auto"/>
              <w:jc w:val="center"/>
            </w:pPr>
          </w:p>
        </w:tc>
      </w:tr>
      <w:tr w14:paraId="22E21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14:paraId="3EB623BA">
            <w:pPr>
              <w:widowControl w:val="0"/>
              <w:shd w:val="clear" w:color="auto" w:fill="auto"/>
              <w:tabs>
                <w:tab w:val="clear" w:pos="426"/>
              </w:tabs>
              <w:adjustRightInd/>
              <w:snapToGrid/>
              <w:spacing w:line="240" w:lineRule="auto"/>
              <w:jc w:val="center"/>
              <w:rPr>
                <w:kern w:val="2"/>
              </w:rPr>
            </w:pPr>
            <w:r>
              <w:t>7</w:t>
            </w:r>
          </w:p>
        </w:tc>
        <w:tc>
          <w:tcPr>
            <w:tcW w:w="5943" w:type="dxa"/>
            <w:gridSpan w:val="4"/>
            <w:vAlign w:val="center"/>
          </w:tcPr>
          <w:p w14:paraId="7009A9A6">
            <w:pPr>
              <w:tabs>
                <w:tab w:val="clear" w:pos="426"/>
              </w:tabs>
              <w:adjustRightInd/>
              <w:snapToGrid/>
              <w:spacing w:line="240" w:lineRule="auto"/>
            </w:pPr>
            <w:r>
              <w:rPr>
                <w:rFonts w:hint="eastAsia"/>
              </w:rPr>
              <w:t>不存在以下情形：</w:t>
            </w:r>
            <w:r>
              <w:rPr>
                <w:rFonts w:hint="eastAsia"/>
                <w:szCs w:val="21"/>
              </w:rPr>
              <w:t>同一项目出现两个及以上报价，且按规定无法确定哪个是有效报价；</w:t>
            </w:r>
          </w:p>
        </w:tc>
        <w:tc>
          <w:tcPr>
            <w:tcW w:w="2762" w:type="dxa"/>
            <w:gridSpan w:val="2"/>
            <w:vAlign w:val="center"/>
          </w:tcPr>
          <w:p w14:paraId="059CE1B2">
            <w:pPr>
              <w:tabs>
                <w:tab w:val="clear" w:pos="426"/>
              </w:tabs>
              <w:adjustRightInd/>
              <w:snapToGrid/>
              <w:spacing w:line="240" w:lineRule="auto"/>
              <w:jc w:val="center"/>
              <w:rPr>
                <w:b/>
              </w:rPr>
            </w:pPr>
          </w:p>
        </w:tc>
      </w:tr>
      <w:tr w14:paraId="67839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14:paraId="7217CCE4">
            <w:pPr>
              <w:widowControl w:val="0"/>
              <w:shd w:val="clear" w:color="auto" w:fill="auto"/>
              <w:tabs>
                <w:tab w:val="clear" w:pos="426"/>
              </w:tabs>
              <w:adjustRightInd/>
              <w:snapToGrid/>
              <w:spacing w:line="240" w:lineRule="auto"/>
              <w:jc w:val="center"/>
              <w:rPr>
                <w:kern w:val="2"/>
              </w:rPr>
            </w:pPr>
            <w:r>
              <w:t>8</w:t>
            </w:r>
          </w:p>
        </w:tc>
        <w:tc>
          <w:tcPr>
            <w:tcW w:w="5943" w:type="dxa"/>
            <w:gridSpan w:val="4"/>
            <w:vAlign w:val="center"/>
          </w:tcPr>
          <w:p w14:paraId="47757261">
            <w:pPr>
              <w:tabs>
                <w:tab w:val="clear" w:pos="426"/>
              </w:tabs>
              <w:adjustRightInd/>
              <w:snapToGrid/>
              <w:spacing w:line="240" w:lineRule="auto"/>
            </w:pPr>
            <w:r>
              <w:rPr>
                <w:rFonts w:hint="eastAsia"/>
              </w:rPr>
              <w:t>不存在以下情形：评标委员会认为投标供应商的报价明显低于其他通过符合性审查投标供应商的报价，有可能影响产品质量或者不能诚信履约的，且不能在合理的时间内提供书面说明，或无法提交相关证明材料，投标供应商不能证明其报价合理性的；</w:t>
            </w:r>
          </w:p>
        </w:tc>
        <w:tc>
          <w:tcPr>
            <w:tcW w:w="2762" w:type="dxa"/>
            <w:gridSpan w:val="2"/>
            <w:vAlign w:val="center"/>
          </w:tcPr>
          <w:p w14:paraId="2266BD30">
            <w:pPr>
              <w:tabs>
                <w:tab w:val="clear" w:pos="426"/>
              </w:tabs>
              <w:adjustRightInd/>
              <w:snapToGrid/>
              <w:spacing w:line="240" w:lineRule="auto"/>
              <w:jc w:val="center"/>
              <w:rPr>
                <w:b/>
              </w:rPr>
            </w:pPr>
          </w:p>
        </w:tc>
      </w:tr>
      <w:tr w14:paraId="0AF15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14:paraId="11D7BBD9">
            <w:pPr>
              <w:widowControl w:val="0"/>
              <w:shd w:val="clear" w:color="auto" w:fill="auto"/>
              <w:tabs>
                <w:tab w:val="clear" w:pos="426"/>
              </w:tabs>
              <w:adjustRightInd/>
              <w:snapToGrid/>
              <w:spacing w:line="240" w:lineRule="auto"/>
              <w:jc w:val="center"/>
              <w:rPr>
                <w:kern w:val="2"/>
              </w:rPr>
            </w:pPr>
            <w:r>
              <w:t>9</w:t>
            </w:r>
          </w:p>
        </w:tc>
        <w:tc>
          <w:tcPr>
            <w:tcW w:w="5943" w:type="dxa"/>
            <w:gridSpan w:val="4"/>
            <w:vAlign w:val="center"/>
          </w:tcPr>
          <w:p w14:paraId="09AEBB7A">
            <w:pPr>
              <w:tabs>
                <w:tab w:val="clear" w:pos="426"/>
              </w:tabs>
              <w:adjustRightInd/>
              <w:snapToGrid/>
              <w:spacing w:line="240" w:lineRule="auto"/>
            </w:pPr>
            <w:r>
              <w:rPr>
                <w:rFonts w:hint="eastAsia"/>
              </w:rPr>
              <w:t>所投产品、工程、服务在商务、技术等方面实质性满足招标文件要求的（是否实质性满足招标文件要求，由评标委员会根据《实质性响应条款偏离表》做出评判）；</w:t>
            </w:r>
          </w:p>
        </w:tc>
        <w:tc>
          <w:tcPr>
            <w:tcW w:w="2762" w:type="dxa"/>
            <w:gridSpan w:val="2"/>
            <w:vAlign w:val="center"/>
          </w:tcPr>
          <w:p w14:paraId="03361BD1">
            <w:pPr>
              <w:tabs>
                <w:tab w:val="clear" w:pos="426"/>
              </w:tabs>
              <w:adjustRightInd/>
              <w:snapToGrid/>
              <w:spacing w:line="240" w:lineRule="auto"/>
              <w:jc w:val="center"/>
            </w:pPr>
          </w:p>
        </w:tc>
      </w:tr>
      <w:tr w14:paraId="252B1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14:paraId="3B6B5A18">
            <w:pPr>
              <w:widowControl w:val="0"/>
              <w:shd w:val="clear" w:color="auto" w:fill="auto"/>
              <w:tabs>
                <w:tab w:val="clear" w:pos="426"/>
              </w:tabs>
              <w:adjustRightInd/>
              <w:snapToGrid/>
              <w:spacing w:line="240" w:lineRule="auto"/>
              <w:jc w:val="center"/>
              <w:rPr>
                <w:kern w:val="2"/>
              </w:rPr>
            </w:pPr>
            <w:r>
              <w:t>10</w:t>
            </w:r>
          </w:p>
        </w:tc>
        <w:tc>
          <w:tcPr>
            <w:tcW w:w="5943" w:type="dxa"/>
            <w:gridSpan w:val="4"/>
            <w:vAlign w:val="center"/>
          </w:tcPr>
          <w:p w14:paraId="1B0BB1C5">
            <w:pPr>
              <w:tabs>
                <w:tab w:val="clear" w:pos="426"/>
              </w:tabs>
              <w:adjustRightInd/>
              <w:snapToGrid/>
              <w:spacing w:line="240" w:lineRule="auto"/>
            </w:pPr>
            <w:r>
              <w:rPr>
                <w:rFonts w:hint="eastAsia"/>
              </w:rPr>
              <w:t>投标报价没有严重缺漏项目；投标报价没有对招标文件规定的服务清单项目及数量进行修改；</w:t>
            </w:r>
          </w:p>
        </w:tc>
        <w:tc>
          <w:tcPr>
            <w:tcW w:w="2762" w:type="dxa"/>
            <w:gridSpan w:val="2"/>
            <w:vAlign w:val="center"/>
          </w:tcPr>
          <w:p w14:paraId="7CF22DBB">
            <w:pPr>
              <w:tabs>
                <w:tab w:val="clear" w:pos="426"/>
              </w:tabs>
              <w:adjustRightInd/>
              <w:snapToGrid/>
              <w:spacing w:line="240" w:lineRule="auto"/>
              <w:jc w:val="center"/>
              <w:rPr>
                <w:b/>
              </w:rPr>
            </w:pPr>
          </w:p>
        </w:tc>
      </w:tr>
      <w:tr w14:paraId="0367A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14:paraId="37D9E175">
            <w:pPr>
              <w:widowControl w:val="0"/>
              <w:shd w:val="clear" w:color="auto" w:fill="auto"/>
              <w:tabs>
                <w:tab w:val="clear" w:pos="426"/>
              </w:tabs>
              <w:adjustRightInd/>
              <w:snapToGrid/>
              <w:spacing w:line="240" w:lineRule="auto"/>
              <w:jc w:val="center"/>
              <w:rPr>
                <w:kern w:val="2"/>
              </w:rPr>
            </w:pPr>
            <w:r>
              <w:t>11</w:t>
            </w:r>
          </w:p>
        </w:tc>
        <w:tc>
          <w:tcPr>
            <w:tcW w:w="5943" w:type="dxa"/>
            <w:gridSpan w:val="4"/>
            <w:vAlign w:val="center"/>
          </w:tcPr>
          <w:p w14:paraId="5E89ADCD">
            <w:pPr>
              <w:tabs>
                <w:tab w:val="clear" w:pos="426"/>
              </w:tabs>
              <w:adjustRightInd/>
              <w:snapToGrid/>
              <w:spacing w:line="240" w:lineRule="auto"/>
            </w:pPr>
            <w:r>
              <w:rPr>
                <w:rFonts w:hint="eastAsia"/>
              </w:rPr>
              <w:t>投标文件不存在招标文件中规定的其它无效投标条款的；</w:t>
            </w:r>
          </w:p>
        </w:tc>
        <w:tc>
          <w:tcPr>
            <w:tcW w:w="2762" w:type="dxa"/>
            <w:gridSpan w:val="2"/>
            <w:vAlign w:val="center"/>
          </w:tcPr>
          <w:p w14:paraId="58120EC0">
            <w:pPr>
              <w:tabs>
                <w:tab w:val="clear" w:pos="426"/>
              </w:tabs>
              <w:adjustRightInd/>
              <w:snapToGrid/>
              <w:spacing w:line="240" w:lineRule="auto"/>
              <w:jc w:val="center"/>
              <w:rPr>
                <w:b/>
              </w:rPr>
            </w:pPr>
          </w:p>
        </w:tc>
      </w:tr>
      <w:tr w14:paraId="20A1D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65" w:type="dxa"/>
            <w:vAlign w:val="center"/>
          </w:tcPr>
          <w:p w14:paraId="7736624A">
            <w:pPr>
              <w:widowControl w:val="0"/>
              <w:shd w:val="clear" w:color="auto" w:fill="auto"/>
              <w:tabs>
                <w:tab w:val="clear" w:pos="426"/>
              </w:tabs>
              <w:adjustRightInd/>
              <w:snapToGrid/>
              <w:spacing w:line="240" w:lineRule="auto"/>
              <w:jc w:val="center"/>
              <w:rPr>
                <w:kern w:val="2"/>
              </w:rPr>
            </w:pPr>
            <w:r>
              <w:t>12</w:t>
            </w:r>
          </w:p>
        </w:tc>
        <w:tc>
          <w:tcPr>
            <w:tcW w:w="5943" w:type="dxa"/>
            <w:gridSpan w:val="4"/>
            <w:vAlign w:val="center"/>
          </w:tcPr>
          <w:p w14:paraId="6BFFF2A4">
            <w:pPr>
              <w:tabs>
                <w:tab w:val="clear" w:pos="426"/>
              </w:tabs>
              <w:adjustRightInd/>
              <w:snapToGrid/>
              <w:spacing w:line="240" w:lineRule="auto"/>
            </w:pPr>
            <w:r>
              <w:rPr>
                <w:rFonts w:hint="eastAsia"/>
              </w:rPr>
              <w:t>不属于法律、法规规定的投标无效的其他情形。</w:t>
            </w:r>
          </w:p>
        </w:tc>
        <w:tc>
          <w:tcPr>
            <w:tcW w:w="2762" w:type="dxa"/>
            <w:gridSpan w:val="2"/>
            <w:vAlign w:val="center"/>
          </w:tcPr>
          <w:p w14:paraId="5578B725">
            <w:pPr>
              <w:tabs>
                <w:tab w:val="clear" w:pos="426"/>
              </w:tabs>
              <w:adjustRightInd/>
              <w:snapToGrid/>
              <w:spacing w:line="240" w:lineRule="auto"/>
              <w:jc w:val="center"/>
            </w:pPr>
          </w:p>
        </w:tc>
      </w:tr>
      <w:tr w14:paraId="5C6CE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570" w:type="dxa"/>
            <w:gridSpan w:val="7"/>
            <w:vAlign w:val="center"/>
          </w:tcPr>
          <w:p w14:paraId="771B15E3">
            <w:pPr>
              <w:tabs>
                <w:tab w:val="clear" w:pos="426"/>
              </w:tabs>
              <w:adjustRightInd/>
              <w:snapToGrid/>
              <w:spacing w:line="240" w:lineRule="auto"/>
              <w:ind w:firstLine="422"/>
              <w:jc w:val="center"/>
              <w:rPr>
                <w:b/>
                <w:kern w:val="2"/>
              </w:rPr>
            </w:pPr>
            <w:r>
              <w:rPr>
                <w:rFonts w:hint="eastAsia"/>
                <w:b/>
              </w:rPr>
              <w:t>三、综合评分指引（请根据项目评分表内容调整）</w:t>
            </w:r>
          </w:p>
        </w:tc>
      </w:tr>
      <w:tr w14:paraId="20BD6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Align w:val="center"/>
          </w:tcPr>
          <w:p w14:paraId="6994D661">
            <w:pPr>
              <w:tabs>
                <w:tab w:val="clear" w:pos="426"/>
              </w:tabs>
              <w:adjustRightInd/>
              <w:snapToGrid/>
              <w:spacing w:line="240" w:lineRule="auto"/>
              <w:jc w:val="center"/>
              <w:rPr>
                <w:b/>
                <w:kern w:val="2"/>
              </w:rPr>
            </w:pPr>
            <w:r>
              <w:rPr>
                <w:rFonts w:hint="eastAsia"/>
                <w:b/>
              </w:rPr>
              <w:t>评分类别</w:t>
            </w:r>
          </w:p>
        </w:tc>
        <w:tc>
          <w:tcPr>
            <w:tcW w:w="5499" w:type="dxa"/>
            <w:gridSpan w:val="2"/>
            <w:vAlign w:val="center"/>
          </w:tcPr>
          <w:p w14:paraId="1BB5318A">
            <w:pPr>
              <w:tabs>
                <w:tab w:val="clear" w:pos="426"/>
              </w:tabs>
              <w:adjustRightInd/>
              <w:snapToGrid/>
              <w:spacing w:line="240" w:lineRule="auto"/>
              <w:jc w:val="center"/>
              <w:rPr>
                <w:b/>
                <w:kern w:val="2"/>
              </w:rPr>
            </w:pPr>
            <w:r>
              <w:rPr>
                <w:rFonts w:hint="eastAsia"/>
                <w:b/>
              </w:rPr>
              <w:t>评分项目</w:t>
            </w:r>
          </w:p>
        </w:tc>
        <w:tc>
          <w:tcPr>
            <w:tcW w:w="1463" w:type="dxa"/>
            <w:gridSpan w:val="2"/>
            <w:vAlign w:val="center"/>
          </w:tcPr>
          <w:p w14:paraId="08D10915">
            <w:pPr>
              <w:tabs>
                <w:tab w:val="clear" w:pos="426"/>
              </w:tabs>
              <w:adjustRightInd/>
              <w:snapToGrid/>
              <w:spacing w:line="240" w:lineRule="auto"/>
              <w:jc w:val="center"/>
              <w:rPr>
                <w:b/>
                <w:kern w:val="2"/>
              </w:rPr>
            </w:pPr>
            <w:r>
              <w:rPr>
                <w:rFonts w:hint="eastAsia"/>
                <w:b/>
              </w:rPr>
              <w:t>对应章节</w:t>
            </w:r>
          </w:p>
        </w:tc>
        <w:tc>
          <w:tcPr>
            <w:tcW w:w="1397" w:type="dxa"/>
            <w:vAlign w:val="center"/>
          </w:tcPr>
          <w:p w14:paraId="1101A1AD">
            <w:pPr>
              <w:tabs>
                <w:tab w:val="clear" w:pos="426"/>
              </w:tabs>
              <w:adjustRightInd/>
              <w:snapToGrid/>
              <w:spacing w:line="240" w:lineRule="auto"/>
              <w:jc w:val="center"/>
              <w:rPr>
                <w:b/>
                <w:kern w:val="2"/>
              </w:rPr>
            </w:pPr>
            <w:r>
              <w:rPr>
                <w:rFonts w:hint="eastAsia"/>
                <w:b/>
              </w:rPr>
              <w:t>起止页码</w:t>
            </w:r>
          </w:p>
        </w:tc>
      </w:tr>
      <w:tr w14:paraId="109546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14:paraId="5FCE3C19">
            <w:pPr>
              <w:tabs>
                <w:tab w:val="clear" w:pos="426"/>
              </w:tabs>
              <w:adjustRightInd/>
              <w:snapToGrid/>
              <w:spacing w:line="240" w:lineRule="auto"/>
              <w:jc w:val="center"/>
              <w:rPr>
                <w:b/>
                <w:kern w:val="2"/>
              </w:rPr>
            </w:pPr>
            <w:r>
              <w:rPr>
                <w:rFonts w:hint="eastAsia"/>
                <w:b/>
              </w:rPr>
              <w:t>价格部分</w:t>
            </w:r>
          </w:p>
        </w:tc>
        <w:tc>
          <w:tcPr>
            <w:tcW w:w="5499" w:type="dxa"/>
            <w:gridSpan w:val="2"/>
            <w:vAlign w:val="center"/>
          </w:tcPr>
          <w:p w14:paraId="639F252B">
            <w:pPr>
              <w:tabs>
                <w:tab w:val="clear" w:pos="426"/>
              </w:tabs>
              <w:adjustRightInd/>
              <w:snapToGrid/>
              <w:spacing w:line="240" w:lineRule="auto"/>
              <w:jc w:val="center"/>
            </w:pPr>
          </w:p>
        </w:tc>
        <w:tc>
          <w:tcPr>
            <w:tcW w:w="1463" w:type="dxa"/>
            <w:gridSpan w:val="2"/>
            <w:vAlign w:val="center"/>
          </w:tcPr>
          <w:p w14:paraId="5B1769F4">
            <w:pPr>
              <w:tabs>
                <w:tab w:val="clear" w:pos="426"/>
              </w:tabs>
              <w:adjustRightInd/>
              <w:snapToGrid/>
              <w:spacing w:line="240" w:lineRule="auto"/>
              <w:jc w:val="center"/>
              <w:rPr>
                <w:b/>
              </w:rPr>
            </w:pPr>
          </w:p>
        </w:tc>
        <w:tc>
          <w:tcPr>
            <w:tcW w:w="1397" w:type="dxa"/>
            <w:vAlign w:val="center"/>
          </w:tcPr>
          <w:p w14:paraId="1D02FFD2">
            <w:pPr>
              <w:tabs>
                <w:tab w:val="clear" w:pos="426"/>
              </w:tabs>
              <w:adjustRightInd/>
              <w:snapToGrid/>
              <w:spacing w:line="240" w:lineRule="auto"/>
              <w:jc w:val="center"/>
              <w:rPr>
                <w:b/>
              </w:rPr>
            </w:pPr>
          </w:p>
        </w:tc>
      </w:tr>
      <w:tr w14:paraId="4A60A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14:paraId="14EF6BD1"/>
        </w:tc>
        <w:tc>
          <w:tcPr>
            <w:tcW w:w="5499" w:type="dxa"/>
            <w:gridSpan w:val="2"/>
            <w:vAlign w:val="center"/>
          </w:tcPr>
          <w:p w14:paraId="18CF4B43">
            <w:pPr>
              <w:tabs>
                <w:tab w:val="clear" w:pos="426"/>
              </w:tabs>
              <w:adjustRightInd/>
              <w:snapToGrid/>
              <w:spacing w:line="240" w:lineRule="auto"/>
              <w:jc w:val="center"/>
              <w:rPr>
                <w:b/>
              </w:rPr>
            </w:pPr>
          </w:p>
        </w:tc>
        <w:tc>
          <w:tcPr>
            <w:tcW w:w="1463" w:type="dxa"/>
            <w:gridSpan w:val="2"/>
            <w:vAlign w:val="center"/>
          </w:tcPr>
          <w:p w14:paraId="0F5F872D">
            <w:pPr>
              <w:tabs>
                <w:tab w:val="clear" w:pos="426"/>
              </w:tabs>
              <w:adjustRightInd/>
              <w:snapToGrid/>
              <w:spacing w:line="240" w:lineRule="auto"/>
              <w:jc w:val="center"/>
              <w:rPr>
                <w:b/>
              </w:rPr>
            </w:pPr>
          </w:p>
        </w:tc>
        <w:tc>
          <w:tcPr>
            <w:tcW w:w="1397" w:type="dxa"/>
            <w:vAlign w:val="center"/>
          </w:tcPr>
          <w:p w14:paraId="7F162E8B">
            <w:pPr>
              <w:tabs>
                <w:tab w:val="clear" w:pos="426"/>
              </w:tabs>
              <w:adjustRightInd/>
              <w:snapToGrid/>
              <w:spacing w:line="240" w:lineRule="auto"/>
              <w:jc w:val="center"/>
              <w:rPr>
                <w:b/>
              </w:rPr>
            </w:pPr>
          </w:p>
        </w:tc>
      </w:tr>
      <w:tr w14:paraId="2517A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14:paraId="79B92E45">
            <w:pPr>
              <w:tabs>
                <w:tab w:val="clear" w:pos="426"/>
              </w:tabs>
              <w:adjustRightInd/>
              <w:snapToGrid/>
              <w:spacing w:line="240" w:lineRule="auto"/>
              <w:jc w:val="center"/>
              <w:rPr>
                <w:b/>
              </w:rPr>
            </w:pPr>
            <w:r>
              <w:rPr>
                <w:rFonts w:hint="eastAsia"/>
                <w:b/>
              </w:rPr>
              <w:t>技术部分</w:t>
            </w:r>
          </w:p>
        </w:tc>
        <w:tc>
          <w:tcPr>
            <w:tcW w:w="5499" w:type="dxa"/>
            <w:gridSpan w:val="2"/>
            <w:vAlign w:val="center"/>
          </w:tcPr>
          <w:p w14:paraId="42DA160B">
            <w:pPr>
              <w:tabs>
                <w:tab w:val="clear" w:pos="426"/>
              </w:tabs>
              <w:adjustRightInd/>
              <w:snapToGrid/>
              <w:spacing w:line="240" w:lineRule="auto"/>
              <w:jc w:val="center"/>
              <w:rPr>
                <w:b/>
              </w:rPr>
            </w:pPr>
          </w:p>
        </w:tc>
        <w:tc>
          <w:tcPr>
            <w:tcW w:w="1463" w:type="dxa"/>
            <w:gridSpan w:val="2"/>
            <w:vAlign w:val="center"/>
          </w:tcPr>
          <w:p w14:paraId="67079E0E">
            <w:pPr>
              <w:tabs>
                <w:tab w:val="clear" w:pos="426"/>
              </w:tabs>
              <w:adjustRightInd/>
              <w:snapToGrid/>
              <w:spacing w:line="240" w:lineRule="auto"/>
              <w:jc w:val="center"/>
              <w:rPr>
                <w:b/>
              </w:rPr>
            </w:pPr>
          </w:p>
        </w:tc>
        <w:tc>
          <w:tcPr>
            <w:tcW w:w="1397" w:type="dxa"/>
            <w:vAlign w:val="center"/>
          </w:tcPr>
          <w:p w14:paraId="18878C0B">
            <w:pPr>
              <w:tabs>
                <w:tab w:val="clear" w:pos="426"/>
              </w:tabs>
              <w:adjustRightInd/>
              <w:snapToGrid/>
              <w:spacing w:line="240" w:lineRule="auto"/>
              <w:jc w:val="center"/>
              <w:rPr>
                <w:b/>
              </w:rPr>
            </w:pPr>
          </w:p>
        </w:tc>
      </w:tr>
      <w:tr w14:paraId="52173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14:paraId="56EB9F40"/>
        </w:tc>
        <w:tc>
          <w:tcPr>
            <w:tcW w:w="5499" w:type="dxa"/>
            <w:gridSpan w:val="2"/>
            <w:vAlign w:val="center"/>
          </w:tcPr>
          <w:p w14:paraId="2073BCAC">
            <w:pPr>
              <w:tabs>
                <w:tab w:val="clear" w:pos="426"/>
              </w:tabs>
              <w:adjustRightInd/>
              <w:snapToGrid/>
              <w:spacing w:line="240" w:lineRule="auto"/>
              <w:jc w:val="center"/>
              <w:rPr>
                <w:b/>
              </w:rPr>
            </w:pPr>
          </w:p>
        </w:tc>
        <w:tc>
          <w:tcPr>
            <w:tcW w:w="1463" w:type="dxa"/>
            <w:gridSpan w:val="2"/>
            <w:vAlign w:val="center"/>
          </w:tcPr>
          <w:p w14:paraId="791ACA74">
            <w:pPr>
              <w:tabs>
                <w:tab w:val="clear" w:pos="426"/>
              </w:tabs>
              <w:adjustRightInd/>
              <w:snapToGrid/>
              <w:spacing w:line="240" w:lineRule="auto"/>
              <w:jc w:val="center"/>
              <w:rPr>
                <w:b/>
              </w:rPr>
            </w:pPr>
          </w:p>
        </w:tc>
        <w:tc>
          <w:tcPr>
            <w:tcW w:w="1397" w:type="dxa"/>
            <w:vAlign w:val="center"/>
          </w:tcPr>
          <w:p w14:paraId="6802A99D">
            <w:pPr>
              <w:tabs>
                <w:tab w:val="clear" w:pos="426"/>
              </w:tabs>
              <w:adjustRightInd/>
              <w:snapToGrid/>
              <w:spacing w:line="240" w:lineRule="auto"/>
              <w:jc w:val="center"/>
              <w:rPr>
                <w:b/>
              </w:rPr>
            </w:pPr>
          </w:p>
        </w:tc>
      </w:tr>
      <w:tr w14:paraId="3AEB0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restart"/>
            <w:vAlign w:val="center"/>
          </w:tcPr>
          <w:p w14:paraId="6ADE5179">
            <w:pPr>
              <w:tabs>
                <w:tab w:val="clear" w:pos="426"/>
              </w:tabs>
              <w:adjustRightInd/>
              <w:snapToGrid/>
              <w:spacing w:line="240" w:lineRule="auto"/>
              <w:jc w:val="center"/>
              <w:rPr>
                <w:b/>
                <w:kern w:val="2"/>
              </w:rPr>
            </w:pPr>
            <w:r>
              <w:rPr>
                <w:rFonts w:hint="eastAsia"/>
                <w:b/>
              </w:rPr>
              <w:t>商务部分</w:t>
            </w:r>
          </w:p>
        </w:tc>
        <w:tc>
          <w:tcPr>
            <w:tcW w:w="5499" w:type="dxa"/>
            <w:gridSpan w:val="2"/>
            <w:vAlign w:val="center"/>
          </w:tcPr>
          <w:p w14:paraId="0B8D9307">
            <w:pPr>
              <w:tabs>
                <w:tab w:val="clear" w:pos="426"/>
              </w:tabs>
              <w:adjustRightInd/>
              <w:snapToGrid/>
              <w:spacing w:line="240" w:lineRule="auto"/>
              <w:jc w:val="center"/>
              <w:rPr>
                <w:b/>
              </w:rPr>
            </w:pPr>
          </w:p>
        </w:tc>
        <w:tc>
          <w:tcPr>
            <w:tcW w:w="1463" w:type="dxa"/>
            <w:gridSpan w:val="2"/>
            <w:vAlign w:val="center"/>
          </w:tcPr>
          <w:p w14:paraId="3901FE16">
            <w:pPr>
              <w:tabs>
                <w:tab w:val="clear" w:pos="426"/>
              </w:tabs>
              <w:adjustRightInd/>
              <w:snapToGrid/>
              <w:spacing w:line="240" w:lineRule="auto"/>
              <w:jc w:val="center"/>
              <w:rPr>
                <w:b/>
              </w:rPr>
            </w:pPr>
          </w:p>
        </w:tc>
        <w:tc>
          <w:tcPr>
            <w:tcW w:w="1397" w:type="dxa"/>
            <w:vAlign w:val="center"/>
          </w:tcPr>
          <w:p w14:paraId="6BE1D950">
            <w:pPr>
              <w:tabs>
                <w:tab w:val="clear" w:pos="426"/>
              </w:tabs>
              <w:adjustRightInd/>
              <w:snapToGrid/>
              <w:spacing w:line="240" w:lineRule="auto"/>
              <w:jc w:val="center"/>
              <w:rPr>
                <w:b/>
              </w:rPr>
            </w:pPr>
          </w:p>
        </w:tc>
      </w:tr>
      <w:tr w14:paraId="15A37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11" w:type="dxa"/>
            <w:gridSpan w:val="2"/>
            <w:vMerge w:val="continue"/>
            <w:vAlign w:val="center"/>
          </w:tcPr>
          <w:p w14:paraId="71D0848F"/>
        </w:tc>
        <w:tc>
          <w:tcPr>
            <w:tcW w:w="5499" w:type="dxa"/>
            <w:gridSpan w:val="2"/>
            <w:vAlign w:val="center"/>
          </w:tcPr>
          <w:p w14:paraId="4763A0D2">
            <w:pPr>
              <w:tabs>
                <w:tab w:val="clear" w:pos="426"/>
              </w:tabs>
              <w:adjustRightInd/>
              <w:snapToGrid/>
              <w:spacing w:line="240" w:lineRule="auto"/>
              <w:jc w:val="center"/>
              <w:rPr>
                <w:b/>
              </w:rPr>
            </w:pPr>
          </w:p>
        </w:tc>
        <w:tc>
          <w:tcPr>
            <w:tcW w:w="1463" w:type="dxa"/>
            <w:gridSpan w:val="2"/>
            <w:vAlign w:val="center"/>
          </w:tcPr>
          <w:p w14:paraId="497E6DB4">
            <w:pPr>
              <w:tabs>
                <w:tab w:val="clear" w:pos="426"/>
              </w:tabs>
              <w:adjustRightInd/>
              <w:snapToGrid/>
              <w:spacing w:line="240" w:lineRule="auto"/>
              <w:jc w:val="center"/>
              <w:rPr>
                <w:b/>
              </w:rPr>
            </w:pPr>
          </w:p>
        </w:tc>
        <w:tc>
          <w:tcPr>
            <w:tcW w:w="1397" w:type="dxa"/>
            <w:vAlign w:val="center"/>
          </w:tcPr>
          <w:p w14:paraId="159A3994">
            <w:pPr>
              <w:tabs>
                <w:tab w:val="clear" w:pos="426"/>
              </w:tabs>
              <w:adjustRightInd/>
              <w:snapToGrid/>
              <w:spacing w:line="240" w:lineRule="auto"/>
              <w:jc w:val="center"/>
              <w:rPr>
                <w:b/>
              </w:rPr>
            </w:pPr>
          </w:p>
        </w:tc>
      </w:tr>
    </w:tbl>
    <w:p w14:paraId="3B45A2F1">
      <w:pPr>
        <w:tabs>
          <w:tab w:val="clear" w:pos="426"/>
        </w:tabs>
      </w:pPr>
      <w:r>
        <w:rPr>
          <w:rFonts w:hint="eastAsia"/>
          <w:szCs w:val="21"/>
        </w:rPr>
        <w:t>备注：对于“</w:t>
      </w:r>
      <w:r>
        <w:rPr>
          <w:rFonts w:hint="eastAsia"/>
          <w:b/>
        </w:rPr>
        <w:t>综合评分指引”</w:t>
      </w:r>
      <w:r>
        <w:rPr>
          <w:rFonts w:hint="eastAsia"/>
          <w:szCs w:val="21"/>
        </w:rPr>
        <w:t>请投标供应商按照</w:t>
      </w:r>
      <w:r>
        <w:rPr>
          <w:rFonts w:hint="eastAsia"/>
          <w:b/>
          <w:szCs w:val="21"/>
        </w:rPr>
        <w:t>评分细则表</w:t>
      </w:r>
      <w:r>
        <w:rPr>
          <w:rFonts w:hint="eastAsia"/>
          <w:szCs w:val="21"/>
        </w:rPr>
        <w:t>的评分要求，根据各评分项目以</w:t>
      </w:r>
      <w:r>
        <w:rPr>
          <w:rFonts w:hint="eastAsia"/>
          <w:b/>
          <w:szCs w:val="21"/>
        </w:rPr>
        <w:t>自上而下</w:t>
      </w:r>
      <w:r>
        <w:rPr>
          <w:rFonts w:hint="eastAsia"/>
          <w:szCs w:val="21"/>
        </w:rPr>
        <w:t>的顺序编制</w:t>
      </w:r>
      <w:r>
        <w:rPr>
          <w:rFonts w:hint="eastAsia"/>
        </w:rPr>
        <w:t>。因项目次序混乱而影响评标效率及评标结果者，投标供应商自负其责。</w:t>
      </w:r>
    </w:p>
    <w:p w14:paraId="0C764C5F">
      <w:r>
        <w:rPr>
          <w:rFonts w:hint="eastAsia"/>
        </w:rPr>
        <w:br w:type="page"/>
      </w:r>
    </w:p>
    <w:p w14:paraId="629C127A">
      <w:pPr>
        <w:pStyle w:val="4"/>
        <w:numPr>
          <w:ilvl w:val="0"/>
          <w:numId w:val="42"/>
        </w:numPr>
        <w:tabs>
          <w:tab w:val="left" w:pos="420"/>
          <w:tab w:val="clear" w:pos="426"/>
          <w:tab w:val="clear" w:pos="1680"/>
        </w:tabs>
        <w:jc w:val="left"/>
      </w:pPr>
      <w:bookmarkStart w:id="105" w:name="_Toc518464370"/>
      <w:bookmarkStart w:id="106" w:name="_Toc25308077"/>
      <w:bookmarkStart w:id="107" w:name="_Toc36822688"/>
      <w:bookmarkStart w:id="108" w:name="_Toc28864614"/>
      <w:bookmarkStart w:id="109" w:name="_Toc528675182"/>
      <w:bookmarkStart w:id="110" w:name="_Toc528170810"/>
      <w:r>
        <w:rPr>
          <w:rFonts w:hint="eastAsia"/>
        </w:rPr>
        <w:t>、投标函</w:t>
      </w:r>
      <w:bookmarkEnd w:id="105"/>
      <w:bookmarkEnd w:id="106"/>
      <w:bookmarkEnd w:id="107"/>
      <w:bookmarkEnd w:id="108"/>
      <w:bookmarkEnd w:id="109"/>
      <w:bookmarkEnd w:id="110"/>
    </w:p>
    <w:p w14:paraId="4D75BD25">
      <w:pPr>
        <w:widowControl w:val="0"/>
        <w:shd w:val="clear" w:color="auto" w:fill="auto"/>
        <w:tabs>
          <w:tab w:val="clear" w:pos="426"/>
        </w:tabs>
        <w:adjustRightInd/>
        <w:snapToGrid/>
        <w:spacing w:line="300" w:lineRule="auto"/>
        <w:jc w:val="center"/>
        <w:rPr>
          <w:rFonts w:cs="Times New Roman"/>
          <w:bCs/>
          <w:kern w:val="2"/>
          <w:sz w:val="32"/>
          <w:szCs w:val="32"/>
        </w:rPr>
      </w:pPr>
      <w:bookmarkStart w:id="111" w:name="_Toc201719122"/>
      <w:bookmarkStart w:id="112" w:name="_Toc201742865"/>
      <w:bookmarkStart w:id="113" w:name="_Toc201997950"/>
      <w:bookmarkStart w:id="114" w:name="_Toc201743120"/>
      <w:r>
        <w:rPr>
          <w:rFonts w:hint="eastAsia" w:cs="Times New Roman"/>
          <w:bCs/>
          <w:kern w:val="2"/>
          <w:sz w:val="32"/>
          <w:szCs w:val="32"/>
        </w:rPr>
        <w:t>投标函</w:t>
      </w:r>
      <w:bookmarkEnd w:id="111"/>
      <w:bookmarkEnd w:id="112"/>
      <w:bookmarkEnd w:id="113"/>
      <w:bookmarkEnd w:id="114"/>
    </w:p>
    <w:p w14:paraId="58C7AFFD">
      <w:pPr>
        <w:tabs>
          <w:tab w:val="clear" w:pos="426"/>
        </w:tabs>
        <w:spacing w:line="300" w:lineRule="auto"/>
        <w:rPr>
          <w:szCs w:val="21"/>
        </w:rPr>
      </w:pPr>
    </w:p>
    <w:p w14:paraId="68D7ADF8">
      <w:pPr>
        <w:tabs>
          <w:tab w:val="clear" w:pos="426"/>
        </w:tabs>
        <w:spacing w:line="300" w:lineRule="auto"/>
        <w:rPr>
          <w:szCs w:val="21"/>
        </w:rPr>
      </w:pPr>
      <w:r>
        <w:rPr>
          <w:rFonts w:hint="eastAsia"/>
          <w:szCs w:val="21"/>
        </w:rPr>
        <w:t>致：</w:t>
      </w:r>
      <w:r>
        <w:rPr>
          <w:rFonts w:hint="eastAsia"/>
          <w:szCs w:val="21"/>
          <w:u w:val="single"/>
        </w:rPr>
        <w:t>深圳市深水水务咨询有限公司</w:t>
      </w:r>
    </w:p>
    <w:p w14:paraId="42C5D0F5">
      <w:pPr>
        <w:spacing w:after="231" w:afterLines="50"/>
        <w:ind w:firstLine="420" w:firstLineChars="200"/>
        <w:rPr>
          <w:szCs w:val="21"/>
        </w:rPr>
      </w:pPr>
      <w:r>
        <w:rPr>
          <w:szCs w:val="21"/>
        </w:rPr>
        <w:t>1.</w:t>
      </w:r>
      <w:r>
        <w:rPr>
          <w:rFonts w:hint="eastAsia"/>
          <w:szCs w:val="21"/>
        </w:rPr>
        <w:t>根据已收到贵方的</w:t>
      </w:r>
      <w:r>
        <w:rPr>
          <w:szCs w:val="21"/>
          <w:u w:val="single"/>
        </w:rPr>
        <w:t>_______________</w:t>
      </w:r>
      <w:r>
        <w:rPr>
          <w:rFonts w:hint="eastAsia"/>
          <w:szCs w:val="21"/>
        </w:rPr>
        <w:t>项目编号为</w:t>
      </w:r>
      <w:r>
        <w:rPr>
          <w:szCs w:val="21"/>
          <w:u w:val="single"/>
        </w:rPr>
        <w:t>________</w:t>
      </w:r>
      <w:r>
        <w:rPr>
          <w:rFonts w:hint="eastAsia"/>
          <w:szCs w:val="21"/>
        </w:rPr>
        <w:t>的项目的招标文件，遵照《中华人民共和国政府采购法实施条例》等有关规定，我单位经研究上述招标文件的专用条款及通用条款后，我方愿以投标书中《开标一览表》中填写的投标报价并按招标文件要求承包上述项目并修补其任何缺陷。</w:t>
      </w:r>
    </w:p>
    <w:p w14:paraId="3912D27D">
      <w:pPr>
        <w:spacing w:after="231" w:afterLines="50"/>
        <w:ind w:firstLine="420" w:firstLineChars="200"/>
        <w:rPr>
          <w:szCs w:val="21"/>
        </w:rPr>
      </w:pPr>
      <w:r>
        <w:rPr>
          <w:szCs w:val="21"/>
        </w:rPr>
        <w:t>2.</w:t>
      </w:r>
      <w:r>
        <w:rPr>
          <w:rFonts w:hint="eastAsia"/>
          <w:szCs w:val="21"/>
        </w:rPr>
        <w:t>我方已认真核实了投标文件的全部资料，所有资料均为真实资料。我方对投标文件中全部投标资料的真实性负责，如被证实我方的投标文件中存在虚假资料的，则视为我方隐瞒真实情况、提供虚假资料，我方愿意接受主管部门作出的行政处罚。</w:t>
      </w:r>
    </w:p>
    <w:p w14:paraId="0ACAE7AC">
      <w:pPr>
        <w:spacing w:after="231" w:afterLines="50"/>
        <w:ind w:firstLine="411" w:firstLineChars="196"/>
        <w:rPr>
          <w:szCs w:val="21"/>
        </w:rPr>
      </w:pPr>
      <w:r>
        <w:rPr>
          <w:szCs w:val="21"/>
        </w:rPr>
        <w:t>3.</w:t>
      </w:r>
      <w:r>
        <w:rPr>
          <w:rFonts w:hint="eastAsia"/>
          <w:szCs w:val="21"/>
        </w:rPr>
        <w:t>我方同意所递交的投标文件在“对通用条款的补充内容”中的投标有效期内有效，在此期间内我方的投标有可能中标，我方将受此约束。如果在投标有效期内撤回其投标，自行承担一切后果。</w:t>
      </w:r>
    </w:p>
    <w:p w14:paraId="64C1178B">
      <w:pPr>
        <w:spacing w:after="231" w:afterLines="50"/>
        <w:ind w:firstLine="411" w:firstLineChars="196"/>
        <w:rPr>
          <w:szCs w:val="21"/>
        </w:rPr>
      </w:pPr>
      <w:r>
        <w:rPr>
          <w:szCs w:val="21"/>
        </w:rPr>
        <w:t>4.</w:t>
      </w:r>
      <w:r>
        <w:rPr>
          <w:rFonts w:hint="eastAsia"/>
          <w:szCs w:val="21"/>
        </w:rPr>
        <w:t>除非另外达成协议并生效，贵方的中标通知书和本投标文件将构成约束我们双方的合同。</w:t>
      </w:r>
    </w:p>
    <w:p w14:paraId="6FABD1FB">
      <w:pPr>
        <w:spacing w:after="231" w:afterLines="50"/>
        <w:ind w:firstLine="420" w:firstLineChars="200"/>
        <w:rPr>
          <w:szCs w:val="21"/>
        </w:rPr>
      </w:pPr>
      <w:r>
        <w:rPr>
          <w:szCs w:val="21"/>
        </w:rPr>
        <w:t>5.</w:t>
      </w:r>
      <w:r>
        <w:rPr>
          <w:rFonts w:hint="eastAsia"/>
          <w:szCs w:val="21"/>
        </w:rPr>
        <w:t>我方理解贵方将不受必须接受你们所收到的最低标价或其它任何投标文件的约束。</w:t>
      </w:r>
    </w:p>
    <w:p w14:paraId="5676DFD9">
      <w:pPr>
        <w:tabs>
          <w:tab w:val="clear" w:pos="426"/>
        </w:tabs>
        <w:spacing w:line="300" w:lineRule="auto"/>
        <w:ind w:firstLine="630" w:firstLineChars="300"/>
        <w:rPr>
          <w:szCs w:val="21"/>
        </w:rPr>
      </w:pPr>
      <w:r>
        <w:rPr>
          <w:rFonts w:hint="eastAsia"/>
          <w:szCs w:val="21"/>
        </w:rPr>
        <w:t>地址：</w:t>
      </w:r>
      <w:r>
        <w:rPr>
          <w:szCs w:val="21"/>
          <w:u w:val="single"/>
        </w:rPr>
        <w:t>______________________</w:t>
      </w:r>
      <w:r>
        <w:rPr>
          <w:rFonts w:hint="eastAsia"/>
          <w:szCs w:val="21"/>
        </w:rPr>
        <w:t>电话：</w:t>
      </w:r>
      <w:r>
        <w:rPr>
          <w:szCs w:val="21"/>
          <w:u w:val="single"/>
        </w:rPr>
        <w:t>______________________</w:t>
      </w:r>
    </w:p>
    <w:p w14:paraId="468F9212">
      <w:pPr>
        <w:tabs>
          <w:tab w:val="clear" w:pos="426"/>
        </w:tabs>
        <w:spacing w:line="300" w:lineRule="auto"/>
        <w:ind w:firstLine="630" w:firstLineChars="300"/>
        <w:rPr>
          <w:szCs w:val="21"/>
          <w:u w:val="single"/>
        </w:rPr>
      </w:pPr>
      <w:r>
        <w:rPr>
          <w:rFonts w:hint="eastAsia"/>
          <w:szCs w:val="21"/>
        </w:rPr>
        <w:t>投标供应商名称（公章）：</w:t>
      </w:r>
      <w:r>
        <w:rPr>
          <w:szCs w:val="21"/>
          <w:u w:val="single"/>
        </w:rPr>
        <w:t>______________________</w:t>
      </w:r>
    </w:p>
    <w:p w14:paraId="191DB2EE">
      <w:pPr>
        <w:tabs>
          <w:tab w:val="clear" w:pos="426"/>
        </w:tabs>
        <w:spacing w:line="300" w:lineRule="auto"/>
        <w:ind w:firstLine="630" w:firstLineChars="300"/>
        <w:rPr>
          <w:szCs w:val="21"/>
          <w:u w:val="single"/>
        </w:rPr>
      </w:pPr>
      <w:r>
        <w:rPr>
          <w:rFonts w:hint="eastAsia"/>
          <w:szCs w:val="21"/>
        </w:rPr>
        <w:t>投标供应商代表（签字或盖章</w:t>
      </w:r>
      <w:r>
        <w:rPr>
          <w:szCs w:val="21"/>
        </w:rPr>
        <w:t>)</w:t>
      </w:r>
      <w:r>
        <w:rPr>
          <w:rFonts w:hint="eastAsia"/>
          <w:szCs w:val="21"/>
        </w:rPr>
        <w:t>：</w:t>
      </w:r>
      <w:r>
        <w:rPr>
          <w:szCs w:val="21"/>
          <w:u w:val="single"/>
        </w:rPr>
        <w:t>______________________</w:t>
      </w:r>
    </w:p>
    <w:p w14:paraId="485E834C">
      <w:pPr>
        <w:tabs>
          <w:tab w:val="clear" w:pos="426"/>
        </w:tabs>
        <w:spacing w:line="300" w:lineRule="auto"/>
        <w:ind w:firstLine="630" w:firstLineChars="300"/>
        <w:rPr>
          <w:szCs w:val="21"/>
          <w:u w:val="single"/>
        </w:rPr>
      </w:pPr>
      <w:r>
        <w:rPr>
          <w:rFonts w:hint="eastAsia"/>
          <w:szCs w:val="21"/>
        </w:rPr>
        <w:t>日期：</w:t>
      </w:r>
      <w:r>
        <w:rPr>
          <w:szCs w:val="21"/>
          <w:u w:val="single"/>
        </w:rPr>
        <w:t>______________________</w:t>
      </w:r>
    </w:p>
    <w:p w14:paraId="317ABB08">
      <w:pPr>
        <w:tabs>
          <w:tab w:val="clear" w:pos="426"/>
        </w:tabs>
        <w:spacing w:line="300" w:lineRule="auto"/>
        <w:rPr>
          <w:szCs w:val="21"/>
        </w:rPr>
      </w:pPr>
    </w:p>
    <w:p w14:paraId="1A066F57">
      <w:pPr>
        <w:tabs>
          <w:tab w:val="clear" w:pos="426"/>
        </w:tabs>
        <w:spacing w:line="300" w:lineRule="auto"/>
        <w:rPr>
          <w:szCs w:val="21"/>
        </w:rPr>
      </w:pPr>
    </w:p>
    <w:p w14:paraId="2341DC9C">
      <w:pPr>
        <w:tabs>
          <w:tab w:val="clear" w:pos="426"/>
        </w:tabs>
        <w:spacing w:line="300" w:lineRule="auto"/>
        <w:rPr>
          <w:szCs w:val="21"/>
        </w:rPr>
      </w:pPr>
    </w:p>
    <w:p w14:paraId="759C509F">
      <w:pPr>
        <w:tabs>
          <w:tab w:val="clear" w:pos="426"/>
        </w:tabs>
        <w:spacing w:line="300" w:lineRule="auto"/>
        <w:rPr>
          <w:szCs w:val="21"/>
        </w:rPr>
      </w:pPr>
    </w:p>
    <w:p w14:paraId="45008B66">
      <w:pPr>
        <w:shd w:val="clear" w:color="auto" w:fill="auto"/>
        <w:tabs>
          <w:tab w:val="clear" w:pos="426"/>
        </w:tabs>
        <w:adjustRightInd/>
        <w:snapToGrid/>
        <w:spacing w:line="240" w:lineRule="auto"/>
        <w:jc w:val="left"/>
        <w:rPr>
          <w:szCs w:val="21"/>
        </w:rPr>
      </w:pPr>
      <w:r>
        <w:rPr>
          <w:szCs w:val="21"/>
        </w:rPr>
        <w:br w:type="page"/>
      </w:r>
    </w:p>
    <w:p w14:paraId="535DAF52">
      <w:pPr>
        <w:pStyle w:val="4"/>
        <w:numPr>
          <w:ilvl w:val="0"/>
          <w:numId w:val="42"/>
        </w:numPr>
        <w:tabs>
          <w:tab w:val="left" w:pos="420"/>
          <w:tab w:val="clear" w:pos="426"/>
          <w:tab w:val="clear" w:pos="1680"/>
        </w:tabs>
        <w:jc w:val="left"/>
      </w:pPr>
      <w:bookmarkStart w:id="115" w:name="_Toc36822689"/>
      <w:r>
        <w:rPr>
          <w:rFonts w:hint="eastAsia"/>
        </w:rPr>
        <w:t>、政府采购投标及履约承诺函</w:t>
      </w:r>
      <w:bookmarkEnd w:id="115"/>
    </w:p>
    <w:p w14:paraId="1A663646">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政府采购投标及履约承诺函</w:t>
      </w:r>
    </w:p>
    <w:p w14:paraId="1BE06135">
      <w:pPr>
        <w:tabs>
          <w:tab w:val="clear" w:pos="426"/>
        </w:tabs>
      </w:pPr>
      <w:r>
        <w:rPr>
          <w:rFonts w:hint="eastAsia"/>
        </w:rPr>
        <w:t>深圳市深水水务咨询有限公司：</w:t>
      </w:r>
    </w:p>
    <w:p w14:paraId="24D8C94E">
      <w:pPr>
        <w:tabs>
          <w:tab w:val="clear" w:pos="426"/>
        </w:tabs>
        <w:spacing w:line="240" w:lineRule="auto"/>
        <w:ind w:firstLine="424" w:firstLineChars="202"/>
      </w:pPr>
      <w:r>
        <w:rPr>
          <w:rFonts w:hint="eastAsia"/>
        </w:rPr>
        <w:t>我单位承诺：</w:t>
      </w:r>
    </w:p>
    <w:p w14:paraId="67D3F676">
      <w:pPr>
        <w:tabs>
          <w:tab w:val="clear" w:pos="426"/>
        </w:tabs>
        <w:spacing w:line="240" w:lineRule="auto"/>
        <w:ind w:firstLine="424" w:firstLineChars="202"/>
      </w:pPr>
      <w:r>
        <w:rPr>
          <w:rFonts w:hint="eastAsia"/>
        </w:rPr>
        <w:t>1.我单位参与本项目所投标（响应）的货物、工程或服务，不存在侵犯知识产权的情况；已知悉并同意中标（成交）结果信息公示（公开）的内容。</w:t>
      </w:r>
    </w:p>
    <w:p w14:paraId="30AF632C">
      <w:pPr>
        <w:tabs>
          <w:tab w:val="clear" w:pos="426"/>
        </w:tabs>
        <w:spacing w:line="240" w:lineRule="auto"/>
        <w:ind w:firstLine="424" w:firstLineChars="202"/>
      </w:pPr>
      <w:r>
        <w:rPr>
          <w:rFonts w:hint="eastAsia"/>
        </w:rPr>
        <w:t>2.我单位参与该项目投标，符合招标文件关于联合体及进口产品的相关资格要求。</w:t>
      </w:r>
    </w:p>
    <w:p w14:paraId="29974B9A">
      <w:pPr>
        <w:tabs>
          <w:tab w:val="clear" w:pos="426"/>
        </w:tabs>
        <w:spacing w:line="240" w:lineRule="auto"/>
        <w:ind w:firstLine="424" w:firstLineChars="202"/>
      </w:pPr>
      <w:r>
        <w:rPr>
          <w:rFonts w:hint="eastAsia"/>
        </w:rPr>
        <w:t>3.我单位参与本项目政府采购活动时不存在被有关部门禁止参与政府采购活动且在有效期内的情况。</w:t>
      </w:r>
    </w:p>
    <w:p w14:paraId="358D63A4">
      <w:pPr>
        <w:tabs>
          <w:tab w:val="clear" w:pos="426"/>
        </w:tabs>
        <w:spacing w:line="240" w:lineRule="auto"/>
        <w:ind w:firstLine="424" w:firstLineChars="202"/>
      </w:pPr>
      <w:r>
        <w:rPr>
          <w:rFonts w:hint="eastAsia"/>
        </w:rPr>
        <w:t>4</w:t>
      </w:r>
      <w:r>
        <w:t>.</w:t>
      </w:r>
      <w:r>
        <w:rPr>
          <w:rFonts w:hint="eastAsia"/>
        </w:rPr>
        <w:t>我单位参与本项目投标前三年内，在经营活动中没有重大违法记录。</w:t>
      </w:r>
    </w:p>
    <w:p w14:paraId="5CAFABC6">
      <w:pPr>
        <w:tabs>
          <w:tab w:val="clear" w:pos="426"/>
        </w:tabs>
        <w:spacing w:line="240" w:lineRule="auto"/>
        <w:ind w:firstLine="424" w:firstLineChars="202"/>
      </w:pPr>
      <w:r>
        <w:t>5</w:t>
      </w:r>
      <w:r>
        <w:rPr>
          <w:rFonts w:hint="eastAsia"/>
        </w:rPr>
        <w:t>.我单位具备《中华人民共和国政府采购法》第二十二条的条件。</w:t>
      </w:r>
    </w:p>
    <w:p w14:paraId="42B0E51A">
      <w:pPr>
        <w:tabs>
          <w:tab w:val="clear" w:pos="426"/>
        </w:tabs>
        <w:spacing w:line="240" w:lineRule="auto"/>
        <w:ind w:firstLine="424" w:firstLineChars="202"/>
      </w:pPr>
      <w:r>
        <w:t>6</w:t>
      </w:r>
      <w:r>
        <w:rPr>
          <w:rFonts w:hint="eastAsia"/>
        </w:rPr>
        <w:t>.我单位未被列入失信被执行人、重大税收违法案件当事人名单（重大税收违法失信主体）、政府采购严重违法失信行为记录名单</w:t>
      </w:r>
    </w:p>
    <w:p w14:paraId="63A96A8D">
      <w:pPr>
        <w:tabs>
          <w:tab w:val="clear" w:pos="426"/>
        </w:tabs>
        <w:spacing w:line="240" w:lineRule="auto"/>
        <w:ind w:firstLine="424" w:firstLineChars="202"/>
      </w:pPr>
      <w:r>
        <w:t>7</w:t>
      </w:r>
      <w:r>
        <w:rPr>
          <w:rFonts w:hint="eastAsia"/>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60B8D096">
      <w:pPr>
        <w:tabs>
          <w:tab w:val="clear" w:pos="426"/>
        </w:tabs>
        <w:spacing w:line="240" w:lineRule="auto"/>
        <w:ind w:firstLine="424" w:firstLineChars="202"/>
      </w:pPr>
      <w:r>
        <w:t>8</w:t>
      </w:r>
      <w:r>
        <w:rPr>
          <w:rFonts w:hint="eastAsia"/>
        </w:rPr>
        <w:t>.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240216FE">
      <w:pPr>
        <w:tabs>
          <w:tab w:val="clear" w:pos="426"/>
        </w:tabs>
        <w:spacing w:line="240" w:lineRule="auto"/>
        <w:ind w:firstLine="424" w:firstLineChars="202"/>
      </w:pPr>
      <w:r>
        <w:rPr>
          <w:rFonts w:hint="eastAsia"/>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E687009">
      <w:pPr>
        <w:tabs>
          <w:tab w:val="clear" w:pos="426"/>
        </w:tabs>
        <w:spacing w:line="240" w:lineRule="auto"/>
        <w:ind w:firstLine="424" w:firstLineChars="202"/>
      </w:pPr>
      <w:r>
        <w:t>9</w:t>
      </w:r>
      <w:r>
        <w:rPr>
          <w:rFonts w:hint="eastAsia"/>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54D2ED3D">
      <w:pPr>
        <w:tabs>
          <w:tab w:val="clear" w:pos="426"/>
        </w:tabs>
        <w:spacing w:line="240" w:lineRule="auto"/>
        <w:ind w:firstLine="424" w:firstLineChars="202"/>
      </w:pPr>
      <w:r>
        <w:t>10</w:t>
      </w:r>
      <w:r>
        <w:rPr>
          <w:rFonts w:hint="eastAsia"/>
        </w:rPr>
        <w:t>.我单位承诺中标后项目不转包，未经采购人同意不进行分包。</w:t>
      </w:r>
    </w:p>
    <w:p w14:paraId="5A0A9D48">
      <w:pPr>
        <w:tabs>
          <w:tab w:val="clear" w:pos="426"/>
        </w:tabs>
        <w:spacing w:line="240" w:lineRule="auto"/>
        <w:ind w:firstLine="424" w:firstLineChars="202"/>
      </w:pPr>
      <w:r>
        <w:rPr>
          <w:rFonts w:hint="eastAsia"/>
        </w:rPr>
        <w:t>1</w:t>
      </w:r>
      <w:r>
        <w:t>1</w:t>
      </w:r>
      <w:r>
        <w:rPr>
          <w:rFonts w:hint="eastAsia"/>
        </w:rPr>
        <w:t>.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5E80D6C1">
      <w:pPr>
        <w:tabs>
          <w:tab w:val="clear" w:pos="426"/>
        </w:tabs>
        <w:spacing w:line="240" w:lineRule="auto"/>
        <w:ind w:firstLine="424" w:firstLineChars="202"/>
      </w:pPr>
      <w:r>
        <w:rPr>
          <w:rFonts w:hint="eastAsia"/>
        </w:rPr>
        <w:t>1</w:t>
      </w:r>
      <w:r>
        <w:t>2</w:t>
      </w:r>
      <w:r>
        <w:rPr>
          <w:rFonts w:hint="eastAsia"/>
        </w:rPr>
        <w:t>.我单位保证，若所投货物涉及《财政部生态环境部关于印发节能产品政府采购品目清单的通知》（财库〔2019〕19号）列明的政府采购强制产品，则所投该产品符合节能产品的认证要求。</w:t>
      </w:r>
    </w:p>
    <w:p w14:paraId="4746922C">
      <w:pPr>
        <w:tabs>
          <w:tab w:val="clear" w:pos="426"/>
        </w:tabs>
        <w:spacing w:line="240" w:lineRule="auto"/>
        <w:ind w:firstLine="424" w:firstLineChars="202"/>
      </w:pPr>
      <w:r>
        <w:rPr>
          <w:rFonts w:hint="eastAsia"/>
        </w:rPr>
        <w:t>1</w:t>
      </w:r>
      <w:r>
        <w:t>3</w:t>
      </w:r>
      <w:r>
        <w:rPr>
          <w:rFonts w:hint="eastAsia"/>
        </w:rPr>
        <w:t>.我单位保证，单位负责人为同一人或者存在直接控股、管理关系的不同供应商，不得参加同一合同项下的政府采购活动；为采购项目提供整体设计、规范编制或者项目管理、监理、检测等服务的供应商，不得再参加该采购项目的其他采购活动。</w:t>
      </w:r>
    </w:p>
    <w:p w14:paraId="39EA8354">
      <w:pPr>
        <w:tabs>
          <w:tab w:val="clear" w:pos="426"/>
        </w:tabs>
        <w:spacing w:line="240" w:lineRule="auto"/>
        <w:ind w:firstLine="424" w:firstLineChars="202"/>
      </w:pPr>
      <w:r>
        <w:rPr>
          <w:rFonts w:hint="eastAsia"/>
        </w:rPr>
        <w:t>1</w:t>
      </w:r>
      <w:r>
        <w:t>4</w:t>
      </w:r>
      <w:r>
        <w:rPr>
          <w:rFonts w:hint="eastAsia"/>
        </w:rPr>
        <w:t>.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0F12DEFD">
      <w:pPr>
        <w:tabs>
          <w:tab w:val="clear" w:pos="426"/>
        </w:tabs>
        <w:spacing w:line="240" w:lineRule="auto"/>
        <w:ind w:firstLine="424" w:firstLineChars="202"/>
      </w:pPr>
      <w:r>
        <w:rPr>
          <w:rFonts w:hint="eastAsia"/>
        </w:rPr>
        <w:t>1</w:t>
      </w:r>
      <w:r>
        <w:t>5.</w:t>
      </w:r>
      <w:r>
        <w:rPr>
          <w:rFonts w:hint="eastAsia"/>
        </w:rPr>
        <w:t>我单位不联合体投标，不分包、转包。</w:t>
      </w:r>
    </w:p>
    <w:p w14:paraId="6F575E6B">
      <w:pPr>
        <w:tabs>
          <w:tab w:val="clear" w:pos="426"/>
        </w:tabs>
        <w:spacing w:line="240" w:lineRule="auto"/>
        <w:ind w:firstLine="424" w:firstLineChars="202"/>
      </w:pPr>
      <w:r>
        <w:rPr>
          <w:rFonts w:hint="eastAsia"/>
        </w:rPr>
        <w:t>以上承诺，如有违反，愿依照国家相关法律处理，并承担由此给采购人带来的损失。</w:t>
      </w:r>
    </w:p>
    <w:p w14:paraId="451E2E96">
      <w:pPr>
        <w:tabs>
          <w:tab w:val="clear" w:pos="426"/>
        </w:tabs>
        <w:spacing w:line="240" w:lineRule="auto"/>
        <w:ind w:firstLine="420"/>
      </w:pPr>
      <w:r>
        <w:rPr>
          <w:rFonts w:hint="eastAsia"/>
        </w:rPr>
        <w:t>特此声明！</w:t>
      </w:r>
    </w:p>
    <w:p w14:paraId="7C6A48C8">
      <w:pPr>
        <w:tabs>
          <w:tab w:val="clear" w:pos="426"/>
        </w:tabs>
        <w:ind w:firstLine="420"/>
        <w:rPr>
          <w:u w:val="single"/>
        </w:rPr>
      </w:pPr>
      <w:r>
        <w:rPr>
          <w:rFonts w:hint="eastAsia"/>
        </w:rPr>
        <w:t>单位名称：</w:t>
      </w:r>
      <w:r>
        <w:rPr>
          <w:szCs w:val="21"/>
          <w:u w:val="single"/>
        </w:rPr>
        <w:t>______________________</w:t>
      </w:r>
    </w:p>
    <w:p w14:paraId="1983CD1B">
      <w:pPr>
        <w:tabs>
          <w:tab w:val="clear" w:pos="426"/>
        </w:tabs>
        <w:ind w:firstLine="420"/>
        <w:rPr>
          <w:u w:val="single"/>
        </w:rPr>
      </w:pPr>
      <w:r>
        <w:rPr>
          <w:rFonts w:hint="eastAsia"/>
        </w:rPr>
        <w:t>法定代表人或投标供应商授权代表（签名或盖章）：</w:t>
      </w:r>
      <w:r>
        <w:rPr>
          <w:szCs w:val="21"/>
          <w:u w:val="single"/>
        </w:rPr>
        <w:t>______________________</w:t>
      </w:r>
    </w:p>
    <w:p w14:paraId="388B3BCA">
      <w:pPr>
        <w:tabs>
          <w:tab w:val="clear" w:pos="426"/>
        </w:tabs>
        <w:ind w:firstLine="420"/>
        <w:rPr>
          <w:u w:val="single"/>
        </w:rPr>
      </w:pPr>
      <w:r>
        <w:rPr>
          <w:rFonts w:hint="eastAsia"/>
        </w:rPr>
        <w:t>单位地址：</w:t>
      </w:r>
      <w:r>
        <w:rPr>
          <w:szCs w:val="21"/>
          <w:u w:val="single"/>
        </w:rPr>
        <w:t>______________________</w:t>
      </w:r>
    </w:p>
    <w:p w14:paraId="1EB56830">
      <w:pPr>
        <w:tabs>
          <w:tab w:val="clear" w:pos="426"/>
        </w:tabs>
        <w:ind w:firstLine="420"/>
        <w:rPr>
          <w:u w:val="single"/>
        </w:rPr>
      </w:pPr>
      <w:r>
        <w:rPr>
          <w:rFonts w:hint="eastAsia"/>
        </w:rPr>
        <w:t>单位公章：</w:t>
      </w:r>
      <w:r>
        <w:rPr>
          <w:szCs w:val="21"/>
          <w:u w:val="single"/>
        </w:rPr>
        <w:t>______________________</w:t>
      </w:r>
    </w:p>
    <w:p w14:paraId="40C9466F">
      <w:pPr>
        <w:tabs>
          <w:tab w:val="clear" w:pos="426"/>
        </w:tabs>
        <w:ind w:firstLine="420"/>
        <w:rPr>
          <w:u w:val="single"/>
        </w:rPr>
      </w:pPr>
      <w:r>
        <w:rPr>
          <w:rFonts w:hint="eastAsia"/>
        </w:rPr>
        <w:t>邮政编码：</w:t>
      </w:r>
      <w:r>
        <w:rPr>
          <w:szCs w:val="21"/>
          <w:u w:val="single"/>
        </w:rPr>
        <w:t>______________________</w:t>
      </w:r>
      <w:r>
        <w:rPr>
          <w:rFonts w:hint="eastAsia"/>
        </w:rPr>
        <w:t>日期：</w:t>
      </w:r>
      <w:r>
        <w:rPr>
          <w:szCs w:val="21"/>
          <w:u w:val="single"/>
        </w:rPr>
        <w:t>______________________</w:t>
      </w:r>
    </w:p>
    <w:p w14:paraId="34E26E97">
      <w:pPr>
        <w:tabs>
          <w:tab w:val="clear" w:pos="426"/>
        </w:tabs>
        <w:ind w:firstLine="420" w:firstLineChars="200"/>
        <w:rPr>
          <w:rFonts w:hAnsi="Calibri"/>
          <w:sz w:val="22"/>
          <w:szCs w:val="21"/>
        </w:rPr>
      </w:pPr>
      <w:r>
        <w:rPr>
          <w:rFonts w:hint="eastAsia"/>
        </w:rPr>
        <w:t>联系电话：</w:t>
      </w:r>
      <w:r>
        <w:rPr>
          <w:szCs w:val="21"/>
          <w:u w:val="single"/>
        </w:rPr>
        <w:t>______________________</w:t>
      </w:r>
      <w:bookmarkStart w:id="116" w:name="_Toc36822690"/>
    </w:p>
    <w:p w14:paraId="0655F08C">
      <w:pPr>
        <w:shd w:val="clear" w:color="auto" w:fill="auto"/>
        <w:tabs>
          <w:tab w:val="clear" w:pos="426"/>
        </w:tabs>
        <w:adjustRightInd/>
        <w:snapToGrid/>
        <w:spacing w:line="240" w:lineRule="auto"/>
        <w:jc w:val="left"/>
        <w:rPr>
          <w:rFonts w:hAnsi="Calibri"/>
          <w:sz w:val="22"/>
          <w:szCs w:val="21"/>
        </w:rPr>
      </w:pPr>
      <w:r>
        <w:rPr>
          <w:rFonts w:hAnsi="Calibri"/>
          <w:sz w:val="22"/>
          <w:szCs w:val="21"/>
        </w:rPr>
        <w:br w:type="page"/>
      </w:r>
    </w:p>
    <w:p w14:paraId="1F475C77">
      <w:pPr>
        <w:pStyle w:val="4"/>
        <w:numPr>
          <w:ilvl w:val="0"/>
          <w:numId w:val="42"/>
        </w:numPr>
        <w:tabs>
          <w:tab w:val="clear" w:pos="1680"/>
        </w:tabs>
        <w:jc w:val="left"/>
      </w:pPr>
      <w:r>
        <w:rPr>
          <w:rFonts w:hint="eastAsia"/>
        </w:rPr>
        <w:t>、法定代表人授权委托书、法定代表人证明书</w:t>
      </w:r>
      <w:bookmarkEnd w:id="116"/>
    </w:p>
    <w:p w14:paraId="59952071">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法定代表人授权委托书</w:t>
      </w:r>
    </w:p>
    <w:p w14:paraId="61570399">
      <w:pPr>
        <w:pStyle w:val="44"/>
        <w:tabs>
          <w:tab w:val="clear" w:pos="426"/>
        </w:tabs>
        <w:ind w:firstLine="420" w:firstLineChars="200"/>
      </w:pPr>
    </w:p>
    <w:p w14:paraId="4DA32610">
      <w:pPr>
        <w:pStyle w:val="44"/>
        <w:tabs>
          <w:tab w:val="clear" w:pos="426"/>
        </w:tabs>
        <w:ind w:firstLine="420" w:firstLineChars="200"/>
      </w:pPr>
      <w:r>
        <w:rPr>
          <w:rFonts w:hint="eastAsia"/>
        </w:rPr>
        <w:t>本授权委托书声明：注册于</w:t>
      </w:r>
      <w:r>
        <w:rPr>
          <w:u w:val="single"/>
        </w:rPr>
        <w:t>_</w:t>
      </w:r>
      <w:r>
        <w:rPr>
          <w:rFonts w:hint="eastAsia"/>
          <w:u w:val="single"/>
        </w:rPr>
        <w:t>（投标供应商地址）</w:t>
      </w:r>
      <w:r>
        <w:rPr>
          <w:u w:val="single"/>
        </w:rPr>
        <w:t>__</w:t>
      </w:r>
      <w:r>
        <w:rPr>
          <w:rFonts w:hint="eastAsia"/>
        </w:rPr>
        <w:t>的</w:t>
      </w:r>
      <w:r>
        <w:rPr>
          <w:u w:val="single"/>
        </w:rPr>
        <w:t>__</w:t>
      </w:r>
      <w:r>
        <w:rPr>
          <w:rFonts w:hint="eastAsia"/>
          <w:u w:val="single"/>
        </w:rPr>
        <w:t>（投标供应商名称）</w:t>
      </w:r>
      <w:r>
        <w:rPr>
          <w:u w:val="single"/>
        </w:rPr>
        <w:t>____</w:t>
      </w:r>
      <w:r>
        <w:rPr>
          <w:rFonts w:hint="eastAsia"/>
        </w:rPr>
        <w:t>在下面签名的</w:t>
      </w:r>
      <w:r>
        <w:rPr>
          <w:rFonts w:hint="eastAsia"/>
          <w:u w:val="single"/>
        </w:rPr>
        <w:t>（法定代表人姓名、职务）</w:t>
      </w:r>
      <w:r>
        <w:rPr>
          <w:rFonts w:hint="eastAsia"/>
        </w:rPr>
        <w:t>在此授权</w:t>
      </w:r>
      <w:r>
        <w:rPr>
          <w:rFonts w:hint="eastAsia"/>
          <w:u w:val="single"/>
        </w:rPr>
        <w:t>（被授权人姓名、职务）</w:t>
      </w:r>
      <w:r>
        <w:rPr>
          <w:rFonts w:hint="eastAsia"/>
        </w:rPr>
        <w:t>作为我公司的合法代理人，就</w:t>
      </w:r>
      <w:r>
        <w:rPr>
          <w:rFonts w:hint="eastAsia"/>
          <w:u w:val="single"/>
        </w:rPr>
        <w:t>（项目名称、项目编号</w:t>
      </w:r>
      <w:r>
        <w:rPr>
          <w:rFonts w:hint="eastAsia"/>
        </w:rPr>
        <w:t>）的招投标活动，采购合同的签订、执行、完成和售后服务，作为投标供应商代表以我方的名义处理一切与之有关的事务。</w:t>
      </w:r>
    </w:p>
    <w:p w14:paraId="3BEC8680">
      <w:pPr>
        <w:pStyle w:val="44"/>
        <w:tabs>
          <w:tab w:val="clear" w:pos="426"/>
        </w:tabs>
        <w:ind w:firstLine="420" w:firstLineChars="200"/>
      </w:pPr>
      <w:r>
        <w:rPr>
          <w:rFonts w:hint="eastAsia"/>
        </w:rPr>
        <w:t>被授权人（投标供应商授权代表）无转委托权限。</w:t>
      </w:r>
    </w:p>
    <w:p w14:paraId="5A919882">
      <w:pPr>
        <w:tabs>
          <w:tab w:val="clear" w:pos="426"/>
        </w:tabs>
        <w:ind w:firstLine="420" w:firstLineChars="200"/>
        <w:rPr>
          <w:szCs w:val="21"/>
        </w:rPr>
      </w:pPr>
      <w:r>
        <w:rPr>
          <w:rFonts w:hint="eastAsia"/>
          <w:szCs w:val="21"/>
        </w:rPr>
        <w:t>本授权书自法定代表人签字之日起生效，特此声明。</w:t>
      </w:r>
    </w:p>
    <w:p w14:paraId="4EEA2E25">
      <w:pPr>
        <w:tabs>
          <w:tab w:val="clear" w:pos="426"/>
        </w:tabs>
        <w:ind w:firstLine="422" w:firstLineChars="200"/>
        <w:rPr>
          <w:b/>
          <w:szCs w:val="21"/>
        </w:rPr>
      </w:pPr>
      <w:r>
        <w:rPr>
          <w:rFonts w:hint="eastAsia"/>
          <w:b/>
          <w:szCs w:val="21"/>
        </w:rPr>
        <w:t>随附《法定代表人证明》</w:t>
      </w:r>
    </w:p>
    <w:p w14:paraId="363506A5">
      <w:pPr>
        <w:tabs>
          <w:tab w:val="clear" w:pos="426"/>
        </w:tabs>
        <w:ind w:firstLine="422" w:firstLineChars="200"/>
        <w:rPr>
          <w:b/>
          <w:szCs w:val="21"/>
        </w:rPr>
      </w:pPr>
    </w:p>
    <w:p w14:paraId="2505E0E0">
      <w:pPr>
        <w:tabs>
          <w:tab w:val="clear" w:pos="426"/>
        </w:tabs>
        <w:ind w:firstLine="422" w:firstLineChars="200"/>
        <w:rPr>
          <w:b/>
          <w:szCs w:val="21"/>
        </w:rPr>
      </w:pPr>
    </w:p>
    <w:p w14:paraId="138B8A8B">
      <w:pPr>
        <w:tabs>
          <w:tab w:val="clear" w:pos="426"/>
        </w:tabs>
        <w:ind w:firstLine="420"/>
        <w:rPr>
          <w:u w:val="single"/>
        </w:rPr>
      </w:pPr>
      <w:r>
        <w:rPr>
          <w:rFonts w:hint="eastAsia"/>
        </w:rPr>
        <w:t>单位名称：</w:t>
      </w:r>
      <w:r>
        <w:rPr>
          <w:u w:val="single"/>
        </w:rPr>
        <w:t>___________________________________________________________________</w:t>
      </w:r>
    </w:p>
    <w:p w14:paraId="19F7EA66">
      <w:pPr>
        <w:tabs>
          <w:tab w:val="clear" w:pos="426"/>
        </w:tabs>
        <w:ind w:firstLine="420"/>
        <w:rPr>
          <w:u w:val="single"/>
        </w:rPr>
      </w:pPr>
      <w:r>
        <w:rPr>
          <w:rFonts w:hint="eastAsia"/>
        </w:rPr>
        <w:t>法定代表人（签名或盖章）：</w:t>
      </w:r>
      <w:r>
        <w:rPr>
          <w:u w:val="single"/>
        </w:rPr>
        <w:t>__________________________________________________</w:t>
      </w:r>
    </w:p>
    <w:p w14:paraId="4246BB27">
      <w:pPr>
        <w:tabs>
          <w:tab w:val="clear" w:pos="426"/>
        </w:tabs>
        <w:ind w:firstLine="420"/>
        <w:rPr>
          <w:u w:val="single"/>
        </w:rPr>
      </w:pPr>
      <w:r>
        <w:rPr>
          <w:rFonts w:hint="eastAsia"/>
        </w:rPr>
        <w:t>投标供应商授权代表（签名或盖章）：</w:t>
      </w:r>
      <w:r>
        <w:rPr>
          <w:u w:val="single"/>
        </w:rPr>
        <w:t>_______________________________________________</w:t>
      </w:r>
    </w:p>
    <w:p w14:paraId="1ABBC5F4">
      <w:pPr>
        <w:tabs>
          <w:tab w:val="clear" w:pos="426"/>
        </w:tabs>
        <w:ind w:firstLine="420"/>
        <w:rPr>
          <w:u w:val="single"/>
        </w:rPr>
      </w:pPr>
      <w:r>
        <w:rPr>
          <w:rFonts w:hint="eastAsia"/>
        </w:rPr>
        <w:t>单位地址：</w:t>
      </w:r>
      <w:r>
        <w:rPr>
          <w:u w:val="single"/>
        </w:rPr>
        <w:t>___________________________________________________________________</w:t>
      </w:r>
    </w:p>
    <w:p w14:paraId="67ABCD4D">
      <w:pPr>
        <w:tabs>
          <w:tab w:val="clear" w:pos="426"/>
        </w:tabs>
        <w:ind w:firstLine="420"/>
        <w:rPr>
          <w:u w:val="single"/>
        </w:rPr>
      </w:pPr>
      <w:r>
        <w:rPr>
          <w:rFonts w:hint="eastAsia"/>
        </w:rPr>
        <w:t>单位公章：</w:t>
      </w:r>
      <w:r>
        <w:rPr>
          <w:u w:val="single"/>
        </w:rPr>
        <w:t>___________________________________________________________________</w:t>
      </w:r>
    </w:p>
    <w:p w14:paraId="4787B794">
      <w:pPr>
        <w:tabs>
          <w:tab w:val="clear" w:pos="426"/>
        </w:tabs>
        <w:ind w:firstLine="420"/>
        <w:rPr>
          <w:u w:val="single"/>
        </w:rPr>
      </w:pPr>
      <w:r>
        <w:rPr>
          <w:rFonts w:hint="eastAsia"/>
        </w:rPr>
        <w:t>邮政编码：</w:t>
      </w:r>
      <w:r>
        <w:rPr>
          <w:u w:val="single"/>
        </w:rPr>
        <w:t>______________________________</w:t>
      </w:r>
      <w:r>
        <w:rPr>
          <w:rFonts w:hint="eastAsia"/>
        </w:rPr>
        <w:t>日期：</w:t>
      </w:r>
      <w:r>
        <w:rPr>
          <w:u w:val="single"/>
        </w:rPr>
        <w:t>_______________________________</w:t>
      </w:r>
    </w:p>
    <w:p w14:paraId="579CD1D6">
      <w:pPr>
        <w:tabs>
          <w:tab w:val="clear" w:pos="426"/>
        </w:tabs>
        <w:ind w:firstLine="424" w:firstLineChars="202"/>
        <w:rPr>
          <w:szCs w:val="21"/>
        </w:rPr>
      </w:pPr>
      <w:r>
        <w:rPr>
          <w:rFonts w:hint="eastAsia"/>
        </w:rPr>
        <w:t>联系电话：</w:t>
      </w:r>
      <w:r>
        <w:rPr>
          <w:u w:val="single"/>
        </w:rPr>
        <w:t>___________________________________________________________________</w:t>
      </w:r>
    </w:p>
    <w:p w14:paraId="4103B0BC">
      <w:pPr>
        <w:tabs>
          <w:tab w:val="clear" w:pos="426"/>
        </w:tabs>
        <w:ind w:firstLine="424" w:firstLineChars="202"/>
        <w:rPr>
          <w:szCs w:val="21"/>
        </w:rPr>
      </w:pPr>
    </w:p>
    <w:p w14:paraId="366A1CE7">
      <w:pPr>
        <w:tabs>
          <w:tab w:val="clear" w:pos="426"/>
        </w:tabs>
        <w:ind w:firstLine="424" w:firstLineChars="202"/>
        <w:rPr>
          <w:szCs w:val="21"/>
        </w:rPr>
      </w:pPr>
      <w:r>
        <w:rPr>
          <w:rFonts w:hint="eastAsia"/>
          <w:szCs w:val="21"/>
        </w:rPr>
        <w:t>附：被授权人身份证复印件：</w:t>
      </w:r>
    </w:p>
    <w:p w14:paraId="0E67BFD5">
      <w:pPr>
        <w:tabs>
          <w:tab w:val="clear" w:pos="426"/>
        </w:tabs>
        <w:ind w:firstLine="424" w:firstLineChars="202"/>
        <w:rPr>
          <w:szCs w:val="21"/>
        </w:rPr>
      </w:pPr>
    </w:p>
    <w:p w14:paraId="54168A8B">
      <w:pPr>
        <w:tabs>
          <w:tab w:val="clear" w:pos="426"/>
        </w:tabs>
        <w:spacing w:line="300" w:lineRule="auto"/>
        <w:jc w:val="center"/>
      </w:pPr>
      <w:r>
        <w:br w:type="page"/>
      </w:r>
    </w:p>
    <w:p w14:paraId="75E438CB">
      <w:pPr>
        <w:widowControl w:val="0"/>
        <w:shd w:val="clear" w:color="auto" w:fill="auto"/>
        <w:tabs>
          <w:tab w:val="clear" w:pos="426"/>
        </w:tabs>
        <w:adjustRightInd/>
        <w:snapToGrid/>
        <w:spacing w:line="300" w:lineRule="auto"/>
        <w:jc w:val="center"/>
        <w:rPr>
          <w:rFonts w:cs="Times New Roman"/>
          <w:bCs/>
          <w:kern w:val="2"/>
          <w:sz w:val="32"/>
          <w:szCs w:val="32"/>
        </w:rPr>
      </w:pPr>
    </w:p>
    <w:p w14:paraId="75D4D412">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法定代表人证明书</w:t>
      </w:r>
    </w:p>
    <w:p w14:paraId="4514C94F">
      <w:pPr>
        <w:tabs>
          <w:tab w:val="clear" w:pos="426"/>
        </w:tabs>
        <w:spacing w:line="480" w:lineRule="auto"/>
        <w:ind w:firstLine="424" w:firstLineChars="202"/>
        <w:rPr>
          <w:u w:val="single"/>
        </w:rPr>
      </w:pPr>
    </w:p>
    <w:p w14:paraId="0166D56E">
      <w:pPr>
        <w:tabs>
          <w:tab w:val="clear" w:pos="426"/>
        </w:tabs>
        <w:spacing w:line="480" w:lineRule="auto"/>
        <w:ind w:firstLine="424" w:firstLineChars="202"/>
      </w:pPr>
      <w:r>
        <w:rPr>
          <w:u w:val="single"/>
        </w:rPr>
        <w:t>__________</w:t>
      </w:r>
      <w:r>
        <w:rPr>
          <w:rFonts w:hint="eastAsia"/>
        </w:rPr>
        <w:t>同志，现任我单位职务，为法定代表人，特此证明。</w:t>
      </w:r>
    </w:p>
    <w:p w14:paraId="6DE03E38">
      <w:pPr>
        <w:tabs>
          <w:tab w:val="clear" w:pos="426"/>
        </w:tabs>
        <w:spacing w:line="480" w:lineRule="auto"/>
        <w:ind w:firstLine="424" w:firstLineChars="202"/>
      </w:pPr>
      <w:r>
        <w:rPr>
          <w:rFonts w:hint="eastAsia"/>
        </w:rPr>
        <w:t>本证明书自签发之日起生效，有效期与本公司投标文件中标注的投标有效期相同。</w:t>
      </w:r>
    </w:p>
    <w:p w14:paraId="0FDA3D4B">
      <w:pPr>
        <w:tabs>
          <w:tab w:val="clear" w:pos="426"/>
        </w:tabs>
        <w:spacing w:line="480" w:lineRule="auto"/>
        <w:ind w:firstLine="424" w:firstLineChars="202"/>
      </w:pPr>
      <w:r>
        <w:rPr>
          <w:rFonts w:hint="eastAsia"/>
        </w:rPr>
        <w:t>附：</w:t>
      </w:r>
    </w:p>
    <w:p w14:paraId="3DDABAB8">
      <w:pPr>
        <w:tabs>
          <w:tab w:val="clear" w:pos="426"/>
        </w:tabs>
        <w:spacing w:line="480" w:lineRule="auto"/>
        <w:ind w:firstLine="424" w:firstLineChars="202"/>
        <w:rPr>
          <w:u w:val="single"/>
        </w:rPr>
      </w:pPr>
      <w:r>
        <w:rPr>
          <w:rFonts w:hint="eastAsia"/>
        </w:rPr>
        <w:t>营业执照（注册号）：</w:t>
      </w:r>
      <w:r>
        <w:rPr>
          <w:u w:val="single"/>
        </w:rPr>
        <w:t>____________________________________________________________________</w:t>
      </w:r>
    </w:p>
    <w:p w14:paraId="53B822CF">
      <w:pPr>
        <w:tabs>
          <w:tab w:val="clear" w:pos="426"/>
        </w:tabs>
        <w:spacing w:line="480" w:lineRule="auto"/>
        <w:ind w:firstLine="424" w:firstLineChars="202"/>
        <w:rPr>
          <w:u w:val="single"/>
        </w:rPr>
      </w:pPr>
      <w:r>
        <w:rPr>
          <w:rFonts w:hint="eastAsia"/>
        </w:rPr>
        <w:t>经济性质：</w:t>
      </w:r>
      <w:r>
        <w:rPr>
          <w:u w:val="single"/>
        </w:rPr>
        <w:t>____________________________________________________________________________</w:t>
      </w:r>
    </w:p>
    <w:p w14:paraId="616CB329">
      <w:pPr>
        <w:tabs>
          <w:tab w:val="clear" w:pos="426"/>
        </w:tabs>
        <w:spacing w:line="480" w:lineRule="auto"/>
        <w:ind w:firstLine="424" w:firstLineChars="202"/>
        <w:rPr>
          <w:u w:val="single"/>
        </w:rPr>
      </w:pPr>
      <w:r>
        <w:rPr>
          <w:rFonts w:hint="eastAsia"/>
        </w:rPr>
        <w:t>主营（产）：</w:t>
      </w:r>
      <w:r>
        <w:rPr>
          <w:u w:val="single"/>
        </w:rPr>
        <w:t>____________________________________________________________________________</w:t>
      </w:r>
    </w:p>
    <w:p w14:paraId="49563E02">
      <w:pPr>
        <w:tabs>
          <w:tab w:val="clear" w:pos="426"/>
        </w:tabs>
        <w:spacing w:line="480" w:lineRule="auto"/>
        <w:ind w:firstLine="424" w:firstLineChars="202"/>
        <w:rPr>
          <w:u w:val="single"/>
        </w:rPr>
      </w:pPr>
      <w:r>
        <w:rPr>
          <w:rFonts w:hint="eastAsia"/>
        </w:rPr>
        <w:t>兼营（产）：</w:t>
      </w:r>
      <w:r>
        <w:rPr>
          <w:u w:val="single"/>
        </w:rPr>
        <w:t>____________________________________________________________________________</w:t>
      </w:r>
    </w:p>
    <w:p w14:paraId="1795A2B1">
      <w:pPr>
        <w:tabs>
          <w:tab w:val="clear" w:pos="426"/>
        </w:tabs>
        <w:ind w:firstLine="424" w:firstLineChars="202"/>
      </w:pPr>
    </w:p>
    <w:p w14:paraId="67915941">
      <w:pPr>
        <w:tabs>
          <w:tab w:val="clear" w:pos="426"/>
        </w:tabs>
        <w:ind w:firstLine="424" w:firstLineChars="202"/>
        <w:rPr>
          <w:szCs w:val="21"/>
        </w:rPr>
      </w:pPr>
      <w:r>
        <w:rPr>
          <w:rFonts w:hint="eastAsia"/>
          <w:szCs w:val="21"/>
        </w:rPr>
        <w:t>附：法定代表人身份证复印件：</w:t>
      </w:r>
    </w:p>
    <w:p w14:paraId="6826F5F9">
      <w:pPr>
        <w:tabs>
          <w:tab w:val="clear" w:pos="426"/>
        </w:tabs>
        <w:ind w:firstLine="424" w:firstLineChars="202"/>
        <w:rPr>
          <w:szCs w:val="21"/>
        </w:rPr>
      </w:pPr>
    </w:p>
    <w:p w14:paraId="6652285E">
      <w:pPr>
        <w:tabs>
          <w:tab w:val="clear" w:pos="426"/>
        </w:tabs>
        <w:ind w:firstLine="424" w:firstLineChars="202"/>
        <w:rPr>
          <w:szCs w:val="21"/>
        </w:rPr>
      </w:pPr>
    </w:p>
    <w:p w14:paraId="5EB984AD">
      <w:pPr>
        <w:tabs>
          <w:tab w:val="clear" w:pos="426"/>
        </w:tabs>
        <w:ind w:firstLine="424" w:firstLineChars="202"/>
        <w:rPr>
          <w:szCs w:val="21"/>
        </w:rPr>
      </w:pPr>
    </w:p>
    <w:p w14:paraId="21DF902F">
      <w:pPr>
        <w:tabs>
          <w:tab w:val="clear" w:pos="426"/>
        </w:tabs>
        <w:spacing w:line="500" w:lineRule="exact"/>
        <w:ind w:left="3822" w:leftChars="1820"/>
        <w:rPr>
          <w:u w:val="single"/>
        </w:rPr>
      </w:pPr>
      <w:r>
        <w:rPr>
          <w:rFonts w:hint="eastAsia"/>
        </w:rPr>
        <w:t>投标供应商名称（单位盖</w:t>
      </w:r>
      <w:r>
        <w:rPr>
          <w:rFonts w:hint="eastAsia"/>
          <w:spacing w:val="4"/>
        </w:rPr>
        <w:t>公章</w:t>
      </w:r>
      <w:r>
        <w:rPr>
          <w:rFonts w:hint="eastAsia"/>
        </w:rPr>
        <w:t>）：</w:t>
      </w:r>
      <w:r>
        <w:rPr>
          <w:u w:val="single"/>
        </w:rPr>
        <w:t>_______________________</w:t>
      </w:r>
    </w:p>
    <w:p w14:paraId="2FFBAFC7">
      <w:pPr>
        <w:tabs>
          <w:tab w:val="clear" w:pos="426"/>
        </w:tabs>
        <w:spacing w:line="500" w:lineRule="exact"/>
        <w:ind w:left="3822" w:leftChars="1820"/>
        <w:rPr>
          <w:u w:val="single"/>
        </w:rPr>
      </w:pPr>
      <w:r>
        <w:rPr>
          <w:rFonts w:hint="eastAsia"/>
        </w:rPr>
        <w:t>地址：</w:t>
      </w:r>
      <w:r>
        <w:rPr>
          <w:u w:val="single"/>
        </w:rPr>
        <w:t>___________________________________________</w:t>
      </w:r>
    </w:p>
    <w:p w14:paraId="07BEACA9">
      <w:pPr>
        <w:tabs>
          <w:tab w:val="clear" w:pos="426"/>
        </w:tabs>
        <w:spacing w:line="500" w:lineRule="exact"/>
        <w:ind w:left="3822" w:leftChars="1820"/>
        <w:rPr>
          <w:u w:val="single"/>
        </w:rPr>
      </w:pPr>
      <w:r>
        <w:rPr>
          <w:rFonts w:hint="eastAsia"/>
        </w:rPr>
        <w:t>签发日期：</w:t>
      </w:r>
      <w:r>
        <w:rPr>
          <w:u w:val="single"/>
        </w:rPr>
        <w:t>_______________________________________</w:t>
      </w:r>
    </w:p>
    <w:p w14:paraId="338A6E43">
      <w:pPr>
        <w:tabs>
          <w:tab w:val="clear" w:pos="426"/>
        </w:tabs>
        <w:spacing w:line="500" w:lineRule="exact"/>
        <w:ind w:left="3822" w:leftChars="1820"/>
        <w:rPr>
          <w:b/>
          <w:bCs/>
          <w:u w:val="single"/>
        </w:rPr>
      </w:pPr>
    </w:p>
    <w:p w14:paraId="0CBC3FF7">
      <w:pPr>
        <w:pStyle w:val="4"/>
        <w:numPr>
          <w:ilvl w:val="0"/>
          <w:numId w:val="42"/>
        </w:numPr>
        <w:tabs>
          <w:tab w:val="clear" w:pos="1680"/>
        </w:tabs>
        <w:jc w:val="left"/>
      </w:pPr>
      <w:r>
        <w:br w:type="page"/>
      </w:r>
      <w:bookmarkStart w:id="117" w:name="_Toc36822691"/>
      <w:r>
        <w:rPr>
          <w:rFonts w:hint="eastAsia"/>
        </w:rPr>
        <w:t>、投标供应商基本情况表</w:t>
      </w:r>
      <w:bookmarkEnd w:id="117"/>
    </w:p>
    <w:p w14:paraId="3FE7F02D">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投标供应商基本情况表</w:t>
      </w:r>
    </w:p>
    <w:p w14:paraId="5203EEEC">
      <w:pPr>
        <w:widowControl w:val="0"/>
        <w:shd w:val="clear" w:color="auto" w:fill="auto"/>
        <w:tabs>
          <w:tab w:val="clear" w:pos="426"/>
        </w:tabs>
        <w:adjustRightInd/>
        <w:snapToGrid/>
        <w:rPr>
          <w:rFonts w:cs="Arial"/>
          <w:b/>
          <w:szCs w:val="21"/>
        </w:rPr>
      </w:pPr>
      <w:r>
        <w:rPr>
          <w:rFonts w:hint="eastAsia" w:cs="Arial"/>
          <w:b/>
          <w:szCs w:val="21"/>
        </w:rPr>
        <w:t>一、公司基本情况</w:t>
      </w:r>
    </w:p>
    <w:p w14:paraId="65EA5F18">
      <w:pPr>
        <w:widowControl w:val="0"/>
        <w:numPr>
          <w:ilvl w:val="1"/>
          <w:numId w:val="43"/>
        </w:numPr>
        <w:shd w:val="clear" w:color="auto" w:fill="auto"/>
        <w:tabs>
          <w:tab w:val="clear" w:pos="426"/>
        </w:tabs>
        <w:adjustRightInd/>
        <w:snapToGrid/>
        <w:ind w:left="0" w:firstLine="426"/>
        <w:rPr>
          <w:rFonts w:cs="Arial"/>
          <w:szCs w:val="21"/>
        </w:rPr>
      </w:pPr>
      <w:r>
        <w:rPr>
          <w:rFonts w:hint="eastAsia" w:cs="Arial"/>
          <w:szCs w:val="21"/>
        </w:rPr>
        <w:t>公司名称：</w:t>
      </w:r>
      <w:r>
        <w:rPr>
          <w:rFonts w:cs="Arial"/>
          <w:szCs w:val="21"/>
          <w:u w:val="single"/>
        </w:rPr>
        <w:t>___________________________________________</w:t>
      </w:r>
      <w:r>
        <w:rPr>
          <w:rFonts w:hint="eastAsia" w:cs="Arial"/>
          <w:szCs w:val="21"/>
        </w:rPr>
        <w:t>电话号码：</w:t>
      </w:r>
      <w:r>
        <w:rPr>
          <w:rFonts w:cs="Arial"/>
          <w:szCs w:val="21"/>
          <w:u w:val="single"/>
        </w:rPr>
        <w:t>_____________________</w:t>
      </w:r>
    </w:p>
    <w:p w14:paraId="533C0CB2">
      <w:pPr>
        <w:widowControl w:val="0"/>
        <w:numPr>
          <w:ilvl w:val="1"/>
          <w:numId w:val="43"/>
        </w:numPr>
        <w:shd w:val="clear" w:color="auto" w:fill="auto"/>
        <w:tabs>
          <w:tab w:val="clear" w:pos="426"/>
        </w:tabs>
        <w:adjustRightInd/>
        <w:snapToGrid/>
        <w:ind w:left="0" w:firstLine="426"/>
        <w:rPr>
          <w:rFonts w:cs="Arial"/>
          <w:szCs w:val="21"/>
        </w:rPr>
      </w:pPr>
      <w:r>
        <w:rPr>
          <w:rFonts w:hint="eastAsia" w:cs="Arial"/>
          <w:szCs w:val="21"/>
        </w:rPr>
        <w:t>地址：</w:t>
      </w:r>
      <w:r>
        <w:rPr>
          <w:rFonts w:cs="Arial"/>
          <w:szCs w:val="21"/>
          <w:u w:val="single"/>
        </w:rPr>
        <w:t>___________________________________________</w:t>
      </w:r>
      <w:r>
        <w:rPr>
          <w:rFonts w:hint="eastAsia" w:cs="Arial"/>
          <w:szCs w:val="21"/>
        </w:rPr>
        <w:t>传真：</w:t>
      </w:r>
      <w:r>
        <w:rPr>
          <w:rFonts w:cs="Arial"/>
          <w:szCs w:val="21"/>
          <w:u w:val="single"/>
        </w:rPr>
        <w:t>_____________________</w:t>
      </w:r>
    </w:p>
    <w:p w14:paraId="4DD51C8C">
      <w:pPr>
        <w:widowControl w:val="0"/>
        <w:numPr>
          <w:ilvl w:val="1"/>
          <w:numId w:val="43"/>
        </w:numPr>
        <w:shd w:val="clear" w:color="auto" w:fill="auto"/>
        <w:tabs>
          <w:tab w:val="clear" w:pos="426"/>
        </w:tabs>
        <w:adjustRightInd/>
        <w:snapToGrid/>
        <w:ind w:left="0" w:firstLine="426"/>
        <w:rPr>
          <w:rFonts w:cs="Arial"/>
          <w:szCs w:val="21"/>
          <w:u w:val="single"/>
        </w:rPr>
      </w:pPr>
      <w:r>
        <w:rPr>
          <w:rFonts w:hint="eastAsia" w:cs="Arial"/>
          <w:szCs w:val="21"/>
        </w:rPr>
        <w:t>注册资金：</w:t>
      </w:r>
      <w:r>
        <w:rPr>
          <w:rFonts w:cs="Arial"/>
          <w:szCs w:val="21"/>
          <w:u w:val="single"/>
        </w:rPr>
        <w:t>___________________________________________</w:t>
      </w:r>
      <w:r>
        <w:rPr>
          <w:rFonts w:hint="eastAsia" w:cs="Arial"/>
          <w:szCs w:val="21"/>
        </w:rPr>
        <w:t>经济性质：</w:t>
      </w:r>
      <w:r>
        <w:rPr>
          <w:rFonts w:cs="Arial"/>
          <w:szCs w:val="21"/>
          <w:u w:val="single"/>
        </w:rPr>
        <w:t>____________________</w:t>
      </w:r>
    </w:p>
    <w:p w14:paraId="43D46871">
      <w:pPr>
        <w:widowControl w:val="0"/>
        <w:numPr>
          <w:ilvl w:val="1"/>
          <w:numId w:val="43"/>
        </w:numPr>
        <w:shd w:val="clear" w:color="auto" w:fill="auto"/>
        <w:tabs>
          <w:tab w:val="clear" w:pos="426"/>
        </w:tabs>
        <w:adjustRightInd/>
        <w:snapToGrid/>
        <w:ind w:left="0" w:firstLine="426"/>
        <w:rPr>
          <w:rFonts w:cs="Arial"/>
          <w:szCs w:val="21"/>
          <w:u w:val="single"/>
        </w:rPr>
      </w:pPr>
      <w:r>
        <w:rPr>
          <w:rFonts w:hint="eastAsia" w:cs="Arial"/>
          <w:szCs w:val="21"/>
        </w:rPr>
        <w:t>公司开户银行名称及账号：</w:t>
      </w:r>
      <w:r>
        <w:rPr>
          <w:rFonts w:cs="Arial"/>
          <w:szCs w:val="21"/>
          <w:u w:val="single"/>
        </w:rPr>
        <w:t>____________________________________________________________</w:t>
      </w:r>
    </w:p>
    <w:p w14:paraId="052C933E">
      <w:pPr>
        <w:widowControl w:val="0"/>
        <w:numPr>
          <w:ilvl w:val="1"/>
          <w:numId w:val="43"/>
        </w:numPr>
        <w:shd w:val="clear" w:color="auto" w:fill="auto"/>
        <w:tabs>
          <w:tab w:val="clear" w:pos="426"/>
        </w:tabs>
        <w:adjustRightInd/>
        <w:snapToGrid/>
        <w:ind w:left="0" w:firstLine="426"/>
        <w:rPr>
          <w:rFonts w:cs="Arial"/>
          <w:szCs w:val="21"/>
        </w:rPr>
      </w:pPr>
      <w:r>
        <w:rPr>
          <w:rFonts w:hint="eastAsia" w:cs="Arial"/>
          <w:szCs w:val="21"/>
        </w:rPr>
        <w:t>营业注册执照号：</w:t>
      </w:r>
      <w:r>
        <w:rPr>
          <w:rFonts w:cs="Arial"/>
          <w:szCs w:val="21"/>
          <w:u w:val="single"/>
        </w:rPr>
        <w:t>____________________________________________________________________</w:t>
      </w:r>
    </w:p>
    <w:p w14:paraId="1312CEAB">
      <w:pPr>
        <w:widowControl w:val="0"/>
        <w:numPr>
          <w:ilvl w:val="1"/>
          <w:numId w:val="43"/>
        </w:numPr>
        <w:shd w:val="clear" w:color="auto" w:fill="auto"/>
        <w:tabs>
          <w:tab w:val="clear" w:pos="426"/>
        </w:tabs>
        <w:adjustRightInd/>
        <w:snapToGrid/>
        <w:ind w:left="0" w:firstLine="426"/>
        <w:rPr>
          <w:rFonts w:cs="Arial"/>
          <w:szCs w:val="21"/>
        </w:rPr>
      </w:pPr>
      <w:r>
        <w:rPr>
          <w:rFonts w:hint="eastAsia" w:cs="Arial"/>
          <w:szCs w:val="21"/>
        </w:rPr>
        <w:t>公司简介</w:t>
      </w:r>
      <w:r>
        <w:rPr>
          <w:rFonts w:cs="Arial"/>
          <w:szCs w:val="21"/>
          <w:u w:val="single"/>
        </w:rPr>
        <w:t>___________________________________________________________________________</w:t>
      </w:r>
    </w:p>
    <w:p w14:paraId="25841C9D">
      <w:pPr>
        <w:tabs>
          <w:tab w:val="clear" w:pos="426"/>
        </w:tabs>
        <w:ind w:firstLine="426"/>
      </w:pPr>
      <w:r>
        <w:rPr>
          <w:rFonts w:hint="eastAsia"/>
        </w:rPr>
        <w:t>文字描述：</w:t>
      </w:r>
      <w:r>
        <w:rPr>
          <w:rFonts w:hint="eastAsia"/>
          <w:bCs/>
          <w:szCs w:val="21"/>
          <w:lang w:val="en-GB"/>
        </w:rPr>
        <w:t>发展历程、经营规模及服务理念</w:t>
      </w:r>
      <w:r>
        <w:rPr>
          <w:rFonts w:hint="eastAsia"/>
        </w:rPr>
        <w:t>、技术力量、财务状况、管理水平等方面进行阐述；</w:t>
      </w:r>
    </w:p>
    <w:p w14:paraId="4D24E217">
      <w:pPr>
        <w:tabs>
          <w:tab w:val="clear" w:pos="426"/>
        </w:tabs>
        <w:ind w:firstLine="426"/>
        <w:rPr>
          <w:rFonts w:cs="Arial"/>
          <w:szCs w:val="21"/>
        </w:rPr>
      </w:pPr>
      <w:r>
        <w:rPr>
          <w:rFonts w:hint="eastAsia"/>
        </w:rPr>
        <w:t>图片描述：</w:t>
      </w:r>
      <w:r>
        <w:rPr>
          <w:rFonts w:hint="eastAsia"/>
          <w:bCs/>
          <w:szCs w:val="21"/>
          <w:lang w:val="en-GB"/>
        </w:rPr>
        <w:t>经营场所、主要或关键产品介绍、生产场所及服务流程等。</w:t>
      </w:r>
    </w:p>
    <w:p w14:paraId="79D05A55">
      <w:pPr>
        <w:widowControl w:val="0"/>
        <w:shd w:val="clear" w:color="auto" w:fill="auto"/>
        <w:tabs>
          <w:tab w:val="clear" w:pos="426"/>
        </w:tabs>
        <w:adjustRightInd/>
        <w:snapToGrid/>
        <w:rPr>
          <w:rFonts w:cs="Arial"/>
          <w:b/>
          <w:szCs w:val="21"/>
        </w:rPr>
      </w:pPr>
      <w:r>
        <w:rPr>
          <w:rFonts w:hint="eastAsia" w:cs="Arial"/>
          <w:b/>
          <w:szCs w:val="21"/>
        </w:rPr>
        <w:t>二、供应商资格证明文件</w:t>
      </w:r>
    </w:p>
    <w:p w14:paraId="1808DE88">
      <w:pPr>
        <w:tabs>
          <w:tab w:val="clear" w:pos="426"/>
        </w:tabs>
        <w:spacing w:before="231" w:beforeLines="50"/>
        <w:ind w:firstLine="424" w:firstLineChars="201"/>
        <w:rPr>
          <w:b/>
        </w:rPr>
      </w:pPr>
      <w:r>
        <w:rPr>
          <w:rFonts w:hint="eastAsia"/>
          <w:b/>
        </w:rPr>
        <w:t>1.投标供应商须按本招标文件第一章招标公告第二条“申请人的资格要求”提供相关的资质证明，且已接受报名的单位，不代表资格审查通过。投标文件中未提供或提供不完整、不符合要求的，投标文件将按无效标的情形处理。</w:t>
      </w:r>
    </w:p>
    <w:p w14:paraId="105BD1B0">
      <w:pPr>
        <w:tabs>
          <w:tab w:val="clear" w:pos="426"/>
        </w:tabs>
        <w:spacing w:before="231" w:beforeLines="50"/>
        <w:ind w:firstLine="424" w:firstLineChars="201"/>
        <w:rPr>
          <w:b/>
        </w:rPr>
      </w:pPr>
      <w:r>
        <w:rPr>
          <w:rFonts w:hint="eastAsia"/>
          <w:b/>
        </w:rPr>
        <w:t>2</w:t>
      </w:r>
      <w:r>
        <w:rPr>
          <w:b/>
        </w:rPr>
        <w:t>.</w:t>
      </w:r>
      <w:r>
        <w:rPr>
          <w:rFonts w:hint="eastAsia"/>
          <w:b/>
        </w:rPr>
        <w:t>优惠政策声明函等证明文件（可选）</w:t>
      </w:r>
    </w:p>
    <w:p w14:paraId="77F55542">
      <w:pPr>
        <w:tabs>
          <w:tab w:val="clear" w:pos="426"/>
        </w:tabs>
        <w:spacing w:line="240" w:lineRule="auto"/>
        <w:ind w:firstLine="420"/>
        <w:rPr>
          <w:rFonts w:ascii="Times New Roman" w:hAnsi="Times New Roman" w:cs="Times New Roman"/>
          <w:szCs w:val="21"/>
        </w:rPr>
      </w:pPr>
      <w:r>
        <w:rPr>
          <w:rFonts w:ascii="Times New Roman" w:hAnsi="Times New Roman" w:cs="Times New Roman"/>
          <w:szCs w:val="21"/>
        </w:rPr>
        <w:t>填写指引：</w:t>
      </w:r>
    </w:p>
    <w:p w14:paraId="48C17CCF">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1.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2011〕300号）。</w:t>
      </w:r>
      <w:r>
        <w:rPr>
          <w:rFonts w:hint="eastAsia"/>
          <w:szCs w:val="21"/>
        </w:rPr>
        <w:t>中小企业参加政府采购活动，应当按照国务院批准的《中小企业划型标准规定》（工信部联企业〔2011〕300 号）、《金融业企业划型标准规定》（银发〔2015〕309 号）和《财政部 工业和信息化部关于印发〈政府采购促进中小企业发展管理办法〉的通知》（财库〔2020〕46 号）的规定，出具《中小企业声明函》，《中小企业声明函》中相关企业所属行业应当与采购标的所属行业相一致。该部分内容填写需要参考的相关文件：(1)财政部《政府采购促进中小企业发展管理办法》（财库〔2020〕46号）；(2)《工业和信息化部、国家统计局、国家发展和改革委员会、财政部关于印发中小企业划型标准规定的通知》（工信部联企业〔2011〕300 号，以下简称300号文）。</w:t>
      </w:r>
      <w:r>
        <w:rPr>
          <w:rFonts w:ascii="Times New Roman" w:hAnsi="Times New Roman" w:cs="Times New Roman"/>
          <w:bCs/>
          <w:szCs w:val="21"/>
        </w:rPr>
        <w:t xml:space="preserve">  </w:t>
      </w:r>
    </w:p>
    <w:p w14:paraId="2404F6B5">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2.该部分内容填写需要参考的相关文件（</w:t>
      </w:r>
      <w:r>
        <w:rPr>
          <w:rStyle w:val="98"/>
          <w:rFonts w:ascii="Times New Roman" w:hAnsi="Times New Roman" w:cs="Times New Roman"/>
        </w:rPr>
        <w:t>-</w:t>
      </w:r>
      <w:r>
        <w:fldChar w:fldCharType="begin"/>
      </w:r>
      <w:r>
        <w:instrText xml:space="preserve"> HYPERLINK "http://www.szsszx.com/Files/Editor/file/202106041655230146.rar" </w:instrText>
      </w:r>
      <w:r>
        <w:fldChar w:fldCharType="separate"/>
      </w:r>
      <w:r>
        <w:rPr>
          <w:rStyle w:val="98"/>
          <w:rFonts w:ascii="Times New Roman" w:hAnsi="Times New Roman" w:cs="Times New Roman"/>
          <w:bCs/>
          <w:szCs w:val="21"/>
        </w:rPr>
        <w:t>点此下载</w:t>
      </w:r>
      <w:r>
        <w:rPr>
          <w:rStyle w:val="98"/>
          <w:rFonts w:ascii="Times New Roman" w:hAnsi="Times New Roman" w:cs="Times New Roman"/>
          <w:bCs/>
          <w:szCs w:val="21"/>
        </w:rPr>
        <w:fldChar w:fldCharType="end"/>
      </w:r>
      <w:r>
        <w:rPr>
          <w:rStyle w:val="98"/>
          <w:rFonts w:ascii="Times New Roman" w:hAnsi="Times New Roman" w:cs="Times New Roman"/>
        </w:rPr>
        <w:t>-</w:t>
      </w:r>
      <w:r>
        <w:rPr>
          <w:rFonts w:ascii="Times New Roman" w:hAnsi="Times New Roman" w:cs="Times New Roman"/>
          <w:bCs/>
          <w:szCs w:val="21"/>
        </w:rPr>
        <w:t>）：</w:t>
      </w:r>
    </w:p>
    <w:p w14:paraId="155FCE25">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（1）财政部《关于印发&lt;政府采购促进中小企业发展管理办法&gt;的通知》（财库〔2020〕46号）；</w:t>
      </w:r>
    </w:p>
    <w:p w14:paraId="12E82DE8">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w:t>
      </w:r>
      <w:r>
        <w:rPr>
          <w:rFonts w:hint="eastAsia" w:ascii="Times New Roman" w:cs="Times New Roman"/>
          <w:bCs/>
          <w:szCs w:val="21"/>
          <w:lang w:val="en-US" w:eastAsia="zh-CN"/>
        </w:rPr>
        <w:t>2</w:t>
      </w:r>
      <w:r>
        <w:rPr>
          <w:rFonts w:ascii="Times New Roman" w:hAnsi="Times New Roman" w:cs="Times New Roman"/>
          <w:bCs/>
          <w:szCs w:val="21"/>
        </w:rPr>
        <w:t xml:space="preserve">）《工业和信息化部、国家统计局、国家发展和改革委员会、财政部关于印发中小企业划型标准规定的通知》（工信部联企业〔2011〕300号）。 </w:t>
      </w:r>
    </w:p>
    <w:p w14:paraId="549DA9B2">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3.请依照提供的格式和内容填写声明函，不要随意变更格式或增删内容；满足多项优惠政策的企业，不重复享受多项价格扣除政策。 </w:t>
      </w:r>
    </w:p>
    <w:p w14:paraId="2A95296A">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4.声明函具体填写要求： </w:t>
      </w:r>
    </w:p>
    <w:p w14:paraId="7379967C">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（1）声明是中小企业须填写《中小企业声明函》的以下五项内容（填写位置的字体已加粗）： </w:t>
      </w:r>
    </w:p>
    <w:p w14:paraId="02BE1E8A">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第一处，在下划线上如实填写中型或小型或微型； </w:t>
      </w:r>
    </w:p>
    <w:p w14:paraId="248CAE16">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第二处，在下划线上如实填写中型或小型或微型； </w:t>
      </w:r>
    </w:p>
    <w:p w14:paraId="60240CC4">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第三处，在“采购单位名称”下划线处填写本项目的实际采购单位名称（深圳市深水水务咨询有限公司不是本项目的采购单位，而是本项目的组织实施机构）； </w:t>
      </w:r>
    </w:p>
    <w:p w14:paraId="3A928DCA">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第四处，在“采购项目名称”下划线处填写本项目的实际项目名称（项目名称可在招标公告处查看）； </w:t>
      </w:r>
    </w:p>
    <w:p w14:paraId="5568B02F">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第五处，在“□本企业制造的货物” 或“□提供其他</w:t>
      </w:r>
      <w:r>
        <w:rPr>
          <w:rFonts w:ascii="Times New Roman" w:hAnsi="Times New Roman" w:cs="Times New Roman"/>
          <w:bCs/>
          <w:szCs w:val="21"/>
          <w:u w:val="single"/>
        </w:rPr>
        <w:t>______</w:t>
      </w:r>
      <w:r>
        <w:rPr>
          <w:rFonts w:ascii="Times New Roman" w:hAnsi="Times New Roman" w:cs="Times New Roman"/>
          <w:bCs/>
          <w:szCs w:val="21"/>
        </w:rPr>
        <w:t>企业（请填写：中型、小型、微型）制造的货物”两处中选择一处打√；如选择在“□提供其他</w:t>
      </w:r>
      <w:r>
        <w:rPr>
          <w:rFonts w:ascii="Times New Roman" w:hAnsi="Times New Roman" w:cs="Times New Roman"/>
          <w:bCs/>
          <w:szCs w:val="21"/>
          <w:u w:val="single"/>
        </w:rPr>
        <w:t>______</w:t>
      </w:r>
      <w:r>
        <w:rPr>
          <w:rFonts w:ascii="Times New Roman" w:hAnsi="Times New Roman" w:cs="Times New Roman"/>
          <w:bCs/>
          <w:szCs w:val="21"/>
        </w:rPr>
        <w:t xml:space="preserve">企业（请填写：中型、小型、微型）制造的货物”一处打√，还须在此下划线处如实填写中型或小型或微型； </w:t>
      </w:r>
    </w:p>
    <w:p w14:paraId="59339691">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同时请注意：“□本企业制造的货物” 、“□提供其他</w:t>
      </w:r>
      <w:r>
        <w:rPr>
          <w:rFonts w:ascii="Times New Roman" w:hAnsi="Times New Roman" w:cs="Times New Roman"/>
          <w:bCs/>
          <w:szCs w:val="21"/>
          <w:u w:val="single"/>
        </w:rPr>
        <w:t>______</w:t>
      </w:r>
      <w:r>
        <w:rPr>
          <w:rFonts w:ascii="Times New Roman" w:hAnsi="Times New Roman" w:cs="Times New Roman"/>
          <w:bCs/>
          <w:szCs w:val="21"/>
        </w:rPr>
        <w:t>企业（请填写：中型、小型、微型）制造的货物”中所称的货物是指单一产品采购项目中的货物，或者非单一产品采购项目中的核心产品（货物），不包括使用大型企业注册商标的货物；本项中的货物制造商应当在投标文件“分项报价清单”中明确列明。</w:t>
      </w:r>
    </w:p>
    <w:p w14:paraId="358FB3B3">
      <w:pPr>
        <w:spacing w:line="240" w:lineRule="auto"/>
        <w:ind w:firstLine="422" w:firstLineChars="200"/>
        <w:rPr>
          <w:rFonts w:ascii="Times New Roman" w:hAnsi="Times New Roman" w:cs="Times New Roman"/>
          <w:b/>
          <w:bCs/>
          <w:color w:val="FF0000"/>
        </w:rPr>
      </w:pPr>
      <w:r>
        <w:rPr>
          <w:rFonts w:ascii="Times New Roman" w:hAnsi="Times New Roman" w:cs="Times New Roman"/>
          <w:b/>
          <w:bCs/>
          <w:color w:val="FF0000"/>
        </w:rPr>
        <w:t>《中小企业声明函》中制造商、承接/承建企业所属行业应当与招标文件要求的行业相一致，供应商如有疑问，可根据《国民经济行业分类》（GB/T4754-2002），结合《关 于 印 发 中 小 企 业 划 型 标 准 规 定 的 通 知 》 （ 工 信 部 联 企 业〔2011〕300 号）进行判断。事业单位、社会组织等非企业主体不享受中小企业扶持政策，但事业单位、社会组织等非企业主体提供全部由中小企业制造的货物参加货物采购项目的除外</w:t>
      </w:r>
      <w:r>
        <w:rPr>
          <w:rFonts w:hint="eastAsia" w:ascii="Times New Roman" w:hAnsi="Times New Roman" w:cs="Times New Roman"/>
          <w:b/>
          <w:bCs/>
          <w:color w:val="FF0000"/>
        </w:rPr>
        <w:t>。</w:t>
      </w:r>
    </w:p>
    <w:p w14:paraId="79A5BB8E">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（2）声明是残疾人福利性单位须填写《残疾人福利性单位声明函》的三项内容（填写位置的字体已加粗），具体参照以上《中小企业声明函》填写要求执行。 </w:t>
      </w:r>
    </w:p>
    <w:p w14:paraId="56727348">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 xml:space="preserve">（3）声明是监狱企业须填写《监狱企业声明函》的三项内容（填写位置的字体已加粗），具体参照以上《中小企业声明函》填写要求执行。 </w:t>
      </w:r>
    </w:p>
    <w:p w14:paraId="17C915D1">
      <w:pPr>
        <w:tabs>
          <w:tab w:val="clear" w:pos="426"/>
        </w:tabs>
        <w:spacing w:line="240" w:lineRule="auto"/>
        <w:ind w:left="-2" w:leftChars="-1" w:firstLine="420" w:firstLineChars="200"/>
        <w:rPr>
          <w:rFonts w:ascii="Times New Roman" w:hAnsi="Times New Roman" w:cs="Times New Roman"/>
          <w:bCs/>
          <w:szCs w:val="21"/>
        </w:rPr>
      </w:pPr>
      <w:r>
        <w:rPr>
          <w:rFonts w:ascii="Times New Roman" w:hAnsi="Times New Roman" w:cs="Times New Roman"/>
          <w:bCs/>
          <w:szCs w:val="21"/>
        </w:rPr>
        <w:t>5.声明函的有效性最终由评审委员会判定。</w:t>
      </w:r>
      <w:r>
        <w:rPr>
          <w:rFonts w:ascii="Times New Roman" w:hAnsi="Times New Roman" w:cs="Times New Roman"/>
          <w:szCs w:val="21"/>
        </w:rPr>
        <w:br w:type="page"/>
      </w:r>
    </w:p>
    <w:p w14:paraId="3C0ECF05">
      <w:pPr>
        <w:ind w:firstLine="420"/>
        <w:rPr>
          <w:rFonts w:ascii="Times New Roman" w:hAnsi="Times New Roman" w:cs="Times New Roman"/>
        </w:rPr>
      </w:pPr>
    </w:p>
    <w:p w14:paraId="78D6F643">
      <w:pPr>
        <w:tabs>
          <w:tab w:val="clear" w:pos="426"/>
        </w:tabs>
        <w:spacing w:line="240" w:lineRule="auto"/>
        <w:ind w:firstLine="643"/>
        <w:jc w:val="center"/>
        <w:outlineLvl w:val="3"/>
        <w:rPr>
          <w:rFonts w:ascii="Times New Roman" w:hAnsi="Times New Roman" w:cs="Times New Roman"/>
          <w:b/>
          <w:sz w:val="32"/>
          <w:szCs w:val="32"/>
        </w:rPr>
      </w:pPr>
      <w:r>
        <w:rPr>
          <w:rFonts w:ascii="Times New Roman" w:hAnsi="Times New Roman" w:cs="Times New Roman"/>
          <w:b/>
          <w:sz w:val="32"/>
          <w:szCs w:val="32"/>
        </w:rPr>
        <w:t>（一）中小企业声明函（样表）</w:t>
      </w:r>
    </w:p>
    <w:p w14:paraId="628943A6">
      <w:pPr>
        <w:spacing w:line="240" w:lineRule="auto"/>
        <w:ind w:firstLine="420" w:firstLineChars="200"/>
        <w:jc w:val="left"/>
        <w:rPr>
          <w:rFonts w:ascii="Times New Roman" w:hAnsi="Times New Roman" w:cs="Times New Roman"/>
          <w:szCs w:val="21"/>
        </w:rPr>
      </w:pPr>
    </w:p>
    <w:p w14:paraId="361A0D15">
      <w:pPr>
        <w:spacing w:line="240" w:lineRule="auto"/>
        <w:ind w:firstLine="420" w:firstLineChars="200"/>
        <w:jc w:val="left"/>
        <w:rPr>
          <w:rFonts w:ascii="Times New Roman" w:hAnsi="Times New Roman" w:cs="Times New Roman"/>
          <w:szCs w:val="21"/>
        </w:rPr>
      </w:pPr>
      <w:r>
        <w:rPr>
          <w:rFonts w:ascii="Times New Roman" w:hAnsi="Times New Roman" w:cs="Times New Roman"/>
          <w:szCs w:val="21"/>
        </w:rPr>
        <w:t>本公司郑重声明，根据《关于印发&lt;政府采购促进中小企业发展管理办法&gt;的通知》（财库〔2020〕46号）的规定，本公司（联合体）参加</w:t>
      </w:r>
      <w:r>
        <w:rPr>
          <w:rFonts w:hint="eastAsia" w:ascii="Times New Roman" w:hAnsi="Times New Roman" w:cs="Times New Roman"/>
          <w:szCs w:val="21"/>
          <w:u w:val="single"/>
        </w:rPr>
        <w:t xml:space="preserve"> </w:t>
      </w:r>
      <w:r>
        <w:rPr>
          <w:rFonts w:ascii="Times New Roman" w:hAnsi="Times New Roman" w:cs="Times New Roman"/>
          <w:szCs w:val="21"/>
          <w:u w:val="single"/>
        </w:rPr>
        <w:t xml:space="preserve">(采购单位名称) </w:t>
      </w:r>
      <w:r>
        <w:rPr>
          <w:rFonts w:ascii="Times New Roman" w:hAnsi="Times New Roman" w:cs="Times New Roman"/>
          <w:szCs w:val="21"/>
        </w:rPr>
        <w:t>的</w:t>
      </w:r>
      <w:r>
        <w:rPr>
          <w:rFonts w:ascii="Times New Roman" w:hAnsi="Times New Roman" w:cs="Times New Roman"/>
          <w:szCs w:val="21"/>
          <w:u w:val="single"/>
        </w:rPr>
        <w:t>（采购项目名称）</w:t>
      </w:r>
      <w:r>
        <w:rPr>
          <w:rFonts w:hint="eastAsia" w:ascii="Times New Roman" w:hAnsi="Times New Roman" w:cs="Times New Roman"/>
          <w:szCs w:val="21"/>
          <w:u w:val="single"/>
        </w:rPr>
        <w:t xml:space="preserve"> </w:t>
      </w:r>
      <w:r>
        <w:rPr>
          <w:rFonts w:ascii="Times New Roman" w:hAnsi="Times New Roman" w:cs="Times New Roman"/>
          <w:szCs w:val="21"/>
        </w:rPr>
        <w:t>采购活动，</w:t>
      </w:r>
      <w:r>
        <w:rPr>
          <w:rFonts w:ascii="Times New Roman" w:hAnsi="Times New Roman" w:cs="Times New Roman"/>
          <w:szCs w:val="21"/>
          <w:u w:val="single"/>
        </w:rPr>
        <w:t>________________________</w:t>
      </w:r>
      <w:r>
        <w:rPr>
          <w:rFonts w:ascii="Times New Roman" w:hAnsi="Times New Roman" w:cs="Times New Roman"/>
          <w:szCs w:val="21"/>
        </w:rPr>
        <w:t>（填写说明：货物类：提供的货物全部由符合政策要求的中小企业制造。服务类：服务全部由符合政策要求的中小企业承接。工程类：工程的施工单位全部为符合政策要求的中小企业。）相关企业（含联合体中的中小企业、签订分包意向协议的中小企业）的具体情况如下：</w:t>
      </w:r>
    </w:p>
    <w:p w14:paraId="2C82D569">
      <w:pPr>
        <w:spacing w:line="240" w:lineRule="auto"/>
        <w:ind w:firstLine="420" w:firstLineChars="200"/>
        <w:jc w:val="left"/>
        <w:rPr>
          <w:rFonts w:ascii="Times New Roman" w:hAnsi="Times New Roman" w:cs="Times New Roman"/>
          <w:szCs w:val="21"/>
        </w:rPr>
      </w:pPr>
      <w:r>
        <w:rPr>
          <w:rFonts w:ascii="Times New Roman" w:hAnsi="Times New Roman" w:cs="Times New Roman"/>
          <w:szCs w:val="21"/>
        </w:rPr>
        <w:t>1.（标的名称），属于（采购文件中明确的所属行业）；承建（承接）企业为（企业名称），从业人员</w:t>
      </w:r>
      <w:r>
        <w:rPr>
          <w:rFonts w:ascii="Times New Roman" w:hAnsi="Times New Roman" w:cs="Times New Roman"/>
          <w:szCs w:val="21"/>
          <w:u w:val="single"/>
        </w:rPr>
        <w:t>____</w:t>
      </w:r>
      <w:r>
        <w:rPr>
          <w:rFonts w:ascii="Times New Roman" w:hAnsi="Times New Roman" w:cs="Times New Roman"/>
          <w:szCs w:val="21"/>
        </w:rPr>
        <w:t>人，营业收入为</w:t>
      </w:r>
      <w:r>
        <w:rPr>
          <w:rFonts w:ascii="Times New Roman" w:hAnsi="Times New Roman" w:cs="Times New Roman"/>
          <w:szCs w:val="21"/>
          <w:u w:val="single"/>
        </w:rPr>
        <w:t>____</w:t>
      </w:r>
      <w:r>
        <w:rPr>
          <w:rFonts w:ascii="Times New Roman" w:hAnsi="Times New Roman" w:cs="Times New Roman"/>
          <w:szCs w:val="21"/>
        </w:rPr>
        <w:t>万元，资产总额为</w:t>
      </w:r>
      <w:r>
        <w:rPr>
          <w:rFonts w:ascii="Times New Roman" w:hAnsi="Times New Roman" w:cs="Times New Roman"/>
          <w:szCs w:val="21"/>
          <w:u w:val="single"/>
        </w:rPr>
        <w:t>____</w:t>
      </w:r>
      <w:r>
        <w:rPr>
          <w:rFonts w:ascii="Times New Roman" w:hAnsi="Times New Roman" w:cs="Times New Roman"/>
          <w:szCs w:val="21"/>
        </w:rPr>
        <w:t>万元1，属于（中型企业、小型企业、微型企业）；</w:t>
      </w:r>
    </w:p>
    <w:p w14:paraId="311010F7">
      <w:pPr>
        <w:spacing w:line="240" w:lineRule="auto"/>
        <w:ind w:firstLine="420" w:firstLineChars="200"/>
        <w:jc w:val="left"/>
        <w:rPr>
          <w:rFonts w:ascii="Times New Roman" w:hAnsi="Times New Roman" w:cs="Times New Roman"/>
          <w:szCs w:val="21"/>
        </w:rPr>
      </w:pPr>
      <w:r>
        <w:rPr>
          <w:rFonts w:ascii="Times New Roman" w:hAnsi="Times New Roman" w:cs="Times New Roman"/>
          <w:szCs w:val="21"/>
        </w:rPr>
        <w:t>2.（标的名称），属于（采购文件中明确的所属行业）；承建（承接）企业为（企业名称），从业人员</w:t>
      </w:r>
      <w:r>
        <w:rPr>
          <w:rFonts w:ascii="Times New Roman" w:hAnsi="Times New Roman" w:cs="Times New Roman"/>
          <w:szCs w:val="21"/>
          <w:u w:val="single"/>
        </w:rPr>
        <w:t>____</w:t>
      </w:r>
      <w:r>
        <w:rPr>
          <w:rFonts w:ascii="Times New Roman" w:hAnsi="Times New Roman" w:cs="Times New Roman"/>
          <w:szCs w:val="21"/>
        </w:rPr>
        <w:t>人，营业收入为</w:t>
      </w:r>
      <w:r>
        <w:rPr>
          <w:rFonts w:ascii="Times New Roman" w:hAnsi="Times New Roman" w:cs="Times New Roman"/>
          <w:szCs w:val="21"/>
          <w:u w:val="single"/>
        </w:rPr>
        <w:t>____</w:t>
      </w:r>
      <w:r>
        <w:rPr>
          <w:rFonts w:ascii="Times New Roman" w:hAnsi="Times New Roman" w:cs="Times New Roman"/>
          <w:szCs w:val="21"/>
        </w:rPr>
        <w:t>万元，资产总额为</w:t>
      </w:r>
      <w:r>
        <w:rPr>
          <w:rFonts w:ascii="Times New Roman" w:hAnsi="Times New Roman" w:cs="Times New Roman"/>
          <w:szCs w:val="21"/>
          <w:u w:val="single"/>
        </w:rPr>
        <w:t>____</w:t>
      </w:r>
      <w:r>
        <w:rPr>
          <w:rFonts w:ascii="Times New Roman" w:hAnsi="Times New Roman" w:cs="Times New Roman"/>
          <w:szCs w:val="21"/>
        </w:rPr>
        <w:t>万元，属于（中型企业、小型企业、微型企业）；</w:t>
      </w:r>
    </w:p>
    <w:p w14:paraId="64F64158">
      <w:pPr>
        <w:spacing w:line="240" w:lineRule="auto"/>
        <w:ind w:firstLine="420" w:firstLineChars="200"/>
        <w:jc w:val="left"/>
        <w:rPr>
          <w:rFonts w:ascii="Times New Roman" w:hAnsi="Times New Roman" w:cs="Times New Roman"/>
          <w:szCs w:val="21"/>
        </w:rPr>
      </w:pPr>
      <w:r>
        <w:rPr>
          <w:rFonts w:ascii="Times New Roman" w:hAnsi="Times New Roman" w:cs="Times New Roman"/>
          <w:szCs w:val="21"/>
        </w:rPr>
        <w:t>……</w:t>
      </w:r>
    </w:p>
    <w:p w14:paraId="53933574">
      <w:pPr>
        <w:spacing w:line="240" w:lineRule="auto"/>
        <w:ind w:firstLine="420" w:firstLineChars="200"/>
        <w:jc w:val="left"/>
        <w:rPr>
          <w:rFonts w:ascii="Times New Roman" w:hAnsi="Times New Roman" w:cs="Times New Roman"/>
          <w:szCs w:val="21"/>
        </w:rPr>
      </w:pPr>
      <w:r>
        <w:rPr>
          <w:rFonts w:ascii="Times New Roman" w:hAnsi="Times New Roman" w:cs="Times New Roman"/>
          <w:szCs w:val="21"/>
        </w:rPr>
        <w:t>以上企业，不属于大企业的分支机构，不存在控股股东为大企业的情形，也不存在与大企业的负责人为同一人的情形。</w:t>
      </w:r>
    </w:p>
    <w:p w14:paraId="0ABEDA84">
      <w:pPr>
        <w:spacing w:line="240" w:lineRule="auto"/>
        <w:ind w:firstLine="420" w:firstLineChars="200"/>
        <w:jc w:val="left"/>
        <w:rPr>
          <w:rFonts w:ascii="Times New Roman" w:hAnsi="Times New Roman" w:cs="Times New Roman"/>
          <w:szCs w:val="21"/>
        </w:rPr>
      </w:pPr>
      <w:r>
        <w:rPr>
          <w:rFonts w:ascii="Times New Roman" w:hAnsi="Times New Roman" w:cs="Times New Roman"/>
          <w:szCs w:val="21"/>
        </w:rPr>
        <w:t>本企业对上述声明内容的真实性负责。如有虚假，将依法承担相应责任。</w:t>
      </w:r>
    </w:p>
    <w:p w14:paraId="156CF0F5">
      <w:pPr>
        <w:spacing w:line="240" w:lineRule="auto"/>
        <w:ind w:firstLine="420" w:firstLineChars="200"/>
        <w:jc w:val="left"/>
        <w:rPr>
          <w:rFonts w:ascii="Times New Roman" w:hAnsi="Times New Roman" w:cs="Times New Roman"/>
          <w:szCs w:val="21"/>
        </w:rPr>
      </w:pPr>
    </w:p>
    <w:p w14:paraId="0BE25CC4">
      <w:pPr>
        <w:spacing w:line="240" w:lineRule="auto"/>
        <w:ind w:firstLine="420" w:firstLineChars="200"/>
        <w:jc w:val="left"/>
        <w:rPr>
          <w:rFonts w:ascii="Times New Roman" w:hAnsi="Times New Roman" w:cs="Times New Roman"/>
          <w:szCs w:val="21"/>
        </w:rPr>
      </w:pPr>
      <w:r>
        <w:rPr>
          <w:rFonts w:ascii="Times New Roman" w:hAnsi="Times New Roman" w:cs="Times New Roman"/>
          <w:szCs w:val="21"/>
        </w:rPr>
        <w:t>企业名称（盖章）：</w:t>
      </w:r>
    </w:p>
    <w:p w14:paraId="5192D0CE">
      <w:pPr>
        <w:spacing w:line="240" w:lineRule="auto"/>
        <w:ind w:firstLine="420" w:firstLineChars="200"/>
        <w:jc w:val="left"/>
        <w:rPr>
          <w:rFonts w:ascii="Times New Roman" w:hAnsi="Times New Roman" w:cs="Times New Roman"/>
          <w:szCs w:val="21"/>
        </w:rPr>
      </w:pPr>
      <w:r>
        <w:rPr>
          <w:rFonts w:ascii="Times New Roman" w:hAnsi="Times New Roman" w:cs="Times New Roman"/>
          <w:szCs w:val="21"/>
        </w:rPr>
        <w:t>日期：</w:t>
      </w:r>
    </w:p>
    <w:p w14:paraId="3AAD7A21">
      <w:pPr>
        <w:spacing w:line="240" w:lineRule="auto"/>
        <w:ind w:firstLine="420" w:firstLineChars="200"/>
        <w:jc w:val="left"/>
        <w:rPr>
          <w:rFonts w:ascii="Times New Roman" w:hAnsi="Times New Roman" w:cs="Times New Roman"/>
          <w:szCs w:val="21"/>
        </w:rPr>
      </w:pPr>
    </w:p>
    <w:p w14:paraId="7D015103">
      <w:pPr>
        <w:spacing w:line="240" w:lineRule="auto"/>
        <w:ind w:firstLine="420" w:firstLineChars="200"/>
        <w:jc w:val="left"/>
        <w:rPr>
          <w:rFonts w:ascii="Times New Roman" w:hAnsi="Times New Roman" w:cs="Times New Roman"/>
          <w:szCs w:val="21"/>
        </w:rPr>
      </w:pPr>
      <w:r>
        <w:rPr>
          <w:rFonts w:ascii="Times New Roman" w:hAnsi="Times New Roman" w:cs="Times New Roman"/>
          <w:szCs w:val="21"/>
        </w:rPr>
        <w:t>备注：1、从业人员、营业收入、资产总额填报上一年度数据，无上一年度数据的新成立企业可不填报。</w:t>
      </w:r>
    </w:p>
    <w:p w14:paraId="42C0680D">
      <w:pPr>
        <w:ind w:firstLine="420"/>
        <w:rPr>
          <w:rFonts w:ascii="Times New Roman" w:hAnsi="Times New Roman" w:cs="Times New Roman"/>
        </w:rPr>
      </w:pPr>
    </w:p>
    <w:p w14:paraId="02E0A52B">
      <w:pPr>
        <w:ind w:firstLine="420"/>
        <w:rPr>
          <w:rFonts w:ascii="Times New Roman" w:hAnsi="Times New Roman" w:cs="Times New Roman"/>
        </w:rPr>
      </w:pPr>
    </w:p>
    <w:p w14:paraId="14D35A32">
      <w:pPr>
        <w:ind w:firstLine="420"/>
        <w:rPr>
          <w:rFonts w:ascii="Times New Roman" w:hAnsi="Times New Roman" w:cs="Times New Roman"/>
        </w:rPr>
      </w:pPr>
    </w:p>
    <w:p w14:paraId="5C146014">
      <w:pPr>
        <w:spacing w:line="240" w:lineRule="auto"/>
        <w:ind w:firstLine="643"/>
        <w:jc w:val="center"/>
        <w:outlineLvl w:val="3"/>
        <w:rPr>
          <w:rFonts w:ascii="Times New Roman" w:hAnsi="Times New Roman" w:cs="Times New Roman"/>
          <w:b/>
          <w:sz w:val="32"/>
          <w:szCs w:val="32"/>
        </w:rPr>
      </w:pPr>
      <w:r>
        <w:rPr>
          <w:rFonts w:ascii="Times New Roman" w:hAnsi="Times New Roman" w:cs="Times New Roman"/>
          <w:b/>
          <w:sz w:val="32"/>
          <w:szCs w:val="32"/>
        </w:rPr>
        <w:t>（二）残疾人福利性单位声明函（样表）</w:t>
      </w:r>
    </w:p>
    <w:p w14:paraId="50373F3A">
      <w:pPr>
        <w:spacing w:line="240" w:lineRule="auto"/>
        <w:ind w:firstLine="420" w:firstLineChars="200"/>
        <w:rPr>
          <w:rFonts w:ascii="Times New Roman" w:hAnsi="Times New Roman" w:cs="Times New Roman"/>
          <w:szCs w:val="21"/>
        </w:rPr>
      </w:pPr>
    </w:p>
    <w:p w14:paraId="3D903447">
      <w:pPr>
        <w:spacing w:line="240" w:lineRule="auto"/>
        <w:ind w:firstLine="420" w:firstLineChars="200"/>
        <w:rPr>
          <w:rFonts w:ascii="Times New Roman" w:hAnsi="Times New Roman" w:cs="Times New Roman"/>
          <w:szCs w:val="21"/>
        </w:rPr>
      </w:pPr>
      <w:r>
        <w:rPr>
          <w:rFonts w:ascii="Times New Roman" w:hAnsi="Times New Roman" w:cs="Times New Roman"/>
          <w:szCs w:val="21"/>
        </w:rPr>
        <w:t>本单位郑重声明，根据《财政部民政部中国残疾人联合会关于促进残疾人就业政府采购政策的通知》（财库〔2017〕141</w:t>
      </w:r>
      <w:r>
        <w:rPr>
          <w:rFonts w:ascii="Times New Roman" w:hAnsi="Times New Roman" w:cs="Times New Roman"/>
          <w:szCs w:val="21"/>
          <w:u w:val="single"/>
        </w:rPr>
        <w:t>_</w:t>
      </w:r>
      <w:r>
        <w:rPr>
          <w:rFonts w:ascii="Times New Roman" w:hAnsi="Times New Roman" w:cs="Times New Roman"/>
          <w:szCs w:val="21"/>
        </w:rPr>
        <w:t>号）的规定，本单位为符合条件的残疾人福利性单位，且本单位参加</w:t>
      </w:r>
      <w:r>
        <w:rPr>
          <w:rFonts w:ascii="Times New Roman" w:hAnsi="Times New Roman" w:cs="Times New Roman"/>
          <w:szCs w:val="21"/>
          <w:u w:val="single"/>
        </w:rPr>
        <w:t>_（采购单位名称）_</w:t>
      </w:r>
      <w:r>
        <w:rPr>
          <w:rFonts w:ascii="Times New Roman" w:hAnsi="Times New Roman" w:cs="Times New Roman"/>
          <w:szCs w:val="21"/>
        </w:rPr>
        <w:t>单位的</w:t>
      </w:r>
      <w:r>
        <w:rPr>
          <w:rFonts w:ascii="Times New Roman" w:hAnsi="Times New Roman" w:cs="Times New Roman"/>
          <w:szCs w:val="21"/>
          <w:u w:val="single"/>
        </w:rPr>
        <w:t>_（采购项目名称）</w:t>
      </w:r>
      <w:r>
        <w:rPr>
          <w:rFonts w:ascii="Times New Roman" w:hAnsi="Times New Roman" w:cs="Times New Roman"/>
          <w:szCs w:val="21"/>
        </w:rPr>
        <w:t>项目采购活动，并提供:□本单位制造的货物;□由本单位承担的工程、提供服务;□提供其他残疾人福利性单位制造的货物（承诺人在□处打√）。本条所称货物是指单一产品采购项目中的货物，或者非单一产品采购项目中的核心产品（货物），不包括使用非残疾人福利性单位注册商标的货物。本单位对上述声明的真实性负责。如有虚假，将依法承担相应责任。</w:t>
      </w:r>
    </w:p>
    <w:p w14:paraId="528A7DDE">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单位名称（盖章）：</w:t>
      </w:r>
      <w:r>
        <w:rPr>
          <w:rFonts w:ascii="Times New Roman" w:hAnsi="Times New Roman" w:cs="Times New Roman"/>
          <w:szCs w:val="21"/>
          <w:u w:val="single"/>
        </w:rPr>
        <w:t>__________________</w:t>
      </w:r>
    </w:p>
    <w:p w14:paraId="15A22E9D">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w:t>
      </w:r>
    </w:p>
    <w:p w14:paraId="6B0B6C78">
      <w:pPr>
        <w:spacing w:line="240" w:lineRule="auto"/>
        <w:ind w:firstLine="420" w:firstLineChars="200"/>
        <w:jc w:val="right"/>
        <w:rPr>
          <w:rFonts w:ascii="Times New Roman" w:hAnsi="Times New Roman" w:cs="Times New Roman"/>
          <w:szCs w:val="21"/>
        </w:rPr>
      </w:pPr>
    </w:p>
    <w:p w14:paraId="7C36C96D">
      <w:pPr>
        <w:spacing w:line="240" w:lineRule="auto"/>
        <w:ind w:firstLine="420" w:firstLineChars="200"/>
        <w:jc w:val="right"/>
        <w:rPr>
          <w:rFonts w:ascii="Times New Roman" w:hAnsi="Times New Roman" w:cs="Times New Roman"/>
          <w:szCs w:val="21"/>
        </w:rPr>
      </w:pPr>
    </w:p>
    <w:p w14:paraId="51B7FCC7">
      <w:pPr>
        <w:spacing w:line="240" w:lineRule="auto"/>
        <w:ind w:firstLine="420" w:firstLineChars="200"/>
        <w:jc w:val="right"/>
        <w:rPr>
          <w:rFonts w:ascii="Times New Roman" w:hAnsi="Times New Roman" w:cs="Times New Roman"/>
          <w:szCs w:val="21"/>
        </w:rPr>
      </w:pPr>
    </w:p>
    <w:p w14:paraId="647DBA93">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br w:type="page"/>
      </w:r>
    </w:p>
    <w:p w14:paraId="68731E00">
      <w:pPr>
        <w:ind w:firstLine="420"/>
        <w:rPr>
          <w:rFonts w:ascii="Times New Roman" w:hAnsi="Times New Roman" w:cs="Times New Roman"/>
        </w:rPr>
      </w:pPr>
    </w:p>
    <w:p w14:paraId="12BF9B60">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（三）省级以上监狱管理局、戒毒管理局（含新疆生产建设兵团）出具的属于监狱企业的证明文件（样表）</w:t>
      </w:r>
    </w:p>
    <w:p w14:paraId="5F840DD5">
      <w:pPr>
        <w:spacing w:line="240" w:lineRule="auto"/>
        <w:ind w:firstLine="420" w:firstLineChars="200"/>
        <w:rPr>
          <w:rFonts w:ascii="Times New Roman" w:hAnsi="Times New Roman" w:cs="Times New Roman"/>
          <w:szCs w:val="21"/>
        </w:rPr>
      </w:pPr>
    </w:p>
    <w:p w14:paraId="59412562">
      <w:pPr>
        <w:spacing w:line="240" w:lineRule="auto"/>
        <w:ind w:firstLine="420" w:firstLineChars="200"/>
        <w:rPr>
          <w:rFonts w:ascii="Times New Roman" w:hAnsi="Times New Roman" w:cs="Times New Roman"/>
          <w:szCs w:val="21"/>
        </w:rPr>
      </w:pPr>
      <w:r>
        <w:rPr>
          <w:rFonts w:ascii="Times New Roman" w:hAnsi="Times New Roman" w:cs="Times New Roman"/>
          <w:szCs w:val="21"/>
        </w:rPr>
        <w:t>本单位郑重声明，根据《财政部司法部关于政府采购支持监狱企业发展有关问题的通知》（财库〔2014〕68号）的规定，本单位为符合条件的监狱企业，且本单位参加</w:t>
      </w:r>
      <w:r>
        <w:rPr>
          <w:rFonts w:ascii="Times New Roman" w:hAnsi="Times New Roman" w:cs="Times New Roman"/>
          <w:szCs w:val="21"/>
          <w:u w:val="single"/>
        </w:rPr>
        <w:t>（采购单位名称）</w:t>
      </w:r>
      <w:r>
        <w:rPr>
          <w:rFonts w:ascii="Times New Roman" w:hAnsi="Times New Roman" w:cs="Times New Roman"/>
          <w:szCs w:val="21"/>
        </w:rPr>
        <w:t>单位的</w:t>
      </w:r>
      <w:r>
        <w:rPr>
          <w:rFonts w:ascii="Times New Roman" w:hAnsi="Times New Roman" w:cs="Times New Roman"/>
          <w:szCs w:val="21"/>
          <w:u w:val="single"/>
        </w:rPr>
        <w:t>（采购项目名称）</w:t>
      </w:r>
      <w:r>
        <w:rPr>
          <w:rFonts w:ascii="Times New Roman" w:hAnsi="Times New Roman" w:cs="Times New Roman"/>
          <w:szCs w:val="21"/>
        </w:rPr>
        <w:t>项目采购活动，并提供:□本单位制造的货物;□由本单位承担的工程、提供服务;□提供其他监狱企业制造的货物（承诺人在□处打√）。本条所称货物是指单一产品采购项目中的货物，或者非单一产品采购项目中的核心产品（货物）。</w:t>
      </w:r>
    </w:p>
    <w:p w14:paraId="0BC79C84">
      <w:pPr>
        <w:spacing w:line="240" w:lineRule="auto"/>
        <w:ind w:firstLine="420" w:firstLineChars="200"/>
        <w:rPr>
          <w:rFonts w:ascii="Times New Roman" w:hAnsi="Times New Roman" w:cs="Times New Roman"/>
          <w:szCs w:val="21"/>
        </w:rPr>
      </w:pPr>
      <w:r>
        <w:rPr>
          <w:rFonts w:ascii="Times New Roman" w:hAnsi="Times New Roman" w:cs="Times New Roman"/>
          <w:szCs w:val="21"/>
        </w:rPr>
        <w:t>本单位对上述声明的真实性负责。如有虚假，将依法承担相应责任。</w:t>
      </w:r>
    </w:p>
    <w:p w14:paraId="1AAEAAFE">
      <w:pPr>
        <w:spacing w:line="240" w:lineRule="auto"/>
        <w:ind w:firstLine="420" w:firstLineChars="200"/>
        <w:rPr>
          <w:rFonts w:ascii="Times New Roman" w:hAnsi="Times New Roman" w:cs="Times New Roman"/>
          <w:szCs w:val="21"/>
        </w:rPr>
      </w:pPr>
      <w:r>
        <w:rPr>
          <w:rFonts w:ascii="Times New Roman" w:hAnsi="Times New Roman" w:cs="Times New Roman"/>
          <w:szCs w:val="21"/>
        </w:rPr>
        <w:t>附：省级以上监狱管理局、戒毒管理局（含新疆生产建设兵团）出具的监狱企业证明文件。</w:t>
      </w:r>
    </w:p>
    <w:p w14:paraId="1E8EACA1">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单位名称（盖章）：</w:t>
      </w:r>
      <w:r>
        <w:rPr>
          <w:rFonts w:ascii="Times New Roman" w:hAnsi="Times New Roman" w:cs="Times New Roman"/>
          <w:szCs w:val="21"/>
          <w:u w:val="single"/>
        </w:rPr>
        <w:t>__________________</w:t>
      </w:r>
    </w:p>
    <w:p w14:paraId="30398110">
      <w:pPr>
        <w:spacing w:line="240" w:lineRule="auto"/>
        <w:ind w:firstLine="420" w:firstLineChars="200"/>
        <w:jc w:val="righ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w:t>
      </w:r>
    </w:p>
    <w:p w14:paraId="2AE978D7">
      <w:pPr>
        <w:ind w:firstLine="420"/>
        <w:rPr>
          <w:rFonts w:ascii="Times New Roman" w:hAnsi="Times New Roman" w:cs="Times New Roman"/>
        </w:rPr>
      </w:pPr>
    </w:p>
    <w:p w14:paraId="53229CA5">
      <w:pPr>
        <w:ind w:firstLine="420"/>
        <w:rPr>
          <w:rFonts w:ascii="Times New Roman" w:hAnsi="Times New Roman" w:cs="Times New Roman"/>
        </w:rPr>
      </w:pPr>
    </w:p>
    <w:p w14:paraId="459E3489">
      <w:pPr>
        <w:ind w:firstLine="420"/>
        <w:rPr>
          <w:rFonts w:ascii="Times New Roman" w:hAnsi="Times New Roman" w:cs="Times New Roman"/>
        </w:rPr>
      </w:pPr>
    </w:p>
    <w:p w14:paraId="2D66747B">
      <w:pPr>
        <w:spacing w:line="240" w:lineRule="auto"/>
        <w:ind w:firstLine="643" w:firstLineChars="200"/>
        <w:jc w:val="center"/>
        <w:rPr>
          <w:rFonts w:ascii="Times New Roman" w:hAnsi="Times New Roman" w:cs="Times New Roman"/>
          <w:b/>
          <w:sz w:val="32"/>
          <w:szCs w:val="32"/>
        </w:rPr>
      </w:pPr>
      <w:r>
        <w:rPr>
          <w:rFonts w:ascii="Times New Roman" w:hAnsi="Times New Roman" w:cs="Times New Roman"/>
          <w:b/>
          <w:sz w:val="32"/>
          <w:szCs w:val="32"/>
        </w:rPr>
        <w:t>（四）含有小型、微型企业的联合体声明函（样表）</w:t>
      </w:r>
    </w:p>
    <w:p w14:paraId="13BC8151">
      <w:pPr>
        <w:spacing w:line="240" w:lineRule="auto"/>
        <w:ind w:firstLine="420" w:firstLineChars="200"/>
        <w:rPr>
          <w:rFonts w:ascii="Times New Roman" w:hAnsi="Times New Roman" w:cs="Times New Roman"/>
          <w:szCs w:val="21"/>
        </w:rPr>
      </w:pPr>
    </w:p>
    <w:p w14:paraId="2CE0D5A8">
      <w:pPr>
        <w:spacing w:line="240" w:lineRule="auto"/>
        <w:ind w:firstLine="420" w:firstLineChars="200"/>
        <w:rPr>
          <w:rFonts w:ascii="Times New Roman" w:hAnsi="Times New Roman" w:cs="Times New Roman"/>
          <w:szCs w:val="21"/>
        </w:rPr>
      </w:pPr>
      <w:r>
        <w:rPr>
          <w:rFonts w:ascii="Times New Roman" w:hAnsi="Times New Roman" w:cs="Times New Roman"/>
          <w:szCs w:val="21"/>
        </w:rPr>
        <w:t>1.</w:t>
      </w:r>
      <w:r>
        <w:rPr>
          <w:rFonts w:ascii="Times New Roman" w:hAnsi="Times New Roman" w:cs="Times New Roman"/>
          <w:szCs w:val="21"/>
          <w:u w:val="single"/>
        </w:rPr>
        <w:t>___</w:t>
      </w:r>
      <w:r>
        <w:rPr>
          <w:rFonts w:ascii="Times New Roman" w:hAnsi="Times New Roman" w:cs="Times New Roman"/>
          <w:szCs w:val="21"/>
        </w:rPr>
        <w:t>（供应商名称、供应商名称）</w:t>
      </w:r>
      <w:r>
        <w:rPr>
          <w:rFonts w:ascii="Times New Roman" w:hAnsi="Times New Roman" w:cs="Times New Roman"/>
          <w:szCs w:val="21"/>
          <w:u w:val="single"/>
        </w:rPr>
        <w:t>____</w:t>
      </w:r>
      <w:r>
        <w:rPr>
          <w:rFonts w:ascii="Times New Roman" w:hAnsi="Times New Roman" w:cs="Times New Roman"/>
          <w:szCs w:val="21"/>
        </w:rPr>
        <w:t>共同组成联合体（详见联合体协议）。根据《工业和信息化部、国家统计局、国家发展和改革委员会、财政部关于印发中小企业划型标准规定的通知》（工信部联企业〔2011〕300</w:t>
      </w:r>
      <w:r>
        <w:rPr>
          <w:rFonts w:ascii="Times New Roman" w:hAnsi="Times New Roman" w:cs="Times New Roman"/>
          <w:szCs w:val="21"/>
          <w:u w:val="single"/>
        </w:rPr>
        <w:t>_</w:t>
      </w:r>
      <w:r>
        <w:rPr>
          <w:rFonts w:ascii="Times New Roman" w:hAnsi="Times New Roman" w:cs="Times New Roman"/>
          <w:szCs w:val="21"/>
        </w:rPr>
        <w:t>号）规定的划分标准，本联合体中：□</w:t>
      </w:r>
      <w:r>
        <w:rPr>
          <w:rFonts w:ascii="Times New Roman" w:hAnsi="Times New Roman" w:cs="Times New Roman"/>
          <w:szCs w:val="21"/>
          <w:u w:val="single"/>
        </w:rPr>
        <w:t>______</w:t>
      </w:r>
      <w:r>
        <w:rPr>
          <w:rFonts w:ascii="Times New Roman" w:hAnsi="Times New Roman" w:cs="Times New Roman"/>
          <w:szCs w:val="21"/>
        </w:rPr>
        <w:t>单位为</w:t>
      </w:r>
      <w:r>
        <w:rPr>
          <w:rFonts w:ascii="Times New Roman" w:hAnsi="Times New Roman" w:cs="Times New Roman"/>
          <w:szCs w:val="21"/>
          <w:u w:val="single"/>
        </w:rPr>
        <w:t>______</w:t>
      </w:r>
      <w:r>
        <w:rPr>
          <w:rFonts w:ascii="Times New Roman" w:hAnsi="Times New Roman" w:cs="Times New Roman"/>
          <w:szCs w:val="21"/>
        </w:rPr>
        <w:t>（请填写：中型、小型、微型）企业，</w:t>
      </w:r>
      <w:r>
        <w:rPr>
          <w:rFonts w:ascii="Times New Roman" w:hAnsi="Times New Roman" w:cs="Times New Roman"/>
          <w:szCs w:val="21"/>
          <w:u w:val="single"/>
        </w:rPr>
        <w:t>______</w:t>
      </w:r>
      <w:r>
        <w:rPr>
          <w:rFonts w:ascii="Times New Roman" w:hAnsi="Times New Roman" w:cs="Times New Roman"/>
          <w:szCs w:val="21"/>
        </w:rPr>
        <w:t>单位为</w:t>
      </w:r>
      <w:r>
        <w:rPr>
          <w:rFonts w:ascii="Times New Roman" w:hAnsi="Times New Roman" w:cs="Times New Roman"/>
          <w:szCs w:val="21"/>
          <w:u w:val="single"/>
        </w:rPr>
        <w:t>______</w:t>
      </w:r>
      <w:r>
        <w:rPr>
          <w:rFonts w:ascii="Times New Roman" w:hAnsi="Times New Roman" w:cs="Times New Roman"/>
          <w:szCs w:val="21"/>
        </w:rPr>
        <w:t>（请填写：中型、小型、微型）企业；□联合体各方均为小微企业（承诺人在□处打√）。</w:t>
      </w:r>
    </w:p>
    <w:p w14:paraId="55A46D53">
      <w:pPr>
        <w:spacing w:line="240" w:lineRule="auto"/>
        <w:ind w:firstLine="420" w:firstLineChars="200"/>
        <w:rPr>
          <w:rFonts w:ascii="Times New Roman" w:hAnsi="Times New Roman" w:cs="Times New Roman"/>
          <w:szCs w:val="21"/>
        </w:rPr>
      </w:pPr>
      <w:r>
        <w:rPr>
          <w:rFonts w:ascii="Times New Roman" w:hAnsi="Times New Roman" w:cs="Times New Roman"/>
          <w:szCs w:val="21"/>
        </w:rPr>
        <w:t>2.本联合体参加</w:t>
      </w:r>
      <w:r>
        <w:rPr>
          <w:rFonts w:ascii="Times New Roman" w:hAnsi="Times New Roman" w:cs="Times New Roman"/>
          <w:szCs w:val="21"/>
          <w:u w:val="single"/>
        </w:rPr>
        <w:t>_（采购单位名称</w:t>
      </w:r>
      <w:r>
        <w:rPr>
          <w:rFonts w:ascii="Times New Roman" w:hAnsi="Times New Roman" w:cs="Times New Roman"/>
          <w:szCs w:val="21"/>
        </w:rPr>
        <w:t>）</w:t>
      </w:r>
      <w:r>
        <w:rPr>
          <w:rFonts w:ascii="Times New Roman" w:hAnsi="Times New Roman" w:cs="Times New Roman"/>
          <w:szCs w:val="21"/>
          <w:u w:val="single"/>
        </w:rPr>
        <w:t>_</w:t>
      </w:r>
      <w:r>
        <w:rPr>
          <w:rFonts w:ascii="Times New Roman" w:hAnsi="Times New Roman" w:cs="Times New Roman"/>
          <w:szCs w:val="21"/>
        </w:rPr>
        <w:t>单位的</w:t>
      </w:r>
      <w:r>
        <w:rPr>
          <w:rFonts w:ascii="Times New Roman" w:hAnsi="Times New Roman" w:cs="Times New Roman"/>
          <w:szCs w:val="21"/>
          <w:u w:val="single"/>
        </w:rPr>
        <w:t>_（采购项目名称）_</w:t>
      </w:r>
      <w:r>
        <w:rPr>
          <w:rFonts w:ascii="Times New Roman" w:hAnsi="Times New Roman" w:cs="Times New Roman"/>
          <w:szCs w:val="21"/>
        </w:rPr>
        <w:t>项目采购活动，其中，小型、微型企业协议合同金额占到联合体协议总金额比例为</w:t>
      </w:r>
      <w:r>
        <w:rPr>
          <w:rFonts w:ascii="Times New Roman" w:hAnsi="Times New Roman" w:cs="Times New Roman"/>
          <w:szCs w:val="21"/>
          <w:u w:val="single"/>
        </w:rPr>
        <w:t>_____</w:t>
      </w:r>
      <w:r>
        <w:rPr>
          <w:rFonts w:ascii="Times New Roman" w:hAnsi="Times New Roman" w:cs="Times New Roman"/>
          <w:szCs w:val="21"/>
        </w:rPr>
        <w:t>%（该合同金额为：□小微企业制造的货物，□小微企业承担的工程、提供服务，□提供其他小微企业制造的货物；不包括使用大型企业注册商标的货物；请承诺人在□处打√），符合《政府采购促进中小企业发展暂行办法》(财库〔2011〕181</w:t>
      </w:r>
      <w:r>
        <w:rPr>
          <w:rFonts w:ascii="Times New Roman" w:hAnsi="Times New Roman" w:cs="Times New Roman"/>
          <w:szCs w:val="21"/>
          <w:u w:val="single"/>
        </w:rPr>
        <w:t>_</w:t>
      </w:r>
      <w:r>
        <w:rPr>
          <w:rFonts w:ascii="Times New Roman" w:hAnsi="Times New Roman" w:cs="Times New Roman"/>
          <w:szCs w:val="21"/>
        </w:rPr>
        <w:t>号)第六条规定的优惠政策。本联合体对上述声明的真实性负责。如有虚假，将依法承担相应责任。</w:t>
      </w:r>
    </w:p>
    <w:p w14:paraId="6376046F">
      <w:pPr>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企业1名称（盖章）：</w:t>
      </w:r>
      <w:r>
        <w:rPr>
          <w:rFonts w:ascii="Times New Roman" w:hAnsi="Times New Roman" w:cs="Times New Roman"/>
          <w:szCs w:val="21"/>
          <w:u w:val="single"/>
        </w:rPr>
        <w:t>_______________________</w:t>
      </w:r>
      <w:r>
        <w:rPr>
          <w:rFonts w:ascii="Times New Roman" w:hAnsi="Times New Roman" w:cs="Times New Roman"/>
          <w:szCs w:val="21"/>
        </w:rPr>
        <w:t xml:space="preserve"> </w:t>
      </w:r>
    </w:p>
    <w:p w14:paraId="2BCEE8BA">
      <w:pPr>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_____________________________________</w:t>
      </w:r>
      <w:r>
        <w:rPr>
          <w:rFonts w:ascii="Times New Roman" w:hAnsi="Times New Roman" w:cs="Times New Roman"/>
          <w:szCs w:val="21"/>
        </w:rPr>
        <w:t xml:space="preserve"> </w:t>
      </w:r>
    </w:p>
    <w:p w14:paraId="2524D00C">
      <w:pPr>
        <w:spacing w:line="240" w:lineRule="auto"/>
        <w:ind w:left="424" w:leftChars="202" w:firstLine="420"/>
        <w:jc w:val="left"/>
        <w:rPr>
          <w:rFonts w:ascii="Times New Roman" w:hAnsi="Times New Roman" w:cs="Times New Roman"/>
          <w:szCs w:val="21"/>
        </w:rPr>
      </w:pPr>
      <w:r>
        <w:rPr>
          <w:rFonts w:ascii="Times New Roman" w:hAnsi="Times New Roman" w:cs="Times New Roman"/>
          <w:szCs w:val="21"/>
        </w:rPr>
        <w:t>企业2名称（盖章）：</w:t>
      </w:r>
      <w:r>
        <w:rPr>
          <w:rFonts w:ascii="Times New Roman" w:hAnsi="Times New Roman" w:cs="Times New Roman"/>
          <w:szCs w:val="21"/>
          <w:u w:val="single"/>
        </w:rPr>
        <w:t>_______________________</w:t>
      </w:r>
    </w:p>
    <w:p w14:paraId="437A5D4D">
      <w:pPr>
        <w:tabs>
          <w:tab w:val="clear" w:pos="426"/>
        </w:tabs>
        <w:spacing w:line="240" w:lineRule="auto"/>
        <w:ind w:left="424" w:leftChars="202" w:firstLine="420"/>
        <w:rPr>
          <w:rFonts w:ascii="Times New Roman" w:hAnsi="Times New Roman" w:cs="Times New Roman"/>
          <w:szCs w:val="21"/>
        </w:rPr>
      </w:pPr>
      <w:r>
        <w:rPr>
          <w:rFonts w:ascii="Times New Roman" w:hAnsi="Times New Roman" w:cs="Times New Roman"/>
          <w:szCs w:val="21"/>
        </w:rPr>
        <w:t>日期：</w:t>
      </w:r>
      <w:r>
        <w:rPr>
          <w:rFonts w:ascii="Times New Roman" w:hAnsi="Times New Roman" w:cs="Times New Roman"/>
          <w:szCs w:val="21"/>
          <w:u w:val="single"/>
        </w:rPr>
        <w:t>_____________________________________</w:t>
      </w:r>
    </w:p>
    <w:p w14:paraId="5BB737F8">
      <w:pPr>
        <w:tabs>
          <w:tab w:val="clear" w:pos="426"/>
        </w:tabs>
        <w:spacing w:line="240" w:lineRule="auto"/>
        <w:ind w:left="424" w:leftChars="202" w:firstLine="420"/>
        <w:rPr>
          <w:rFonts w:ascii="Times New Roman" w:hAnsi="Times New Roman" w:cs="Times New Roman"/>
          <w:bCs/>
          <w:szCs w:val="21"/>
        </w:rPr>
      </w:pPr>
      <w:r>
        <w:rPr>
          <w:rFonts w:ascii="Times New Roman" w:hAnsi="Times New Roman" w:cs="Times New Roman"/>
          <w:bCs/>
          <w:szCs w:val="21"/>
        </w:rPr>
        <w:t>……</w:t>
      </w:r>
    </w:p>
    <w:p w14:paraId="65DB2A73">
      <w:pPr>
        <w:tabs>
          <w:tab w:val="clear" w:pos="426"/>
        </w:tabs>
        <w:spacing w:line="500" w:lineRule="exact"/>
        <w:ind w:left="424" w:leftChars="202" w:firstLine="442"/>
        <w:rPr>
          <w:spacing w:val="4"/>
        </w:rPr>
      </w:pPr>
    </w:p>
    <w:p w14:paraId="16B17BDF">
      <w:pPr>
        <w:tabs>
          <w:tab w:val="clear" w:pos="426"/>
        </w:tabs>
        <w:spacing w:before="231" w:beforeLines="50"/>
        <w:ind w:firstLine="424" w:firstLineChars="201"/>
        <w:rPr>
          <w:b/>
        </w:rPr>
      </w:pPr>
    </w:p>
    <w:p w14:paraId="17864D44">
      <w:pPr>
        <w:shd w:val="clear" w:color="auto" w:fill="auto"/>
        <w:tabs>
          <w:tab w:val="clear" w:pos="426"/>
        </w:tabs>
        <w:adjustRightInd/>
        <w:snapToGrid/>
        <w:spacing w:line="240" w:lineRule="auto"/>
        <w:jc w:val="left"/>
        <w:rPr>
          <w:b/>
        </w:rPr>
      </w:pPr>
      <w:r>
        <w:rPr>
          <w:b/>
        </w:rPr>
        <w:br w:type="page"/>
      </w:r>
    </w:p>
    <w:p w14:paraId="648189DC">
      <w:pPr>
        <w:pStyle w:val="4"/>
        <w:numPr>
          <w:ilvl w:val="0"/>
          <w:numId w:val="42"/>
        </w:numPr>
        <w:tabs>
          <w:tab w:val="clear" w:pos="1680"/>
        </w:tabs>
        <w:jc w:val="left"/>
      </w:pPr>
      <w:r>
        <w:rPr>
          <w:rFonts w:hint="eastAsia"/>
        </w:rPr>
        <w:t>、开标一览表</w:t>
      </w:r>
      <w:r>
        <w:t>(</w:t>
      </w:r>
      <w:r>
        <w:rPr>
          <w:rFonts w:hint="eastAsia"/>
        </w:rPr>
        <w:t>报价表</w:t>
      </w:r>
      <w:r>
        <w:t>)</w:t>
      </w:r>
    </w:p>
    <w:p w14:paraId="63EB82D5">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开标一览表</w:t>
      </w:r>
      <w:r>
        <w:rPr>
          <w:rFonts w:cs="Times New Roman"/>
          <w:bCs/>
          <w:kern w:val="2"/>
          <w:sz w:val="32"/>
          <w:szCs w:val="32"/>
        </w:rPr>
        <w:t>(</w:t>
      </w:r>
      <w:r>
        <w:rPr>
          <w:rFonts w:hint="eastAsia" w:cs="Times New Roman"/>
          <w:bCs/>
          <w:kern w:val="2"/>
          <w:sz w:val="32"/>
          <w:szCs w:val="32"/>
        </w:rPr>
        <w:t>报价表</w:t>
      </w:r>
      <w:r>
        <w:rPr>
          <w:rFonts w:cs="Times New Roman"/>
          <w:bCs/>
          <w:kern w:val="2"/>
          <w:sz w:val="32"/>
          <w:szCs w:val="32"/>
        </w:rPr>
        <w:t>)</w:t>
      </w:r>
    </w:p>
    <w:p w14:paraId="26710259">
      <w:pPr>
        <w:tabs>
          <w:tab w:val="clear" w:pos="426"/>
        </w:tabs>
        <w:jc w:val="left"/>
      </w:pPr>
    </w:p>
    <w:p w14:paraId="3B06B4DD">
      <w:pPr>
        <w:tabs>
          <w:tab w:val="clear" w:pos="426"/>
        </w:tabs>
        <w:jc w:val="left"/>
        <w:rPr>
          <w:szCs w:val="21"/>
          <w:u w:val="single"/>
        </w:rPr>
      </w:pPr>
      <w:r>
        <w:rPr>
          <w:rFonts w:hint="eastAsia"/>
        </w:rPr>
        <w:t>项目名称：</w:t>
      </w:r>
      <w:r>
        <w:rPr>
          <w:szCs w:val="21"/>
          <w:u w:val="single"/>
        </w:rPr>
        <w:t>______________________</w:t>
      </w:r>
      <w:r>
        <w:rPr>
          <w:rFonts w:hint="eastAsia"/>
        </w:rPr>
        <w:t>项目编号：</w:t>
      </w:r>
      <w:r>
        <w:rPr>
          <w:szCs w:val="21"/>
          <w:u w:val="single"/>
        </w:rPr>
        <w:t>______________________</w:t>
      </w:r>
    </w:p>
    <w:tbl>
      <w:tblPr>
        <w:tblStyle w:val="85"/>
        <w:tblW w:w="487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3073"/>
        <w:gridCol w:w="3386"/>
        <w:gridCol w:w="1840"/>
      </w:tblGrid>
      <w:tr w14:paraId="2D3D8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50" w:hRule="atLeast"/>
          <w:jc w:val="center"/>
        </w:trPr>
        <w:tc>
          <w:tcPr>
            <w:tcW w:w="548" w:type="pct"/>
            <w:vAlign w:val="center"/>
          </w:tcPr>
          <w:p w14:paraId="7C2FD63E">
            <w:pPr>
              <w:tabs>
                <w:tab w:val="clear" w:pos="426"/>
              </w:tabs>
              <w:spacing w:line="240" w:lineRule="auto"/>
              <w:jc w:val="center"/>
              <w:rPr>
                <w:rFonts w:hAnsi="宋体"/>
                <w:b/>
                <w:szCs w:val="21"/>
              </w:rPr>
            </w:pPr>
            <w:r>
              <w:rPr>
                <w:rFonts w:hint="eastAsia" w:hAnsi="宋体"/>
                <w:b/>
                <w:szCs w:val="21"/>
              </w:rPr>
              <w:t>序号</w:t>
            </w:r>
          </w:p>
        </w:tc>
        <w:tc>
          <w:tcPr>
            <w:tcW w:w="1648" w:type="pct"/>
            <w:vAlign w:val="center"/>
          </w:tcPr>
          <w:p w14:paraId="0AF84930">
            <w:pPr>
              <w:tabs>
                <w:tab w:val="clear" w:pos="426"/>
              </w:tabs>
              <w:spacing w:line="240" w:lineRule="auto"/>
              <w:jc w:val="center"/>
              <w:rPr>
                <w:rFonts w:hAnsi="宋体"/>
                <w:b/>
                <w:szCs w:val="21"/>
              </w:rPr>
            </w:pPr>
            <w:r>
              <w:rPr>
                <w:rFonts w:hint="eastAsia" w:hAnsi="宋体"/>
                <w:b/>
                <w:szCs w:val="21"/>
              </w:rPr>
              <w:t>项目名称</w:t>
            </w:r>
          </w:p>
        </w:tc>
        <w:tc>
          <w:tcPr>
            <w:tcW w:w="1816" w:type="pct"/>
            <w:vAlign w:val="center"/>
          </w:tcPr>
          <w:p w14:paraId="375780E7">
            <w:pPr>
              <w:tabs>
                <w:tab w:val="clear" w:pos="426"/>
              </w:tabs>
              <w:spacing w:line="240" w:lineRule="auto"/>
              <w:jc w:val="center"/>
              <w:rPr>
                <w:rFonts w:hAnsi="宋体"/>
                <w:b/>
                <w:szCs w:val="21"/>
              </w:rPr>
            </w:pPr>
            <w:r>
              <w:rPr>
                <w:rFonts w:hint="eastAsia" w:hAnsi="宋体"/>
                <w:b/>
                <w:szCs w:val="21"/>
              </w:rPr>
              <w:t>投标报价（元）</w:t>
            </w:r>
          </w:p>
        </w:tc>
        <w:tc>
          <w:tcPr>
            <w:tcW w:w="987" w:type="pct"/>
            <w:vAlign w:val="center"/>
          </w:tcPr>
          <w:p w14:paraId="3E28588C">
            <w:pPr>
              <w:tabs>
                <w:tab w:val="clear" w:pos="426"/>
              </w:tabs>
              <w:spacing w:line="240" w:lineRule="auto"/>
              <w:jc w:val="center"/>
              <w:rPr>
                <w:rFonts w:hAnsi="宋体"/>
                <w:b/>
                <w:szCs w:val="21"/>
              </w:rPr>
            </w:pPr>
            <w:r>
              <w:rPr>
                <w:rFonts w:hint="eastAsia" w:hAnsi="宋体"/>
                <w:b/>
                <w:szCs w:val="21"/>
              </w:rPr>
              <w:t>备注</w:t>
            </w:r>
          </w:p>
        </w:tc>
      </w:tr>
      <w:tr w14:paraId="41CFF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548" w:type="pct"/>
            <w:vAlign w:val="center"/>
          </w:tcPr>
          <w:p w14:paraId="5548AB83">
            <w:pPr>
              <w:tabs>
                <w:tab w:val="clear" w:pos="426"/>
              </w:tabs>
              <w:jc w:val="center"/>
              <w:rPr>
                <w:rFonts w:hAnsi="宋体"/>
                <w:bCs/>
                <w:szCs w:val="21"/>
              </w:rPr>
            </w:pPr>
          </w:p>
        </w:tc>
        <w:tc>
          <w:tcPr>
            <w:tcW w:w="1648" w:type="pct"/>
            <w:vAlign w:val="center"/>
          </w:tcPr>
          <w:p w14:paraId="6A91E7D8">
            <w:pPr>
              <w:tabs>
                <w:tab w:val="clear" w:pos="426"/>
              </w:tabs>
              <w:ind w:firstLine="424"/>
              <w:jc w:val="center"/>
              <w:rPr>
                <w:rFonts w:hAnsi="宋体"/>
                <w:b/>
                <w:szCs w:val="21"/>
              </w:rPr>
            </w:pPr>
          </w:p>
        </w:tc>
        <w:tc>
          <w:tcPr>
            <w:tcW w:w="1816" w:type="pct"/>
            <w:vAlign w:val="center"/>
          </w:tcPr>
          <w:p w14:paraId="144628B4">
            <w:pPr>
              <w:tabs>
                <w:tab w:val="clear" w:pos="426"/>
              </w:tabs>
              <w:ind w:firstLine="424"/>
              <w:jc w:val="center"/>
              <w:rPr>
                <w:rFonts w:hAnsi="宋体"/>
                <w:b/>
                <w:szCs w:val="21"/>
              </w:rPr>
            </w:pPr>
          </w:p>
        </w:tc>
        <w:tc>
          <w:tcPr>
            <w:tcW w:w="987" w:type="pct"/>
            <w:vAlign w:val="center"/>
          </w:tcPr>
          <w:p w14:paraId="6460A776">
            <w:pPr>
              <w:tabs>
                <w:tab w:val="clear" w:pos="426"/>
              </w:tabs>
              <w:ind w:firstLine="424"/>
              <w:jc w:val="center"/>
              <w:rPr>
                <w:rFonts w:hAnsi="宋体"/>
                <w:b/>
                <w:szCs w:val="21"/>
              </w:rPr>
            </w:pPr>
          </w:p>
        </w:tc>
      </w:tr>
    </w:tbl>
    <w:p w14:paraId="165E6A0A">
      <w:pPr>
        <w:tabs>
          <w:tab w:val="clear" w:pos="426"/>
        </w:tabs>
        <w:spacing w:line="500" w:lineRule="exact"/>
        <w:jc w:val="left"/>
        <w:rPr>
          <w:spacing w:val="4"/>
        </w:rPr>
      </w:pPr>
    </w:p>
    <w:p w14:paraId="79F3FDDD">
      <w:pPr>
        <w:tabs>
          <w:tab w:val="clear" w:pos="426"/>
        </w:tabs>
        <w:spacing w:line="500" w:lineRule="exact"/>
        <w:jc w:val="left"/>
        <w:rPr>
          <w:u w:val="single"/>
        </w:rPr>
      </w:pPr>
      <w:r>
        <w:rPr>
          <w:rFonts w:hint="eastAsia"/>
          <w:spacing w:val="4"/>
        </w:rPr>
        <w:t>投标供应商名称（</w:t>
      </w:r>
      <w:r>
        <w:rPr>
          <w:rFonts w:hint="eastAsia"/>
        </w:rPr>
        <w:t>单位盖</w:t>
      </w:r>
      <w:r>
        <w:rPr>
          <w:rFonts w:hint="eastAsia"/>
          <w:spacing w:val="4"/>
        </w:rPr>
        <w:t>公章）：</w:t>
      </w:r>
      <w:r>
        <w:rPr>
          <w:spacing w:val="4"/>
          <w:u w:val="single"/>
        </w:rPr>
        <w:t>__________________________</w:t>
      </w:r>
    </w:p>
    <w:p w14:paraId="7F10708B">
      <w:pPr>
        <w:tabs>
          <w:tab w:val="clear" w:pos="426"/>
        </w:tabs>
        <w:spacing w:line="520" w:lineRule="exact"/>
        <w:jc w:val="left"/>
      </w:pPr>
    </w:p>
    <w:p w14:paraId="3653DC3F">
      <w:pPr>
        <w:tabs>
          <w:tab w:val="clear" w:pos="426"/>
        </w:tabs>
        <w:spacing w:line="520" w:lineRule="exact"/>
        <w:jc w:val="left"/>
        <w:rPr>
          <w:spacing w:val="4"/>
        </w:rPr>
      </w:pPr>
      <w:r>
        <w:rPr>
          <w:rFonts w:hint="eastAsia"/>
        </w:rPr>
        <w:t>法定代表人或投标供应商授权代表（签名或盖章）：</w:t>
      </w:r>
      <w:r>
        <w:rPr>
          <w:u w:val="single"/>
        </w:rPr>
        <w:t>_____________</w:t>
      </w:r>
      <w:r>
        <w:rPr>
          <w:rFonts w:hint="eastAsia"/>
          <w:spacing w:val="4"/>
        </w:rPr>
        <w:t>职务：</w:t>
      </w:r>
      <w:r>
        <w:rPr>
          <w:spacing w:val="4"/>
          <w:u w:val="single"/>
        </w:rPr>
        <w:t>_________</w:t>
      </w:r>
      <w:r>
        <w:rPr>
          <w:rFonts w:hint="eastAsia"/>
          <w:spacing w:val="4"/>
        </w:rPr>
        <w:t>日期：</w:t>
      </w:r>
      <w:r>
        <w:rPr>
          <w:spacing w:val="4"/>
          <w:u w:val="single"/>
        </w:rPr>
        <w:t>__________</w:t>
      </w:r>
    </w:p>
    <w:p w14:paraId="61435C0B">
      <w:pPr>
        <w:tabs>
          <w:tab w:val="clear" w:pos="426"/>
        </w:tabs>
        <w:spacing w:line="400" w:lineRule="exact"/>
        <w:jc w:val="left"/>
        <w:rPr>
          <w:b/>
          <w:bCs/>
          <w:szCs w:val="21"/>
        </w:rPr>
      </w:pPr>
      <w:r>
        <w:rPr>
          <w:rFonts w:hint="eastAsia"/>
          <w:b/>
          <w:bCs/>
          <w:szCs w:val="21"/>
        </w:rPr>
        <w:t>备注：</w:t>
      </w:r>
    </w:p>
    <w:p w14:paraId="104D7F10">
      <w:pPr>
        <w:widowControl w:val="0"/>
        <w:numPr>
          <w:ilvl w:val="1"/>
          <w:numId w:val="44"/>
        </w:numPr>
        <w:shd w:val="clear" w:color="auto" w:fill="auto"/>
        <w:tabs>
          <w:tab w:val="clear" w:pos="426"/>
        </w:tabs>
        <w:adjustRightInd/>
        <w:ind w:left="0" w:firstLine="424" w:firstLineChars="201"/>
        <w:rPr>
          <w:b/>
          <w:bCs/>
          <w:szCs w:val="21"/>
        </w:rPr>
      </w:pPr>
      <w:r>
        <w:rPr>
          <w:rFonts w:hint="eastAsia"/>
          <w:b/>
        </w:rPr>
        <w:t>此表为投标文件的组成部分，须附在正、副本的投标文件中，并另封装一份于开标信封中（信封中须同时提供法定代表人证明书、法定代表人授权委托书、被授权人身份证复印件）。</w:t>
      </w:r>
    </w:p>
    <w:p w14:paraId="4B943DBB">
      <w:pPr>
        <w:widowControl w:val="0"/>
        <w:numPr>
          <w:ilvl w:val="1"/>
          <w:numId w:val="44"/>
        </w:numPr>
        <w:shd w:val="clear" w:color="auto" w:fill="auto"/>
        <w:tabs>
          <w:tab w:val="clear" w:pos="426"/>
        </w:tabs>
        <w:adjustRightInd/>
        <w:ind w:left="0" w:firstLine="424" w:firstLineChars="201"/>
        <w:rPr>
          <w:b/>
          <w:bCs/>
          <w:szCs w:val="21"/>
        </w:rPr>
      </w:pPr>
      <w:r>
        <w:rPr>
          <w:rFonts w:hint="eastAsia"/>
          <w:b/>
        </w:rPr>
        <w:t>此表内投标报价为最终价，开标信封及投标文件内不得含有任何对本报价进行修改的其他说明或资料，否则为无效投标</w:t>
      </w:r>
      <w:r>
        <w:rPr>
          <w:rFonts w:hint="eastAsia"/>
          <w:b/>
          <w:bCs/>
          <w:szCs w:val="21"/>
        </w:rPr>
        <w:t>。</w:t>
      </w:r>
    </w:p>
    <w:p w14:paraId="28433767">
      <w:pPr>
        <w:widowControl w:val="0"/>
        <w:numPr>
          <w:ilvl w:val="1"/>
          <w:numId w:val="44"/>
        </w:numPr>
        <w:shd w:val="clear" w:color="auto" w:fill="auto"/>
        <w:tabs>
          <w:tab w:val="clear" w:pos="426"/>
        </w:tabs>
        <w:adjustRightInd/>
        <w:ind w:left="0" w:firstLine="424" w:firstLineChars="201"/>
        <w:rPr>
          <w:b/>
        </w:rPr>
      </w:pPr>
      <w:r>
        <w:rPr>
          <w:rFonts w:hint="eastAsia"/>
          <w:b/>
        </w:rPr>
        <w:t>投标供应商应根据本企业的成本自行决定报价，但不得以低于其企业成本的报价投标；评标时，评标委员会认为投标供应商的报价明显低于其他通过符合性审查投标供应商的报价，有可能影响产品质量或者不能诚信履约的，应当要求其在评标现场合理的时间内提供书面说明，必要时提交相关证明材料；投标供应商不能证明其报价合理性的，评标委员会应当将其作为无效投标处理。</w:t>
      </w:r>
    </w:p>
    <w:p w14:paraId="32EF8B12">
      <w:pPr>
        <w:shd w:val="clear" w:color="auto" w:fill="auto"/>
        <w:tabs>
          <w:tab w:val="clear" w:pos="426"/>
        </w:tabs>
        <w:adjustRightInd/>
        <w:snapToGrid/>
        <w:spacing w:line="240" w:lineRule="auto"/>
        <w:jc w:val="left"/>
        <w:rPr>
          <w:b/>
        </w:rPr>
      </w:pPr>
      <w:r>
        <w:rPr>
          <w:b/>
        </w:rPr>
        <w:br w:type="page"/>
      </w:r>
    </w:p>
    <w:p w14:paraId="2774ED5B">
      <w:pPr>
        <w:pStyle w:val="4"/>
        <w:numPr>
          <w:ilvl w:val="0"/>
          <w:numId w:val="42"/>
        </w:numPr>
        <w:tabs>
          <w:tab w:val="clear" w:pos="1680"/>
        </w:tabs>
        <w:jc w:val="left"/>
      </w:pPr>
      <w:bookmarkStart w:id="118" w:name="_Toc36822692"/>
      <w:bookmarkStart w:id="119" w:name="_Toc14427251"/>
      <w:bookmarkStart w:id="120" w:name="_Toc11165666"/>
      <w:bookmarkStart w:id="121" w:name="_Toc4943774"/>
      <w:bookmarkStart w:id="122" w:name="_Toc480756076"/>
      <w:bookmarkStart w:id="123" w:name="_Toc480755930"/>
      <w:bookmarkStart w:id="124" w:name="_Toc192662843"/>
      <w:bookmarkStart w:id="125" w:name="_Toc480789480"/>
      <w:bookmarkStart w:id="126" w:name="_Toc480754209"/>
      <w:bookmarkStart w:id="127" w:name="_Toc275865611"/>
      <w:r>
        <w:rPr>
          <w:rFonts w:hint="eastAsia"/>
        </w:rPr>
        <w:t>、实质性响应条款偏离表</w:t>
      </w:r>
      <w:bookmarkEnd w:id="118"/>
      <w:bookmarkEnd w:id="119"/>
      <w:bookmarkEnd w:id="120"/>
      <w:bookmarkEnd w:id="121"/>
    </w:p>
    <w:p w14:paraId="60B5E1BD">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实质性响应条款偏离表</w:t>
      </w:r>
    </w:p>
    <w:p w14:paraId="645A58B4">
      <w:pPr>
        <w:tabs>
          <w:tab w:val="clear" w:pos="426"/>
        </w:tabs>
        <w:jc w:val="left"/>
      </w:pPr>
    </w:p>
    <w:p w14:paraId="3E5EA9C2">
      <w:pPr>
        <w:tabs>
          <w:tab w:val="clear" w:pos="426"/>
        </w:tabs>
        <w:jc w:val="left"/>
        <w:rPr>
          <w:szCs w:val="21"/>
          <w:u w:val="single"/>
        </w:rPr>
      </w:pPr>
      <w:r>
        <w:rPr>
          <w:rFonts w:hint="eastAsia"/>
        </w:rPr>
        <w:t>项目名称：</w:t>
      </w:r>
      <w:r>
        <w:rPr>
          <w:szCs w:val="21"/>
          <w:u w:val="single"/>
        </w:rPr>
        <w:t>______________________</w:t>
      </w:r>
      <w:r>
        <w:rPr>
          <w:rFonts w:hint="eastAsia"/>
        </w:rPr>
        <w:t>项目编号：</w:t>
      </w:r>
      <w:r>
        <w:rPr>
          <w:szCs w:val="21"/>
          <w:u w:val="single"/>
        </w:rPr>
        <w:t>______________________</w:t>
      </w:r>
    </w:p>
    <w:tbl>
      <w:tblPr>
        <w:tblStyle w:val="8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9"/>
        <w:gridCol w:w="4021"/>
        <w:gridCol w:w="4021"/>
        <w:gridCol w:w="1099"/>
      </w:tblGrid>
      <w:tr w14:paraId="6B96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 w:type="pct"/>
            <w:vAlign w:val="center"/>
          </w:tcPr>
          <w:p w14:paraId="358F2DF9">
            <w:pPr>
              <w:spacing w:line="240" w:lineRule="auto"/>
              <w:jc w:val="center"/>
              <w:rPr>
                <w:rFonts w:hAnsi="宋体"/>
                <w:szCs w:val="21"/>
              </w:rPr>
            </w:pPr>
            <w:r>
              <w:rPr>
                <w:rFonts w:hint="eastAsia" w:hAnsi="宋体"/>
                <w:szCs w:val="21"/>
              </w:rPr>
              <w:t>序号</w:t>
            </w:r>
          </w:p>
        </w:tc>
        <w:tc>
          <w:tcPr>
            <w:tcW w:w="2100" w:type="pct"/>
            <w:vAlign w:val="center"/>
          </w:tcPr>
          <w:p w14:paraId="11F8A887">
            <w:pPr>
              <w:spacing w:line="240" w:lineRule="auto"/>
              <w:jc w:val="center"/>
              <w:rPr>
                <w:rFonts w:hAnsi="宋体"/>
                <w:szCs w:val="21"/>
              </w:rPr>
            </w:pPr>
            <w:r>
              <w:rPr>
                <w:rFonts w:hint="eastAsia" w:hAnsi="宋体"/>
                <w:szCs w:val="21"/>
              </w:rPr>
              <w:t>采购人要求内容</w:t>
            </w:r>
          </w:p>
        </w:tc>
        <w:tc>
          <w:tcPr>
            <w:tcW w:w="2100" w:type="pct"/>
            <w:vAlign w:val="center"/>
          </w:tcPr>
          <w:p w14:paraId="76BD5056">
            <w:pPr>
              <w:spacing w:line="240" w:lineRule="auto"/>
              <w:jc w:val="center"/>
              <w:rPr>
                <w:rFonts w:hAnsi="宋体"/>
                <w:szCs w:val="21"/>
              </w:rPr>
            </w:pPr>
            <w:r>
              <w:rPr>
                <w:rFonts w:hint="eastAsia" w:hAnsi="宋体"/>
                <w:szCs w:val="21"/>
              </w:rPr>
              <w:t>供应商响应情况</w:t>
            </w:r>
          </w:p>
        </w:tc>
        <w:tc>
          <w:tcPr>
            <w:tcW w:w="574" w:type="pct"/>
            <w:vAlign w:val="center"/>
          </w:tcPr>
          <w:p w14:paraId="57AF006E">
            <w:pPr>
              <w:spacing w:line="240" w:lineRule="auto"/>
              <w:jc w:val="center"/>
              <w:rPr>
                <w:rFonts w:hAnsi="宋体"/>
                <w:szCs w:val="21"/>
              </w:rPr>
            </w:pPr>
            <w:r>
              <w:rPr>
                <w:rFonts w:hint="eastAsia" w:hAnsi="宋体"/>
                <w:szCs w:val="21"/>
              </w:rPr>
              <w:t>偏离情况</w:t>
            </w:r>
          </w:p>
        </w:tc>
      </w:tr>
      <w:tr w14:paraId="43AEB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4" w:type="pct"/>
            <w:vAlign w:val="center"/>
          </w:tcPr>
          <w:p w14:paraId="5AF3D811">
            <w:pPr>
              <w:spacing w:line="240" w:lineRule="auto"/>
              <w:jc w:val="center"/>
              <w:rPr>
                <w:rFonts w:hAnsi="宋体"/>
                <w:szCs w:val="21"/>
              </w:rPr>
            </w:pPr>
            <w:r>
              <w:rPr>
                <w:rFonts w:hAnsi="宋体"/>
                <w:szCs w:val="21"/>
              </w:rPr>
              <w:t>1</w:t>
            </w:r>
          </w:p>
        </w:tc>
        <w:tc>
          <w:tcPr>
            <w:tcW w:w="2100" w:type="pct"/>
            <w:vAlign w:val="center"/>
          </w:tcPr>
          <w:p w14:paraId="652A9E4E">
            <w:pPr>
              <w:widowControl w:val="0"/>
              <w:shd w:val="clear" w:color="auto" w:fill="auto"/>
              <w:tabs>
                <w:tab w:val="clear" w:pos="426"/>
              </w:tabs>
              <w:spacing w:line="240" w:lineRule="auto"/>
              <w:ind w:firstLine="420" w:firstLineChars="200"/>
              <w:rPr>
                <w:rFonts w:hAnsi="宋体" w:cs="Times New Roman"/>
                <w:szCs w:val="21"/>
              </w:rPr>
            </w:pPr>
            <w:r>
              <w:rPr>
                <w:rFonts w:hint="eastAsia"/>
                <w:szCs w:val="21"/>
              </w:rPr>
              <w:t>凡出现《资格性审查表》及《符合性审查表》中情形之一的，将导致投标无效。以评审现场结论为准。</w:t>
            </w:r>
          </w:p>
        </w:tc>
        <w:tc>
          <w:tcPr>
            <w:tcW w:w="2100" w:type="pct"/>
            <w:vAlign w:val="center"/>
          </w:tcPr>
          <w:p w14:paraId="44545924">
            <w:pPr>
              <w:widowControl w:val="0"/>
              <w:shd w:val="clear" w:color="auto" w:fill="auto"/>
              <w:tabs>
                <w:tab w:val="clear" w:pos="426"/>
              </w:tabs>
              <w:spacing w:line="240" w:lineRule="auto"/>
              <w:ind w:firstLine="420" w:firstLineChars="200"/>
              <w:jc w:val="left"/>
              <w:rPr>
                <w:rFonts w:hAnsi="宋体" w:cs="Times New Roman"/>
                <w:szCs w:val="21"/>
              </w:rPr>
            </w:pPr>
          </w:p>
        </w:tc>
        <w:tc>
          <w:tcPr>
            <w:tcW w:w="574" w:type="pct"/>
            <w:vAlign w:val="center"/>
          </w:tcPr>
          <w:p w14:paraId="06AC67D7">
            <w:pPr>
              <w:spacing w:line="240" w:lineRule="auto"/>
              <w:jc w:val="center"/>
              <w:rPr>
                <w:rFonts w:hAnsi="宋体"/>
                <w:szCs w:val="21"/>
              </w:rPr>
            </w:pPr>
          </w:p>
        </w:tc>
      </w:tr>
      <w:tr w14:paraId="4976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 w:hRule="atLeast"/>
          <w:jc w:val="center"/>
        </w:trPr>
        <w:tc>
          <w:tcPr>
            <w:tcW w:w="224" w:type="pct"/>
            <w:vAlign w:val="center"/>
          </w:tcPr>
          <w:p w14:paraId="50901BB4">
            <w:pPr>
              <w:spacing w:line="240" w:lineRule="auto"/>
              <w:jc w:val="center"/>
              <w:rPr>
                <w:rFonts w:hAnsi="宋体"/>
                <w:szCs w:val="21"/>
              </w:rPr>
            </w:pPr>
            <w:r>
              <w:rPr>
                <w:rFonts w:hAnsi="宋体"/>
                <w:szCs w:val="21"/>
              </w:rPr>
              <w:t>2</w:t>
            </w:r>
          </w:p>
        </w:tc>
        <w:tc>
          <w:tcPr>
            <w:tcW w:w="2100" w:type="pct"/>
            <w:shd w:val="clear" w:color="auto" w:fill="auto"/>
            <w:vAlign w:val="center"/>
          </w:tcPr>
          <w:p w14:paraId="00C91995">
            <w:pPr>
              <w:widowControl w:val="0"/>
              <w:shd w:val="clear" w:color="auto" w:fill="auto"/>
              <w:tabs>
                <w:tab w:val="clear" w:pos="426"/>
              </w:tabs>
              <w:spacing w:line="240" w:lineRule="auto"/>
              <w:ind w:firstLine="420" w:firstLineChars="200"/>
              <w:rPr>
                <w:szCs w:val="21"/>
              </w:rPr>
            </w:pPr>
            <w:r>
              <w:rPr>
                <w:rFonts w:hint="eastAsia"/>
                <w:szCs w:val="21"/>
              </w:rPr>
              <w:t>服务期限：自合同签订之日起至2025年12月14日。</w:t>
            </w:r>
          </w:p>
        </w:tc>
        <w:tc>
          <w:tcPr>
            <w:tcW w:w="2100" w:type="pct"/>
            <w:shd w:val="clear" w:color="auto" w:fill="auto"/>
            <w:vAlign w:val="center"/>
          </w:tcPr>
          <w:p w14:paraId="2FF938C4">
            <w:pPr>
              <w:widowControl w:val="0"/>
              <w:shd w:val="clear" w:color="auto" w:fill="auto"/>
              <w:tabs>
                <w:tab w:val="clear" w:pos="426"/>
              </w:tabs>
              <w:spacing w:line="240" w:lineRule="auto"/>
              <w:jc w:val="left"/>
              <w:rPr>
                <w:szCs w:val="21"/>
              </w:rPr>
            </w:pPr>
          </w:p>
        </w:tc>
        <w:tc>
          <w:tcPr>
            <w:tcW w:w="574" w:type="pct"/>
            <w:vAlign w:val="center"/>
          </w:tcPr>
          <w:p w14:paraId="7F0B2BF6">
            <w:pPr>
              <w:spacing w:line="240" w:lineRule="auto"/>
              <w:jc w:val="center"/>
              <w:rPr>
                <w:rFonts w:hAnsi="宋体"/>
                <w:b/>
                <w:szCs w:val="21"/>
              </w:rPr>
            </w:pPr>
          </w:p>
        </w:tc>
      </w:tr>
    </w:tbl>
    <w:p w14:paraId="1A9D51F9">
      <w:pPr>
        <w:pStyle w:val="143"/>
        <w:ind w:firstLine="0" w:firstLineChars="0"/>
        <w:jc w:val="left"/>
      </w:pPr>
      <w:r>
        <w:rPr>
          <w:rFonts w:hint="eastAsia"/>
        </w:rPr>
        <w:t>注：</w:t>
      </w:r>
      <w:r>
        <w:t>1.</w:t>
      </w:r>
      <w:r>
        <w:rPr>
          <w:rFonts w:hint="eastAsia"/>
        </w:rPr>
        <w:t>上表所列内容为不可负偏离条款，如投标供应商该部分内容出现负偏离或未对该部分内容进行响应，将按照符合性检查表作无效标处理；</w:t>
      </w:r>
    </w:p>
    <w:p w14:paraId="558BB1C4">
      <w:pPr>
        <w:ind w:firstLine="411" w:firstLineChars="195"/>
        <w:jc w:val="left"/>
        <w:rPr>
          <w:b/>
        </w:rPr>
      </w:pPr>
      <w:r>
        <w:rPr>
          <w:b/>
        </w:rPr>
        <w:t>2.</w:t>
      </w:r>
      <w:r>
        <w:rPr>
          <w:rFonts w:hint="eastAsia"/>
          <w:b/>
        </w:rPr>
        <w:t>“偏离情况”一栏应如实填写“正偏离”、“负偏离”或“无偏离”。</w:t>
      </w:r>
    </w:p>
    <w:p w14:paraId="1E4FD80F">
      <w:pPr>
        <w:tabs>
          <w:tab w:val="clear" w:pos="426"/>
        </w:tabs>
        <w:ind w:firstLine="420"/>
        <w:rPr>
          <w:u w:val="single"/>
        </w:rPr>
      </w:pPr>
      <w:r>
        <w:rPr>
          <w:rFonts w:hint="eastAsia"/>
        </w:rPr>
        <w:t>单位名称：</w:t>
      </w:r>
      <w:r>
        <w:rPr>
          <w:szCs w:val="21"/>
          <w:u w:val="single"/>
        </w:rPr>
        <w:t>____________________________________________</w:t>
      </w:r>
    </w:p>
    <w:p w14:paraId="34A5AA3C">
      <w:pPr>
        <w:tabs>
          <w:tab w:val="clear" w:pos="426"/>
        </w:tabs>
        <w:ind w:firstLine="420"/>
        <w:rPr>
          <w:u w:val="single"/>
        </w:rPr>
      </w:pPr>
      <w:r>
        <w:rPr>
          <w:rFonts w:hint="eastAsia"/>
        </w:rPr>
        <w:t>法定代表人或投标供应商授权代表（签名或盖章）：</w:t>
      </w:r>
      <w:r>
        <w:rPr>
          <w:szCs w:val="21"/>
          <w:u w:val="single"/>
        </w:rPr>
        <w:t>______________________</w:t>
      </w:r>
    </w:p>
    <w:p w14:paraId="4BC2EA25">
      <w:pPr>
        <w:tabs>
          <w:tab w:val="clear" w:pos="426"/>
        </w:tabs>
        <w:ind w:firstLine="420"/>
        <w:rPr>
          <w:u w:val="single"/>
        </w:rPr>
      </w:pPr>
      <w:r>
        <w:rPr>
          <w:rFonts w:hint="eastAsia"/>
        </w:rPr>
        <w:t>单位地址：</w:t>
      </w:r>
      <w:r>
        <w:rPr>
          <w:szCs w:val="21"/>
          <w:u w:val="single"/>
        </w:rPr>
        <w:t>______________________</w:t>
      </w:r>
    </w:p>
    <w:p w14:paraId="2ACDB36B">
      <w:pPr>
        <w:tabs>
          <w:tab w:val="clear" w:pos="426"/>
        </w:tabs>
        <w:ind w:firstLine="420"/>
        <w:rPr>
          <w:u w:val="single"/>
        </w:rPr>
      </w:pPr>
      <w:r>
        <w:rPr>
          <w:rFonts w:hint="eastAsia"/>
        </w:rPr>
        <w:t>单位公章：</w:t>
      </w:r>
      <w:r>
        <w:rPr>
          <w:szCs w:val="21"/>
          <w:u w:val="single"/>
        </w:rPr>
        <w:t>______________________</w:t>
      </w:r>
    </w:p>
    <w:p w14:paraId="72EB7B5E">
      <w:pPr>
        <w:tabs>
          <w:tab w:val="clear" w:pos="426"/>
        </w:tabs>
        <w:ind w:firstLine="420"/>
        <w:rPr>
          <w:u w:val="single"/>
        </w:rPr>
      </w:pPr>
      <w:r>
        <w:rPr>
          <w:rFonts w:hint="eastAsia"/>
        </w:rPr>
        <w:t>邮政编码：</w:t>
      </w:r>
      <w:r>
        <w:rPr>
          <w:szCs w:val="21"/>
          <w:u w:val="single"/>
        </w:rPr>
        <w:t>______________________</w:t>
      </w:r>
      <w:r>
        <w:rPr>
          <w:rFonts w:hint="eastAsia"/>
        </w:rPr>
        <w:t>日期：</w:t>
      </w:r>
      <w:r>
        <w:rPr>
          <w:szCs w:val="21"/>
          <w:u w:val="single"/>
        </w:rPr>
        <w:t>______________________</w:t>
      </w:r>
    </w:p>
    <w:p w14:paraId="79DC5BA1">
      <w:pPr>
        <w:tabs>
          <w:tab w:val="clear" w:pos="426"/>
        </w:tabs>
        <w:ind w:firstLine="420"/>
        <w:rPr>
          <w:szCs w:val="21"/>
          <w:u w:val="single"/>
        </w:rPr>
      </w:pPr>
      <w:r>
        <w:rPr>
          <w:rFonts w:hint="eastAsia"/>
        </w:rPr>
        <w:t>联系电话：</w:t>
      </w:r>
      <w:r>
        <w:rPr>
          <w:szCs w:val="21"/>
          <w:u w:val="single"/>
        </w:rPr>
        <w:t>______________________</w:t>
      </w:r>
    </w:p>
    <w:p w14:paraId="16D5A8BB">
      <w:pPr>
        <w:shd w:val="clear" w:color="auto" w:fill="auto"/>
        <w:tabs>
          <w:tab w:val="clear" w:pos="426"/>
        </w:tabs>
        <w:adjustRightInd/>
        <w:snapToGrid/>
        <w:spacing w:line="240" w:lineRule="auto"/>
        <w:jc w:val="left"/>
        <w:rPr>
          <w:szCs w:val="21"/>
          <w:u w:val="single"/>
        </w:rPr>
      </w:pPr>
      <w:r>
        <w:rPr>
          <w:szCs w:val="21"/>
          <w:u w:val="single"/>
        </w:rPr>
        <w:br w:type="page"/>
      </w:r>
    </w:p>
    <w:bookmarkEnd w:id="122"/>
    <w:bookmarkEnd w:id="123"/>
    <w:bookmarkEnd w:id="124"/>
    <w:bookmarkEnd w:id="125"/>
    <w:bookmarkEnd w:id="126"/>
    <w:bookmarkEnd w:id="127"/>
    <w:p w14:paraId="68BD7AA8">
      <w:pPr>
        <w:pStyle w:val="4"/>
        <w:numPr>
          <w:ilvl w:val="0"/>
          <w:numId w:val="42"/>
        </w:numPr>
        <w:tabs>
          <w:tab w:val="clear" w:pos="1680"/>
        </w:tabs>
        <w:jc w:val="left"/>
      </w:pPr>
      <w:bookmarkStart w:id="128" w:name="_Toc50691037"/>
      <w:bookmarkStart w:id="129" w:name="_Toc43264525"/>
      <w:bookmarkStart w:id="130" w:name="_Toc43264518"/>
      <w:bookmarkStart w:id="131" w:name="_Toc50703730"/>
      <w:r>
        <w:rPr>
          <w:rFonts w:hint="eastAsia"/>
        </w:rPr>
        <w:t>、项目需求响应表（实质性条款除外）</w:t>
      </w:r>
    </w:p>
    <w:p w14:paraId="37B2CA8B">
      <w:pPr>
        <w:widowControl w:val="0"/>
        <w:shd w:val="clear" w:color="auto" w:fill="auto"/>
        <w:tabs>
          <w:tab w:val="clear" w:pos="426"/>
        </w:tabs>
        <w:adjustRightInd/>
        <w:snapToGrid/>
        <w:spacing w:line="300" w:lineRule="auto"/>
        <w:jc w:val="center"/>
        <w:rPr>
          <w:rFonts w:hAnsi="宋体" w:cs="Times New Roman"/>
          <w:bCs/>
          <w:kern w:val="2"/>
          <w:sz w:val="32"/>
          <w:szCs w:val="32"/>
        </w:rPr>
      </w:pPr>
      <w:r>
        <w:rPr>
          <w:rFonts w:hint="eastAsia" w:hAnsi="宋体" w:cs="Times New Roman"/>
          <w:bCs/>
          <w:kern w:val="2"/>
          <w:sz w:val="32"/>
          <w:szCs w:val="32"/>
        </w:rPr>
        <w:t>项目需求响应表（实质性条款除外）</w:t>
      </w:r>
    </w:p>
    <w:p w14:paraId="311EE850">
      <w:pPr>
        <w:tabs>
          <w:tab w:val="clear" w:pos="426"/>
        </w:tabs>
        <w:wordWrap w:val="0"/>
        <w:rPr>
          <w:rFonts w:hAnsi="宋体"/>
        </w:rPr>
      </w:pPr>
    </w:p>
    <w:p w14:paraId="27445B79">
      <w:pPr>
        <w:tabs>
          <w:tab w:val="clear" w:pos="426"/>
        </w:tabs>
        <w:wordWrap w:val="0"/>
        <w:rPr>
          <w:rFonts w:hAnsi="宋体"/>
        </w:rPr>
      </w:pPr>
      <w:r>
        <w:rPr>
          <w:rFonts w:hint="eastAsia" w:hAnsi="宋体"/>
        </w:rPr>
        <w:t>项目名称：项目编号：</w:t>
      </w:r>
    </w:p>
    <w:p w14:paraId="40E993DD">
      <w:pPr>
        <w:rPr>
          <w:rFonts w:hAnsi="宋体" w:cs="Arial"/>
          <w:bCs/>
        </w:rPr>
      </w:pPr>
      <w:r>
        <w:rPr>
          <w:rFonts w:hint="eastAsia" w:hAnsi="宋体" w:cs="Arial"/>
          <w:bCs/>
        </w:rPr>
        <w:t>（一）据招标文件要求，我公司承诺响应如下：</w:t>
      </w:r>
    </w:p>
    <w:tbl>
      <w:tblPr>
        <w:tblStyle w:val="85"/>
        <w:tblW w:w="95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2"/>
        <w:gridCol w:w="4481"/>
        <w:gridCol w:w="2693"/>
        <w:gridCol w:w="1820"/>
      </w:tblGrid>
      <w:tr w14:paraId="5335C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02" w:type="dxa"/>
            <w:vAlign w:val="center"/>
          </w:tcPr>
          <w:p w14:paraId="42E5EA08">
            <w:pPr>
              <w:spacing w:line="240" w:lineRule="auto"/>
              <w:jc w:val="center"/>
              <w:rPr>
                <w:rFonts w:hAnsi="宋体" w:cs="Arial"/>
                <w:szCs w:val="21"/>
              </w:rPr>
            </w:pPr>
            <w:r>
              <w:rPr>
                <w:rFonts w:hint="eastAsia" w:hAnsi="宋体" w:cs="Arial"/>
                <w:szCs w:val="21"/>
              </w:rPr>
              <w:t>序号</w:t>
            </w:r>
          </w:p>
        </w:tc>
        <w:tc>
          <w:tcPr>
            <w:tcW w:w="4481" w:type="dxa"/>
            <w:vAlign w:val="center"/>
          </w:tcPr>
          <w:p w14:paraId="34551459">
            <w:pPr>
              <w:spacing w:line="240" w:lineRule="auto"/>
              <w:jc w:val="center"/>
              <w:rPr>
                <w:rFonts w:hAnsi="宋体" w:cs="Arial"/>
                <w:szCs w:val="21"/>
              </w:rPr>
            </w:pPr>
            <w:r>
              <w:rPr>
                <w:rFonts w:hint="eastAsia" w:hAnsi="宋体" w:cs="Arial"/>
                <w:szCs w:val="21"/>
              </w:rPr>
              <w:t>招标文件要求</w:t>
            </w:r>
          </w:p>
        </w:tc>
        <w:tc>
          <w:tcPr>
            <w:tcW w:w="2693" w:type="dxa"/>
            <w:vAlign w:val="center"/>
          </w:tcPr>
          <w:p w14:paraId="3A4D6A01">
            <w:pPr>
              <w:spacing w:line="240" w:lineRule="auto"/>
              <w:jc w:val="center"/>
              <w:rPr>
                <w:rFonts w:hAnsi="宋体" w:cs="Arial"/>
                <w:szCs w:val="21"/>
              </w:rPr>
            </w:pPr>
            <w:r>
              <w:rPr>
                <w:rFonts w:hint="eastAsia" w:hAnsi="宋体" w:cs="Arial"/>
                <w:szCs w:val="21"/>
              </w:rPr>
              <w:t>投标文件响应</w:t>
            </w:r>
          </w:p>
        </w:tc>
        <w:tc>
          <w:tcPr>
            <w:tcW w:w="1820" w:type="dxa"/>
            <w:vAlign w:val="center"/>
          </w:tcPr>
          <w:p w14:paraId="22B0079D">
            <w:pPr>
              <w:spacing w:line="240" w:lineRule="auto"/>
              <w:jc w:val="center"/>
              <w:rPr>
                <w:rFonts w:hAnsi="宋体" w:cs="Arial"/>
                <w:szCs w:val="21"/>
              </w:rPr>
            </w:pPr>
            <w:r>
              <w:rPr>
                <w:rFonts w:hint="eastAsia" w:hAnsi="宋体" w:cs="Arial"/>
                <w:szCs w:val="21"/>
              </w:rPr>
              <w:t>偏离说明（符合/正偏离/负偏离）</w:t>
            </w:r>
          </w:p>
        </w:tc>
      </w:tr>
      <w:tr w14:paraId="249570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602" w:type="dxa"/>
            <w:vAlign w:val="center"/>
          </w:tcPr>
          <w:p w14:paraId="7F9B5FC4">
            <w:pPr>
              <w:spacing w:line="240" w:lineRule="auto"/>
              <w:jc w:val="center"/>
              <w:rPr>
                <w:rFonts w:hAnsi="宋体" w:cs="Arial"/>
                <w:szCs w:val="21"/>
              </w:rPr>
            </w:pPr>
            <w:r>
              <w:rPr>
                <w:rFonts w:hint="eastAsia" w:hAnsi="宋体" w:cs="Arial"/>
                <w:szCs w:val="21"/>
              </w:rPr>
              <w:t>1</w:t>
            </w:r>
          </w:p>
        </w:tc>
        <w:tc>
          <w:tcPr>
            <w:tcW w:w="4481" w:type="dxa"/>
            <w:vAlign w:val="center"/>
          </w:tcPr>
          <w:p w14:paraId="3895E4C7">
            <w:pPr>
              <w:spacing w:line="240" w:lineRule="auto"/>
              <w:jc w:val="center"/>
              <w:rPr>
                <w:rFonts w:hAnsi="宋体"/>
                <w:bCs/>
              </w:rPr>
            </w:pPr>
            <w:r>
              <w:rPr>
                <w:rFonts w:hint="eastAsia" w:hAnsi="宋体" w:cs="Arial"/>
              </w:rPr>
              <w:t>招标文件第三章</w:t>
            </w:r>
            <w:r>
              <w:rPr>
                <w:rFonts w:hint="eastAsia" w:hAnsi="宋体"/>
                <w:bCs/>
              </w:rPr>
              <w:t>项目</w:t>
            </w:r>
            <w:r>
              <w:rPr>
                <w:rFonts w:hint="eastAsia" w:hAnsi="宋体"/>
              </w:rPr>
              <w:t>需求</w:t>
            </w:r>
            <w:r>
              <w:rPr>
                <w:rFonts w:hint="eastAsia" w:hAnsi="宋体"/>
                <w:bCs/>
              </w:rPr>
              <w:t>（实质性条款除外）</w:t>
            </w:r>
            <w:r>
              <w:rPr>
                <w:rFonts w:hint="eastAsia" w:hAnsi="宋体"/>
              </w:rPr>
              <w:t>的全部内容</w:t>
            </w:r>
          </w:p>
        </w:tc>
        <w:tc>
          <w:tcPr>
            <w:tcW w:w="2693" w:type="dxa"/>
            <w:vAlign w:val="center"/>
          </w:tcPr>
          <w:p w14:paraId="45C723EF">
            <w:pPr>
              <w:spacing w:line="240" w:lineRule="auto"/>
              <w:jc w:val="center"/>
              <w:rPr>
                <w:rFonts w:hAnsi="宋体" w:cs="Arial"/>
              </w:rPr>
            </w:pPr>
          </w:p>
        </w:tc>
        <w:tc>
          <w:tcPr>
            <w:tcW w:w="1820" w:type="dxa"/>
            <w:vAlign w:val="center"/>
          </w:tcPr>
          <w:p w14:paraId="0BED3308">
            <w:pPr>
              <w:spacing w:line="240" w:lineRule="auto"/>
              <w:jc w:val="center"/>
              <w:rPr>
                <w:rFonts w:hAnsi="宋体"/>
                <w:szCs w:val="21"/>
              </w:rPr>
            </w:pPr>
          </w:p>
        </w:tc>
      </w:tr>
    </w:tbl>
    <w:p w14:paraId="03D2261D">
      <w:pPr>
        <w:rPr>
          <w:rFonts w:hAnsi="宋体"/>
          <w:bCs/>
        </w:rPr>
      </w:pPr>
    </w:p>
    <w:p w14:paraId="26F3DD4E">
      <w:pPr>
        <w:rPr>
          <w:rFonts w:hAnsi="宋体"/>
          <w:bCs/>
        </w:rPr>
      </w:pPr>
      <w:r>
        <w:rPr>
          <w:rFonts w:hint="eastAsia" w:hAnsi="宋体"/>
          <w:bCs/>
        </w:rPr>
        <w:t>（二）对《项目需求响应表》的补充说明</w:t>
      </w:r>
    </w:p>
    <w:p w14:paraId="00713924">
      <w:pPr>
        <w:tabs>
          <w:tab w:val="clear" w:pos="426"/>
        </w:tabs>
        <w:ind w:firstLine="424" w:firstLineChars="202"/>
        <w:rPr>
          <w:rFonts w:hAnsi="宋体"/>
          <w:bCs/>
        </w:rPr>
      </w:pPr>
      <w:r>
        <w:rPr>
          <w:rFonts w:hint="eastAsia" w:hAnsi="宋体"/>
          <w:bCs/>
        </w:rPr>
        <w:t>填写表中“偏离说明”一栏的未尽内容（例如：偏离原因、解决方案等）及投标人认为需要补充说明的其他内容，格式自定。</w:t>
      </w:r>
    </w:p>
    <w:p w14:paraId="448ED0B9">
      <w:pPr>
        <w:rPr>
          <w:rFonts w:hAnsi="宋体"/>
          <w:bCs/>
        </w:rPr>
      </w:pPr>
    </w:p>
    <w:p w14:paraId="3F9145F5">
      <w:pPr>
        <w:rPr>
          <w:rFonts w:hAnsi="宋体"/>
          <w:bCs/>
        </w:rPr>
      </w:pPr>
    </w:p>
    <w:p w14:paraId="219C251D">
      <w:pPr>
        <w:tabs>
          <w:tab w:val="clear" w:pos="426"/>
        </w:tabs>
        <w:ind w:firstLine="420"/>
        <w:rPr>
          <w:u w:val="single"/>
        </w:rPr>
      </w:pPr>
      <w:r>
        <w:rPr>
          <w:rFonts w:hint="eastAsia"/>
        </w:rPr>
        <w:t>单位名称：</w:t>
      </w:r>
      <w:r>
        <w:rPr>
          <w:szCs w:val="21"/>
          <w:u w:val="single"/>
        </w:rPr>
        <w:t>____________________________________________</w:t>
      </w:r>
    </w:p>
    <w:p w14:paraId="6E867DBE">
      <w:pPr>
        <w:tabs>
          <w:tab w:val="clear" w:pos="426"/>
        </w:tabs>
        <w:ind w:firstLine="420"/>
        <w:rPr>
          <w:u w:val="single"/>
        </w:rPr>
      </w:pPr>
      <w:r>
        <w:rPr>
          <w:rFonts w:hint="eastAsia"/>
        </w:rPr>
        <w:t>法定代表人或投标供应商授权代表（签名或盖章）：</w:t>
      </w:r>
      <w:r>
        <w:rPr>
          <w:szCs w:val="21"/>
          <w:u w:val="single"/>
        </w:rPr>
        <w:t>______________________</w:t>
      </w:r>
    </w:p>
    <w:p w14:paraId="5E146068">
      <w:pPr>
        <w:tabs>
          <w:tab w:val="clear" w:pos="426"/>
        </w:tabs>
        <w:ind w:firstLine="420"/>
        <w:rPr>
          <w:u w:val="single"/>
        </w:rPr>
      </w:pPr>
      <w:r>
        <w:rPr>
          <w:rFonts w:hint="eastAsia"/>
        </w:rPr>
        <w:t>单位地址：</w:t>
      </w:r>
      <w:r>
        <w:rPr>
          <w:szCs w:val="21"/>
          <w:u w:val="single"/>
        </w:rPr>
        <w:t>______________________</w:t>
      </w:r>
    </w:p>
    <w:p w14:paraId="3BDC3704">
      <w:pPr>
        <w:tabs>
          <w:tab w:val="clear" w:pos="426"/>
        </w:tabs>
        <w:ind w:firstLine="420"/>
        <w:rPr>
          <w:u w:val="single"/>
        </w:rPr>
      </w:pPr>
      <w:r>
        <w:rPr>
          <w:rFonts w:hint="eastAsia"/>
        </w:rPr>
        <w:t>单位公章：</w:t>
      </w:r>
      <w:r>
        <w:rPr>
          <w:szCs w:val="21"/>
          <w:u w:val="single"/>
        </w:rPr>
        <w:t>______________________</w:t>
      </w:r>
    </w:p>
    <w:p w14:paraId="2E8CF631">
      <w:pPr>
        <w:tabs>
          <w:tab w:val="clear" w:pos="426"/>
        </w:tabs>
        <w:ind w:firstLine="420"/>
        <w:rPr>
          <w:u w:val="single"/>
        </w:rPr>
      </w:pPr>
      <w:r>
        <w:rPr>
          <w:rFonts w:hint="eastAsia"/>
        </w:rPr>
        <w:t>邮政编码：</w:t>
      </w:r>
      <w:r>
        <w:rPr>
          <w:szCs w:val="21"/>
          <w:u w:val="single"/>
        </w:rPr>
        <w:t>______________________</w:t>
      </w:r>
      <w:r>
        <w:rPr>
          <w:rFonts w:hint="eastAsia"/>
        </w:rPr>
        <w:t>日期：</w:t>
      </w:r>
      <w:r>
        <w:rPr>
          <w:szCs w:val="21"/>
          <w:u w:val="single"/>
        </w:rPr>
        <w:t>______________________</w:t>
      </w:r>
    </w:p>
    <w:p w14:paraId="243AB194">
      <w:pPr>
        <w:tabs>
          <w:tab w:val="clear" w:pos="426"/>
        </w:tabs>
        <w:ind w:firstLine="420"/>
        <w:rPr>
          <w:szCs w:val="21"/>
          <w:u w:val="single"/>
        </w:rPr>
      </w:pPr>
      <w:r>
        <w:rPr>
          <w:rFonts w:hint="eastAsia"/>
        </w:rPr>
        <w:t>联系电话：</w:t>
      </w:r>
      <w:r>
        <w:rPr>
          <w:szCs w:val="21"/>
          <w:u w:val="single"/>
        </w:rPr>
        <w:t>______________________</w:t>
      </w:r>
    </w:p>
    <w:p w14:paraId="52081DB7">
      <w:pPr>
        <w:rPr>
          <w:rFonts w:hAnsi="宋体"/>
          <w:bCs/>
        </w:rPr>
      </w:pPr>
    </w:p>
    <w:p w14:paraId="64513155">
      <w:pPr>
        <w:rPr>
          <w:rFonts w:hAnsi="宋体"/>
          <w:bCs/>
        </w:rPr>
      </w:pPr>
      <w:r>
        <w:rPr>
          <w:rFonts w:hint="eastAsia" w:hAnsi="宋体"/>
          <w:bCs/>
        </w:rPr>
        <w:t>填写说明：</w:t>
      </w:r>
    </w:p>
    <w:p w14:paraId="72D0D4C6">
      <w:pPr>
        <w:ind w:firstLine="420" w:firstLineChars="200"/>
        <w:rPr>
          <w:rFonts w:hAnsi="宋体"/>
          <w:bCs/>
        </w:rPr>
      </w:pPr>
      <w:r>
        <w:rPr>
          <w:rFonts w:hint="eastAsia" w:hAnsi="宋体"/>
          <w:bCs/>
        </w:rPr>
        <w:t>1.上述表格，若投标人项目需求商务条款无偏离，“招标文件要求”栏填写“</w:t>
      </w:r>
      <w:r>
        <w:rPr>
          <w:rFonts w:hint="eastAsia" w:hAnsi="宋体" w:cs="Arial"/>
        </w:rPr>
        <w:t>招标文件第三章</w:t>
      </w:r>
      <w:r>
        <w:rPr>
          <w:rFonts w:hint="eastAsia" w:hAnsi="宋体"/>
          <w:bCs/>
        </w:rPr>
        <w:t>项目</w:t>
      </w:r>
      <w:r>
        <w:rPr>
          <w:rFonts w:hint="eastAsia" w:hAnsi="宋体"/>
        </w:rPr>
        <w:t>需求</w:t>
      </w:r>
      <w:r>
        <w:rPr>
          <w:rFonts w:hint="eastAsia" w:hAnsi="宋体"/>
          <w:bCs/>
        </w:rPr>
        <w:t>（实质性条款除外）</w:t>
      </w:r>
      <w:r>
        <w:rPr>
          <w:rFonts w:hint="eastAsia" w:hAnsi="宋体"/>
        </w:rPr>
        <w:t>的全部内容</w:t>
      </w:r>
      <w:r>
        <w:rPr>
          <w:rFonts w:hint="eastAsia" w:hAnsi="宋体"/>
          <w:bCs/>
        </w:rPr>
        <w:t>”、“投标文件响应”栏填写“</w:t>
      </w:r>
      <w:r>
        <w:rPr>
          <w:rFonts w:hint="eastAsia" w:hAnsi="宋体" w:cs="Arial"/>
        </w:rPr>
        <w:t>完全满足招标文件第三章</w:t>
      </w:r>
      <w:r>
        <w:rPr>
          <w:rFonts w:hint="eastAsia" w:hAnsi="宋体"/>
          <w:bCs/>
        </w:rPr>
        <w:t>项目</w:t>
      </w:r>
      <w:r>
        <w:rPr>
          <w:rFonts w:hint="eastAsia" w:hAnsi="宋体"/>
        </w:rPr>
        <w:t>需求</w:t>
      </w:r>
      <w:r>
        <w:rPr>
          <w:rFonts w:hint="eastAsia" w:hAnsi="宋体"/>
          <w:bCs/>
        </w:rPr>
        <w:t>（实质性条款除外）</w:t>
      </w:r>
      <w:r>
        <w:rPr>
          <w:rFonts w:hint="eastAsia" w:hAnsi="宋体"/>
        </w:rPr>
        <w:t>的全部内容</w:t>
      </w:r>
      <w:r>
        <w:rPr>
          <w:rFonts w:hint="eastAsia" w:hAnsi="宋体"/>
          <w:bCs/>
        </w:rPr>
        <w:t>”即可。</w:t>
      </w:r>
    </w:p>
    <w:p w14:paraId="00B33890">
      <w:pPr>
        <w:ind w:firstLine="420" w:firstLineChars="200"/>
        <w:rPr>
          <w:rFonts w:hAnsi="宋体"/>
          <w:bCs/>
        </w:rPr>
      </w:pPr>
      <w:r>
        <w:rPr>
          <w:rFonts w:hint="eastAsia" w:hAnsi="宋体"/>
          <w:bCs/>
        </w:rPr>
        <w:t>2.若响应情况优于招标要求，应作详细说明。“偏离情况”栏中根据响应情况填写，达到要求的填“</w:t>
      </w:r>
      <w:r>
        <w:rPr>
          <w:rFonts w:hint="eastAsia" w:hAnsi="宋体" w:cs="Arial"/>
          <w:bCs/>
        </w:rPr>
        <w:t>符合</w:t>
      </w:r>
      <w:r>
        <w:rPr>
          <w:rFonts w:hint="eastAsia" w:hAnsi="宋体"/>
          <w:bCs/>
        </w:rPr>
        <w:t>”，优于要求的填“</w:t>
      </w:r>
      <w:r>
        <w:rPr>
          <w:rFonts w:hint="eastAsia" w:hAnsi="宋体" w:cs="Arial"/>
          <w:bCs/>
        </w:rPr>
        <w:t>正偏离</w:t>
      </w:r>
      <w:r>
        <w:rPr>
          <w:rFonts w:hint="eastAsia" w:hAnsi="宋体"/>
          <w:bCs/>
        </w:rPr>
        <w:t>”没有达到要求的填“</w:t>
      </w:r>
      <w:r>
        <w:rPr>
          <w:rFonts w:hint="eastAsia" w:hAnsi="宋体" w:cs="Arial"/>
          <w:bCs/>
        </w:rPr>
        <w:t>负偏离</w:t>
      </w:r>
      <w:r>
        <w:rPr>
          <w:rFonts w:hint="eastAsia" w:hAnsi="宋体"/>
          <w:bCs/>
        </w:rPr>
        <w:t>”。</w:t>
      </w:r>
    </w:p>
    <w:p w14:paraId="4FAECB36">
      <w:pPr>
        <w:ind w:right="84" w:rightChars="40" w:firstLine="422" w:firstLineChars="200"/>
        <w:rPr>
          <w:rFonts w:hAnsi="宋体"/>
          <w:b/>
        </w:rPr>
      </w:pPr>
      <w:r>
        <w:rPr>
          <w:rFonts w:hint="eastAsia" w:hAnsi="宋体"/>
          <w:b/>
        </w:rPr>
        <w:t>3.若招标文件项目需求要求提供证明材料 投标人必须按招标文件要求附相关证明文件，如未提供相关证明文件的视为负偏离。</w:t>
      </w:r>
    </w:p>
    <w:p w14:paraId="31785356">
      <w:pPr>
        <w:ind w:right="84" w:rightChars="40" w:firstLine="420" w:firstLineChars="200"/>
        <w:rPr>
          <w:rFonts w:hAnsi="宋体"/>
          <w:bCs/>
        </w:rPr>
      </w:pPr>
      <w:r>
        <w:rPr>
          <w:rFonts w:hint="eastAsia" w:hAnsi="宋体"/>
          <w:bCs/>
        </w:rPr>
        <w:t>4、本偏离表负偏离不得导致无效标。</w:t>
      </w:r>
    </w:p>
    <w:p w14:paraId="48F55295">
      <w:bookmarkStart w:id="132" w:name="_Toc36822701"/>
      <w:r>
        <w:rPr>
          <w:rFonts w:hint="eastAsia"/>
        </w:rPr>
        <w:br w:type="page"/>
      </w:r>
    </w:p>
    <w:p w14:paraId="4853030F">
      <w:pPr>
        <w:pStyle w:val="4"/>
        <w:numPr>
          <w:ilvl w:val="0"/>
          <w:numId w:val="42"/>
        </w:numPr>
        <w:tabs>
          <w:tab w:val="clear" w:pos="1680"/>
        </w:tabs>
        <w:jc w:val="left"/>
      </w:pPr>
      <w:r>
        <w:rPr>
          <w:rFonts w:hint="eastAsia"/>
        </w:rPr>
        <w:t>、服务方案（格式自拟）</w:t>
      </w:r>
    </w:p>
    <w:p w14:paraId="3EB029D1">
      <w:pPr>
        <w:pStyle w:val="4"/>
        <w:numPr>
          <w:ilvl w:val="0"/>
          <w:numId w:val="42"/>
        </w:numPr>
        <w:tabs>
          <w:tab w:val="clear" w:pos="1680"/>
        </w:tabs>
        <w:jc w:val="left"/>
      </w:pPr>
      <w:r>
        <w:rPr>
          <w:rFonts w:hint="eastAsia"/>
        </w:rPr>
        <w:t>、质量（完成时间、安全、环保）保障措施及方案（格式自拟）</w:t>
      </w:r>
    </w:p>
    <w:p w14:paraId="5E7774B8">
      <w:pPr>
        <w:pStyle w:val="4"/>
        <w:numPr>
          <w:ilvl w:val="0"/>
          <w:numId w:val="42"/>
        </w:numPr>
        <w:tabs>
          <w:tab w:val="clear" w:pos="1680"/>
        </w:tabs>
        <w:jc w:val="left"/>
      </w:pPr>
      <w:r>
        <w:rPr>
          <w:rFonts w:hint="eastAsia"/>
        </w:rPr>
        <w:t>、项目重点难点分析、应对措施及相关的 合理化建议（格式自拟）</w:t>
      </w:r>
    </w:p>
    <w:p w14:paraId="30297ADB">
      <w:pPr>
        <w:pStyle w:val="4"/>
        <w:numPr>
          <w:ilvl w:val="0"/>
          <w:numId w:val="42"/>
        </w:numPr>
        <w:tabs>
          <w:tab w:val="clear" w:pos="1680"/>
        </w:tabs>
        <w:jc w:val="left"/>
      </w:pPr>
      <w:r>
        <w:rPr>
          <w:rFonts w:hint="eastAsia"/>
        </w:rPr>
        <w:t>、违约承诺（格式自拟）</w:t>
      </w:r>
    </w:p>
    <w:p w14:paraId="3B26C763">
      <w:pPr>
        <w:pStyle w:val="4"/>
        <w:numPr>
          <w:ilvl w:val="0"/>
          <w:numId w:val="42"/>
        </w:numPr>
        <w:tabs>
          <w:tab w:val="clear" w:pos="1680"/>
        </w:tabs>
        <w:jc w:val="left"/>
      </w:pPr>
      <w:r>
        <w:rPr>
          <w:rFonts w:hint="eastAsia"/>
        </w:rPr>
        <w:t>、投标人同类项目业绩情况（格式自拟）</w:t>
      </w:r>
    </w:p>
    <w:p w14:paraId="3B481282">
      <w:pPr>
        <w:pStyle w:val="4"/>
        <w:numPr>
          <w:ilvl w:val="0"/>
          <w:numId w:val="42"/>
        </w:numPr>
        <w:tabs>
          <w:tab w:val="clear" w:pos="1680"/>
        </w:tabs>
        <w:jc w:val="left"/>
      </w:pPr>
      <w:r>
        <w:rPr>
          <w:rFonts w:hint="eastAsia"/>
        </w:rPr>
        <w:t>、投标人通过相关认证情况（格式自拟）</w:t>
      </w:r>
    </w:p>
    <w:p w14:paraId="6C0AF939">
      <w:pPr>
        <w:pStyle w:val="4"/>
        <w:numPr>
          <w:ilvl w:val="0"/>
          <w:numId w:val="42"/>
        </w:numPr>
        <w:tabs>
          <w:tab w:val="clear" w:pos="1680"/>
        </w:tabs>
        <w:jc w:val="left"/>
      </w:pPr>
      <w:r>
        <w:rPr>
          <w:rFonts w:hint="eastAsia"/>
        </w:rPr>
        <w:t>、拟安排项目团队负责人情况（格式自拟）</w:t>
      </w:r>
    </w:p>
    <w:p w14:paraId="6A9B9E95">
      <w:pPr>
        <w:pStyle w:val="4"/>
        <w:numPr>
          <w:ilvl w:val="0"/>
          <w:numId w:val="42"/>
        </w:numPr>
        <w:tabs>
          <w:tab w:val="clear" w:pos="1680"/>
        </w:tabs>
        <w:jc w:val="left"/>
      </w:pPr>
      <w:r>
        <w:rPr>
          <w:rFonts w:hint="eastAsia"/>
        </w:rPr>
        <w:t>、拟安排项目团队成员情况（格式自拟）</w:t>
      </w:r>
    </w:p>
    <w:p w14:paraId="5A01F300">
      <w:pPr>
        <w:pStyle w:val="4"/>
        <w:numPr>
          <w:ilvl w:val="0"/>
          <w:numId w:val="42"/>
        </w:numPr>
        <w:tabs>
          <w:tab w:val="clear" w:pos="1680"/>
        </w:tabs>
        <w:jc w:val="left"/>
        <w:rPr>
          <w:rFonts w:hAnsi="宋体"/>
          <w:sz w:val="32"/>
          <w:szCs w:val="32"/>
        </w:rPr>
      </w:pPr>
      <w:r>
        <w:rPr>
          <w:rFonts w:hint="eastAsia"/>
        </w:rPr>
        <w:t>、企业诚信（格式自拟）</w:t>
      </w:r>
    </w:p>
    <w:p w14:paraId="51637C40">
      <w:pPr>
        <w:jc w:val="center"/>
        <w:rPr>
          <w:rFonts w:hAnsi="宋体"/>
          <w:b/>
          <w:bCs/>
          <w:sz w:val="32"/>
          <w:szCs w:val="32"/>
        </w:rPr>
      </w:pPr>
      <w:r>
        <w:rPr>
          <w:rFonts w:hint="eastAsia" w:hAnsi="宋体"/>
          <w:b/>
          <w:bCs/>
          <w:sz w:val="32"/>
          <w:szCs w:val="32"/>
        </w:rPr>
        <w:t>诚信情况承诺函</w:t>
      </w:r>
    </w:p>
    <w:p w14:paraId="5BCD0EA9">
      <w:pPr>
        <w:rPr>
          <w:rFonts w:hAnsi="宋体"/>
          <w:sz w:val="24"/>
        </w:rPr>
      </w:pPr>
      <w:r>
        <w:rPr>
          <w:rFonts w:hint="eastAsia" w:hAnsi="宋体"/>
          <w:sz w:val="24"/>
        </w:rPr>
        <w:t>致深圳市消防救援支队特勤大队：</w:t>
      </w:r>
    </w:p>
    <w:p w14:paraId="26538A41">
      <w:pPr>
        <w:ind w:firstLine="480" w:firstLineChars="200"/>
        <w:rPr>
          <w:rFonts w:hAnsi="宋体"/>
          <w:sz w:val="24"/>
        </w:rPr>
      </w:pPr>
      <w:r>
        <w:rPr>
          <w:rFonts w:hint="eastAsia" w:hAnsi="宋体"/>
          <w:sz w:val="24"/>
        </w:rPr>
        <w:t>我公司承诺在采购招标投标活动中，未出现“被行政主管部门禁止参与政府采购活动或未被禁止参与政府采购活动，但受过警告、罚款、没收违法所得等行政处罚以及不正当理由放弃中标资格”的情形，若受过行政处罚，修正行政处罚期已满，可参与政府采购投标活动。</w:t>
      </w:r>
    </w:p>
    <w:p w14:paraId="4D1A13DC">
      <w:pPr>
        <w:ind w:firstLine="480" w:firstLineChars="200"/>
        <w:rPr>
          <w:rFonts w:hAnsi="宋体"/>
          <w:sz w:val="24"/>
        </w:rPr>
      </w:pPr>
      <w:r>
        <w:rPr>
          <w:rFonts w:hint="eastAsia" w:hAnsi="宋体"/>
          <w:sz w:val="24"/>
        </w:rPr>
        <w:t>特此承诺。</w:t>
      </w:r>
    </w:p>
    <w:p w14:paraId="5809CF0A">
      <w:pPr>
        <w:ind w:firstLine="480" w:firstLineChars="200"/>
        <w:jc w:val="right"/>
        <w:rPr>
          <w:rFonts w:hAnsi="宋体"/>
          <w:bCs/>
          <w:sz w:val="24"/>
        </w:rPr>
      </w:pPr>
      <w:r>
        <w:rPr>
          <w:rFonts w:hint="eastAsia" w:hAnsi="宋体"/>
          <w:bCs/>
          <w:sz w:val="24"/>
        </w:rPr>
        <w:t>投标人名称（加盖公章）：</w:t>
      </w:r>
    </w:p>
    <w:p w14:paraId="6240BBAB">
      <w:pPr>
        <w:ind w:firstLine="480" w:firstLineChars="200"/>
        <w:jc w:val="right"/>
        <w:rPr>
          <w:rFonts w:hAnsi="宋体"/>
          <w:bCs/>
          <w:sz w:val="24"/>
        </w:rPr>
      </w:pPr>
      <w:r>
        <w:rPr>
          <w:rFonts w:hint="eastAsia" w:hAnsi="宋体"/>
          <w:bCs/>
          <w:sz w:val="24"/>
        </w:rPr>
        <w:t>投标人法定代表人或其委托人签名或印鉴：</w:t>
      </w:r>
    </w:p>
    <w:p w14:paraId="23DC9449">
      <w:pPr>
        <w:jc w:val="right"/>
        <w:rPr>
          <w:rFonts w:hAnsi="宋体"/>
          <w:bCs/>
          <w:sz w:val="24"/>
        </w:rPr>
      </w:pPr>
      <w:r>
        <w:rPr>
          <w:rFonts w:hint="eastAsia" w:hAnsi="宋体"/>
          <w:bCs/>
          <w:sz w:val="24"/>
        </w:rPr>
        <w:t>日期：   年   月   日</w:t>
      </w:r>
    </w:p>
    <w:p w14:paraId="2BB2EFF4">
      <w:pPr>
        <w:rPr>
          <w:rFonts w:hAnsi="宋体"/>
          <w:bCs/>
          <w:sz w:val="24"/>
          <w:lang w:eastAsia="zh-Hans"/>
        </w:rPr>
      </w:pPr>
      <w:r>
        <w:rPr>
          <w:rFonts w:hint="eastAsia" w:hAnsi="宋体"/>
          <w:bCs/>
          <w:sz w:val="24"/>
        </w:rPr>
        <w:br w:type="page"/>
      </w:r>
    </w:p>
    <w:p w14:paraId="3D0C0D67">
      <w:pPr>
        <w:pStyle w:val="4"/>
        <w:numPr>
          <w:ilvl w:val="0"/>
          <w:numId w:val="42"/>
        </w:numPr>
        <w:tabs>
          <w:tab w:val="clear" w:pos="1680"/>
        </w:tabs>
        <w:jc w:val="left"/>
      </w:pPr>
      <w:r>
        <w:rPr>
          <w:rFonts w:hint="eastAsia"/>
        </w:rPr>
        <w:t>、招标代理服务费承诺书</w:t>
      </w:r>
      <w:bookmarkEnd w:id="132"/>
    </w:p>
    <w:p w14:paraId="3B359189">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招标代理服务费承诺书</w:t>
      </w:r>
    </w:p>
    <w:p w14:paraId="23B359BD">
      <w:pPr>
        <w:tabs>
          <w:tab w:val="clear" w:pos="426"/>
        </w:tabs>
        <w:adjustRightInd/>
        <w:snapToGrid/>
        <w:rPr>
          <w:b/>
        </w:rPr>
      </w:pPr>
    </w:p>
    <w:p w14:paraId="52660F76">
      <w:pPr>
        <w:tabs>
          <w:tab w:val="clear" w:pos="426"/>
        </w:tabs>
        <w:adjustRightInd/>
        <w:snapToGrid/>
        <w:rPr>
          <w:b/>
        </w:rPr>
      </w:pPr>
      <w:r>
        <w:rPr>
          <w:rFonts w:hint="eastAsia"/>
          <w:b/>
        </w:rPr>
        <w:t>深圳市深水水务咨询有限公司：</w:t>
      </w:r>
    </w:p>
    <w:p w14:paraId="1ADC318D">
      <w:pPr>
        <w:tabs>
          <w:tab w:val="clear" w:pos="426"/>
        </w:tabs>
        <w:adjustRightInd/>
        <w:snapToGrid/>
        <w:ind w:firstLine="420" w:firstLineChars="200"/>
        <w:rPr>
          <w:szCs w:val="21"/>
        </w:rPr>
      </w:pPr>
      <w:r>
        <w:rPr>
          <w:rFonts w:hint="eastAsia"/>
        </w:rPr>
        <w:t>本公司</w:t>
      </w:r>
      <w:r>
        <w:rPr>
          <w:u w:val="single"/>
        </w:rPr>
        <w:t>__(</w:t>
      </w:r>
      <w:r>
        <w:rPr>
          <w:rFonts w:hint="eastAsia"/>
          <w:u w:val="single"/>
        </w:rPr>
        <w:t>投标供应商名称</w:t>
      </w:r>
      <w:r>
        <w:rPr>
          <w:u w:val="single"/>
        </w:rPr>
        <w:t>)__</w:t>
      </w:r>
      <w:r>
        <w:rPr>
          <w:rFonts w:hint="eastAsia"/>
        </w:rPr>
        <w:t>在参加</w:t>
      </w:r>
      <w:r>
        <w:rPr>
          <w:rFonts w:hint="eastAsia"/>
          <w:u w:val="single"/>
        </w:rPr>
        <w:t>（项目名称）</w:t>
      </w:r>
      <w:r>
        <w:rPr>
          <w:u w:val="single"/>
        </w:rPr>
        <w:t>_</w:t>
      </w:r>
      <w:r>
        <w:t>(</w:t>
      </w:r>
      <w:r>
        <w:rPr>
          <w:rFonts w:hint="eastAsia"/>
        </w:rPr>
        <w:t>项目编号：</w:t>
      </w:r>
      <w:r>
        <w:rPr>
          <w:u w:val="single"/>
        </w:rPr>
        <w:t>__</w:t>
      </w:r>
      <w:r>
        <w:rPr>
          <w:rFonts w:hint="eastAsia"/>
          <w:u w:val="single"/>
        </w:rPr>
        <w:t>（项目编号）</w:t>
      </w:r>
      <w:r>
        <w:rPr>
          <w:u w:val="single"/>
        </w:rPr>
        <w:t>__</w:t>
      </w:r>
      <w:r>
        <w:t>)</w:t>
      </w:r>
      <w:r>
        <w:rPr>
          <w:rFonts w:hint="eastAsia"/>
        </w:rPr>
        <w:t>的招标中如获中标</w:t>
      </w:r>
      <w:r>
        <w:rPr>
          <w:rFonts w:hint="eastAsia"/>
          <w:szCs w:val="21"/>
        </w:rPr>
        <w:t>，我公司保证按照招标文件</w:t>
      </w:r>
      <w:r>
        <w:rPr>
          <w:rFonts w:hint="eastAsia"/>
        </w:rPr>
        <w:t>的</w:t>
      </w:r>
      <w:r>
        <w:rPr>
          <w:rFonts w:hint="eastAsia"/>
          <w:szCs w:val="21"/>
        </w:rPr>
        <w:t>规定缴纳“招标代理服务费”后，凭领取人身份证复印件并加盖公章领取《中标通知书》。如采用电汇或银行转账，我</w:t>
      </w:r>
      <w:r>
        <w:rPr>
          <w:rFonts w:hint="eastAsia"/>
        </w:rPr>
        <w:t>公</w:t>
      </w:r>
      <w:r>
        <w:rPr>
          <w:rFonts w:hint="eastAsia"/>
          <w:szCs w:val="21"/>
        </w:rPr>
        <w:t>司将同时递交招标代理服务费缴费凭证复印件并加盖公章。</w:t>
      </w:r>
    </w:p>
    <w:p w14:paraId="40C69EAD">
      <w:pPr>
        <w:tabs>
          <w:tab w:val="clear" w:pos="426"/>
        </w:tabs>
        <w:adjustRightInd/>
        <w:snapToGrid/>
        <w:ind w:firstLine="420" w:firstLineChars="200"/>
      </w:pPr>
      <w:r>
        <w:rPr>
          <w:rFonts w:hint="eastAsia"/>
        </w:rPr>
        <w:t>如我公司违反上款承诺，愿凭贵公司开出的相关通知，同意（采购代理机构名称）办理支付手续，愿承担由此引起的一切法律责任。</w:t>
      </w:r>
    </w:p>
    <w:p w14:paraId="12E8CBBF">
      <w:pPr>
        <w:tabs>
          <w:tab w:val="clear" w:pos="426"/>
        </w:tabs>
        <w:adjustRightInd/>
        <w:snapToGrid/>
        <w:ind w:firstLine="420" w:firstLineChars="200"/>
      </w:pPr>
      <w:r>
        <w:rPr>
          <w:rFonts w:hint="eastAsia"/>
        </w:rPr>
        <w:t>特此承诺</w:t>
      </w:r>
      <w:r>
        <w:t>!</w:t>
      </w:r>
    </w:p>
    <w:p w14:paraId="61CAF74F">
      <w:pPr>
        <w:tabs>
          <w:tab w:val="clear" w:pos="426"/>
        </w:tabs>
        <w:adjustRightInd/>
        <w:snapToGrid/>
        <w:ind w:firstLine="420" w:firstLineChars="200"/>
      </w:pPr>
    </w:p>
    <w:p w14:paraId="51933F87">
      <w:pPr>
        <w:tabs>
          <w:tab w:val="clear" w:pos="426"/>
        </w:tabs>
        <w:adjustRightInd/>
        <w:snapToGrid/>
        <w:ind w:firstLine="420" w:firstLineChars="200"/>
      </w:pPr>
    </w:p>
    <w:p w14:paraId="79205DDF">
      <w:pPr>
        <w:tabs>
          <w:tab w:val="clear" w:pos="426"/>
        </w:tabs>
        <w:ind w:firstLine="420"/>
        <w:rPr>
          <w:u w:val="single"/>
        </w:rPr>
      </w:pPr>
      <w:r>
        <w:rPr>
          <w:rFonts w:hint="eastAsia"/>
        </w:rPr>
        <w:t>单位名称：</w:t>
      </w:r>
      <w:r>
        <w:rPr>
          <w:u w:val="single"/>
        </w:rPr>
        <w:t>_____________________________________________________________</w:t>
      </w:r>
    </w:p>
    <w:p w14:paraId="71E10C3D">
      <w:pPr>
        <w:tabs>
          <w:tab w:val="clear" w:pos="426"/>
        </w:tabs>
        <w:ind w:firstLine="420"/>
        <w:rPr>
          <w:u w:val="single"/>
        </w:rPr>
      </w:pPr>
      <w:r>
        <w:rPr>
          <w:rFonts w:hint="eastAsia"/>
        </w:rPr>
        <w:t>法定代表人或投标供应商授权代表（签名或盖章）：</w:t>
      </w:r>
      <w:r>
        <w:rPr>
          <w:u w:val="single"/>
        </w:rPr>
        <w:t>_________________________</w:t>
      </w:r>
    </w:p>
    <w:p w14:paraId="625FD1BB">
      <w:pPr>
        <w:tabs>
          <w:tab w:val="clear" w:pos="426"/>
        </w:tabs>
        <w:ind w:firstLine="420"/>
        <w:rPr>
          <w:u w:val="single"/>
        </w:rPr>
      </w:pPr>
      <w:r>
        <w:rPr>
          <w:rFonts w:hint="eastAsia"/>
        </w:rPr>
        <w:t>单位地址：</w:t>
      </w:r>
      <w:r>
        <w:rPr>
          <w:u w:val="single"/>
        </w:rPr>
        <w:t>_____________________________________________________________</w:t>
      </w:r>
    </w:p>
    <w:p w14:paraId="06B2D787">
      <w:pPr>
        <w:tabs>
          <w:tab w:val="clear" w:pos="426"/>
        </w:tabs>
        <w:ind w:firstLine="420"/>
        <w:rPr>
          <w:u w:val="single"/>
        </w:rPr>
      </w:pPr>
      <w:r>
        <w:rPr>
          <w:rFonts w:hint="eastAsia"/>
        </w:rPr>
        <w:t>单位公章：</w:t>
      </w:r>
      <w:r>
        <w:rPr>
          <w:u w:val="single"/>
        </w:rPr>
        <w:t>_____________________________________________________________</w:t>
      </w:r>
    </w:p>
    <w:p w14:paraId="591CA78A">
      <w:pPr>
        <w:tabs>
          <w:tab w:val="clear" w:pos="426"/>
        </w:tabs>
        <w:ind w:firstLine="420"/>
        <w:rPr>
          <w:u w:val="single"/>
        </w:rPr>
      </w:pPr>
      <w:r>
        <w:rPr>
          <w:rFonts w:hint="eastAsia"/>
        </w:rPr>
        <w:t>邮政编码：</w:t>
      </w:r>
      <w:r>
        <w:rPr>
          <w:u w:val="single"/>
        </w:rPr>
        <w:t>_______________________</w:t>
      </w:r>
      <w:r>
        <w:rPr>
          <w:rFonts w:hint="eastAsia"/>
        </w:rPr>
        <w:t>日期：</w:t>
      </w:r>
      <w:r>
        <w:rPr>
          <w:u w:val="single"/>
        </w:rPr>
        <w:t>________________________________</w:t>
      </w:r>
    </w:p>
    <w:p w14:paraId="0CBED024">
      <w:pPr>
        <w:tabs>
          <w:tab w:val="clear" w:pos="426"/>
        </w:tabs>
        <w:ind w:firstLine="420"/>
        <w:rPr>
          <w:u w:val="single"/>
        </w:rPr>
      </w:pPr>
      <w:r>
        <w:rPr>
          <w:rFonts w:hint="eastAsia"/>
        </w:rPr>
        <w:t>联系电话：</w:t>
      </w:r>
      <w:r>
        <w:rPr>
          <w:u w:val="single"/>
        </w:rPr>
        <w:t>_____________________________________________________________</w:t>
      </w:r>
    </w:p>
    <w:p w14:paraId="1D20C3E3">
      <w:pPr>
        <w:tabs>
          <w:tab w:val="clear" w:pos="426"/>
        </w:tabs>
        <w:rPr>
          <w:b/>
          <w:szCs w:val="21"/>
        </w:rPr>
      </w:pPr>
    </w:p>
    <w:p w14:paraId="785CA2C0">
      <w:pPr>
        <w:widowControl w:val="0"/>
        <w:shd w:val="clear" w:color="auto" w:fill="auto"/>
        <w:tabs>
          <w:tab w:val="clear" w:pos="426"/>
        </w:tabs>
        <w:adjustRightInd/>
        <w:snapToGrid/>
        <w:spacing w:line="300" w:lineRule="auto"/>
        <w:jc w:val="center"/>
        <w:rPr>
          <w:rFonts w:cs="Times New Roman"/>
          <w:bCs/>
          <w:kern w:val="2"/>
          <w:sz w:val="32"/>
          <w:szCs w:val="32"/>
        </w:rPr>
      </w:pPr>
    </w:p>
    <w:p w14:paraId="3DF74C92">
      <w:pPr>
        <w:rPr>
          <w:rFonts w:cs="Times New Roman"/>
          <w:bCs/>
          <w:kern w:val="2"/>
          <w:sz w:val="32"/>
          <w:szCs w:val="32"/>
        </w:rPr>
      </w:pPr>
      <w:r>
        <w:rPr>
          <w:rFonts w:hint="eastAsia" w:cs="Times New Roman"/>
          <w:bCs/>
          <w:kern w:val="2"/>
          <w:sz w:val="32"/>
          <w:szCs w:val="32"/>
        </w:rPr>
        <w:br w:type="page"/>
      </w:r>
    </w:p>
    <w:p w14:paraId="6F88BB5E">
      <w:pPr>
        <w:widowControl w:val="0"/>
        <w:shd w:val="clear" w:color="auto" w:fill="auto"/>
        <w:tabs>
          <w:tab w:val="clear" w:pos="426"/>
        </w:tabs>
        <w:adjustRightInd/>
        <w:snapToGrid/>
        <w:spacing w:line="300" w:lineRule="auto"/>
        <w:jc w:val="center"/>
        <w:rPr>
          <w:rFonts w:cs="Times New Roman"/>
          <w:bCs/>
          <w:kern w:val="2"/>
          <w:sz w:val="32"/>
          <w:szCs w:val="32"/>
        </w:rPr>
      </w:pPr>
      <w:r>
        <w:rPr>
          <w:rFonts w:hint="eastAsia" w:cs="Times New Roman"/>
          <w:bCs/>
          <w:kern w:val="2"/>
          <w:sz w:val="32"/>
          <w:szCs w:val="32"/>
        </w:rPr>
        <w:t>招标代理服务费发票开具须知</w:t>
      </w:r>
    </w:p>
    <w:tbl>
      <w:tblPr>
        <w:tblStyle w:val="8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9"/>
        <w:gridCol w:w="7363"/>
      </w:tblGrid>
      <w:tr w14:paraId="34E0A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1159" w:type="dxa"/>
            <w:vAlign w:val="center"/>
          </w:tcPr>
          <w:p w14:paraId="402C4584">
            <w:pPr>
              <w:tabs>
                <w:tab w:val="clear" w:pos="426"/>
              </w:tabs>
              <w:spacing w:line="520" w:lineRule="exact"/>
              <w:rPr>
                <w:b/>
              </w:rPr>
            </w:pPr>
            <w:r>
              <w:rPr>
                <w:rFonts w:hint="eastAsia"/>
                <w:b/>
              </w:rPr>
              <w:t>发票类型</w:t>
            </w:r>
          </w:p>
        </w:tc>
        <w:tc>
          <w:tcPr>
            <w:tcW w:w="7363" w:type="dxa"/>
            <w:vAlign w:val="center"/>
          </w:tcPr>
          <w:p w14:paraId="2C5E32A9">
            <w:pPr>
              <w:tabs>
                <w:tab w:val="clear" w:pos="426"/>
              </w:tabs>
              <w:spacing w:line="520" w:lineRule="exact"/>
              <w:ind w:firstLine="420" w:firstLineChars="200"/>
            </w:pPr>
            <w:r>
              <w:rPr>
                <w:rFonts w:hint="eastAsia"/>
              </w:rPr>
              <w:t>□增值税普通发票□增值税专用发票</w:t>
            </w:r>
          </w:p>
        </w:tc>
      </w:tr>
      <w:tr w14:paraId="3C50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jc w:val="center"/>
        </w:trPr>
        <w:tc>
          <w:tcPr>
            <w:tcW w:w="8522" w:type="dxa"/>
            <w:gridSpan w:val="2"/>
            <w:vAlign w:val="center"/>
          </w:tcPr>
          <w:p w14:paraId="18D58F52">
            <w:pPr>
              <w:tabs>
                <w:tab w:val="clear" w:pos="426"/>
              </w:tabs>
              <w:spacing w:line="520" w:lineRule="exact"/>
            </w:pPr>
            <w:r>
              <w:rPr>
                <w:rFonts w:hint="eastAsia"/>
              </w:rPr>
              <w:t>如选择增值税专用发票，需提供以下材料，投标时密封于开标信封中：</w:t>
            </w:r>
          </w:p>
          <w:p w14:paraId="7953905E">
            <w:pPr>
              <w:tabs>
                <w:tab w:val="clear" w:pos="426"/>
              </w:tabs>
              <w:spacing w:line="520" w:lineRule="exact"/>
            </w:pPr>
            <w:r>
              <w:t>1.</w:t>
            </w:r>
            <w:r>
              <w:rPr>
                <w:rFonts w:hint="eastAsia"/>
              </w:rPr>
              <w:t>营业执照、一般纳税人资格认定税务通知书或其他可证明具有该项资格证明文件的复印件，加盖单位公章；</w:t>
            </w:r>
          </w:p>
          <w:p w14:paraId="20B4500D">
            <w:pPr>
              <w:tabs>
                <w:tab w:val="clear" w:pos="426"/>
              </w:tabs>
              <w:spacing w:line="520" w:lineRule="exact"/>
            </w:pPr>
            <w:r>
              <w:t>2.</w:t>
            </w:r>
            <w:r>
              <w:rPr>
                <w:rFonts w:hint="eastAsia"/>
              </w:rPr>
              <w:t>客户的开票资料（单位名称、纳税人识别号、地址、电话、开户行全称及账号），加盖单位公章。</w:t>
            </w:r>
          </w:p>
        </w:tc>
      </w:tr>
    </w:tbl>
    <w:p w14:paraId="144F8490">
      <w:pPr>
        <w:tabs>
          <w:tab w:val="clear" w:pos="426"/>
        </w:tabs>
        <w:rPr>
          <w:b/>
          <w:szCs w:val="21"/>
        </w:rPr>
      </w:pPr>
    </w:p>
    <w:p w14:paraId="03DA39C4">
      <w:pPr>
        <w:tabs>
          <w:tab w:val="clear" w:pos="426"/>
        </w:tabs>
        <w:rPr>
          <w:b/>
          <w:szCs w:val="21"/>
        </w:rPr>
      </w:pPr>
    </w:p>
    <w:p w14:paraId="36E62A43">
      <w:pPr>
        <w:tabs>
          <w:tab w:val="clear" w:pos="426"/>
        </w:tabs>
        <w:jc w:val="center"/>
        <w:rPr>
          <w:b/>
          <w:szCs w:val="21"/>
        </w:rPr>
      </w:pPr>
      <w:r>
        <w:rPr>
          <w:rFonts w:hint="eastAsia"/>
          <w:b/>
          <w:szCs w:val="21"/>
        </w:rPr>
        <w:t>附：缴纳招标代理服务费账号：</w:t>
      </w:r>
    </w:p>
    <w:tbl>
      <w:tblPr>
        <w:tblStyle w:val="85"/>
        <w:tblW w:w="85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943"/>
        <w:gridCol w:w="5579"/>
      </w:tblGrid>
      <w:tr w14:paraId="3EFF7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14:paraId="1820E107">
            <w:pPr>
              <w:tabs>
                <w:tab w:val="clear" w:pos="426"/>
              </w:tabs>
              <w:jc w:val="center"/>
              <w:rPr>
                <w:b/>
                <w:szCs w:val="21"/>
              </w:rPr>
            </w:pPr>
            <w:r>
              <w:rPr>
                <w:rFonts w:hint="eastAsia"/>
                <w:b/>
                <w:szCs w:val="21"/>
              </w:rPr>
              <w:t>收款人名称</w:t>
            </w:r>
          </w:p>
        </w:tc>
        <w:tc>
          <w:tcPr>
            <w:tcW w:w="5579" w:type="dxa"/>
            <w:vAlign w:val="center"/>
          </w:tcPr>
          <w:p w14:paraId="6D6EB41C">
            <w:pPr>
              <w:tabs>
                <w:tab w:val="clear" w:pos="426"/>
              </w:tabs>
              <w:jc w:val="center"/>
              <w:rPr>
                <w:szCs w:val="21"/>
              </w:rPr>
            </w:pPr>
            <w:r>
              <w:rPr>
                <w:rFonts w:hint="eastAsia"/>
                <w:szCs w:val="21"/>
              </w:rPr>
              <w:t>深圳市深水水务咨询有限公司</w:t>
            </w:r>
          </w:p>
        </w:tc>
      </w:tr>
      <w:tr w14:paraId="4DC51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14:paraId="353C44CC">
            <w:pPr>
              <w:tabs>
                <w:tab w:val="clear" w:pos="426"/>
              </w:tabs>
              <w:jc w:val="center"/>
              <w:rPr>
                <w:b/>
                <w:szCs w:val="21"/>
              </w:rPr>
            </w:pPr>
            <w:r>
              <w:rPr>
                <w:rFonts w:hint="eastAsia"/>
                <w:b/>
                <w:szCs w:val="21"/>
              </w:rPr>
              <w:t>开户银行</w:t>
            </w:r>
          </w:p>
        </w:tc>
        <w:tc>
          <w:tcPr>
            <w:tcW w:w="5579" w:type="dxa"/>
            <w:vAlign w:val="center"/>
          </w:tcPr>
          <w:p w14:paraId="2A057CD5">
            <w:pPr>
              <w:tabs>
                <w:tab w:val="clear" w:pos="426"/>
              </w:tabs>
              <w:jc w:val="center"/>
              <w:rPr>
                <w:b/>
                <w:kern w:val="2"/>
                <w:szCs w:val="21"/>
              </w:rPr>
            </w:pPr>
            <w:r>
              <w:rPr>
                <w:rFonts w:hint="eastAsia"/>
              </w:rPr>
              <w:t>交通银行深圳金叶支行</w:t>
            </w:r>
          </w:p>
        </w:tc>
      </w:tr>
      <w:tr w14:paraId="7093D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2943" w:type="dxa"/>
            <w:vAlign w:val="center"/>
          </w:tcPr>
          <w:p w14:paraId="61D13A93">
            <w:pPr>
              <w:tabs>
                <w:tab w:val="clear" w:pos="426"/>
              </w:tabs>
              <w:ind w:firstLine="422"/>
              <w:jc w:val="center"/>
              <w:rPr>
                <w:b/>
                <w:kern w:val="2"/>
                <w:szCs w:val="21"/>
              </w:rPr>
            </w:pPr>
            <w:r>
              <w:rPr>
                <w:rFonts w:hint="eastAsia"/>
                <w:b/>
                <w:szCs w:val="21"/>
              </w:rPr>
              <w:t>账号</w:t>
            </w:r>
          </w:p>
        </w:tc>
        <w:tc>
          <w:tcPr>
            <w:tcW w:w="5579" w:type="dxa"/>
            <w:vAlign w:val="center"/>
          </w:tcPr>
          <w:p w14:paraId="5D8DE313">
            <w:pPr>
              <w:tabs>
                <w:tab w:val="clear" w:pos="426"/>
              </w:tabs>
              <w:adjustRightInd/>
              <w:snapToGrid/>
              <w:spacing w:line="240" w:lineRule="exact"/>
              <w:jc w:val="center"/>
              <w:rPr>
                <w:b/>
                <w:kern w:val="2"/>
                <w:szCs w:val="21"/>
              </w:rPr>
            </w:pPr>
            <w:r>
              <w:t>443899991010003343618</w:t>
            </w:r>
          </w:p>
        </w:tc>
      </w:tr>
    </w:tbl>
    <w:p w14:paraId="24F91F63">
      <w:pPr>
        <w:tabs>
          <w:tab w:val="clear" w:pos="426"/>
        </w:tabs>
        <w:rPr>
          <w:rFonts w:cs="Arial"/>
          <w:bCs/>
          <w:sz w:val="24"/>
        </w:rPr>
      </w:pPr>
    </w:p>
    <w:p w14:paraId="7D88955C">
      <w:pPr>
        <w:tabs>
          <w:tab w:val="clear" w:pos="426"/>
        </w:tabs>
        <w:rPr>
          <w:rFonts w:cs="Arial"/>
          <w:bCs/>
          <w:sz w:val="24"/>
        </w:rPr>
      </w:pPr>
    </w:p>
    <w:p w14:paraId="5D503844">
      <w:pPr>
        <w:pStyle w:val="4"/>
        <w:numPr>
          <w:ilvl w:val="0"/>
          <w:numId w:val="42"/>
        </w:numPr>
        <w:tabs>
          <w:tab w:val="clear" w:pos="1680"/>
        </w:tabs>
        <w:jc w:val="left"/>
      </w:pPr>
      <w:r>
        <w:rPr>
          <w:sz w:val="24"/>
        </w:rPr>
        <w:br w:type="page"/>
      </w:r>
      <w:bookmarkEnd w:id="128"/>
      <w:bookmarkEnd w:id="129"/>
      <w:bookmarkEnd w:id="130"/>
      <w:bookmarkEnd w:id="131"/>
      <w:bookmarkStart w:id="133" w:name="_Toc528675207"/>
      <w:bookmarkStart w:id="134" w:name="_Toc528170834"/>
      <w:bookmarkStart w:id="135" w:name="_Toc36822702"/>
      <w:bookmarkStart w:id="136" w:name="_Toc518464390"/>
      <w:r>
        <w:rPr>
          <w:rFonts w:hint="eastAsia"/>
        </w:rPr>
        <w:t>、招标文件要求的其他内容及投标供应商认为需要加以说明的其他内容</w:t>
      </w:r>
      <w:bookmarkEnd w:id="133"/>
      <w:bookmarkEnd w:id="134"/>
      <w:bookmarkEnd w:id="135"/>
      <w:bookmarkEnd w:id="136"/>
    </w:p>
    <w:p w14:paraId="074F8CD6">
      <w:pPr>
        <w:tabs>
          <w:tab w:val="clear" w:pos="426"/>
        </w:tabs>
        <w:ind w:firstLine="424" w:firstLineChars="202"/>
        <w:rPr>
          <w:rFonts w:cs="Arial"/>
          <w:bCs/>
          <w:szCs w:val="21"/>
        </w:rPr>
      </w:pPr>
      <w:r>
        <w:rPr>
          <w:rFonts w:hint="eastAsia" w:cs="Arial"/>
          <w:bCs/>
          <w:szCs w:val="21"/>
        </w:rPr>
        <w:t>提供招标公告和评标信息中关于投标供应商的其他相关证明文件（如评标信息中涉及的各种证件（身份证除外）、设备发票等，未涉及的可以不提供）</w:t>
      </w:r>
    </w:p>
    <w:p w14:paraId="0182D9AF">
      <w:pPr>
        <w:pStyle w:val="81"/>
        <w:tabs>
          <w:tab w:val="clear" w:pos="426"/>
        </w:tabs>
      </w:pPr>
      <w:r>
        <w:br w:type="page"/>
      </w:r>
      <w:bookmarkStart w:id="137" w:name="_Toc530152521"/>
      <w:bookmarkStart w:id="138" w:name="_Toc14427253"/>
      <w:bookmarkStart w:id="139" w:name="_Toc152759237"/>
      <w:r>
        <w:rPr>
          <w:rFonts w:hint="eastAsia"/>
        </w:rPr>
        <w:t>第二册通用条款</w:t>
      </w:r>
      <w:bookmarkEnd w:id="137"/>
      <w:bookmarkEnd w:id="138"/>
      <w:bookmarkEnd w:id="139"/>
    </w:p>
    <w:p w14:paraId="72B22912">
      <w:pPr>
        <w:jc w:val="center"/>
        <w:rPr>
          <w:b/>
        </w:rPr>
      </w:pPr>
      <w:r>
        <w:rPr>
          <w:rFonts w:hint="eastAsia"/>
          <w:b/>
        </w:rPr>
        <w:t>（投标供应商须知）</w:t>
      </w:r>
    </w:p>
    <w:p w14:paraId="014FE7B2">
      <w:pPr>
        <w:pStyle w:val="5"/>
        <w:numPr>
          <w:ilvl w:val="3"/>
          <w:numId w:val="0"/>
        </w:numPr>
        <w:tabs>
          <w:tab w:val="clear" w:pos="1680"/>
        </w:tabs>
      </w:pPr>
      <w:bookmarkStart w:id="140" w:name="_Toc152759238"/>
      <w:bookmarkStart w:id="141" w:name="_Toc14427254"/>
      <w:bookmarkStart w:id="142" w:name="_Toc530152522"/>
      <w:bookmarkStart w:id="143" w:name="_Toc529280581"/>
      <w:r>
        <w:rPr>
          <w:rFonts w:hint="eastAsia"/>
        </w:rPr>
        <w:t>第一章总则</w:t>
      </w:r>
      <w:bookmarkEnd w:id="140"/>
      <w:bookmarkEnd w:id="141"/>
      <w:bookmarkEnd w:id="142"/>
      <w:bookmarkEnd w:id="143"/>
    </w:p>
    <w:p w14:paraId="1D50FE91">
      <w:pPr>
        <w:tabs>
          <w:tab w:val="clear" w:pos="426"/>
        </w:tabs>
      </w:pPr>
      <w:r>
        <w:t>1.</w:t>
      </w:r>
      <w:r>
        <w:rPr>
          <w:rFonts w:hint="eastAsia"/>
        </w:rPr>
        <w:t>通用条款说明</w:t>
      </w:r>
    </w:p>
    <w:p w14:paraId="44D3AB9F">
      <w:pPr>
        <w:tabs>
          <w:tab w:val="clear" w:pos="426"/>
        </w:tabs>
      </w:pPr>
      <w:r>
        <w:t>1.1</w:t>
      </w:r>
      <w:r>
        <w:rPr>
          <w:rFonts w:hint="eastAsia"/>
        </w:rPr>
        <w:t>采购代理机构发出招标文件通用条款版本，列出采购项目进行招标采购所适用的通用条款内容。如有需要，采购代理机构可以对这些条款增加附录或补充内容。</w:t>
      </w:r>
    </w:p>
    <w:p w14:paraId="670EF97A">
      <w:pPr>
        <w:tabs>
          <w:tab w:val="clear" w:pos="426"/>
        </w:tabs>
      </w:pPr>
      <w:r>
        <w:t>2</w:t>
      </w:r>
      <w:r>
        <w:rPr>
          <w:rFonts w:hint="eastAsia"/>
        </w:rPr>
        <w:t>．招标说明</w:t>
      </w:r>
    </w:p>
    <w:p w14:paraId="38D1A364">
      <w:pPr>
        <w:tabs>
          <w:tab w:val="clear" w:pos="426"/>
        </w:tabs>
        <w:rPr>
          <w:szCs w:val="21"/>
        </w:rPr>
      </w:pPr>
      <w:r>
        <w:rPr>
          <w:rFonts w:hint="eastAsia"/>
        </w:rPr>
        <w:t>本项目按照《中华人民共和国政府采购法》《中华人民共和国政府采购法实施条例》的规定，并参考有关法规、政策、规章、规定通过招标择优选定供应商。</w:t>
      </w:r>
      <w:r>
        <w:rPr>
          <w:rFonts w:hint="eastAsia"/>
          <w:szCs w:val="21"/>
        </w:rPr>
        <w:t>本招标文件适用于招标公告中所述项目的政府采购。</w:t>
      </w:r>
    </w:p>
    <w:p w14:paraId="3A3879EE">
      <w:pPr>
        <w:tabs>
          <w:tab w:val="clear" w:pos="426"/>
        </w:tabs>
        <w:rPr>
          <w:szCs w:val="21"/>
        </w:rPr>
      </w:pPr>
      <w:r>
        <w:rPr>
          <w:rFonts w:hint="eastAsia"/>
          <w:szCs w:val="21"/>
        </w:rPr>
        <w:t>本招标文件的解释权归属深圳市深水水务咨询有限公司。</w:t>
      </w:r>
    </w:p>
    <w:p w14:paraId="298A387E">
      <w:pPr>
        <w:tabs>
          <w:tab w:val="clear" w:pos="426"/>
        </w:tabs>
      </w:pPr>
      <w:r>
        <w:t>3</w:t>
      </w:r>
      <w:r>
        <w:rPr>
          <w:rFonts w:hint="eastAsia"/>
        </w:rPr>
        <w:t>．定义</w:t>
      </w:r>
    </w:p>
    <w:p w14:paraId="7502DF6E">
      <w:pPr>
        <w:tabs>
          <w:tab w:val="clear" w:pos="426"/>
        </w:tabs>
      </w:pPr>
      <w:r>
        <w:rPr>
          <w:rFonts w:hint="eastAsia"/>
        </w:rPr>
        <w:t>招标文件中下列术语应解释为：</w:t>
      </w:r>
    </w:p>
    <w:p w14:paraId="201749AF">
      <w:pPr>
        <w:tabs>
          <w:tab w:val="clear" w:pos="426"/>
        </w:tabs>
      </w:pPr>
      <w:r>
        <w:rPr>
          <w:szCs w:val="21"/>
        </w:rPr>
        <w:t>3.1</w:t>
      </w:r>
      <w:r>
        <w:rPr>
          <w:rFonts w:hint="eastAsia"/>
          <w:szCs w:val="21"/>
        </w:rPr>
        <w:t>“采购代理机构”</w:t>
      </w:r>
      <w:r>
        <w:rPr>
          <w:rFonts w:hint="eastAsia"/>
        </w:rPr>
        <w:t>系指政府设立的负责本级财政性资金的集中采购和招标组织工作的专门机构；本项目系指深圳市深水水务咨询有限公司；</w:t>
      </w:r>
    </w:p>
    <w:p w14:paraId="2A7968C1">
      <w:pPr>
        <w:tabs>
          <w:tab w:val="clear" w:pos="426"/>
        </w:tabs>
      </w:pPr>
      <w:r>
        <w:t>3.2“</w:t>
      </w:r>
      <w:r>
        <w:rPr>
          <w:rFonts w:hint="eastAsia"/>
        </w:rPr>
        <w:t>采购人</w:t>
      </w:r>
      <w:r>
        <w:t>”</w:t>
      </w:r>
      <w:r>
        <w:rPr>
          <w:rFonts w:hint="eastAsia"/>
        </w:rPr>
        <w:t>或</w:t>
      </w:r>
      <w:r>
        <w:t>“</w:t>
      </w:r>
      <w:r>
        <w:rPr>
          <w:rFonts w:hint="eastAsia"/>
        </w:rPr>
        <w:t>采购人</w:t>
      </w:r>
      <w:r>
        <w:t>”</w:t>
      </w:r>
      <w:r>
        <w:rPr>
          <w:rFonts w:hint="eastAsia"/>
        </w:rPr>
        <w:t>：系指利用财政性资金依法进行采购的国家机关、事业单位、团体组织；</w:t>
      </w:r>
    </w:p>
    <w:p w14:paraId="7ABA62B5">
      <w:pPr>
        <w:tabs>
          <w:tab w:val="clear" w:pos="426"/>
        </w:tabs>
      </w:pPr>
      <w:r>
        <w:t>3.3“</w:t>
      </w:r>
      <w:r>
        <w:rPr>
          <w:rFonts w:hint="eastAsia"/>
        </w:rPr>
        <w:t>投标供应商</w:t>
      </w:r>
      <w:r>
        <w:t>”</w:t>
      </w:r>
      <w:r>
        <w:rPr>
          <w:rFonts w:hint="eastAsia"/>
        </w:rPr>
        <w:t>或</w:t>
      </w:r>
      <w:r>
        <w:t>“</w:t>
      </w:r>
      <w:r>
        <w:rPr>
          <w:rFonts w:hint="eastAsia"/>
        </w:rPr>
        <w:t>投标方</w:t>
      </w:r>
      <w:r>
        <w:t>”</w:t>
      </w:r>
      <w:r>
        <w:rPr>
          <w:rFonts w:hint="eastAsia"/>
        </w:rPr>
        <w:t>，即供应商，是指参加投标竞争并愿意按照招标文件要求向采购人提供货物、工程或者服务的依法成立的法人、其他组织或者自然人；</w:t>
      </w:r>
    </w:p>
    <w:p w14:paraId="4B3BD9D6">
      <w:pPr>
        <w:tabs>
          <w:tab w:val="clear" w:pos="426"/>
        </w:tabs>
      </w:pPr>
      <w:r>
        <w:t>3.4“</w:t>
      </w:r>
      <w:r>
        <w:rPr>
          <w:rFonts w:hint="eastAsia"/>
        </w:rPr>
        <w:t>评标委员会</w:t>
      </w:r>
      <w:r>
        <w:t>”</w:t>
      </w:r>
      <w:r>
        <w:rPr>
          <w:rFonts w:hint="eastAsia"/>
        </w:rPr>
        <w:t>和</w:t>
      </w:r>
      <w:r>
        <w:t>“</w:t>
      </w:r>
      <w:r>
        <w:rPr>
          <w:rFonts w:hint="eastAsia"/>
        </w:rPr>
        <w:t>谈判小组</w:t>
      </w:r>
      <w:r>
        <w:t>”</w:t>
      </w:r>
      <w:r>
        <w:rPr>
          <w:rFonts w:hint="eastAsia"/>
        </w:rPr>
        <w:t>是依据有关规定组建的专门负责本次招标其评标（谈判）工作的临时性机构；</w:t>
      </w:r>
    </w:p>
    <w:p w14:paraId="340407EC">
      <w:pPr>
        <w:tabs>
          <w:tab w:val="clear" w:pos="426"/>
        </w:tabs>
      </w:pPr>
      <w:r>
        <w:t>3.5“</w:t>
      </w:r>
      <w:r>
        <w:rPr>
          <w:rFonts w:hint="eastAsia"/>
        </w:rPr>
        <w:t>日期</w:t>
      </w:r>
      <w:r>
        <w:t>”</w:t>
      </w:r>
      <w:r>
        <w:rPr>
          <w:rFonts w:hint="eastAsia"/>
        </w:rPr>
        <w:t>指公历日；</w:t>
      </w:r>
    </w:p>
    <w:p w14:paraId="0BED6929">
      <w:pPr>
        <w:tabs>
          <w:tab w:val="clear" w:pos="426"/>
        </w:tabs>
      </w:pPr>
      <w:r>
        <w:t>3.6“</w:t>
      </w:r>
      <w:r>
        <w:rPr>
          <w:rFonts w:hint="eastAsia"/>
        </w:rPr>
        <w:t>合同</w:t>
      </w:r>
      <w:r>
        <w:t>”</w:t>
      </w:r>
      <w:r>
        <w:rPr>
          <w:rFonts w:hint="eastAsia"/>
        </w:rPr>
        <w:t>指由本次招标所产生的合同或合约文件；</w:t>
      </w:r>
    </w:p>
    <w:p w14:paraId="225F7D03">
      <w:pPr>
        <w:tabs>
          <w:tab w:val="clear" w:pos="426"/>
        </w:tabs>
      </w:pPr>
      <w:r>
        <w:t>3.7</w:t>
      </w:r>
      <w:r>
        <w:rPr>
          <w:rFonts w:hint="eastAsia"/>
        </w:rPr>
        <w:t>招标文件中的标题或题名仅起引导作用，而不应视为对招标文件内容的理解和解释。</w:t>
      </w:r>
    </w:p>
    <w:p w14:paraId="125FC58B">
      <w:pPr>
        <w:tabs>
          <w:tab w:val="clear" w:pos="426"/>
        </w:tabs>
      </w:pPr>
      <w:r>
        <w:t>4.</w:t>
      </w:r>
      <w:r>
        <w:rPr>
          <w:rFonts w:hint="eastAsia"/>
        </w:rPr>
        <w:t>供应商责任</w:t>
      </w:r>
    </w:p>
    <w:p w14:paraId="63A7AAC3">
      <w:pPr>
        <w:tabs>
          <w:tab w:val="clear" w:pos="426"/>
        </w:tabs>
      </w:pPr>
      <w:r>
        <w:t>4.1</w:t>
      </w:r>
      <w:r>
        <w:rPr>
          <w:rFonts w:hint="eastAsia"/>
        </w:rPr>
        <w:t>欢迎诚信、有实力和有社会责任心的供应商参与采购事业。</w:t>
      </w:r>
    </w:p>
    <w:p w14:paraId="30AE75AD">
      <w:pPr>
        <w:tabs>
          <w:tab w:val="clear" w:pos="426"/>
        </w:tabs>
      </w:pPr>
      <w:r>
        <w:t>4.2</w:t>
      </w:r>
      <w:r>
        <w:rPr>
          <w:rFonts w:hint="eastAsia"/>
        </w:rPr>
        <w:t>供应商在采购项目投标过程中应诚实守信，不弄虚作假，不隐瞒真实情况，不围标串标，不恶意质疑投诉。如违反上述要求，经核实后，供应商的投标将作废，没收投标保证金，将该供应商列入不良记录名单并在网上曝光，同时提请相关监督管理部门给予一定年限内禁止参加采购活动的处罚或其他处罚。</w:t>
      </w:r>
    </w:p>
    <w:p w14:paraId="688EFFD1">
      <w:pPr>
        <w:tabs>
          <w:tab w:val="clear" w:pos="426"/>
        </w:tabs>
      </w:pPr>
      <w:r>
        <w:t>5</w:t>
      </w:r>
      <w:r>
        <w:rPr>
          <w:rFonts w:hint="eastAsia"/>
        </w:rPr>
        <w:t>．合格的投标供应商</w:t>
      </w:r>
    </w:p>
    <w:p w14:paraId="3609C97F">
      <w:pPr>
        <w:widowControl w:val="0"/>
        <w:shd w:val="clear" w:color="auto" w:fill="auto"/>
        <w:tabs>
          <w:tab w:val="clear" w:pos="426"/>
        </w:tabs>
        <w:autoSpaceDE w:val="0"/>
        <w:autoSpaceDN w:val="0"/>
        <w:rPr>
          <w:szCs w:val="21"/>
        </w:rPr>
      </w:pPr>
      <w:r>
        <w:rPr>
          <w:szCs w:val="21"/>
        </w:rPr>
        <w:t xml:space="preserve">5.1 </w:t>
      </w:r>
      <w:r>
        <w:rPr>
          <w:rFonts w:hint="eastAsia"/>
          <w:szCs w:val="21"/>
        </w:rPr>
        <w:t>投标供应商是响应招标并且符合招标文件规定资格条件和参加投标竞争的法人、其他组织或者自然人。</w:t>
      </w:r>
    </w:p>
    <w:p w14:paraId="00B30838">
      <w:pPr>
        <w:widowControl w:val="0"/>
        <w:shd w:val="clear" w:color="auto" w:fill="auto"/>
        <w:tabs>
          <w:tab w:val="clear" w:pos="426"/>
        </w:tabs>
        <w:autoSpaceDE w:val="0"/>
        <w:autoSpaceDN w:val="0"/>
        <w:rPr>
          <w:szCs w:val="21"/>
          <w:lang w:eastAsia="zh-TW"/>
        </w:rPr>
      </w:pPr>
      <w:r>
        <w:rPr>
          <w:szCs w:val="21"/>
        </w:rPr>
        <w:t xml:space="preserve">5.2 </w:t>
      </w:r>
      <w:r>
        <w:rPr>
          <w:rFonts w:hint="eastAsia"/>
          <w:szCs w:val="21"/>
          <w:lang w:eastAsia="zh-TW"/>
        </w:rPr>
        <w:t>合格的投标供应商</w:t>
      </w:r>
    </w:p>
    <w:p w14:paraId="23D2FFD5">
      <w:pPr>
        <w:widowControl w:val="0"/>
        <w:shd w:val="clear" w:color="auto" w:fill="auto"/>
        <w:tabs>
          <w:tab w:val="clear" w:pos="426"/>
        </w:tabs>
        <w:autoSpaceDE w:val="0"/>
        <w:autoSpaceDN w:val="0"/>
        <w:rPr>
          <w:szCs w:val="21"/>
        </w:rPr>
      </w:pPr>
      <w:r>
        <w:rPr>
          <w:szCs w:val="21"/>
        </w:rPr>
        <w:t xml:space="preserve">5.2.1 </w:t>
      </w:r>
      <w:r>
        <w:rPr>
          <w:rFonts w:hint="eastAsia"/>
          <w:szCs w:val="21"/>
        </w:rPr>
        <w:t>具有独立承担民事责任的能力。</w:t>
      </w:r>
    </w:p>
    <w:p w14:paraId="06FCCFC9">
      <w:pPr>
        <w:widowControl w:val="0"/>
        <w:shd w:val="clear" w:color="auto" w:fill="auto"/>
        <w:tabs>
          <w:tab w:val="clear" w:pos="426"/>
        </w:tabs>
        <w:autoSpaceDE w:val="0"/>
        <w:autoSpaceDN w:val="0"/>
        <w:rPr>
          <w:szCs w:val="21"/>
        </w:rPr>
      </w:pPr>
      <w:r>
        <w:rPr>
          <w:szCs w:val="21"/>
        </w:rPr>
        <w:t xml:space="preserve">5.2.2 </w:t>
      </w:r>
      <w:r>
        <w:rPr>
          <w:rFonts w:hint="eastAsia"/>
          <w:szCs w:val="21"/>
        </w:rPr>
        <w:t>具有良好的商业信誉和健全的财务会计制度。</w:t>
      </w:r>
    </w:p>
    <w:p w14:paraId="28694FAD">
      <w:pPr>
        <w:widowControl w:val="0"/>
        <w:shd w:val="clear" w:color="auto" w:fill="auto"/>
        <w:tabs>
          <w:tab w:val="clear" w:pos="426"/>
        </w:tabs>
        <w:autoSpaceDE w:val="0"/>
        <w:autoSpaceDN w:val="0"/>
        <w:rPr>
          <w:szCs w:val="21"/>
        </w:rPr>
      </w:pPr>
      <w:r>
        <w:rPr>
          <w:szCs w:val="21"/>
        </w:rPr>
        <w:t xml:space="preserve">5.2.3 </w:t>
      </w:r>
      <w:r>
        <w:rPr>
          <w:rFonts w:hint="eastAsia"/>
          <w:szCs w:val="21"/>
        </w:rPr>
        <w:t>具有履行合同所必需的设备和专业技术能力。</w:t>
      </w:r>
    </w:p>
    <w:p w14:paraId="6BD4F6D9">
      <w:pPr>
        <w:widowControl w:val="0"/>
        <w:shd w:val="clear" w:color="auto" w:fill="auto"/>
        <w:tabs>
          <w:tab w:val="clear" w:pos="426"/>
        </w:tabs>
        <w:autoSpaceDE w:val="0"/>
        <w:autoSpaceDN w:val="0"/>
        <w:rPr>
          <w:szCs w:val="21"/>
        </w:rPr>
      </w:pPr>
      <w:r>
        <w:rPr>
          <w:szCs w:val="21"/>
        </w:rPr>
        <w:t xml:space="preserve">5.2.4 </w:t>
      </w:r>
      <w:r>
        <w:rPr>
          <w:rFonts w:hint="eastAsia"/>
          <w:szCs w:val="21"/>
        </w:rPr>
        <w:t>有依法缴纳税收和社会保障资金的良好记录。</w:t>
      </w:r>
    </w:p>
    <w:p w14:paraId="2BBAD260">
      <w:pPr>
        <w:widowControl w:val="0"/>
        <w:shd w:val="clear" w:color="auto" w:fill="auto"/>
        <w:tabs>
          <w:tab w:val="clear" w:pos="426"/>
        </w:tabs>
        <w:autoSpaceDE w:val="0"/>
        <w:autoSpaceDN w:val="0"/>
        <w:rPr>
          <w:szCs w:val="21"/>
        </w:rPr>
      </w:pPr>
      <w:r>
        <w:rPr>
          <w:szCs w:val="21"/>
        </w:rPr>
        <w:t xml:space="preserve">5.2.5 </w:t>
      </w:r>
      <w:r>
        <w:rPr>
          <w:rFonts w:hint="eastAsia"/>
          <w:szCs w:val="21"/>
        </w:rPr>
        <w:t>参加采购活动前三年内，在经营活动中没有重大违法记录。</w:t>
      </w:r>
    </w:p>
    <w:p w14:paraId="37A6354C">
      <w:pPr>
        <w:widowControl w:val="0"/>
        <w:shd w:val="clear" w:color="auto" w:fill="auto"/>
        <w:tabs>
          <w:tab w:val="clear" w:pos="426"/>
        </w:tabs>
        <w:autoSpaceDE w:val="0"/>
        <w:autoSpaceDN w:val="0"/>
        <w:rPr>
          <w:szCs w:val="21"/>
        </w:rPr>
      </w:pPr>
      <w:r>
        <w:rPr>
          <w:szCs w:val="21"/>
        </w:rPr>
        <w:t xml:space="preserve">5.2.6 </w:t>
      </w:r>
      <w:r>
        <w:rPr>
          <w:rFonts w:hint="eastAsia"/>
          <w:szCs w:val="21"/>
        </w:rPr>
        <w:t>法律、行政法规规定的其他条件。</w:t>
      </w:r>
    </w:p>
    <w:p w14:paraId="0402D512">
      <w:pPr>
        <w:widowControl w:val="0"/>
        <w:shd w:val="clear" w:color="auto" w:fill="auto"/>
        <w:tabs>
          <w:tab w:val="clear" w:pos="426"/>
        </w:tabs>
        <w:autoSpaceDE w:val="0"/>
        <w:autoSpaceDN w:val="0"/>
        <w:rPr>
          <w:szCs w:val="21"/>
        </w:rPr>
      </w:pPr>
      <w:r>
        <w:rPr>
          <w:szCs w:val="21"/>
        </w:rPr>
        <w:t xml:space="preserve">5.2.7 </w:t>
      </w:r>
      <w:r>
        <w:rPr>
          <w:rFonts w:hint="eastAsia"/>
          <w:szCs w:val="21"/>
        </w:rPr>
        <w:t>只有在法律上和财务上独立、合法运作并独立于采购人和代理机构的供货商才能参加投标。</w:t>
      </w:r>
    </w:p>
    <w:p w14:paraId="4BA8AC89">
      <w:pPr>
        <w:widowControl w:val="0"/>
        <w:shd w:val="clear" w:color="auto" w:fill="auto"/>
        <w:tabs>
          <w:tab w:val="clear" w:pos="426"/>
        </w:tabs>
        <w:autoSpaceDE w:val="0"/>
        <w:autoSpaceDN w:val="0"/>
        <w:rPr>
          <w:b/>
          <w:szCs w:val="21"/>
        </w:rPr>
      </w:pPr>
      <w:r>
        <w:rPr>
          <w:szCs w:val="21"/>
        </w:rPr>
        <w:t xml:space="preserve">5.2.8 </w:t>
      </w:r>
      <w:r>
        <w:rPr>
          <w:rFonts w:hint="eastAsia"/>
          <w:szCs w:val="21"/>
        </w:rPr>
        <w:t>法定代表人或单位负责人为同一人或者存在直接控股、管理关系的不同单位不得同时参与同一个项目（包组）的竞争。</w:t>
      </w:r>
    </w:p>
    <w:p w14:paraId="400A6FFA">
      <w:pPr>
        <w:widowControl w:val="0"/>
        <w:shd w:val="clear" w:color="auto" w:fill="auto"/>
        <w:tabs>
          <w:tab w:val="clear" w:pos="426"/>
        </w:tabs>
        <w:autoSpaceDE w:val="0"/>
        <w:autoSpaceDN w:val="0"/>
        <w:rPr>
          <w:szCs w:val="21"/>
        </w:rPr>
      </w:pPr>
      <w:r>
        <w:rPr>
          <w:szCs w:val="21"/>
        </w:rPr>
        <w:t xml:space="preserve">5.2.9 </w:t>
      </w:r>
      <w:r>
        <w:rPr>
          <w:rFonts w:hint="eastAsia"/>
          <w:szCs w:val="21"/>
        </w:rPr>
        <w:t>符合</w:t>
      </w:r>
      <w:r>
        <w:rPr>
          <w:rFonts w:hint="eastAsia" w:cs="黑体"/>
          <w:szCs w:val="21"/>
        </w:rPr>
        <w:t>第一章招标公告“投标供应商资格要求”</w:t>
      </w:r>
      <w:r>
        <w:rPr>
          <w:rFonts w:hint="eastAsia"/>
          <w:szCs w:val="21"/>
        </w:rPr>
        <w:t>的条款</w:t>
      </w:r>
      <w:r>
        <w:rPr>
          <w:rFonts w:hint="eastAsia" w:cs="黑体"/>
          <w:szCs w:val="21"/>
        </w:rPr>
        <w:t>。</w:t>
      </w:r>
    </w:p>
    <w:p w14:paraId="73AFC3F1">
      <w:pPr>
        <w:widowControl w:val="0"/>
        <w:shd w:val="clear" w:color="auto" w:fill="auto"/>
        <w:tabs>
          <w:tab w:val="clear" w:pos="426"/>
        </w:tabs>
        <w:autoSpaceDE w:val="0"/>
        <w:autoSpaceDN w:val="0"/>
        <w:rPr>
          <w:szCs w:val="21"/>
        </w:rPr>
      </w:pPr>
      <w:r>
        <w:rPr>
          <w:szCs w:val="21"/>
        </w:rPr>
        <w:t xml:space="preserve">5.3 </w:t>
      </w:r>
      <w:r>
        <w:rPr>
          <w:rFonts w:hint="eastAsia"/>
          <w:szCs w:val="21"/>
        </w:rPr>
        <w:t>中标供应商是指经法定程序确定并授予合同的投标供应商。</w:t>
      </w:r>
    </w:p>
    <w:p w14:paraId="5FAE26F9">
      <w:pPr>
        <w:tabs>
          <w:tab w:val="clear" w:pos="426"/>
        </w:tabs>
      </w:pPr>
      <w:r>
        <w:t>6</w:t>
      </w:r>
      <w:r>
        <w:rPr>
          <w:rFonts w:hint="eastAsia"/>
        </w:rPr>
        <w:t>．联合体投标</w:t>
      </w:r>
    </w:p>
    <w:p w14:paraId="356B0CBE">
      <w:pPr>
        <w:tabs>
          <w:tab w:val="clear" w:pos="426"/>
        </w:tabs>
      </w:pPr>
      <w:r>
        <w:t>6.1</w:t>
      </w:r>
      <w:r>
        <w:rPr>
          <w:rFonts w:hint="eastAsia"/>
        </w:rPr>
        <w:t>　以下有关联合体投标的条款仅适用于允许投标供应商组成联合体投标的项目。</w:t>
      </w:r>
    </w:p>
    <w:p w14:paraId="435625FC">
      <w:pPr>
        <w:tabs>
          <w:tab w:val="clear" w:pos="426"/>
        </w:tabs>
      </w:pPr>
      <w:r>
        <w:t>6.2</w:t>
      </w:r>
      <w:r>
        <w:rPr>
          <w:rFonts w:hint="eastAsia"/>
        </w:rPr>
        <w:t>　由两个或两个以上的自然人、法人或者其他组织可以组成一个联合体，以一个供应商的身份共同投标时，应符合以下原则：</w:t>
      </w:r>
    </w:p>
    <w:p w14:paraId="1A00400E">
      <w:pPr>
        <w:tabs>
          <w:tab w:val="clear" w:pos="426"/>
        </w:tabs>
      </w:pPr>
      <w:r>
        <w:t>6.2.</w:t>
      </w:r>
      <w:r>
        <w:rPr>
          <w:bCs/>
        </w:rPr>
        <w:t>1</w:t>
      </w:r>
      <w:r>
        <w:rPr>
          <w:rFonts w:hint="eastAsia"/>
          <w:bCs/>
        </w:rPr>
        <w:t>投标联合体应满足招标公告有关投标供应商资格要求中对联合体的要求；</w:t>
      </w:r>
    </w:p>
    <w:p w14:paraId="7EDC2E28">
      <w:pPr>
        <w:tabs>
          <w:tab w:val="clear" w:pos="426"/>
        </w:tabs>
      </w:pPr>
      <w:r>
        <w:t>6.2.2</w:t>
      </w:r>
      <w:r>
        <w:rPr>
          <w:rFonts w:hint="eastAsia"/>
        </w:rPr>
        <w:t>对于招标公告中所要求投标供应商应具有的某一资质，若联合体各方均具有，则将以联合体各方中最低的资质等级作为联合体在这一资质条件上的资质等级；联合体各方的不同资质可优势互补。</w:t>
      </w:r>
    </w:p>
    <w:p w14:paraId="6FEAFD1A">
      <w:pPr>
        <w:tabs>
          <w:tab w:val="clear" w:pos="426"/>
        </w:tabs>
      </w:pPr>
      <w:r>
        <w:t>6.2.3</w:t>
      </w:r>
      <w:r>
        <w:rPr>
          <w:rFonts w:hint="eastAsia"/>
        </w:rPr>
        <w:t>投标供应商的投标文件及中标后签署的合同协议对联合体各方均具法律约束力；</w:t>
      </w:r>
    </w:p>
    <w:p w14:paraId="4787E7D0">
      <w:pPr>
        <w:tabs>
          <w:tab w:val="clear" w:pos="426"/>
        </w:tabs>
      </w:pPr>
      <w:r>
        <w:t>6.2.4</w:t>
      </w:r>
      <w:r>
        <w:rPr>
          <w:rFonts w:hint="eastAsia"/>
        </w:rPr>
        <w:t>联合体各方应当签订共同投标协议，明确约定各方拟承担的工作和责任，并将该共同投标协议随投标文件一并递交给代理机构；</w:t>
      </w:r>
    </w:p>
    <w:p w14:paraId="4974EF27">
      <w:pPr>
        <w:tabs>
          <w:tab w:val="clear" w:pos="426"/>
        </w:tabs>
      </w:pPr>
      <w:r>
        <w:t>6.2.5</w:t>
      </w:r>
      <w:r>
        <w:rPr>
          <w:rFonts w:hint="eastAsia"/>
        </w:rPr>
        <w:t>联合体的各方应当共同推荐一联合体投标授权代表人，由联合体各方提交一份授权书，证明其有资格代表联合体各方签署投标文件，该授权书作为投标文件的组成部分一并提交给代理机构；</w:t>
      </w:r>
    </w:p>
    <w:p w14:paraId="375C0001">
      <w:pPr>
        <w:tabs>
          <w:tab w:val="clear" w:pos="426"/>
        </w:tabs>
      </w:pPr>
      <w:r>
        <w:t>6.2.6</w:t>
      </w:r>
      <w:r>
        <w:rPr>
          <w:rFonts w:hint="eastAsia"/>
        </w:rPr>
        <w:t>参加联合体的各方不得再以自己的名义单独投标，不得同时参加两个或两个以上的联合体投标、不得以分包商或其它形式参与投标，出现上述情况者，其投标和与此有关联合体、总包单位的投标将被拒绝；</w:t>
      </w:r>
    </w:p>
    <w:p w14:paraId="37CD0EF8">
      <w:pPr>
        <w:tabs>
          <w:tab w:val="clear" w:pos="426"/>
        </w:tabs>
      </w:pPr>
      <w:r>
        <w:t>6.2.7</w:t>
      </w:r>
      <w:r>
        <w:rPr>
          <w:rFonts w:hint="eastAsia"/>
        </w:rPr>
        <w:t>除非另有规定或说明，本须知中</w:t>
      </w:r>
      <w:r>
        <w:t>“</w:t>
      </w:r>
      <w:r>
        <w:rPr>
          <w:rFonts w:hint="eastAsia"/>
        </w:rPr>
        <w:t>投标供应商</w:t>
      </w:r>
      <w:r>
        <w:t>”</w:t>
      </w:r>
      <w:r>
        <w:rPr>
          <w:rFonts w:hint="eastAsia"/>
        </w:rPr>
        <w:t>一词亦指联合体各方。</w:t>
      </w:r>
    </w:p>
    <w:p w14:paraId="6643A7DA">
      <w:pPr>
        <w:tabs>
          <w:tab w:val="clear" w:pos="426"/>
        </w:tabs>
      </w:pPr>
      <w:r>
        <w:t xml:space="preserve">7. </w:t>
      </w:r>
      <w:r>
        <w:rPr>
          <w:rFonts w:hint="eastAsia"/>
        </w:rPr>
        <w:t>合格的服务和货物</w:t>
      </w:r>
    </w:p>
    <w:p w14:paraId="2F648B3E">
      <w:pPr>
        <w:widowControl w:val="0"/>
        <w:shd w:val="clear" w:color="auto" w:fill="auto"/>
        <w:tabs>
          <w:tab w:val="clear" w:pos="426"/>
        </w:tabs>
        <w:autoSpaceDE w:val="0"/>
        <w:autoSpaceDN w:val="0"/>
        <w:rPr>
          <w:szCs w:val="21"/>
        </w:rPr>
      </w:pPr>
      <w:r>
        <w:rPr>
          <w:szCs w:val="21"/>
        </w:rPr>
        <w:t xml:space="preserve">7.1 </w:t>
      </w:r>
      <w:r>
        <w:rPr>
          <w:rFonts w:hint="eastAsia"/>
          <w:szCs w:val="21"/>
        </w:rPr>
        <w:t>“服务”是指投标供应商按招标文件规定完成的全部服务内容，其中包括完成服务所需的货物，及须承担的技术支持、培训和其它伴随服务。</w:t>
      </w:r>
    </w:p>
    <w:p w14:paraId="49FCD38E">
      <w:pPr>
        <w:widowControl w:val="0"/>
        <w:shd w:val="clear" w:color="auto" w:fill="auto"/>
        <w:tabs>
          <w:tab w:val="clear" w:pos="426"/>
        </w:tabs>
        <w:autoSpaceDE w:val="0"/>
        <w:autoSpaceDN w:val="0"/>
        <w:rPr>
          <w:rFonts w:cs="黑体"/>
          <w:b/>
          <w:bCs/>
          <w:szCs w:val="21"/>
        </w:rPr>
      </w:pPr>
      <w:r>
        <w:rPr>
          <w:szCs w:val="21"/>
        </w:rPr>
        <w:t xml:space="preserve">7.2 </w:t>
      </w:r>
      <w:r>
        <w:rPr>
          <w:rFonts w:hint="eastAsia"/>
          <w:szCs w:val="21"/>
        </w:rPr>
        <w:t>“货物”是指投标供应商制造或组织符合招标文件要求的货物等。投标的货物必须是其合法生产、合法来源的符合国家有关标准要求的货物，并满足招标文件规定的规格、参数、质量、价格、有效期、售后服务等要求。</w:t>
      </w:r>
    </w:p>
    <w:p w14:paraId="3A0209C0">
      <w:pPr>
        <w:widowControl w:val="0"/>
        <w:shd w:val="clear" w:color="auto" w:fill="auto"/>
        <w:tabs>
          <w:tab w:val="clear" w:pos="426"/>
        </w:tabs>
        <w:autoSpaceDE w:val="0"/>
        <w:autoSpaceDN w:val="0"/>
        <w:rPr>
          <w:szCs w:val="21"/>
        </w:rPr>
      </w:pPr>
      <w:r>
        <w:rPr>
          <w:szCs w:val="21"/>
        </w:rPr>
        <w:t xml:space="preserve">7.3 </w:t>
      </w:r>
      <w:r>
        <w:rPr>
          <w:rFonts w:hint="eastAsia"/>
          <w:szCs w:val="21"/>
        </w:rPr>
        <w:t>投标供应商提供的所有服务，其质量、技术等特征必须符合国家、行业现行法律、法规的相关标准和《中华人民共和国政府采购法》的有关规定及用户需求。</w:t>
      </w:r>
    </w:p>
    <w:p w14:paraId="5D19FEDE">
      <w:pPr>
        <w:widowControl w:val="0"/>
        <w:shd w:val="clear" w:color="auto" w:fill="auto"/>
        <w:tabs>
          <w:tab w:val="clear" w:pos="426"/>
        </w:tabs>
        <w:autoSpaceDE w:val="0"/>
        <w:autoSpaceDN w:val="0"/>
        <w:rPr>
          <w:szCs w:val="21"/>
        </w:rPr>
      </w:pPr>
      <w:r>
        <w:rPr>
          <w:szCs w:val="21"/>
        </w:rPr>
        <w:t xml:space="preserve">7.4 </w:t>
      </w:r>
      <w:r>
        <w:rPr>
          <w:rFonts w:hint="eastAsia"/>
          <w:szCs w:val="21"/>
        </w:rPr>
        <w:t>采购人有权拒绝接受任何不合格的服务，由此产生的费用及相关后果均由供应商自行承担。</w:t>
      </w:r>
    </w:p>
    <w:p w14:paraId="3A64C73B">
      <w:pPr>
        <w:widowControl w:val="0"/>
        <w:shd w:val="clear" w:color="auto" w:fill="auto"/>
        <w:tabs>
          <w:tab w:val="clear" w:pos="426"/>
        </w:tabs>
        <w:autoSpaceDE w:val="0"/>
        <w:autoSpaceDN w:val="0"/>
        <w:rPr>
          <w:szCs w:val="21"/>
        </w:rPr>
      </w:pPr>
      <w:r>
        <w:rPr>
          <w:szCs w:val="21"/>
        </w:rPr>
        <w:t xml:space="preserve">7.5 </w:t>
      </w:r>
      <w:r>
        <w:rPr>
          <w:rFonts w:hint="eastAsia"/>
          <w:szCs w:val="21"/>
        </w:rPr>
        <w:t>投标供应商应保证本项目的投标技术、服务或其任何一部分不会产生因第三方提出侵犯其专利权、商标权或其他知识产权而引起的法律和经济纠纷；如果投标供应商不拥有相应的知识产权，则须在报价中包括合法获取该知识产权的相关费用，并在投标文件中附有相关证明文件。如因第三方提出其专利权、商标权或其他知识产权的侵权之诉，则一切法律责任由投标供应商承担。</w:t>
      </w:r>
    </w:p>
    <w:p w14:paraId="29ED5A30">
      <w:pPr>
        <w:tabs>
          <w:tab w:val="clear" w:pos="426"/>
        </w:tabs>
      </w:pPr>
      <w:r>
        <w:t>8</w:t>
      </w:r>
      <w:r>
        <w:rPr>
          <w:rFonts w:hint="eastAsia"/>
        </w:rPr>
        <w:t>．投标费用</w:t>
      </w:r>
    </w:p>
    <w:p w14:paraId="7FAD0FE0">
      <w:pPr>
        <w:tabs>
          <w:tab w:val="clear" w:pos="426"/>
        </w:tabs>
      </w:pPr>
      <w:r>
        <w:rPr>
          <w:rFonts w:hint="eastAsia"/>
        </w:rPr>
        <w:t>不论投标结果如何，投标供应商应承担其编制投标文件与递交投标文件所涉及的一切费用。</w:t>
      </w:r>
      <w:r>
        <w:rPr>
          <w:rFonts w:hint="eastAsia"/>
          <w:szCs w:val="21"/>
          <w:lang w:eastAsia="zh-TW"/>
        </w:rPr>
        <w:t>不论投标的结果如何</w:t>
      </w:r>
      <w:r>
        <w:rPr>
          <w:rFonts w:hint="eastAsia"/>
          <w:szCs w:val="21"/>
        </w:rPr>
        <w:t>，</w:t>
      </w:r>
      <w:r>
        <w:rPr>
          <w:rFonts w:hint="eastAsia"/>
          <w:szCs w:val="21"/>
          <w:lang w:eastAsia="zh-TW"/>
        </w:rPr>
        <w:t>招标采购人均无义务和责任承担这些费用</w:t>
      </w:r>
      <w:r>
        <w:rPr>
          <w:rFonts w:hint="eastAsia"/>
          <w:szCs w:val="21"/>
        </w:rPr>
        <w:t>。</w:t>
      </w:r>
    </w:p>
    <w:p w14:paraId="088D6F8A">
      <w:pPr>
        <w:tabs>
          <w:tab w:val="clear" w:pos="426"/>
        </w:tabs>
      </w:pPr>
      <w:r>
        <w:t>9</w:t>
      </w:r>
      <w:r>
        <w:rPr>
          <w:rFonts w:hint="eastAsia"/>
        </w:rPr>
        <w:t>．踏勘现场</w:t>
      </w:r>
    </w:p>
    <w:p w14:paraId="0A0E90E8">
      <w:pPr>
        <w:tabs>
          <w:tab w:val="clear" w:pos="426"/>
        </w:tabs>
      </w:pPr>
      <w:r>
        <w:t>9.1</w:t>
      </w:r>
      <w:r>
        <w:rPr>
          <w:rFonts w:hint="eastAsia"/>
        </w:rPr>
        <w:t>如有需要，采购代理机构或采购人将组织投标供应商对项目现场及周围环境进行踏勘，以便投标供应商获取有关编制投标文件和签署合同所需的所有资料。踏勘现场所发生的费用和风险由投标供应商自己承担，投标供应商应按招标公告所约定的时间、地点统一踏勘现场。</w:t>
      </w:r>
    </w:p>
    <w:p w14:paraId="35355502">
      <w:pPr>
        <w:tabs>
          <w:tab w:val="clear" w:pos="426"/>
        </w:tabs>
      </w:pPr>
      <w:r>
        <w:t>9.2</w:t>
      </w:r>
      <w:r>
        <w:rPr>
          <w:rFonts w:hint="eastAsia"/>
        </w:rPr>
        <w:t>投标供应商及其人员经过采购人的允许，可以踏勘目的进入采购人的项目现场。若本项目招标文件要求投标供应商于统一时间地点踏勘现场的，投标供应商按时前往。</w:t>
      </w:r>
    </w:p>
    <w:p w14:paraId="30BF33F2">
      <w:pPr>
        <w:tabs>
          <w:tab w:val="clear" w:pos="426"/>
        </w:tabs>
      </w:pPr>
      <w:r>
        <w:t>9.3</w:t>
      </w:r>
      <w:r>
        <w:rPr>
          <w:rFonts w:hint="eastAsia"/>
        </w:rPr>
        <w:t>采购人必须通过采购代理机构向投标供应商提供有关现场的资料和数据。</w:t>
      </w:r>
    </w:p>
    <w:p w14:paraId="5CA10622">
      <w:pPr>
        <w:tabs>
          <w:tab w:val="clear" w:pos="426"/>
        </w:tabs>
      </w:pPr>
      <w:r>
        <w:t>9.4</w:t>
      </w:r>
      <w:r>
        <w:rPr>
          <w:rFonts w:hint="eastAsia"/>
        </w:rPr>
        <w:t>任何人或任何组织在踏勘现场时向投标供应商提交的任何书面或口头上的资料，未经采购代理机构在网上发布或书面通知，均作无效处理。采购代理机构对投标供应商由此而做出的推论、理解和结论概不负责。</w:t>
      </w:r>
    </w:p>
    <w:p w14:paraId="6037F52D">
      <w:pPr>
        <w:tabs>
          <w:tab w:val="clear" w:pos="426"/>
        </w:tabs>
      </w:pPr>
      <w:r>
        <w:t xml:space="preserve">9.5 </w:t>
      </w:r>
      <w:r>
        <w:rPr>
          <w:rFonts w:hint="eastAsia"/>
        </w:rPr>
        <w:t>未参与现场踏勘不作为否定投标供应商资格的理由。</w:t>
      </w:r>
    </w:p>
    <w:p w14:paraId="19A20FBC">
      <w:pPr>
        <w:tabs>
          <w:tab w:val="clear" w:pos="426"/>
        </w:tabs>
      </w:pPr>
      <w:r>
        <w:t>10</w:t>
      </w:r>
      <w:r>
        <w:rPr>
          <w:rFonts w:hint="eastAsia"/>
        </w:rPr>
        <w:t>．招标答疑</w:t>
      </w:r>
    </w:p>
    <w:p w14:paraId="06C0E00E">
      <w:pPr>
        <w:tabs>
          <w:tab w:val="clear" w:pos="426"/>
        </w:tabs>
      </w:pPr>
      <w:r>
        <w:t>10.1</w:t>
      </w:r>
      <w:r>
        <w:rPr>
          <w:rFonts w:hint="eastAsia"/>
        </w:rPr>
        <w:t>招标答疑的目的是澄清、解答投标供应商在查阅招标文件后或现场踏勘中可能提出的与投标有关的疑问或询问。</w:t>
      </w:r>
    </w:p>
    <w:p w14:paraId="4FD463A7">
      <w:pPr>
        <w:tabs>
          <w:tab w:val="clear" w:pos="426"/>
        </w:tabs>
      </w:pPr>
      <w:r>
        <w:t>10.2</w:t>
      </w:r>
      <w:r>
        <w:rPr>
          <w:rFonts w:hint="eastAsia"/>
        </w:rPr>
        <w:t>投标供应商提出的与投标有关的问题须在招标文件规定的答疑截止时间前以“质疑函</w:t>
      </w:r>
      <w:r>
        <w:t>”</w:t>
      </w:r>
      <w:r>
        <w:rPr>
          <w:rFonts w:hint="eastAsia"/>
        </w:rPr>
        <w:t>的形式提交给采购代理机构，质疑函应该加盖质疑单位公章。</w:t>
      </w:r>
    </w:p>
    <w:p w14:paraId="10E3BD5D">
      <w:pPr>
        <w:tabs>
          <w:tab w:val="clear" w:pos="426"/>
        </w:tabs>
      </w:pPr>
      <w:r>
        <w:t>10.3</w:t>
      </w:r>
      <w:r>
        <w:rPr>
          <w:rFonts w:hint="eastAsia"/>
        </w:rPr>
        <w:t>采购代理机构对疑问所做出的澄清和解答，以书面答复（包括网站发布信息）为准。答疑纪要的有效性规定按照本通用条款第</w:t>
      </w:r>
      <w:r>
        <w:t>13.3.13.4</w:t>
      </w:r>
      <w:r>
        <w:rPr>
          <w:rFonts w:hint="eastAsia"/>
        </w:rPr>
        <w:t>款规定执行。</w:t>
      </w:r>
    </w:p>
    <w:p w14:paraId="69618CCF">
      <w:pPr>
        <w:tabs>
          <w:tab w:val="clear" w:pos="426"/>
        </w:tabs>
      </w:pPr>
      <w:r>
        <w:t>10.4</w:t>
      </w:r>
      <w:r>
        <w:rPr>
          <w:rFonts w:hint="eastAsia"/>
        </w:rPr>
        <w:t>如采购代理机构认为有必要组织现场答疑会，投标供应商应按照招标文件规定的时间或采购代理机构另行书面通知（包括网站发布的通知）的时间和地点，参与现场答疑会。</w:t>
      </w:r>
    </w:p>
    <w:p w14:paraId="18790B1D">
      <w:pPr>
        <w:tabs>
          <w:tab w:val="clear" w:pos="426"/>
        </w:tabs>
      </w:pPr>
      <w:r>
        <w:t>10.5</w:t>
      </w:r>
      <w:r>
        <w:rPr>
          <w:rFonts w:hint="eastAsia"/>
        </w:rPr>
        <w:t>未参与招标答疑不作为否定投标供应商资格的理由。</w:t>
      </w:r>
    </w:p>
    <w:p w14:paraId="668A9747">
      <w:pPr>
        <w:pStyle w:val="5"/>
        <w:numPr>
          <w:ilvl w:val="3"/>
          <w:numId w:val="0"/>
        </w:numPr>
        <w:tabs>
          <w:tab w:val="clear" w:pos="1680"/>
        </w:tabs>
      </w:pPr>
      <w:bookmarkStart w:id="144" w:name="_Toc530152523"/>
      <w:bookmarkStart w:id="145" w:name="_Toc529280582"/>
      <w:bookmarkStart w:id="146" w:name="_Toc14427255"/>
      <w:bookmarkStart w:id="147" w:name="_Toc152759239"/>
      <w:r>
        <w:rPr>
          <w:rFonts w:hint="eastAsia"/>
        </w:rPr>
        <w:t>第二章招标文件</w:t>
      </w:r>
      <w:bookmarkEnd w:id="144"/>
      <w:bookmarkEnd w:id="145"/>
      <w:bookmarkEnd w:id="146"/>
      <w:bookmarkEnd w:id="147"/>
    </w:p>
    <w:p w14:paraId="7DD58FE7">
      <w:pPr>
        <w:tabs>
          <w:tab w:val="clear" w:pos="426"/>
        </w:tabs>
      </w:pPr>
      <w:r>
        <w:t>11</w:t>
      </w:r>
      <w:r>
        <w:rPr>
          <w:rFonts w:hint="eastAsia"/>
        </w:rPr>
        <w:t>．招标文件的编制与组成</w:t>
      </w:r>
    </w:p>
    <w:p w14:paraId="0B1E3598">
      <w:pPr>
        <w:tabs>
          <w:tab w:val="clear" w:pos="426"/>
        </w:tabs>
      </w:pPr>
      <w:r>
        <w:t>11.1</w:t>
      </w:r>
      <w:r>
        <w:rPr>
          <w:rFonts w:hint="eastAsia"/>
        </w:rPr>
        <w:t>招标文件除以下内容外，采购代理机构在招标（或谈判）期间发出的答疑纪要和其他补充修改函件，均是招标文件的组成部分，对投标供应商起约束作用；</w:t>
      </w:r>
    </w:p>
    <w:p w14:paraId="17CE4D16">
      <w:pPr>
        <w:tabs>
          <w:tab w:val="clear" w:pos="426"/>
        </w:tabs>
      </w:pPr>
      <w:r>
        <w:rPr>
          <w:rFonts w:hint="eastAsia"/>
        </w:rPr>
        <w:t>招标文件包括下列内容：</w:t>
      </w:r>
    </w:p>
    <w:p w14:paraId="3F339606">
      <w:pPr>
        <w:tabs>
          <w:tab w:val="clear" w:pos="426"/>
        </w:tabs>
      </w:pPr>
      <w:r>
        <w:rPr>
          <w:rFonts w:hint="eastAsia"/>
        </w:rPr>
        <w:t>项目关键信息</w:t>
      </w:r>
    </w:p>
    <w:p w14:paraId="02C26D14">
      <w:pPr>
        <w:tabs>
          <w:tab w:val="clear" w:pos="426"/>
        </w:tabs>
      </w:pPr>
      <w:r>
        <w:rPr>
          <w:rFonts w:hint="eastAsia"/>
        </w:rPr>
        <w:t>评标信息</w:t>
      </w:r>
    </w:p>
    <w:p w14:paraId="5CA4EF85">
      <w:pPr>
        <w:tabs>
          <w:tab w:val="clear" w:pos="426"/>
        </w:tabs>
      </w:pPr>
      <w:r>
        <w:rPr>
          <w:rFonts w:hint="eastAsia"/>
        </w:rPr>
        <w:t>第一册专用条款</w:t>
      </w:r>
    </w:p>
    <w:p w14:paraId="2988B3EE">
      <w:pPr>
        <w:tabs>
          <w:tab w:val="clear" w:pos="426"/>
        </w:tabs>
      </w:pPr>
      <w:r>
        <w:rPr>
          <w:rFonts w:hint="eastAsia"/>
        </w:rPr>
        <w:t>第一章招标公告</w:t>
      </w:r>
    </w:p>
    <w:p w14:paraId="48CB9568">
      <w:pPr>
        <w:tabs>
          <w:tab w:val="clear" w:pos="426"/>
        </w:tabs>
      </w:pPr>
      <w:r>
        <w:rPr>
          <w:rFonts w:hint="eastAsia"/>
        </w:rPr>
        <w:t>第二章招标项目需求</w:t>
      </w:r>
    </w:p>
    <w:p w14:paraId="3B0907E6">
      <w:pPr>
        <w:tabs>
          <w:tab w:val="clear" w:pos="426"/>
        </w:tabs>
      </w:pPr>
      <w:r>
        <w:rPr>
          <w:rFonts w:hint="eastAsia"/>
        </w:rPr>
        <w:t>第三章合同条款及格式</w:t>
      </w:r>
    </w:p>
    <w:p w14:paraId="6D2D4403">
      <w:pPr>
        <w:tabs>
          <w:tab w:val="clear" w:pos="426"/>
        </w:tabs>
      </w:pPr>
      <w:r>
        <w:rPr>
          <w:rFonts w:hint="eastAsia"/>
        </w:rPr>
        <w:t>第四章投标文件格式、附件</w:t>
      </w:r>
    </w:p>
    <w:p w14:paraId="7155477E">
      <w:pPr>
        <w:tabs>
          <w:tab w:val="clear" w:pos="426"/>
        </w:tabs>
      </w:pPr>
      <w:r>
        <w:rPr>
          <w:rFonts w:hint="eastAsia"/>
        </w:rPr>
        <w:t>第二册通用条款</w:t>
      </w:r>
    </w:p>
    <w:p w14:paraId="1E94A83D">
      <w:pPr>
        <w:tabs>
          <w:tab w:val="clear" w:pos="426"/>
        </w:tabs>
      </w:pPr>
      <w:r>
        <w:rPr>
          <w:rFonts w:hint="eastAsia"/>
        </w:rPr>
        <w:t>第一章总则</w:t>
      </w:r>
    </w:p>
    <w:p w14:paraId="47521623">
      <w:pPr>
        <w:tabs>
          <w:tab w:val="clear" w:pos="426"/>
        </w:tabs>
      </w:pPr>
      <w:r>
        <w:rPr>
          <w:rFonts w:hint="eastAsia"/>
        </w:rPr>
        <w:t>第二章招标文件</w:t>
      </w:r>
    </w:p>
    <w:p w14:paraId="37BA2761">
      <w:pPr>
        <w:tabs>
          <w:tab w:val="clear" w:pos="426"/>
        </w:tabs>
      </w:pPr>
      <w:r>
        <w:rPr>
          <w:rFonts w:hint="eastAsia"/>
        </w:rPr>
        <w:t>第三章投标文件的编制与递交</w:t>
      </w:r>
    </w:p>
    <w:p w14:paraId="61569EE4">
      <w:pPr>
        <w:tabs>
          <w:tab w:val="clear" w:pos="426"/>
        </w:tabs>
      </w:pPr>
      <w:r>
        <w:rPr>
          <w:rFonts w:hint="eastAsia"/>
        </w:rPr>
        <w:t>第四章开标</w:t>
      </w:r>
    </w:p>
    <w:p w14:paraId="3FAAF83B">
      <w:pPr>
        <w:tabs>
          <w:tab w:val="clear" w:pos="426"/>
        </w:tabs>
      </w:pPr>
      <w:r>
        <w:rPr>
          <w:rFonts w:hint="eastAsia"/>
        </w:rPr>
        <w:t>第五章评标要求</w:t>
      </w:r>
    </w:p>
    <w:p w14:paraId="1D4041A2">
      <w:pPr>
        <w:tabs>
          <w:tab w:val="clear" w:pos="426"/>
        </w:tabs>
      </w:pPr>
      <w:r>
        <w:rPr>
          <w:rFonts w:hint="eastAsia"/>
        </w:rPr>
        <w:t>第六章评标程序及评标方法</w:t>
      </w:r>
    </w:p>
    <w:p w14:paraId="4CD141A7">
      <w:pPr>
        <w:tabs>
          <w:tab w:val="clear" w:pos="426"/>
        </w:tabs>
      </w:pPr>
      <w:r>
        <w:rPr>
          <w:rFonts w:hint="eastAsia"/>
        </w:rPr>
        <w:t>第七章定标及公示</w:t>
      </w:r>
    </w:p>
    <w:p w14:paraId="038D03D3">
      <w:pPr>
        <w:tabs>
          <w:tab w:val="clear" w:pos="426"/>
        </w:tabs>
      </w:pPr>
      <w:r>
        <w:rPr>
          <w:rFonts w:hint="eastAsia"/>
        </w:rPr>
        <w:t>第八章公开招标失败的后续处理</w:t>
      </w:r>
    </w:p>
    <w:p w14:paraId="4C134602">
      <w:pPr>
        <w:tabs>
          <w:tab w:val="clear" w:pos="426"/>
        </w:tabs>
      </w:pPr>
      <w:r>
        <w:rPr>
          <w:rFonts w:hint="eastAsia"/>
        </w:rPr>
        <w:t>第九章合同的授予与备案</w:t>
      </w:r>
    </w:p>
    <w:p w14:paraId="2F8B162E">
      <w:pPr>
        <w:tabs>
          <w:tab w:val="clear" w:pos="426"/>
        </w:tabs>
      </w:pPr>
      <w:r>
        <w:rPr>
          <w:rFonts w:hint="eastAsia"/>
        </w:rPr>
        <w:t>第十章质疑处理</w:t>
      </w:r>
    </w:p>
    <w:p w14:paraId="22B18AFA">
      <w:pPr>
        <w:tabs>
          <w:tab w:val="clear" w:pos="426"/>
        </w:tabs>
      </w:pPr>
      <w:r>
        <w:t xml:space="preserve">11.2 </w:t>
      </w:r>
      <w:r>
        <w:rPr>
          <w:rFonts w:hint="eastAsia"/>
        </w:rPr>
        <w:t>投标供应商购买招标文件后，应仔细检查招标文件的所有内容，如有残缺应在答疑截止时间之前向采购代理机构提出，否则，由此引起的投标损失自负；投标供应商同时应认真审阅招标文件所有的事项、格式、条款和规范要求等，如果投标供应商的投标文件没有按招标文件要求提交全部资料或者投标文件没有对招标文件做出实质性响应，其风险应由投标供应商自行承担，并根据有关条款规定，其投标有可能被拒绝。</w:t>
      </w:r>
    </w:p>
    <w:p w14:paraId="463AAE47">
      <w:pPr>
        <w:tabs>
          <w:tab w:val="clear" w:pos="426"/>
        </w:tabs>
        <w:rPr>
          <w:szCs w:val="21"/>
        </w:rPr>
      </w:pPr>
      <w:r>
        <w:rPr>
          <w:szCs w:val="21"/>
        </w:rPr>
        <w:t>11.3</w:t>
      </w:r>
      <w:r>
        <w:rPr>
          <w:rFonts w:hint="eastAsia"/>
        </w:rPr>
        <w:t>任何人或任何组织向投标供应商提交的任何书面或口头资料，未经采购代理机构在网上发布或书面通知，均作无效处理，不得作为招标文件的组成部分。采购代理机构对投标供应商由此而做出的推论、理解和结论概不负责。</w:t>
      </w:r>
    </w:p>
    <w:p w14:paraId="3E9D6D68">
      <w:pPr>
        <w:tabs>
          <w:tab w:val="clear" w:pos="426"/>
        </w:tabs>
      </w:pPr>
      <w:r>
        <w:t>12</w:t>
      </w:r>
      <w:r>
        <w:rPr>
          <w:rFonts w:hint="eastAsia"/>
        </w:rPr>
        <w:t>．招标文件的澄清</w:t>
      </w:r>
    </w:p>
    <w:p w14:paraId="06D48577">
      <w:pPr>
        <w:tabs>
          <w:tab w:val="clear" w:pos="426"/>
        </w:tabs>
      </w:pPr>
      <w:r>
        <w:t>12.1</w:t>
      </w:r>
      <w:r>
        <w:rPr>
          <w:rFonts w:hint="eastAsia"/>
        </w:rPr>
        <w:t>投标供应商在收到招标文件后，对招标文件任何部分若有任何疑问，或要求澄清招标文件的，均应在招标公告规定的答疑截止时间内，按</w:t>
      </w:r>
      <w:r>
        <w:t>“</w:t>
      </w:r>
      <w:r>
        <w:rPr>
          <w:rFonts w:hint="eastAsia"/>
        </w:rPr>
        <w:t>质疑函</w:t>
      </w:r>
      <w:r>
        <w:t>”</w:t>
      </w:r>
      <w:r>
        <w:rPr>
          <w:rFonts w:hint="eastAsia"/>
        </w:rPr>
        <w:t>的形式向采购代理机构提交。不论是采购代理机构根据需要主动对招标文件进行必要的澄清或是根据投标供应商的要求对招标文件做出澄清，采购代理机构都将在投标截止日期前以书面形式答复或发送给所有投标供应商。澄清纪要作为招标文件的组成部分，对投标供应商起约束作用；</w:t>
      </w:r>
    </w:p>
    <w:p w14:paraId="58F4B0FF">
      <w:pPr>
        <w:tabs>
          <w:tab w:val="clear" w:pos="426"/>
        </w:tabs>
      </w:pPr>
      <w:r>
        <w:t>12.2</w:t>
      </w:r>
      <w:r>
        <w:rPr>
          <w:rFonts w:hint="eastAsia"/>
        </w:rPr>
        <w:t>对于没有提出澄清又参与了该项目投标的供应商将被视为完全认同该招标文件（含澄清纪要），投标截止期后不再受理针对招标文件的相关质疑或投诉。</w:t>
      </w:r>
    </w:p>
    <w:p w14:paraId="0F76FDB0">
      <w:pPr>
        <w:tabs>
          <w:tab w:val="clear" w:pos="426"/>
        </w:tabs>
      </w:pPr>
      <w:r>
        <w:t xml:space="preserve">12.3 </w:t>
      </w:r>
      <w:r>
        <w:rPr>
          <w:rFonts w:hint="eastAsia"/>
        </w:rPr>
        <w:t>对招标文件中描述有歧意或前后不一致的地方，评标委员会有权进行评判，但对同一条款的评判应适用于每个投标供应商。</w:t>
      </w:r>
    </w:p>
    <w:p w14:paraId="270AE85D">
      <w:pPr>
        <w:tabs>
          <w:tab w:val="clear" w:pos="426"/>
        </w:tabs>
      </w:pPr>
      <w:r>
        <w:t>13</w:t>
      </w:r>
      <w:r>
        <w:rPr>
          <w:rFonts w:hint="eastAsia"/>
        </w:rPr>
        <w:t>．招标文件的修改</w:t>
      </w:r>
    </w:p>
    <w:p w14:paraId="1B797FE1">
      <w:pPr>
        <w:tabs>
          <w:tab w:val="clear" w:pos="426"/>
        </w:tabs>
      </w:pPr>
      <w:r>
        <w:t>13.1</w:t>
      </w:r>
      <w:r>
        <w:rPr>
          <w:rFonts w:hint="eastAsia"/>
        </w:rPr>
        <w:t>招标文件发出后，在投标截止日期前任何时候，确需要变更招标内容的，采购代理机构可主动地或在解答投标供应商提出的澄清问题时对招标文件进行修改；</w:t>
      </w:r>
    </w:p>
    <w:p w14:paraId="70487621">
      <w:pPr>
        <w:tabs>
          <w:tab w:val="clear" w:pos="426"/>
        </w:tabs>
      </w:pPr>
      <w:r>
        <w:t>13.2</w:t>
      </w:r>
      <w:r>
        <w:rPr>
          <w:rFonts w:hint="eastAsia"/>
        </w:rPr>
        <w:t>招标文件的修改以书面形式（包括网站公开发布方式）发送给所有投标供应商，招标文件的修改内容作为招标文件的组成部分，并具有约束力。</w:t>
      </w:r>
    </w:p>
    <w:p w14:paraId="2F4D6C8F">
      <w:pPr>
        <w:tabs>
          <w:tab w:val="clear" w:pos="426"/>
        </w:tabs>
      </w:pPr>
      <w:r>
        <w:t>13.3</w:t>
      </w:r>
      <w:r>
        <w:rPr>
          <w:rFonts w:hint="eastAsia"/>
        </w:rPr>
        <w:t>招标文件、招标文件澄清（答疑）纪要、招标文件修改补充通知内容均以书面（包括网站公开发布方式）明确的内容为准。当招标文件、修改补充通知、澄清（答疑）纪要内容相互矛盾时，以最后发出的通知（或纪要）或修改文件为准；</w:t>
      </w:r>
    </w:p>
    <w:p w14:paraId="7B2374B8">
      <w:pPr>
        <w:tabs>
          <w:tab w:val="clear" w:pos="426"/>
        </w:tabs>
      </w:pPr>
      <w:r>
        <w:t>13.4</w:t>
      </w:r>
      <w:r>
        <w:rPr>
          <w:rFonts w:hint="eastAsia"/>
        </w:rPr>
        <w:t>采购代理机构保证招标文件澄清（答疑）纪要和招标文件修改补充通知在投标截止时间前以网站公开发布形式或书面形式发送给所有投标供应商。为使投标供应商在编写投标文件时有充分时间对招标文件的修改部分进行研究，采购代理机构可以酌情延长递交投标文件的截止日期，具体时间将在修改补充通知中明确。</w:t>
      </w:r>
    </w:p>
    <w:p w14:paraId="428FC504">
      <w:pPr>
        <w:pStyle w:val="5"/>
        <w:numPr>
          <w:ilvl w:val="3"/>
          <w:numId w:val="0"/>
        </w:numPr>
        <w:tabs>
          <w:tab w:val="clear" w:pos="1680"/>
        </w:tabs>
      </w:pPr>
      <w:bookmarkStart w:id="148" w:name="_Toc152759240"/>
      <w:bookmarkStart w:id="149" w:name="_Toc529280583"/>
      <w:bookmarkStart w:id="150" w:name="_Toc530152524"/>
      <w:bookmarkStart w:id="151" w:name="_Toc14427256"/>
      <w:r>
        <w:rPr>
          <w:rFonts w:hint="eastAsia"/>
        </w:rPr>
        <w:t>第三章投标文件的编制与递交</w:t>
      </w:r>
      <w:bookmarkEnd w:id="148"/>
      <w:bookmarkEnd w:id="149"/>
      <w:bookmarkEnd w:id="150"/>
      <w:bookmarkEnd w:id="151"/>
    </w:p>
    <w:p w14:paraId="435319F3">
      <w:pPr>
        <w:tabs>
          <w:tab w:val="clear" w:pos="426"/>
        </w:tabs>
      </w:pPr>
      <w:r>
        <w:t>14</w:t>
      </w:r>
      <w:r>
        <w:rPr>
          <w:rFonts w:hint="eastAsia"/>
        </w:rPr>
        <w:t>．投标文件的语言及度量单位</w:t>
      </w:r>
    </w:p>
    <w:p w14:paraId="1A424B7F">
      <w:pPr>
        <w:tabs>
          <w:tab w:val="clear" w:pos="426"/>
        </w:tabs>
      </w:pPr>
      <w:r>
        <w:t xml:space="preserve">14.1 </w:t>
      </w:r>
      <w:r>
        <w:rPr>
          <w:rFonts w:hint="eastAsia"/>
        </w:rPr>
        <w:t>投标供应商与采购代理机构之间与投标有关的所有往来通知、函件和投标文件均用中文表述。投标供应商随投标文件提供的证明文件和资料可以为其它语言，但必须附中文译文。翻译的中文资料与外文资料如果出现差异时，以中文为准，但翻译错误的除外。</w:t>
      </w:r>
    </w:p>
    <w:p w14:paraId="2F45589C">
      <w:pPr>
        <w:tabs>
          <w:tab w:val="clear" w:pos="426"/>
        </w:tabs>
      </w:pPr>
      <w:r>
        <w:t xml:space="preserve">14.2 </w:t>
      </w:r>
      <w:r>
        <w:rPr>
          <w:rFonts w:hint="eastAsia"/>
        </w:rPr>
        <w:t>除技术规范另有规定外，投标文件使用的度量单位，均采用中华人民共和国法定计量单位。</w:t>
      </w:r>
    </w:p>
    <w:p w14:paraId="74E88DD4">
      <w:pPr>
        <w:tabs>
          <w:tab w:val="clear" w:pos="426"/>
        </w:tabs>
      </w:pPr>
      <w:r>
        <w:t>15</w:t>
      </w:r>
      <w:r>
        <w:rPr>
          <w:rFonts w:hint="eastAsia"/>
        </w:rPr>
        <w:t>．投标文件的组成</w:t>
      </w:r>
    </w:p>
    <w:p w14:paraId="45BD4BF0">
      <w:pPr>
        <w:tabs>
          <w:tab w:val="clear" w:pos="426"/>
        </w:tabs>
      </w:pPr>
      <w:r>
        <w:rPr>
          <w:rFonts w:hint="eastAsia"/>
        </w:rPr>
        <w:t>具体内容请详见本项目专用条款的相关内容。</w:t>
      </w:r>
    </w:p>
    <w:p w14:paraId="624740F0">
      <w:pPr>
        <w:tabs>
          <w:tab w:val="clear" w:pos="426"/>
        </w:tabs>
      </w:pPr>
      <w:r>
        <w:t xml:space="preserve">16. </w:t>
      </w:r>
      <w:r>
        <w:rPr>
          <w:rFonts w:hint="eastAsia"/>
        </w:rPr>
        <w:t>投标文件格式</w:t>
      </w:r>
    </w:p>
    <w:p w14:paraId="2E923B3D">
      <w:pPr>
        <w:tabs>
          <w:tab w:val="clear" w:pos="426"/>
        </w:tabs>
      </w:pPr>
      <w:r>
        <w:t>16.1</w:t>
      </w:r>
      <w:r>
        <w:rPr>
          <w:rFonts w:hint="eastAsia"/>
        </w:rPr>
        <w:t>投标文件包括本通用条款第</w:t>
      </w:r>
      <w:r>
        <w:t>15</w:t>
      </w:r>
      <w:r>
        <w:rPr>
          <w:rFonts w:hint="eastAsia"/>
        </w:rPr>
        <w:t>条中规定的内容。如招标文件提供了投标文件格式，则投标供应商提交的投标文件必须毫无例外地使用招标文件所提供的相应格式并统一使用</w:t>
      </w:r>
      <w:r>
        <w:t>A4</w:t>
      </w:r>
      <w:r>
        <w:rPr>
          <w:rFonts w:hint="eastAsia"/>
        </w:rPr>
        <w:t>篇幅（表格可以按同样格式扩展）。</w:t>
      </w:r>
    </w:p>
    <w:p w14:paraId="7FA2C12A">
      <w:pPr>
        <w:tabs>
          <w:tab w:val="clear" w:pos="426"/>
        </w:tabs>
      </w:pPr>
      <w:r>
        <w:t>17</w:t>
      </w:r>
      <w:r>
        <w:rPr>
          <w:rFonts w:hint="eastAsia"/>
        </w:rPr>
        <w:t>．投标货币</w:t>
      </w:r>
    </w:p>
    <w:p w14:paraId="2393A0BF">
      <w:pPr>
        <w:tabs>
          <w:tab w:val="clear" w:pos="426"/>
        </w:tabs>
      </w:pPr>
      <w:r>
        <w:rPr>
          <w:rFonts w:hint="eastAsia"/>
        </w:rPr>
        <w:t>本项目的投标应以人民币计。</w:t>
      </w:r>
    </w:p>
    <w:p w14:paraId="4468D7BB">
      <w:pPr>
        <w:widowControl w:val="0"/>
        <w:shd w:val="clear" w:color="auto" w:fill="auto"/>
        <w:tabs>
          <w:tab w:val="clear" w:pos="426"/>
        </w:tabs>
        <w:autoSpaceDE w:val="0"/>
        <w:autoSpaceDN w:val="0"/>
      </w:pPr>
      <w:r>
        <w:t xml:space="preserve">18. </w:t>
      </w:r>
      <w:r>
        <w:rPr>
          <w:rFonts w:hint="eastAsia"/>
        </w:rPr>
        <w:t>证明投标供应商合格和资格的文件</w:t>
      </w:r>
    </w:p>
    <w:p w14:paraId="3E06C2C6">
      <w:pPr>
        <w:widowControl w:val="0"/>
        <w:shd w:val="clear" w:color="auto" w:fill="auto"/>
        <w:tabs>
          <w:tab w:val="clear" w:pos="426"/>
        </w:tabs>
        <w:autoSpaceDE w:val="0"/>
        <w:autoSpaceDN w:val="0"/>
        <w:rPr>
          <w:rFonts w:cs="黑体"/>
          <w:b/>
          <w:bCs/>
          <w:szCs w:val="21"/>
        </w:rPr>
      </w:pPr>
      <w:r>
        <w:rPr>
          <w:szCs w:val="21"/>
        </w:rPr>
        <w:t xml:space="preserve">18.1 </w:t>
      </w:r>
      <w:r>
        <w:rPr>
          <w:rFonts w:hint="eastAsia"/>
          <w:szCs w:val="21"/>
          <w:lang w:eastAsia="zh-TW"/>
        </w:rPr>
        <w:t>投标供应商应提交证明其有资格参加投标和中标后有能力履行合同的文件</w:t>
      </w:r>
      <w:r>
        <w:rPr>
          <w:rFonts w:hint="eastAsia"/>
          <w:szCs w:val="21"/>
        </w:rPr>
        <w:t>，</w:t>
      </w:r>
      <w:r>
        <w:rPr>
          <w:rFonts w:hint="eastAsia"/>
          <w:szCs w:val="21"/>
          <w:lang w:eastAsia="zh-TW"/>
        </w:rPr>
        <w:t>并作为其投标文件的一部分。如果投标供应商为联合体</w:t>
      </w:r>
      <w:r>
        <w:rPr>
          <w:rFonts w:hint="eastAsia"/>
          <w:szCs w:val="21"/>
        </w:rPr>
        <w:t>，</w:t>
      </w:r>
      <w:r>
        <w:rPr>
          <w:rFonts w:hint="eastAsia"/>
          <w:szCs w:val="21"/>
          <w:lang w:eastAsia="zh-TW"/>
        </w:rPr>
        <w:t>应提交联合体各方的资格证明文件、</w:t>
      </w:r>
      <w:r>
        <w:rPr>
          <w:rFonts w:hint="eastAsia"/>
          <w:szCs w:val="21"/>
        </w:rPr>
        <w:t>共同投标协议</w:t>
      </w:r>
      <w:r>
        <w:rPr>
          <w:rFonts w:hint="eastAsia"/>
          <w:szCs w:val="21"/>
          <w:lang w:eastAsia="zh-TW"/>
        </w:rPr>
        <w:t>并注明</w:t>
      </w:r>
      <w:r>
        <w:rPr>
          <w:rFonts w:hint="eastAsia"/>
          <w:szCs w:val="21"/>
        </w:rPr>
        <w:t>主体方及各方拟承担的工作和责任。</w:t>
      </w:r>
      <w:r>
        <w:rPr>
          <w:rFonts w:hint="eastAsia"/>
          <w:szCs w:val="21"/>
          <w:lang w:eastAsia="zh-TW"/>
        </w:rPr>
        <w:t>否则</w:t>
      </w:r>
      <w:r>
        <w:rPr>
          <w:rFonts w:hint="eastAsia"/>
          <w:szCs w:val="21"/>
        </w:rPr>
        <w:t>，</w:t>
      </w:r>
      <w:r>
        <w:rPr>
          <w:rFonts w:hint="eastAsia"/>
          <w:szCs w:val="21"/>
          <w:lang w:eastAsia="zh-TW"/>
        </w:rPr>
        <w:t>将导致其投标</w:t>
      </w:r>
      <w:r>
        <w:rPr>
          <w:rFonts w:hint="eastAsia"/>
          <w:szCs w:val="21"/>
        </w:rPr>
        <w:t>无效。</w:t>
      </w:r>
    </w:p>
    <w:p w14:paraId="4E4F2359">
      <w:pPr>
        <w:widowControl w:val="0"/>
        <w:shd w:val="clear" w:color="auto" w:fill="auto"/>
        <w:tabs>
          <w:tab w:val="clear" w:pos="426"/>
        </w:tabs>
        <w:autoSpaceDE w:val="0"/>
        <w:autoSpaceDN w:val="0"/>
        <w:rPr>
          <w:szCs w:val="21"/>
          <w:lang w:eastAsia="zh-TW"/>
        </w:rPr>
      </w:pPr>
      <w:r>
        <w:rPr>
          <w:szCs w:val="21"/>
        </w:rPr>
        <w:t xml:space="preserve">18.2 </w:t>
      </w:r>
      <w:r>
        <w:rPr>
          <w:rFonts w:hint="eastAsia"/>
          <w:szCs w:val="21"/>
          <w:lang w:eastAsia="zh-TW"/>
        </w:rPr>
        <w:t>投标供应商提交的资格证明文件应证明其</w:t>
      </w:r>
      <w:r>
        <w:rPr>
          <w:rFonts w:hint="eastAsia"/>
          <w:szCs w:val="21"/>
        </w:rPr>
        <w:t>满足</w:t>
      </w:r>
      <w:r>
        <w:rPr>
          <w:rFonts w:hint="eastAsia"/>
          <w:szCs w:val="21"/>
          <w:lang w:eastAsia="zh-TW"/>
        </w:rPr>
        <w:t>本须知定义的合格投标供应商。</w:t>
      </w:r>
    </w:p>
    <w:p w14:paraId="1235402A">
      <w:pPr>
        <w:tabs>
          <w:tab w:val="clear" w:pos="426"/>
        </w:tabs>
      </w:pPr>
      <w:r>
        <w:t>19</w:t>
      </w:r>
      <w:r>
        <w:rPr>
          <w:rFonts w:hint="eastAsia"/>
        </w:rPr>
        <w:t>．证明投标文件投标技术方案的合格性和符合招标文件规定的文件要求</w:t>
      </w:r>
    </w:p>
    <w:p w14:paraId="163CCE77">
      <w:pPr>
        <w:tabs>
          <w:tab w:val="clear" w:pos="426"/>
        </w:tabs>
      </w:pPr>
      <w:r>
        <w:t xml:space="preserve">19.1 </w:t>
      </w:r>
      <w:r>
        <w:rPr>
          <w:rFonts w:hint="eastAsia"/>
        </w:rPr>
        <w:t>投标供应商应提交证明文件证明其投标技术方案项下的货物、工程和服务的合格性符合招标文件规定。该投标技术方案及其证明文件作为投标文件的一部分。</w:t>
      </w:r>
    </w:p>
    <w:p w14:paraId="38E90E21">
      <w:pPr>
        <w:tabs>
          <w:tab w:val="clear" w:pos="426"/>
        </w:tabs>
      </w:pPr>
      <w:r>
        <w:t xml:space="preserve">19.2 </w:t>
      </w:r>
      <w:r>
        <w:rPr>
          <w:rFonts w:hint="eastAsia"/>
        </w:rPr>
        <w:t>投标供应商提供证明投标技术方案与招标文件的要求相一致的文件，可以是文字资料、图纸、数据或数码照片、制造商公布的产品说明书、产品彩页和我国政府机构出具的产品检验和核准证件等，以证明投标供应商响应的真实性。它包括并应符合以下要求：</w:t>
      </w:r>
    </w:p>
    <w:p w14:paraId="12CB7F56">
      <w:pPr>
        <w:tabs>
          <w:tab w:val="clear" w:pos="426"/>
        </w:tabs>
      </w:pPr>
      <w:r>
        <w:t>19.2.1</w:t>
      </w:r>
      <w:r>
        <w:rPr>
          <w:rFonts w:hint="eastAsia"/>
        </w:rPr>
        <w:t>主要技术指标和性能的详细说明。</w:t>
      </w:r>
    </w:p>
    <w:p w14:paraId="1107F352">
      <w:pPr>
        <w:tabs>
          <w:tab w:val="clear" w:pos="426"/>
        </w:tabs>
      </w:pPr>
      <w:r>
        <w:t>19.2.2</w:t>
      </w:r>
      <w:r>
        <w:rPr>
          <w:rFonts w:hint="eastAsia"/>
        </w:rPr>
        <w:t>投标产品从采购人开始使用至招标文件中规定的周期内正常、连续地使用所必须的备件和专用工具清单，包括备件和专用工具的货源及现行价格。</w:t>
      </w:r>
    </w:p>
    <w:p w14:paraId="1721571C">
      <w:pPr>
        <w:tabs>
          <w:tab w:val="clear" w:pos="426"/>
        </w:tabs>
      </w:pPr>
      <w:r>
        <w:t>19.2.3</w:t>
      </w:r>
      <w:r>
        <w:rPr>
          <w:rFonts w:hint="eastAsia"/>
        </w:rPr>
        <w:t>对照招标文件技术规格，逐条说明投标技术方案已对采购人的技术规格做出了实质性的响应，或申明与技术规格条文的偏差和例外。投标供应商应详细说明投标技术方案中产品的具体参数，不得照搬照抄招标文件的技术要求。</w:t>
      </w:r>
    </w:p>
    <w:p w14:paraId="2847FB8F">
      <w:pPr>
        <w:tabs>
          <w:tab w:val="clear" w:pos="426"/>
        </w:tabs>
      </w:pPr>
      <w:r>
        <w:t>19.2.4</w:t>
      </w:r>
      <w:r>
        <w:rPr>
          <w:rFonts w:hint="eastAsia"/>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应能清晰的阅读、识别和判断；</w:t>
      </w:r>
    </w:p>
    <w:p w14:paraId="431F4B62">
      <w:pPr>
        <w:tabs>
          <w:tab w:val="clear" w:pos="426"/>
        </w:tabs>
      </w:pPr>
      <w:r>
        <w:t>19.2.5</w:t>
      </w:r>
      <w:r>
        <w:rPr>
          <w:rFonts w:hint="eastAsia"/>
        </w:rPr>
        <w:t>我国政府机构出具的产品检验和核准证件应为证件正面、背面和附件标注的全部具体内容；产品检验和核准证件应能清晰的阅读、识别和判断，提供原件复印件。</w:t>
      </w:r>
    </w:p>
    <w:p w14:paraId="1DE1CE9A">
      <w:pPr>
        <w:tabs>
          <w:tab w:val="clear" w:pos="426"/>
        </w:tabs>
      </w:pPr>
      <w:r>
        <w:t>19.3</w:t>
      </w:r>
      <w:r>
        <w:rPr>
          <w:rFonts w:hint="eastAsia"/>
        </w:rPr>
        <w:t>相关资料不符合</w:t>
      </w:r>
      <w:r>
        <w:t>19.2</w:t>
      </w:r>
      <w:r>
        <w:rPr>
          <w:rFonts w:hint="eastAsia"/>
        </w:rPr>
        <w:t>款要求的，评标委员会有权认定为投标技术方案不合格响应，其相关分数予以扣减或作废标处理。</w:t>
      </w:r>
    </w:p>
    <w:p w14:paraId="15027022">
      <w:pPr>
        <w:tabs>
          <w:tab w:val="clear" w:pos="426"/>
        </w:tabs>
      </w:pPr>
      <w:r>
        <w:t>19.4</w:t>
      </w:r>
      <w:r>
        <w:rPr>
          <w:rFonts w:hint="eastAsia"/>
        </w:rPr>
        <w:t>评标委员会有权对以谋取中标为目的的技术规格模糊响应（如有意照搬照抄招标文件的技术要求）或虚假响应予以认定。供应商上述行为一经发现或查实，除扣分或废标外，采购代理机构可视情况报相关监督管理部门做进一步处理。</w:t>
      </w:r>
    </w:p>
    <w:p w14:paraId="434932BB">
      <w:pPr>
        <w:tabs>
          <w:tab w:val="clear" w:pos="426"/>
        </w:tabs>
      </w:pPr>
      <w:r>
        <w:t>19.5</w:t>
      </w:r>
      <w:r>
        <w:rPr>
          <w:rFonts w:hint="eastAsia"/>
        </w:rPr>
        <w:t>投标供应商在阐述上述第</w:t>
      </w:r>
      <w:r>
        <w:t>18.2</w:t>
      </w:r>
      <w:r>
        <w:rPr>
          <w:rFonts w:hint="eastAsia"/>
        </w:rPr>
        <w:t>时应注意采购人在技术规格中指出的工艺、材料和设备的标准以及参照的牌号或分类号仅起说明作用，并没有任何限制性。投标供应商在投标中可以选用替代标准、牌号或分类号，但这些替代要实质上满足招标文件中技术规格的要求，是否满足要求，由评标委员会来评判。</w:t>
      </w:r>
    </w:p>
    <w:p w14:paraId="1E87A780">
      <w:pPr>
        <w:tabs>
          <w:tab w:val="clear" w:pos="426"/>
        </w:tabs>
      </w:pPr>
      <w:r>
        <w:t>19.6</w:t>
      </w:r>
      <w:r>
        <w:rPr>
          <w:rFonts w:hint="eastAsia"/>
        </w:rPr>
        <w:t>为保证公平公正，除非另有规定或说明，投标供应商对同一货物或服务投标时，不得同时提供两套或两套以上的投标方案。</w:t>
      </w:r>
    </w:p>
    <w:p w14:paraId="09DA21CB">
      <w:pPr>
        <w:tabs>
          <w:tab w:val="clear" w:pos="426"/>
        </w:tabs>
      </w:pPr>
      <w:r>
        <w:t>20</w:t>
      </w:r>
      <w:r>
        <w:rPr>
          <w:rFonts w:hint="eastAsia"/>
        </w:rPr>
        <w:t>．投标文件其他证明文件的要求</w:t>
      </w:r>
    </w:p>
    <w:p w14:paraId="5D3054D1">
      <w:pPr>
        <w:tabs>
          <w:tab w:val="clear" w:pos="426"/>
        </w:tabs>
      </w:pPr>
      <w:r>
        <w:t>20.1</w:t>
      </w:r>
      <w:r>
        <w:rPr>
          <w:rFonts w:hint="eastAsia"/>
        </w:rPr>
        <w:t>对项目招标文件《评标信息》评分项中涉及的相关业绩、社保情况、纳税情况、银行资信等级和资金流状况等内容以及《投标文件初审表》中涉及的资格证书，投标供应商应提供相关部门出具的证明材料原件复印件，原件中标备查。上述证明材料应为证件正面、背面和附件标注的全部具体内容；有关原件复印件应能清晰的阅读、识别和判断。若投标供应商未按要求提供证明材料或提供的是部分证明材料或提供不清晰的，评标委员会有权认定其投标文件未对招标文件有关需求进行响应，涉及资格性检查或符合性检查的予以无效标处理，涉及《评标信息》打分项的则该项评分予以</w:t>
      </w:r>
      <w:r>
        <w:t>0</w:t>
      </w:r>
      <w:r>
        <w:rPr>
          <w:rFonts w:hint="eastAsia"/>
        </w:rPr>
        <w:t>分处理。</w:t>
      </w:r>
    </w:p>
    <w:p w14:paraId="7F1207BA">
      <w:pPr>
        <w:tabs>
          <w:tab w:val="clear" w:pos="426"/>
        </w:tabs>
      </w:pPr>
      <w:r>
        <w:t>20.2</w:t>
      </w:r>
      <w:r>
        <w:rPr>
          <w:rFonts w:hint="eastAsia"/>
        </w:rPr>
        <w:t>本项目涉及提供的有关资质证书，若原有资质证书处于年审期间，投标供应商提供年审证明的可按原资质投标；若投标供应商正在申报上一级别资质，在未获批准之前，仍按原级别资质投标。</w:t>
      </w:r>
    </w:p>
    <w:p w14:paraId="76E5AC3A">
      <w:pPr>
        <w:tabs>
          <w:tab w:val="clear" w:pos="426"/>
        </w:tabs>
      </w:pPr>
      <w:r>
        <w:t>21</w:t>
      </w:r>
      <w:r>
        <w:rPr>
          <w:rFonts w:hint="eastAsia"/>
        </w:rPr>
        <w:t>．投标有效期</w:t>
      </w:r>
    </w:p>
    <w:p w14:paraId="12A41EEE">
      <w:pPr>
        <w:tabs>
          <w:tab w:val="clear" w:pos="426"/>
        </w:tabs>
      </w:pPr>
      <w:r>
        <w:t xml:space="preserve">21.1 </w:t>
      </w:r>
      <w:r>
        <w:rPr>
          <w:rFonts w:hint="eastAsia"/>
        </w:rPr>
        <w:t>投标有效期为从投标截止之日算起的日历天数，具体见专用条款中投标有效期的天数要求。在此期限内，所有投标文件均保持有效；</w:t>
      </w:r>
    </w:p>
    <w:p w14:paraId="00FD42CC">
      <w:pPr>
        <w:tabs>
          <w:tab w:val="clear" w:pos="426"/>
        </w:tabs>
      </w:pPr>
      <w:r>
        <w:t xml:space="preserve">21.2 </w:t>
      </w:r>
      <w:r>
        <w:rPr>
          <w:rFonts w:hint="eastAsia"/>
        </w:rPr>
        <w:t>在特殊的情况下，采购代理机构在原定的投标有效期满之前，采购代理机构可以根据需要以书面形式（包括网站公开发布方式）向投标供应商提出延长投标有效期的要求，对此要求投标供应商须以书面形式予以答复，投标供应商可以拒绝采购代理机构此项要求，而不被没收投标保证金，其投标在原投标有效期满后不再有效。同意延长投标有效期的投标供应商不能要求也不允许修改其投标文件，但应当相应的延长投标担保的有效期，在延长的投标有效期内本通用条款第</w:t>
      </w:r>
      <w:r>
        <w:t>22</w:t>
      </w:r>
      <w:r>
        <w:rPr>
          <w:rFonts w:hint="eastAsia"/>
        </w:rPr>
        <w:t>条关于投标保证金的退还与没收的规定仍然适用；</w:t>
      </w:r>
    </w:p>
    <w:p w14:paraId="2DA4C6E7">
      <w:pPr>
        <w:tabs>
          <w:tab w:val="clear" w:pos="426"/>
        </w:tabs>
      </w:pPr>
      <w:r>
        <w:t xml:space="preserve">21.3 </w:t>
      </w:r>
      <w:r>
        <w:rPr>
          <w:rFonts w:hint="eastAsia"/>
        </w:rPr>
        <w:t>中标单位的投标书有效期，截止于完成本招标文件规定的全部项目内容，并通过竣工验收及保修结束。</w:t>
      </w:r>
    </w:p>
    <w:p w14:paraId="5571699B">
      <w:pPr>
        <w:tabs>
          <w:tab w:val="clear" w:pos="426"/>
        </w:tabs>
      </w:pPr>
      <w:r>
        <w:t>22</w:t>
      </w:r>
      <w:r>
        <w:rPr>
          <w:rFonts w:hint="eastAsia"/>
        </w:rPr>
        <w:t>．投标保证金</w:t>
      </w:r>
    </w:p>
    <w:p w14:paraId="00E2DBF1">
      <w:pPr>
        <w:tabs>
          <w:tab w:val="clear" w:pos="426"/>
        </w:tabs>
      </w:pPr>
      <w:r>
        <w:t>22.1</w:t>
      </w:r>
      <w:r>
        <w:rPr>
          <w:rFonts w:hint="eastAsia"/>
        </w:rPr>
        <w:t>投标保证金的缴纳：</w:t>
      </w:r>
      <w:r>
        <w:rPr>
          <w:rFonts w:hint="eastAsia"/>
          <w:b/>
        </w:rPr>
        <w:t>（本项目不适用）</w:t>
      </w:r>
    </w:p>
    <w:p w14:paraId="268F0A3A">
      <w:pPr>
        <w:tabs>
          <w:tab w:val="clear" w:pos="426"/>
        </w:tabs>
      </w:pPr>
      <w:r>
        <w:t>22.1.1</w:t>
      </w:r>
      <w:r>
        <w:rPr>
          <w:rFonts w:hint="eastAsia"/>
        </w:rPr>
        <w:t>缴纳投标保证金的方式：参与投标前须缴纳壹万元保证金，落标或中标项目完成后返还，参与投标前未缴纳的，其投标将不予受理。</w:t>
      </w:r>
    </w:p>
    <w:p w14:paraId="045199AD">
      <w:pPr>
        <w:tabs>
          <w:tab w:val="clear" w:pos="426"/>
        </w:tabs>
      </w:pPr>
      <w:r>
        <w:t xml:space="preserve">22.1.2 </w:t>
      </w:r>
      <w:r>
        <w:rPr>
          <w:rFonts w:hint="eastAsia"/>
        </w:rPr>
        <w:t>若为重大项目，采购代理机构可自行决定另外收取投标保证金，不受</w:t>
      </w:r>
      <w:r>
        <w:t>22.1.1</w:t>
      </w:r>
      <w:r>
        <w:rPr>
          <w:rFonts w:hint="eastAsia"/>
        </w:rPr>
        <w:t>款限制。是否另外收取投标保证金，请见本招标文件专用条款《对通用条款的补充内容》中的相关要求。</w:t>
      </w:r>
    </w:p>
    <w:p w14:paraId="31BD8213">
      <w:pPr>
        <w:tabs>
          <w:tab w:val="clear" w:pos="426"/>
        </w:tabs>
        <w:rPr>
          <w:szCs w:val="21"/>
        </w:rPr>
      </w:pPr>
      <w:r>
        <w:rPr>
          <w:szCs w:val="21"/>
        </w:rPr>
        <w:t>22.2</w:t>
      </w:r>
      <w:r>
        <w:rPr>
          <w:rFonts w:hint="eastAsia"/>
        </w:rPr>
        <w:t>投标保证金是为了保护采购代理机构和采购人免因投标供应商的行为而蒙受损失。采购代理机构和采购人因投标供应商的行为受到损害时可根据本通用条款第</w:t>
      </w:r>
      <w:r>
        <w:rPr>
          <w:szCs w:val="21"/>
        </w:rPr>
        <w:t>22.3</w:t>
      </w:r>
      <w:r>
        <w:rPr>
          <w:rFonts w:hint="eastAsia"/>
          <w:szCs w:val="21"/>
        </w:rPr>
        <w:t>款</w:t>
      </w:r>
      <w:r>
        <w:rPr>
          <w:rFonts w:hint="eastAsia"/>
        </w:rPr>
        <w:t>的规定没收投标供应商的投标保证金。</w:t>
      </w:r>
    </w:p>
    <w:p w14:paraId="7F7368EA">
      <w:pPr>
        <w:tabs>
          <w:tab w:val="clear" w:pos="426"/>
        </w:tabs>
      </w:pPr>
      <w:r>
        <w:t>22.3</w:t>
      </w:r>
      <w:r>
        <w:rPr>
          <w:rFonts w:hint="eastAsia"/>
        </w:rPr>
        <w:t>如下列任何情况发生时，投标保证金将被没收。</w:t>
      </w:r>
    </w:p>
    <w:p w14:paraId="521F620B">
      <w:pPr>
        <w:tabs>
          <w:tab w:val="clear" w:pos="426"/>
        </w:tabs>
      </w:pPr>
      <w:r>
        <w:t>1</w:t>
      </w:r>
      <w:r>
        <w:rPr>
          <w:rFonts w:hint="eastAsia"/>
        </w:rPr>
        <w:t>）投标供应商在招标文件中规定的投标有效期内撤回其投标；</w:t>
      </w:r>
    </w:p>
    <w:p w14:paraId="4CC08F96">
      <w:pPr>
        <w:tabs>
          <w:tab w:val="clear" w:pos="426"/>
        </w:tabs>
      </w:pPr>
      <w:r>
        <w:t>2</w:t>
      </w:r>
      <w:r>
        <w:rPr>
          <w:rFonts w:hint="eastAsia"/>
        </w:rPr>
        <w:t>）中标供应商在规定期限内未能根据本项通用条款第</w:t>
      </w:r>
      <w:r>
        <w:t>47</w:t>
      </w:r>
      <w:r>
        <w:rPr>
          <w:rFonts w:hint="eastAsia"/>
        </w:rPr>
        <w:t>条规定签订合同；</w:t>
      </w:r>
    </w:p>
    <w:p w14:paraId="77513759">
      <w:pPr>
        <w:tabs>
          <w:tab w:val="clear" w:pos="426"/>
        </w:tabs>
      </w:pPr>
      <w:r>
        <w:t>3</w:t>
      </w:r>
      <w:r>
        <w:rPr>
          <w:rFonts w:hint="eastAsia"/>
        </w:rPr>
        <w:t>）投标供应商提供虚假投标文件或虚假补充文件：</w:t>
      </w:r>
    </w:p>
    <w:p w14:paraId="417D2AC8">
      <w:pPr>
        <w:tabs>
          <w:tab w:val="clear" w:pos="426"/>
        </w:tabs>
      </w:pPr>
      <w:r>
        <w:t>4</w:t>
      </w:r>
      <w:r>
        <w:rPr>
          <w:rFonts w:hint="eastAsia"/>
        </w:rPr>
        <w:t>）投标供应商以谋取中标为目的的技术规格模糊响应（如有意照搬照抄招标文件的技术要求）或虚假响应的；</w:t>
      </w:r>
    </w:p>
    <w:p w14:paraId="6F1DEF0B">
      <w:pPr>
        <w:tabs>
          <w:tab w:val="clear" w:pos="426"/>
        </w:tabs>
      </w:pPr>
      <w:r>
        <w:t>5</w:t>
      </w:r>
      <w:r>
        <w:rPr>
          <w:rFonts w:hint="eastAsia"/>
        </w:rPr>
        <w:t>）投标供应商质疑投诉提供虚假情况。</w:t>
      </w:r>
    </w:p>
    <w:p w14:paraId="40AC3AAF">
      <w:pPr>
        <w:tabs>
          <w:tab w:val="clear" w:pos="426"/>
        </w:tabs>
      </w:pPr>
      <w:r>
        <w:t>22.4</w:t>
      </w:r>
      <w:r>
        <w:rPr>
          <w:rFonts w:hint="eastAsia"/>
        </w:rPr>
        <w:t>不再收取投标保证金。</w:t>
      </w:r>
    </w:p>
    <w:p w14:paraId="1E73A07B">
      <w:pPr>
        <w:tabs>
          <w:tab w:val="clear" w:pos="426"/>
        </w:tabs>
      </w:pPr>
      <w:r>
        <w:t>23</w:t>
      </w:r>
      <w:r>
        <w:rPr>
          <w:rFonts w:hint="eastAsia"/>
        </w:rPr>
        <w:t>．投标供应商的替代方案</w:t>
      </w:r>
    </w:p>
    <w:p w14:paraId="5E1F8A23">
      <w:pPr>
        <w:tabs>
          <w:tab w:val="clear" w:pos="426"/>
        </w:tabs>
      </w:pPr>
      <w:r>
        <w:t>23.1</w:t>
      </w:r>
      <w:r>
        <w:rPr>
          <w:rFonts w:hint="eastAsia"/>
        </w:rPr>
        <w:t>投标供应商所提交的投标文件应完全满足招标文件（包括图纸和技术规范所示的基本技术设计）的要求。除非招标的项目明确允许投标供应商提交替代方案，否则投标供应商有关替代方案的条款将不予考虑。</w:t>
      </w:r>
    </w:p>
    <w:p w14:paraId="68D964BA">
      <w:pPr>
        <w:tabs>
          <w:tab w:val="clear" w:pos="426"/>
        </w:tabs>
        <w:rPr>
          <w:bCs/>
          <w:sz w:val="30"/>
          <w:szCs w:val="30"/>
        </w:rPr>
      </w:pPr>
      <w:r>
        <w:t xml:space="preserve">23.2 </w:t>
      </w:r>
      <w:r>
        <w:rPr>
          <w:rFonts w:hint="eastAsia"/>
        </w:rPr>
        <w:t>如果允许投标供应商提交替代方案，则准备提交替代方案的投标供应商除应提交一份满足招标文件（包括图纸和技术规范所示的基本技术设计）要求的投标文件外，还应提交需评审其替代方案所需的全部资料，包括项目方案书、技术规范、替代方案报价书、所建议的项目方案及有关的其它详细资料。</w:t>
      </w:r>
    </w:p>
    <w:p w14:paraId="4B760273">
      <w:pPr>
        <w:tabs>
          <w:tab w:val="clear" w:pos="426"/>
        </w:tabs>
      </w:pPr>
      <w:r>
        <w:t>24</w:t>
      </w:r>
      <w:r>
        <w:rPr>
          <w:rFonts w:hint="eastAsia"/>
        </w:rPr>
        <w:t>．投标文件的密封、标记和装订</w:t>
      </w:r>
    </w:p>
    <w:p w14:paraId="19B1741E">
      <w:pPr>
        <w:widowControl w:val="0"/>
        <w:shd w:val="clear" w:color="auto" w:fill="auto"/>
        <w:tabs>
          <w:tab w:val="clear" w:pos="426"/>
        </w:tabs>
        <w:autoSpaceDE w:val="0"/>
        <w:autoSpaceDN w:val="0"/>
        <w:rPr>
          <w:rFonts w:cs="黑体"/>
          <w:bCs/>
          <w:szCs w:val="21"/>
        </w:rPr>
      </w:pPr>
      <w:r>
        <w:t xml:space="preserve">24.1 </w:t>
      </w:r>
      <w:r>
        <w:rPr>
          <w:rFonts w:hint="eastAsia" w:cs="黑体"/>
          <w:bCs/>
          <w:szCs w:val="21"/>
        </w:rPr>
        <w:t>为方便开标唱标，投标供应商应单独提交一个密封信封，并在信封上标明“开标信封”的字样，内容包括开标一览表</w:t>
      </w:r>
      <w:r>
        <w:rPr>
          <w:rFonts w:cs="黑体"/>
          <w:bCs/>
          <w:szCs w:val="21"/>
        </w:rPr>
        <w:t>(</w:t>
      </w:r>
      <w:r>
        <w:rPr>
          <w:rFonts w:hint="eastAsia" w:cs="黑体"/>
          <w:bCs/>
          <w:szCs w:val="21"/>
        </w:rPr>
        <w:t>报价表</w:t>
      </w:r>
      <w:r>
        <w:rPr>
          <w:rFonts w:cs="黑体"/>
          <w:bCs/>
          <w:szCs w:val="21"/>
        </w:rPr>
        <w:t>)</w:t>
      </w:r>
      <w:r>
        <w:rPr>
          <w:rFonts w:hint="eastAsia" w:cs="黑体"/>
          <w:bCs/>
          <w:szCs w:val="21"/>
        </w:rPr>
        <w:t>、法定代表人证明书或法定代表人授权委托书、</w:t>
      </w:r>
      <w:r>
        <w:rPr>
          <w:rFonts w:hint="eastAsia"/>
          <w:szCs w:val="21"/>
        </w:rPr>
        <w:t>投标文件电子U盘</w:t>
      </w:r>
      <w:r>
        <w:rPr>
          <w:rFonts w:hint="eastAsia" w:cs="黑体"/>
          <w:bCs/>
          <w:szCs w:val="21"/>
        </w:rPr>
        <w:t>，若本项目（或包组）接受联合体投标，则联合体投标，应将各方共同签署的《联合投标协议》和《投标联合体授权主体方协议书》一并提交。开标信封是投标文件的组成部分。</w:t>
      </w:r>
    </w:p>
    <w:p w14:paraId="75EB674B">
      <w:pPr>
        <w:tabs>
          <w:tab w:val="clear" w:pos="426"/>
        </w:tabs>
        <w:rPr>
          <w:szCs w:val="21"/>
        </w:rPr>
      </w:pPr>
      <w:r>
        <w:t xml:space="preserve">24.2 </w:t>
      </w:r>
      <w:r>
        <w:rPr>
          <w:rFonts w:hint="eastAsia"/>
        </w:rPr>
        <w:t>投标文件为纸质投标文件，</w:t>
      </w:r>
      <w:r>
        <w:rPr>
          <w:rFonts w:hint="eastAsia"/>
          <w:szCs w:val="21"/>
        </w:rPr>
        <w:t>含正本和副本，投标文件应标明项目编号、招标项目名称及“正本”或“副本”。</w:t>
      </w:r>
      <w:r>
        <w:rPr>
          <w:rFonts w:hint="eastAsia"/>
        </w:rPr>
        <w:t>投标文件的所有内容应按</w:t>
      </w:r>
      <w:r>
        <w:t>A4</w:t>
      </w:r>
      <w:r>
        <w:rPr>
          <w:rFonts w:hint="eastAsia"/>
        </w:rPr>
        <w:t>篇幅装订成一册，装订应牢固不可拆卸。装订好的投标文件密封包装在一个外密封袋中，并在外密封袋上注明：</w:t>
      </w:r>
    </w:p>
    <w:p w14:paraId="69DA9804">
      <w:pPr>
        <w:tabs>
          <w:tab w:val="clear" w:pos="426"/>
        </w:tabs>
      </w:pPr>
      <w:r>
        <w:rPr>
          <w:rFonts w:hint="eastAsia"/>
        </w:rPr>
        <w:t>投标文件</w:t>
      </w:r>
    </w:p>
    <w:p w14:paraId="3A243C53">
      <w:pPr>
        <w:tabs>
          <w:tab w:val="clear" w:pos="426"/>
        </w:tabs>
      </w:pPr>
      <w:r>
        <w:rPr>
          <w:rFonts w:hint="eastAsia"/>
        </w:rPr>
        <w:t>项目编号：</w:t>
      </w:r>
    </w:p>
    <w:p w14:paraId="7A337459">
      <w:pPr>
        <w:tabs>
          <w:tab w:val="clear" w:pos="426"/>
        </w:tabs>
      </w:pPr>
      <w:r>
        <w:rPr>
          <w:rFonts w:hint="eastAsia"/>
        </w:rPr>
        <w:t>项目名称：</w:t>
      </w:r>
    </w:p>
    <w:p w14:paraId="591F16AC">
      <w:pPr>
        <w:tabs>
          <w:tab w:val="clear" w:pos="426"/>
        </w:tabs>
      </w:pPr>
      <w:r>
        <w:rPr>
          <w:rFonts w:hint="eastAsia"/>
        </w:rPr>
        <w:t>投标供应商名称（盖章）：</w:t>
      </w:r>
    </w:p>
    <w:p w14:paraId="6299B944">
      <w:pPr>
        <w:tabs>
          <w:tab w:val="clear" w:pos="426"/>
        </w:tabs>
      </w:pPr>
      <w:r>
        <w:rPr>
          <w:rFonts w:hint="eastAsia"/>
        </w:rPr>
        <w:t>投标截止时间：</w:t>
      </w:r>
      <w:r>
        <w:rPr>
          <w:u w:val="single"/>
        </w:rPr>
        <w:t>_______</w:t>
      </w:r>
      <w:r>
        <w:rPr>
          <w:rFonts w:hint="eastAsia"/>
          <w:u w:val="single"/>
        </w:rPr>
        <w:t>年</w:t>
      </w:r>
      <w:r>
        <w:rPr>
          <w:u w:val="single"/>
        </w:rPr>
        <w:t>______</w:t>
      </w:r>
      <w:r>
        <w:rPr>
          <w:rFonts w:hint="eastAsia"/>
          <w:u w:val="single"/>
        </w:rPr>
        <w:t>月</w:t>
      </w:r>
      <w:r>
        <w:rPr>
          <w:u w:val="single"/>
        </w:rPr>
        <w:t>______</w:t>
      </w:r>
      <w:r>
        <w:rPr>
          <w:rFonts w:hint="eastAsia"/>
          <w:u w:val="single"/>
        </w:rPr>
        <w:t>日</w:t>
      </w:r>
      <w:r>
        <w:rPr>
          <w:u w:val="single"/>
        </w:rPr>
        <w:t>______</w:t>
      </w:r>
      <w:r>
        <w:rPr>
          <w:rFonts w:hint="eastAsia"/>
          <w:u w:val="single"/>
        </w:rPr>
        <w:t>时</w:t>
      </w:r>
      <w:r>
        <w:rPr>
          <w:u w:val="single"/>
        </w:rPr>
        <w:t>______</w:t>
      </w:r>
      <w:r>
        <w:rPr>
          <w:rFonts w:hint="eastAsia"/>
          <w:u w:val="single"/>
        </w:rPr>
        <w:t>分（前不得开封）</w:t>
      </w:r>
      <w:r>
        <w:rPr>
          <w:rFonts w:hint="eastAsia"/>
        </w:rPr>
        <w:t>。</w:t>
      </w:r>
    </w:p>
    <w:p w14:paraId="499D326B">
      <w:pPr>
        <w:tabs>
          <w:tab w:val="clear" w:pos="426"/>
        </w:tabs>
      </w:pPr>
      <w:r>
        <w:t xml:space="preserve">24.3  </w:t>
      </w:r>
      <w:r>
        <w:rPr>
          <w:rFonts w:hint="eastAsia"/>
        </w:rPr>
        <w:t>所有投标文件的密封袋的封口处均应加盖投标供应商公章。</w:t>
      </w:r>
    </w:p>
    <w:p w14:paraId="70CFD4CF">
      <w:pPr>
        <w:tabs>
          <w:tab w:val="clear" w:pos="426"/>
        </w:tabs>
      </w:pPr>
      <w:r>
        <w:t xml:space="preserve">24.4  </w:t>
      </w:r>
      <w:r>
        <w:rPr>
          <w:rFonts w:hint="eastAsia"/>
        </w:rPr>
        <w:t>对于因标书标识不清、装订不牢、密封不严等导致的不利后果由该投标供应商自负。</w:t>
      </w:r>
    </w:p>
    <w:p w14:paraId="5FB9C88F">
      <w:pPr>
        <w:tabs>
          <w:tab w:val="clear" w:pos="426"/>
        </w:tabs>
        <w:rPr>
          <w:szCs w:val="21"/>
        </w:rPr>
      </w:pPr>
      <w:r>
        <w:rPr>
          <w:szCs w:val="21"/>
        </w:rPr>
        <w:t xml:space="preserve">24.5  </w:t>
      </w:r>
      <w:r>
        <w:rPr>
          <w:rFonts w:hint="eastAsia"/>
          <w:szCs w:val="21"/>
        </w:rPr>
        <w:t>投标方应将投标文件按</w:t>
      </w:r>
      <w:r>
        <w:rPr>
          <w:szCs w:val="21"/>
        </w:rPr>
        <w:t>24.1-24.2</w:t>
      </w:r>
      <w:r>
        <w:rPr>
          <w:rFonts w:hint="eastAsia"/>
          <w:szCs w:val="21"/>
        </w:rPr>
        <w:t>中的规定进行密封和标记后，按专用条款中招标公告注明的地址送至招标机构。</w:t>
      </w:r>
    </w:p>
    <w:p w14:paraId="23A5F01B">
      <w:pPr>
        <w:tabs>
          <w:tab w:val="clear" w:pos="426"/>
        </w:tabs>
        <w:rPr>
          <w:szCs w:val="21"/>
        </w:rPr>
      </w:pPr>
      <w:r>
        <w:rPr>
          <w:szCs w:val="21"/>
        </w:rPr>
        <w:t xml:space="preserve">24.6  </w:t>
      </w:r>
      <w:r>
        <w:rPr>
          <w:rFonts w:hint="eastAsia"/>
          <w:szCs w:val="21"/>
        </w:rPr>
        <w:t>邮寄、电报、电话、传真形式的投标概不接受。</w:t>
      </w:r>
    </w:p>
    <w:p w14:paraId="07AC8669">
      <w:pPr>
        <w:tabs>
          <w:tab w:val="clear" w:pos="426"/>
        </w:tabs>
        <w:rPr>
          <w:b/>
          <w:szCs w:val="21"/>
        </w:rPr>
      </w:pPr>
      <w:r>
        <w:rPr>
          <w:b/>
          <w:szCs w:val="21"/>
        </w:rPr>
        <w:t xml:space="preserve">24.7  </w:t>
      </w:r>
      <w:r>
        <w:rPr>
          <w:rFonts w:hint="eastAsia"/>
          <w:b/>
          <w:bCs/>
          <w:szCs w:val="21"/>
        </w:rPr>
        <w:t>投标文件电子版：电子U盘一张（</w:t>
      </w:r>
      <w:r>
        <w:rPr>
          <w:b/>
          <w:bCs/>
          <w:szCs w:val="21"/>
        </w:rPr>
        <w:t>WORD</w:t>
      </w:r>
      <w:r>
        <w:rPr>
          <w:rFonts w:hint="eastAsia"/>
          <w:b/>
          <w:bCs/>
          <w:szCs w:val="21"/>
        </w:rPr>
        <w:t>及投标文件正本盖章后的彩色复印件，复印件要求为</w:t>
      </w:r>
      <w:r>
        <w:rPr>
          <w:b/>
          <w:bCs/>
          <w:szCs w:val="21"/>
        </w:rPr>
        <w:t>PDF</w:t>
      </w:r>
      <w:r>
        <w:rPr>
          <w:rFonts w:hint="eastAsia"/>
          <w:b/>
          <w:bCs/>
          <w:szCs w:val="21"/>
        </w:rPr>
        <w:t>格式），请将该U盘放在开标信封中，并在U盘上标明项目编号、项目名称及投标供应商名称。</w:t>
      </w:r>
    </w:p>
    <w:p w14:paraId="26376EB2">
      <w:pPr>
        <w:tabs>
          <w:tab w:val="clear" w:pos="426"/>
        </w:tabs>
        <w:rPr>
          <w:szCs w:val="21"/>
        </w:rPr>
      </w:pPr>
      <w:r>
        <w:rPr>
          <w:szCs w:val="21"/>
        </w:rPr>
        <w:t>25</w:t>
      </w:r>
      <w:r>
        <w:rPr>
          <w:rFonts w:hint="eastAsia"/>
          <w:szCs w:val="21"/>
        </w:rPr>
        <w:t>．投标截止时间</w:t>
      </w:r>
    </w:p>
    <w:p w14:paraId="1557C1FB">
      <w:pPr>
        <w:tabs>
          <w:tab w:val="clear" w:pos="426"/>
        </w:tabs>
        <w:rPr>
          <w:szCs w:val="21"/>
        </w:rPr>
      </w:pPr>
      <w:r>
        <w:rPr>
          <w:rFonts w:hint="eastAsia"/>
          <w:szCs w:val="21"/>
        </w:rPr>
        <w:t>招标机构在投标供应商须知第</w:t>
      </w:r>
      <w:r>
        <w:rPr>
          <w:szCs w:val="21"/>
        </w:rPr>
        <w:t>24.5</w:t>
      </w:r>
      <w:r>
        <w:rPr>
          <w:rFonts w:hint="eastAsia"/>
          <w:szCs w:val="21"/>
        </w:rPr>
        <w:t>条规定的地址收到投标书的时间不得迟于</w:t>
      </w:r>
      <w:r>
        <w:rPr>
          <w:szCs w:val="21"/>
        </w:rPr>
        <w:t>“</w:t>
      </w:r>
      <w:r>
        <w:rPr>
          <w:rFonts w:hint="eastAsia"/>
          <w:szCs w:val="21"/>
        </w:rPr>
        <w:t>投标供应商须知前附表</w:t>
      </w:r>
      <w:r>
        <w:rPr>
          <w:szCs w:val="21"/>
        </w:rPr>
        <w:t>”</w:t>
      </w:r>
      <w:r>
        <w:rPr>
          <w:rFonts w:hint="eastAsia"/>
          <w:szCs w:val="21"/>
        </w:rPr>
        <w:t>第</w:t>
      </w:r>
      <w:r>
        <w:rPr>
          <w:szCs w:val="21"/>
        </w:rPr>
        <w:t>19</w:t>
      </w:r>
      <w:r>
        <w:rPr>
          <w:rFonts w:hint="eastAsia"/>
          <w:szCs w:val="21"/>
        </w:rPr>
        <w:t>项所规定的时间。</w:t>
      </w:r>
    </w:p>
    <w:p w14:paraId="76E288BB">
      <w:pPr>
        <w:tabs>
          <w:tab w:val="clear" w:pos="426"/>
        </w:tabs>
        <w:rPr>
          <w:szCs w:val="21"/>
        </w:rPr>
      </w:pPr>
      <w:r>
        <w:rPr>
          <w:szCs w:val="21"/>
        </w:rPr>
        <w:t>26</w:t>
      </w:r>
      <w:r>
        <w:rPr>
          <w:rFonts w:hint="eastAsia"/>
          <w:szCs w:val="21"/>
        </w:rPr>
        <w:t>．迟交的投标书</w:t>
      </w:r>
    </w:p>
    <w:p w14:paraId="700C298A">
      <w:pPr>
        <w:tabs>
          <w:tab w:val="clear" w:pos="426"/>
        </w:tabs>
        <w:rPr>
          <w:szCs w:val="21"/>
        </w:rPr>
      </w:pPr>
      <w:r>
        <w:rPr>
          <w:rFonts w:hint="eastAsia"/>
          <w:szCs w:val="21"/>
        </w:rPr>
        <w:t>按照本通用条款第</w:t>
      </w:r>
      <w:r>
        <w:rPr>
          <w:szCs w:val="21"/>
        </w:rPr>
        <w:t>25</w:t>
      </w:r>
      <w:r>
        <w:rPr>
          <w:rFonts w:hint="eastAsia"/>
          <w:szCs w:val="21"/>
        </w:rPr>
        <w:t>条规定，招标机构将拒绝并原封退回在其规定的投标截止期后收到的任何投标书。</w:t>
      </w:r>
    </w:p>
    <w:p w14:paraId="23162DC4">
      <w:pPr>
        <w:tabs>
          <w:tab w:val="clear" w:pos="426"/>
        </w:tabs>
      </w:pPr>
      <w:r>
        <w:t>27</w:t>
      </w:r>
      <w:r>
        <w:rPr>
          <w:rFonts w:hint="eastAsia"/>
        </w:rPr>
        <w:t>．投标文件的提交和截标时投标文件的数量要求</w:t>
      </w:r>
    </w:p>
    <w:p w14:paraId="7626B44F">
      <w:pPr>
        <w:tabs>
          <w:tab w:val="clear" w:pos="426"/>
        </w:tabs>
      </w:pPr>
      <w:r>
        <w:t xml:space="preserve">27.1  </w:t>
      </w:r>
      <w:r>
        <w:rPr>
          <w:rFonts w:hint="eastAsia"/>
        </w:rPr>
        <w:t>投标截止时间和地点。投标供应商应根据“专用条款”的规定，在投标截止时间前将投标文件密封送达指定地点。未及时送达指定地点及不符合密封、标记、签章、装订要求的投标文件采购代理机构将拒绝接收。</w:t>
      </w:r>
    </w:p>
    <w:p w14:paraId="4968D2CA">
      <w:pPr>
        <w:tabs>
          <w:tab w:val="clear" w:pos="426"/>
        </w:tabs>
      </w:pPr>
      <w:r>
        <w:t xml:space="preserve">27.2  </w:t>
      </w:r>
      <w:r>
        <w:rPr>
          <w:rFonts w:hint="eastAsia"/>
        </w:rPr>
        <w:t>截标时递交标书的投标供应商数量未达到法定家数的，采购代理机构将按法律法规的规定暂停开标和评标程序。如导致招标失败，采购人或采购代理机构将不负担因此给投标供应商造成的损失。</w:t>
      </w:r>
    </w:p>
    <w:p w14:paraId="5FC64859">
      <w:pPr>
        <w:tabs>
          <w:tab w:val="clear" w:pos="426"/>
        </w:tabs>
      </w:pPr>
      <w:r>
        <w:t>28</w:t>
      </w:r>
      <w:r>
        <w:rPr>
          <w:rFonts w:hint="eastAsia"/>
        </w:rPr>
        <w:t>．投标文件的修改或撤回</w:t>
      </w:r>
    </w:p>
    <w:p w14:paraId="6719C951">
      <w:pPr>
        <w:tabs>
          <w:tab w:val="clear" w:pos="426"/>
        </w:tabs>
      </w:pPr>
      <w:r>
        <w:t xml:space="preserve">28.1  </w:t>
      </w:r>
      <w:r>
        <w:rPr>
          <w:rFonts w:hint="eastAsia"/>
        </w:rPr>
        <w:t>投标供应商已提交投标文件，规定的投标截止时间还未到，投标供应商可提出对其投标文件的修改或撤回。投标供应商须提交由投标供应商代表签名的修改或撤回的书面通知。</w:t>
      </w:r>
    </w:p>
    <w:p w14:paraId="2B83E7C6">
      <w:pPr>
        <w:tabs>
          <w:tab w:val="clear" w:pos="426"/>
        </w:tabs>
      </w:pPr>
      <w:r>
        <w:t xml:space="preserve">28.2  </w:t>
      </w:r>
      <w:r>
        <w:rPr>
          <w:rFonts w:hint="eastAsia"/>
        </w:rPr>
        <w:t>采购代理机构收到由投标供应商代表签名的修改或撤回的书面通知并确认后，投标供应商可对其投标文件进行修改，或是撤回其投标。</w:t>
      </w:r>
    </w:p>
    <w:p w14:paraId="109C3F83">
      <w:pPr>
        <w:tabs>
          <w:tab w:val="clear" w:pos="426"/>
        </w:tabs>
      </w:pPr>
      <w:r>
        <w:t xml:space="preserve">28.3  </w:t>
      </w:r>
      <w:r>
        <w:rPr>
          <w:rFonts w:hint="eastAsia"/>
        </w:rPr>
        <w:t>投标供应商的修改文件应按照本招标文件的规定进行编制、密封、标记和提交，并在密封袋上注明“投标修改”。</w:t>
      </w:r>
    </w:p>
    <w:p w14:paraId="59D6AA1F">
      <w:pPr>
        <w:tabs>
          <w:tab w:val="clear" w:pos="426"/>
        </w:tabs>
      </w:pPr>
      <w:r>
        <w:t xml:space="preserve">28.4  </w:t>
      </w:r>
      <w:r>
        <w:rPr>
          <w:rFonts w:hint="eastAsia"/>
        </w:rPr>
        <w:t>投标截止时间之后至投标文件有效期终止之前，投标供应商不得要求撤回其投标。在此期间撤回投标的，其投标担保将会被没收。</w:t>
      </w:r>
    </w:p>
    <w:p w14:paraId="59FDCA64">
      <w:pPr>
        <w:tabs>
          <w:tab w:val="clear" w:pos="426"/>
        </w:tabs>
      </w:pPr>
      <w:r>
        <w:t xml:space="preserve">28.5  </w:t>
      </w:r>
      <w:r>
        <w:rPr>
          <w:rFonts w:hint="eastAsia"/>
        </w:rPr>
        <w:t>评标结束后，不论中标与否，投标供应商均不得收回投标文件。</w:t>
      </w:r>
    </w:p>
    <w:p w14:paraId="3124564A">
      <w:pPr>
        <w:pStyle w:val="5"/>
        <w:numPr>
          <w:ilvl w:val="3"/>
          <w:numId w:val="0"/>
        </w:numPr>
        <w:tabs>
          <w:tab w:val="clear" w:pos="1680"/>
        </w:tabs>
      </w:pPr>
      <w:bookmarkStart w:id="152" w:name="_Toc529280584"/>
      <w:bookmarkStart w:id="153" w:name="_Toc14427257"/>
      <w:bookmarkStart w:id="154" w:name="_Toc152759241"/>
      <w:bookmarkStart w:id="155" w:name="_Toc530152525"/>
      <w:r>
        <w:rPr>
          <w:rFonts w:hint="eastAsia"/>
        </w:rPr>
        <w:t>第四章开标</w:t>
      </w:r>
      <w:bookmarkEnd w:id="152"/>
      <w:bookmarkEnd w:id="153"/>
      <w:bookmarkEnd w:id="154"/>
      <w:bookmarkEnd w:id="155"/>
    </w:p>
    <w:p w14:paraId="668DAB59">
      <w:pPr>
        <w:tabs>
          <w:tab w:val="clear" w:pos="426"/>
        </w:tabs>
      </w:pPr>
      <w:r>
        <w:t>29</w:t>
      </w:r>
      <w:r>
        <w:rPr>
          <w:rFonts w:hint="eastAsia"/>
        </w:rPr>
        <w:t>．　开标</w:t>
      </w:r>
    </w:p>
    <w:p w14:paraId="736200BA">
      <w:pPr>
        <w:tabs>
          <w:tab w:val="clear" w:pos="426"/>
        </w:tabs>
      </w:pPr>
      <w:r>
        <w:t xml:space="preserve">29.1  </w:t>
      </w:r>
      <w:r>
        <w:rPr>
          <w:rFonts w:hint="eastAsia"/>
        </w:rPr>
        <w:t>采购人在“投标须知前附表”中规定的时间、地点组织公开开标。邀请所有投标供应商代表参加。不参加开标会的投标供应商，视为其认可开标程序和结果。</w:t>
      </w:r>
    </w:p>
    <w:p w14:paraId="46155D11">
      <w:pPr>
        <w:tabs>
          <w:tab w:val="clear" w:pos="426"/>
        </w:tabs>
      </w:pPr>
      <w:r>
        <w:t xml:space="preserve">29.2  </w:t>
      </w:r>
      <w:r>
        <w:rPr>
          <w:rFonts w:hint="eastAsia"/>
        </w:rPr>
        <w:t>参加开标会议的投标供应商只委派一名代表，且必须是本单位法定代表人或授权代表，参加会议人员须提供相应的授权委托书。</w:t>
      </w:r>
    </w:p>
    <w:p w14:paraId="58FE2367">
      <w:pPr>
        <w:tabs>
          <w:tab w:val="clear" w:pos="426"/>
        </w:tabs>
      </w:pPr>
      <w:r>
        <w:t xml:space="preserve">29.3  </w:t>
      </w:r>
      <w:r>
        <w:rPr>
          <w:rFonts w:hint="eastAsia"/>
        </w:rPr>
        <w:t>开标会由采购代理机构主持，开标程序如下：</w:t>
      </w:r>
    </w:p>
    <w:p w14:paraId="01BE2767">
      <w:pPr>
        <w:tabs>
          <w:tab w:val="clear" w:pos="426"/>
        </w:tabs>
      </w:pPr>
      <w:r>
        <w:t xml:space="preserve">29.3.1  </w:t>
      </w:r>
      <w:r>
        <w:rPr>
          <w:rFonts w:hint="eastAsia"/>
        </w:rPr>
        <w:t>采购代理机构核对法人代表或其授权代表身份证明，若不能提供相应的身份证明或不相符，则不能参与开标会议；</w:t>
      </w:r>
    </w:p>
    <w:p w14:paraId="5651EA71">
      <w:pPr>
        <w:tabs>
          <w:tab w:val="clear" w:pos="426"/>
        </w:tabs>
        <w:rPr>
          <w:szCs w:val="21"/>
        </w:rPr>
      </w:pPr>
      <w:r>
        <w:rPr>
          <w:szCs w:val="21"/>
        </w:rPr>
        <w:t xml:space="preserve">29.3.2  </w:t>
      </w:r>
      <w:r>
        <w:rPr>
          <w:rFonts w:hint="eastAsia"/>
          <w:szCs w:val="21"/>
        </w:rPr>
        <w:t>招标机构将按“招标公告”规定的时间和地点组织公开开标。投标供应商应委派代表参加，参加开标的代表应签名报到以证明出席。</w:t>
      </w:r>
    </w:p>
    <w:p w14:paraId="77594C94">
      <w:pPr>
        <w:tabs>
          <w:tab w:val="clear" w:pos="426"/>
        </w:tabs>
        <w:rPr>
          <w:szCs w:val="21"/>
        </w:rPr>
      </w:pPr>
      <w:r>
        <w:rPr>
          <w:szCs w:val="21"/>
        </w:rPr>
        <w:t xml:space="preserve">29.3.3  </w:t>
      </w:r>
      <w:r>
        <w:rPr>
          <w:rFonts w:hint="eastAsia"/>
          <w:szCs w:val="21"/>
        </w:rPr>
        <w:t>开标时，招标机构将当众宣读投标供应商名称、修改和撤回投标的通知、开标一览表（以招标文件规定的开标一览表内容为准）。投标文件中开标一览表内容与投标报价明细表内容不一致的，以开标一览表为准。</w:t>
      </w:r>
    </w:p>
    <w:p w14:paraId="7F49BE2C">
      <w:pPr>
        <w:tabs>
          <w:tab w:val="clear" w:pos="426"/>
        </w:tabs>
        <w:ind w:firstLine="411" w:firstLineChars="196"/>
        <w:rPr>
          <w:szCs w:val="21"/>
        </w:rPr>
      </w:pPr>
      <w:r>
        <w:rPr>
          <w:rFonts w:hint="eastAsia"/>
          <w:szCs w:val="21"/>
        </w:rPr>
        <w:t>除了按照本通用条款第</w:t>
      </w:r>
      <w:r>
        <w:rPr>
          <w:szCs w:val="21"/>
        </w:rPr>
        <w:t>26</w:t>
      </w:r>
      <w:r>
        <w:rPr>
          <w:rFonts w:hint="eastAsia"/>
          <w:szCs w:val="21"/>
        </w:rPr>
        <w:t>条规定原封退回的投标之外，开标时将不得拒绝任何投标书。</w:t>
      </w:r>
    </w:p>
    <w:p w14:paraId="29A97A13">
      <w:pPr>
        <w:tabs>
          <w:tab w:val="clear" w:pos="426"/>
        </w:tabs>
        <w:rPr>
          <w:szCs w:val="21"/>
        </w:rPr>
      </w:pPr>
      <w:r>
        <w:rPr>
          <w:szCs w:val="21"/>
        </w:rPr>
        <w:t xml:space="preserve">29.3.4  </w:t>
      </w:r>
      <w:r>
        <w:rPr>
          <w:rFonts w:hint="eastAsia"/>
          <w:szCs w:val="21"/>
        </w:rPr>
        <w:t>开标时，招标机构仅拆封开标信封。如投标供应商未单独密封包装开标信封，招标机构有权拆封投标文件。</w:t>
      </w:r>
    </w:p>
    <w:p w14:paraId="4D392A28">
      <w:pPr>
        <w:tabs>
          <w:tab w:val="clear" w:pos="426"/>
        </w:tabs>
        <w:rPr>
          <w:szCs w:val="21"/>
        </w:rPr>
      </w:pPr>
      <w:r>
        <w:rPr>
          <w:szCs w:val="21"/>
        </w:rPr>
        <w:t xml:space="preserve">29.3.5  </w:t>
      </w:r>
      <w:r>
        <w:rPr>
          <w:rFonts w:hint="eastAsia"/>
          <w:szCs w:val="21"/>
        </w:rPr>
        <w:t>按照投标供应商须知第</w:t>
      </w:r>
      <w:r>
        <w:rPr>
          <w:szCs w:val="21"/>
        </w:rPr>
        <w:t>28</w:t>
      </w:r>
      <w:r>
        <w:rPr>
          <w:rFonts w:hint="eastAsia"/>
          <w:szCs w:val="21"/>
        </w:rPr>
        <w:t>条规定，提交了可接受的</w:t>
      </w:r>
      <w:r>
        <w:rPr>
          <w:szCs w:val="21"/>
        </w:rPr>
        <w:t>“</w:t>
      </w:r>
      <w:r>
        <w:rPr>
          <w:rFonts w:hint="eastAsia"/>
          <w:szCs w:val="21"/>
        </w:rPr>
        <w:t>撤回</w:t>
      </w:r>
      <w:r>
        <w:rPr>
          <w:szCs w:val="21"/>
        </w:rPr>
        <w:t>”</w:t>
      </w:r>
      <w:r>
        <w:rPr>
          <w:rFonts w:hint="eastAsia"/>
          <w:szCs w:val="21"/>
        </w:rPr>
        <w:t>通知的投标将不予开封。</w:t>
      </w:r>
    </w:p>
    <w:p w14:paraId="025E8A7D">
      <w:pPr>
        <w:tabs>
          <w:tab w:val="clear" w:pos="426"/>
        </w:tabs>
        <w:rPr>
          <w:szCs w:val="21"/>
        </w:rPr>
      </w:pPr>
      <w:r>
        <w:rPr>
          <w:szCs w:val="21"/>
        </w:rPr>
        <w:t xml:space="preserve">29.3.6  </w:t>
      </w:r>
      <w:r>
        <w:rPr>
          <w:rFonts w:hint="eastAsia"/>
          <w:szCs w:val="21"/>
        </w:rPr>
        <w:t>无论如何在开标时没有启封和读出的投标书在评标时将不予考虑。撤回的投标书将原封退回投标供应商。</w:t>
      </w:r>
    </w:p>
    <w:p w14:paraId="031843D8">
      <w:pPr>
        <w:tabs>
          <w:tab w:val="clear" w:pos="426"/>
        </w:tabs>
        <w:rPr>
          <w:szCs w:val="21"/>
        </w:rPr>
      </w:pPr>
      <w:r>
        <w:rPr>
          <w:szCs w:val="21"/>
        </w:rPr>
        <w:t xml:space="preserve">29.3.7  </w:t>
      </w:r>
      <w:r>
        <w:rPr>
          <w:rFonts w:hint="eastAsia"/>
          <w:szCs w:val="21"/>
        </w:rPr>
        <w:t>招标机构将做开标记录，开标记录包括按本通用条款第</w:t>
      </w:r>
      <w:r>
        <w:rPr>
          <w:szCs w:val="21"/>
        </w:rPr>
        <w:t>29.3.3</w:t>
      </w:r>
      <w:r>
        <w:rPr>
          <w:rFonts w:hint="eastAsia"/>
          <w:szCs w:val="21"/>
        </w:rPr>
        <w:t>的规定在开标时宣读的全部内容。</w:t>
      </w:r>
    </w:p>
    <w:p w14:paraId="7715AC57">
      <w:pPr>
        <w:tabs>
          <w:tab w:val="clear" w:pos="426"/>
        </w:tabs>
      </w:pPr>
      <w:r>
        <w:t xml:space="preserve">29.3.8  </w:t>
      </w:r>
      <w:r>
        <w:rPr>
          <w:rFonts w:hint="eastAsia"/>
        </w:rPr>
        <w:t>供应商在开标过程中知道或者应知其权益受到损害时必须现场明确提出，未明确提出的，即视为认可开标结果。</w:t>
      </w:r>
    </w:p>
    <w:p w14:paraId="0680516B">
      <w:pPr>
        <w:pStyle w:val="5"/>
        <w:numPr>
          <w:ilvl w:val="3"/>
          <w:numId w:val="0"/>
        </w:numPr>
        <w:tabs>
          <w:tab w:val="clear" w:pos="1680"/>
        </w:tabs>
      </w:pPr>
      <w:bookmarkStart w:id="156" w:name="_Toc14427258"/>
      <w:bookmarkStart w:id="157" w:name="_Toc530152526"/>
      <w:bookmarkStart w:id="158" w:name="_Toc152759242"/>
      <w:bookmarkStart w:id="159" w:name="_Toc529280585"/>
      <w:r>
        <w:rPr>
          <w:rFonts w:hint="eastAsia"/>
        </w:rPr>
        <w:t>第五章评标要求</w:t>
      </w:r>
      <w:bookmarkEnd w:id="156"/>
      <w:bookmarkEnd w:id="157"/>
      <w:bookmarkEnd w:id="158"/>
      <w:bookmarkEnd w:id="159"/>
    </w:p>
    <w:p w14:paraId="1D4207CF">
      <w:pPr>
        <w:tabs>
          <w:tab w:val="clear" w:pos="426"/>
        </w:tabs>
      </w:pPr>
      <w:r>
        <w:t>30</w:t>
      </w:r>
      <w:r>
        <w:rPr>
          <w:rFonts w:hint="eastAsia"/>
        </w:rPr>
        <w:t>．评标委员会组成</w:t>
      </w:r>
    </w:p>
    <w:p w14:paraId="0C65A253">
      <w:pPr>
        <w:tabs>
          <w:tab w:val="clear" w:pos="426"/>
        </w:tabs>
      </w:pPr>
      <w:r>
        <w:t>30.1</w:t>
      </w:r>
      <w:r>
        <w:rPr>
          <w:rFonts w:hint="eastAsia"/>
        </w:rPr>
        <w:t>开标结束后召开评标会议，评标委员会由采购代理机构依法组建，负责评标活动。</w:t>
      </w:r>
    </w:p>
    <w:p w14:paraId="5CA00C53">
      <w:pPr>
        <w:tabs>
          <w:tab w:val="clear" w:pos="426"/>
        </w:tabs>
      </w:pPr>
      <w:r>
        <w:rPr>
          <w:rFonts w:hint="eastAsia"/>
        </w:rPr>
        <w:t>评标委员会的组成及行为规范执行《中华人民共和国政府采购法》《中华人民共和国政府采购法实施条例》，评标委员会由采购人代表和有关技术、经济等方面的专家组成，成员人数为</w:t>
      </w:r>
      <w:r>
        <w:t>5</w:t>
      </w:r>
      <w:r>
        <w:rPr>
          <w:rFonts w:hint="eastAsia"/>
        </w:rPr>
        <w:t>人以上（含</w:t>
      </w:r>
      <w:r>
        <w:t>5</w:t>
      </w:r>
      <w:r>
        <w:rPr>
          <w:rFonts w:hint="eastAsia"/>
        </w:rPr>
        <w:t>人）单数，其中技术、经济等方面的专家不少于成员总数的三分之二。</w:t>
      </w:r>
    </w:p>
    <w:p w14:paraId="3D33F8C6">
      <w:pPr>
        <w:tabs>
          <w:tab w:val="clear" w:pos="426"/>
        </w:tabs>
      </w:pPr>
      <w:r>
        <w:rPr>
          <w:rFonts w:hint="eastAsia"/>
        </w:rPr>
        <w:t>为保证评委人选的专业性，以及评标中的公平公正性，评标委员会成员从深圳市财政委员会评标专家库中随机抽取。</w:t>
      </w:r>
    </w:p>
    <w:p w14:paraId="32AD993F">
      <w:pPr>
        <w:tabs>
          <w:tab w:val="clear" w:pos="426"/>
        </w:tabs>
      </w:pPr>
      <w:r>
        <w:rPr>
          <w:rFonts w:hint="eastAsia"/>
        </w:rPr>
        <w:t>采购人代表须持本单位签发的《评标授权书》参加评标。</w:t>
      </w:r>
    </w:p>
    <w:p w14:paraId="60CFC207">
      <w:pPr>
        <w:tabs>
          <w:tab w:val="clear" w:pos="426"/>
        </w:tabs>
      </w:pPr>
      <w:r>
        <w:rPr>
          <w:rFonts w:hint="eastAsia"/>
        </w:rPr>
        <w:t>采购人无代表参与评标，应在开标前一天提交《采购人不派评委参与项目评标承诺书》给采购代理机构。</w:t>
      </w:r>
    </w:p>
    <w:p w14:paraId="039165F3">
      <w:pPr>
        <w:tabs>
          <w:tab w:val="clear" w:pos="426"/>
        </w:tabs>
        <w:rPr>
          <w:sz w:val="24"/>
        </w:rPr>
      </w:pPr>
      <w:r>
        <w:rPr>
          <w:rFonts w:hint="eastAsia"/>
        </w:rPr>
        <w:t>注：《评标授权书》《采购人不派评委参与项目评标承诺书》模板由采购代理机构提供</w:t>
      </w:r>
      <w:r>
        <w:rPr>
          <w:rFonts w:hint="eastAsia"/>
          <w:sz w:val="24"/>
        </w:rPr>
        <w:t>。</w:t>
      </w:r>
    </w:p>
    <w:p w14:paraId="29CF6660">
      <w:pPr>
        <w:tabs>
          <w:tab w:val="clear" w:pos="426"/>
        </w:tabs>
      </w:pPr>
      <w:r>
        <w:t>30.2</w:t>
      </w:r>
      <w:r>
        <w:rPr>
          <w:rFonts w:hint="eastAsia"/>
        </w:rPr>
        <w:t>评标定标应当遵循公平、公正、科学、择优的原则。</w:t>
      </w:r>
    </w:p>
    <w:p w14:paraId="70523B91">
      <w:pPr>
        <w:tabs>
          <w:tab w:val="clear" w:pos="426"/>
        </w:tabs>
      </w:pPr>
      <w:r>
        <w:t>30.3</w:t>
      </w:r>
      <w:r>
        <w:rPr>
          <w:rFonts w:hint="eastAsia"/>
        </w:rPr>
        <w:t>评标活动依法进行，任何单位和个人不得非法干预评标过程和结果。</w:t>
      </w:r>
    </w:p>
    <w:p w14:paraId="4F173F8F">
      <w:pPr>
        <w:tabs>
          <w:tab w:val="clear" w:pos="426"/>
        </w:tabs>
      </w:pPr>
      <w:r>
        <w:t>30.4</w:t>
      </w:r>
      <w:r>
        <w:rPr>
          <w:rFonts w:hint="eastAsia"/>
        </w:rPr>
        <w:t>评标过程中不允许违背评标程序或采用招标文件未载明的评标方法或评标因素进行评标。</w:t>
      </w:r>
    </w:p>
    <w:p w14:paraId="1859C524">
      <w:pPr>
        <w:tabs>
          <w:tab w:val="clear" w:pos="426"/>
        </w:tabs>
      </w:pPr>
      <w:r>
        <w:t xml:space="preserve">30.5 </w:t>
      </w:r>
      <w:r>
        <w:rPr>
          <w:rFonts w:hint="eastAsia"/>
        </w:rPr>
        <w:t>开标后，直到授予中标供应商合同为止，凡属于对投标文件的审查、澄清、评价和比较的有关资料以及中标候选人的推荐情况、与评标有关的其他任何情况均严格保密。</w:t>
      </w:r>
    </w:p>
    <w:p w14:paraId="60437A4B">
      <w:pPr>
        <w:tabs>
          <w:tab w:val="clear" w:pos="426"/>
        </w:tabs>
      </w:pPr>
      <w:r>
        <w:t>31</w:t>
      </w:r>
      <w:r>
        <w:rPr>
          <w:rFonts w:hint="eastAsia"/>
        </w:rPr>
        <w:t>．向评标委员会提供的资料</w:t>
      </w:r>
    </w:p>
    <w:p w14:paraId="4E4319DF">
      <w:pPr>
        <w:tabs>
          <w:tab w:val="clear" w:pos="426"/>
        </w:tabs>
      </w:pPr>
      <w:r>
        <w:t>31.1</w:t>
      </w:r>
      <w:r>
        <w:rPr>
          <w:rFonts w:hint="eastAsia"/>
        </w:rPr>
        <w:t>公开发布的招标文件，包括图纸、服务清单、答疑文件等；</w:t>
      </w:r>
    </w:p>
    <w:p w14:paraId="75E8B27E">
      <w:pPr>
        <w:tabs>
          <w:tab w:val="clear" w:pos="426"/>
        </w:tabs>
      </w:pPr>
      <w:r>
        <w:t>31.2</w:t>
      </w:r>
      <w:r>
        <w:rPr>
          <w:rFonts w:hint="eastAsia"/>
        </w:rPr>
        <w:t>其他评标必须的资料。</w:t>
      </w:r>
    </w:p>
    <w:p w14:paraId="19F8965A">
      <w:pPr>
        <w:tabs>
          <w:tab w:val="clear" w:pos="426"/>
        </w:tabs>
      </w:pPr>
      <w:r>
        <w:t>31.3</w:t>
      </w:r>
      <w:r>
        <w:rPr>
          <w:rFonts w:hint="eastAsia"/>
        </w:rPr>
        <w:t>评标委员会应当认真研究招标文件，至少应了解熟悉以下内容：</w:t>
      </w:r>
    </w:p>
    <w:p w14:paraId="45F1D26F">
      <w:pPr>
        <w:tabs>
          <w:tab w:val="clear" w:pos="426"/>
        </w:tabs>
      </w:pPr>
      <w:r>
        <w:rPr>
          <w:rFonts w:hint="eastAsia"/>
        </w:rPr>
        <w:t>（</w:t>
      </w:r>
      <w:r>
        <w:t>1</w:t>
      </w:r>
      <w:r>
        <w:rPr>
          <w:rFonts w:hint="eastAsia"/>
        </w:rPr>
        <w:t>）招标的目的；</w:t>
      </w:r>
    </w:p>
    <w:p w14:paraId="1FEDEEB8">
      <w:pPr>
        <w:tabs>
          <w:tab w:val="clear" w:pos="426"/>
        </w:tabs>
      </w:pPr>
      <w:r>
        <w:rPr>
          <w:rFonts w:hint="eastAsia"/>
        </w:rPr>
        <w:t>（</w:t>
      </w:r>
      <w:r>
        <w:t>2</w:t>
      </w:r>
      <w:r>
        <w:rPr>
          <w:rFonts w:hint="eastAsia"/>
        </w:rPr>
        <w:t>）招标项目需求的范围和性质；</w:t>
      </w:r>
    </w:p>
    <w:p w14:paraId="214F1CEF">
      <w:pPr>
        <w:tabs>
          <w:tab w:val="clear" w:pos="426"/>
        </w:tabs>
      </w:pPr>
      <w:r>
        <w:rPr>
          <w:rFonts w:hint="eastAsia"/>
        </w:rPr>
        <w:t>（</w:t>
      </w:r>
      <w:r>
        <w:t>3</w:t>
      </w:r>
      <w:r>
        <w:rPr>
          <w:rFonts w:hint="eastAsia"/>
        </w:rPr>
        <w:t>）招标文件规定的投标供应商的资格、财政预算限额、商务条款；</w:t>
      </w:r>
    </w:p>
    <w:p w14:paraId="77AB0F6D">
      <w:pPr>
        <w:tabs>
          <w:tab w:val="clear" w:pos="426"/>
        </w:tabs>
      </w:pPr>
      <w:r>
        <w:rPr>
          <w:rFonts w:hint="eastAsia"/>
        </w:rPr>
        <w:t>（</w:t>
      </w:r>
      <w:r>
        <w:t>4</w:t>
      </w:r>
      <w:r>
        <w:rPr>
          <w:rFonts w:hint="eastAsia"/>
        </w:rPr>
        <w:t>）招标文件规定的评标程序、评标方法和评标因素；</w:t>
      </w:r>
    </w:p>
    <w:p w14:paraId="5CCE90AD">
      <w:pPr>
        <w:tabs>
          <w:tab w:val="clear" w:pos="426"/>
        </w:tabs>
      </w:pPr>
      <w:r>
        <w:rPr>
          <w:rFonts w:hint="eastAsia"/>
        </w:rPr>
        <w:t>（</w:t>
      </w:r>
      <w:r>
        <w:t>5</w:t>
      </w:r>
      <w:r>
        <w:rPr>
          <w:rFonts w:hint="eastAsia"/>
        </w:rPr>
        <w:t>）招标文件所列示的投标文件“资格、符合性评审条款”。</w:t>
      </w:r>
    </w:p>
    <w:p w14:paraId="48C215D3">
      <w:pPr>
        <w:tabs>
          <w:tab w:val="clear" w:pos="426"/>
        </w:tabs>
      </w:pPr>
      <w:r>
        <w:t>32</w:t>
      </w:r>
      <w:r>
        <w:rPr>
          <w:rFonts w:hint="eastAsia"/>
        </w:rPr>
        <w:t>．独立评标</w:t>
      </w:r>
    </w:p>
    <w:p w14:paraId="742438ED">
      <w:pPr>
        <w:tabs>
          <w:tab w:val="clear" w:pos="426"/>
        </w:tabs>
        <w:rPr>
          <w:szCs w:val="21"/>
        </w:rPr>
      </w:pPr>
      <w:r>
        <w:t>32.1</w:t>
      </w:r>
      <w:r>
        <w:rPr>
          <w:rFonts w:hint="eastAsia"/>
        </w:rPr>
        <w:t>评标委员会成员的评标活动应当独立进行，并应遵循投标文件初审、澄清有关问题、比较与评价、确定中标候选供应商、编写评标报告的工作程序。</w:t>
      </w:r>
    </w:p>
    <w:p w14:paraId="27F286E0">
      <w:pPr>
        <w:pStyle w:val="5"/>
        <w:numPr>
          <w:ilvl w:val="3"/>
          <w:numId w:val="0"/>
        </w:numPr>
        <w:tabs>
          <w:tab w:val="clear" w:pos="1680"/>
        </w:tabs>
      </w:pPr>
      <w:bookmarkStart w:id="160" w:name="_Toc529280586"/>
      <w:bookmarkStart w:id="161" w:name="_Toc530152527"/>
      <w:bookmarkStart w:id="162" w:name="_Toc14427259"/>
      <w:bookmarkStart w:id="163" w:name="_Toc152759243"/>
      <w:r>
        <w:rPr>
          <w:rFonts w:hint="eastAsia"/>
        </w:rPr>
        <w:t>第六章评标程序及评标方法</w:t>
      </w:r>
      <w:bookmarkEnd w:id="160"/>
      <w:bookmarkEnd w:id="161"/>
      <w:bookmarkEnd w:id="162"/>
      <w:bookmarkEnd w:id="163"/>
    </w:p>
    <w:p w14:paraId="170DD6E3">
      <w:pPr>
        <w:tabs>
          <w:tab w:val="clear" w:pos="426"/>
        </w:tabs>
      </w:pPr>
      <w:r>
        <w:t>33</w:t>
      </w:r>
      <w:r>
        <w:rPr>
          <w:rFonts w:hint="eastAsia"/>
        </w:rPr>
        <w:t>．投标文件初审</w:t>
      </w:r>
    </w:p>
    <w:p w14:paraId="778D93DF">
      <w:pPr>
        <w:widowControl w:val="0"/>
        <w:shd w:val="clear" w:color="auto" w:fill="auto"/>
        <w:tabs>
          <w:tab w:val="clear" w:pos="426"/>
        </w:tabs>
        <w:autoSpaceDE w:val="0"/>
        <w:autoSpaceDN w:val="0"/>
        <w:rPr>
          <w:rFonts w:cs="黑体"/>
          <w:b/>
          <w:bCs/>
          <w:szCs w:val="21"/>
        </w:rPr>
      </w:pPr>
      <w:r>
        <w:t xml:space="preserve">33.1 </w:t>
      </w:r>
      <w:r>
        <w:rPr>
          <w:rFonts w:hint="eastAsia"/>
          <w:szCs w:val="21"/>
          <w:lang w:eastAsia="zh-TW"/>
        </w:rPr>
        <w:t>评标委员会将</w:t>
      </w:r>
      <w:r>
        <w:rPr>
          <w:rFonts w:hint="eastAsia"/>
          <w:szCs w:val="21"/>
        </w:rPr>
        <w:t>依法对投标文件进行初审。</w:t>
      </w:r>
      <w:r>
        <w:rPr>
          <w:rFonts w:hint="eastAsia"/>
        </w:rPr>
        <w:t>投标文件初审包括资格性检查和符合性检查，资格性检查：依据法律法规和招标文件的规定，对投标文件中的资格证明、投标保证金等进行审查，以确定投标供应商是否具备投标资格。符合性检查：依据招标文件的规定，从投标文件的有效性、完整性和对招标文件的响应程度进行审查，以确定是否对招标文件的实质性要求作出响应。</w:t>
      </w:r>
    </w:p>
    <w:p w14:paraId="31F1456F">
      <w:pPr>
        <w:tabs>
          <w:tab w:val="clear" w:pos="426"/>
        </w:tabs>
        <w:rPr>
          <w:b/>
        </w:rPr>
      </w:pPr>
      <w:r>
        <w:t xml:space="preserve">33.2 </w:t>
      </w:r>
      <w:r>
        <w:rPr>
          <w:rFonts w:hint="eastAsia"/>
        </w:rPr>
        <w:t>投标文件初审内容请详见“</w:t>
      </w:r>
      <w:r>
        <w:rPr>
          <w:rFonts w:hint="eastAsia"/>
          <w:b/>
        </w:rPr>
        <w:t>资格、符合性评审条款</w:t>
      </w:r>
      <w:r>
        <w:rPr>
          <w:rFonts w:hint="eastAsia"/>
        </w:rPr>
        <w:t>”。投标供应商若有一条审查不通过则按无效标处理。评标委员会对投标单位打√为通过审查，打×为未通过审查。</w:t>
      </w:r>
    </w:p>
    <w:p w14:paraId="500E32A9">
      <w:pPr>
        <w:tabs>
          <w:tab w:val="clear" w:pos="426"/>
        </w:tabs>
      </w:pPr>
      <w:r>
        <w:t xml:space="preserve">33.3 </w:t>
      </w:r>
      <w:r>
        <w:rPr>
          <w:rFonts w:hint="eastAsia"/>
        </w:rPr>
        <w:t>投标文件初审中关于供应商家数的计算。</w:t>
      </w:r>
    </w:p>
    <w:p w14:paraId="7F885767">
      <w:pPr>
        <w:tabs>
          <w:tab w:val="clear" w:pos="426"/>
        </w:tabs>
      </w:pPr>
      <w:r>
        <w:t xml:space="preserve">33.3.1 </w:t>
      </w:r>
      <w:r>
        <w:rPr>
          <w:rFonts w:hint="eastAsia"/>
        </w:rPr>
        <w:t>采用最低评标价法的采购项目，提供相同品牌产品的不同投标供应商参加同一合同项下投标的，以其中通过资格审查、符合性审查且报价最低的参加评标；报价相同的，由采购人或者采购人委托评标委员会按照招标文件规定的方式确定一个参加评标的投标供应商，招标文件未规定的采取随机抽取方式确定，其他投标无效。</w:t>
      </w:r>
    </w:p>
    <w:p w14:paraId="13978162">
      <w:pPr>
        <w:tabs>
          <w:tab w:val="clear" w:pos="426"/>
        </w:tabs>
      </w:pPr>
      <w:r>
        <w:t>33.3.2</w:t>
      </w:r>
      <w:r>
        <w:rPr>
          <w:rFonts w:hint="eastAsia"/>
        </w:rPr>
        <w:t>使用综合评分法的采购项目，提供相同品牌产品且通过资格审查、符合性审查的不同投标供应商参加同一合同项下投标的，按一家投标供应商计算，评审后得分最高的同品牌投标供应商获得中标供应商推荐资格；评审得分相同的，由采购人或者采购人委托评标委员会按照招标文件规定的方式确定一个投标供应商获得中标供应商推荐资格，招标文件未规定的采取随机抽取方式确定，其他同品牌投标供应商不作为中标候选人。</w:t>
      </w:r>
    </w:p>
    <w:p w14:paraId="5BC2DAD7">
      <w:pPr>
        <w:tabs>
          <w:tab w:val="clear" w:pos="426"/>
        </w:tabs>
      </w:pPr>
      <w:r>
        <w:t>33.3.3</w:t>
      </w:r>
      <w:r>
        <w:rPr>
          <w:rFonts w:hint="eastAsia"/>
        </w:rPr>
        <w:t>非单一产品采购项目，采购人应当根据采购项目技术构成、产品价格比重等合理确定核心产品，并在招标文件中载明。多家投标供应商提供的核心产品品牌相同的，按前两款规定处理。</w:t>
      </w:r>
    </w:p>
    <w:p w14:paraId="49794FC9">
      <w:pPr>
        <w:tabs>
          <w:tab w:val="clear" w:pos="426"/>
        </w:tabs>
      </w:pPr>
      <w:r>
        <w:t>33.3.4</w:t>
      </w:r>
      <w:r>
        <w:rPr>
          <w:rFonts w:hint="eastAsia"/>
        </w:rPr>
        <w:t>公开招标以外采购方式以及采购服务和工程涉及采购货物的项目，也按此方法计算供应商家数。</w:t>
      </w:r>
    </w:p>
    <w:p w14:paraId="5EF542AD">
      <w:pPr>
        <w:tabs>
          <w:tab w:val="clear" w:pos="426"/>
        </w:tabs>
        <w:rPr>
          <w:b/>
          <w:bCs/>
        </w:rPr>
      </w:pPr>
      <w:r>
        <w:t xml:space="preserve">33.4 </w:t>
      </w:r>
      <w:r>
        <w:rPr>
          <w:rFonts w:hint="eastAsia"/>
        </w:rPr>
        <w:t>对不属于投标文件“</w:t>
      </w:r>
      <w:r>
        <w:rPr>
          <w:rFonts w:hint="eastAsia"/>
          <w:b/>
        </w:rPr>
        <w:t>资格、符合性评审条款</w:t>
      </w:r>
      <w:r>
        <w:rPr>
          <w:rFonts w:hint="eastAsia"/>
        </w:rPr>
        <w:t>”要所列不符合的情形，除法律法规另有规定外，不得作为废标的理由。</w:t>
      </w:r>
    </w:p>
    <w:p w14:paraId="3A6D2477">
      <w:pPr>
        <w:tabs>
          <w:tab w:val="clear" w:pos="426"/>
        </w:tabs>
      </w:pPr>
      <w:r>
        <w:t>34</w:t>
      </w:r>
      <w:r>
        <w:rPr>
          <w:rFonts w:hint="eastAsia"/>
        </w:rPr>
        <w:t>．澄清有关问题</w:t>
      </w:r>
    </w:p>
    <w:p w14:paraId="0BFD9627">
      <w:pPr>
        <w:tabs>
          <w:tab w:val="clear" w:pos="426"/>
        </w:tabs>
      </w:pPr>
      <w:r>
        <w:rPr>
          <w:rFonts w:hint="eastAsia"/>
        </w:rPr>
        <w:t>为了有助于投标文件的审查、评价和比较，对投标文件含义不明确、同类问题表述不一致或者有明显文字和计算错误的内容，评标委员会可以用书面形式</w:t>
      </w:r>
      <w:r>
        <w:t>(</w:t>
      </w:r>
      <w:r>
        <w:rPr>
          <w:rFonts w:hint="eastAsia"/>
        </w:rPr>
        <w:t>应当由评标委员会签字</w:t>
      </w:r>
      <w:r>
        <w:t>)</w:t>
      </w:r>
      <w:r>
        <w:rPr>
          <w:rFonts w:hint="eastAsia"/>
        </w:rPr>
        <w:t>要求投标供应商作出必要的澄清、说明或者纠正。投标供应商的澄清、说明或者补正应当用采用书面形式（由其授权的代表签字），并不得超出投标文件的范围或者改变投标文件的实质性的内容。根据本通用条款第</w:t>
      </w:r>
      <w:r>
        <w:t>34</w:t>
      </w:r>
      <w:r>
        <w:rPr>
          <w:rFonts w:hint="eastAsia"/>
        </w:rPr>
        <w:t>条，凡属于评标委员会在评标中发现的算术错误进行核实的修改不在此列。</w:t>
      </w:r>
    </w:p>
    <w:p w14:paraId="3806D254">
      <w:pPr>
        <w:tabs>
          <w:tab w:val="clear" w:pos="426"/>
        </w:tabs>
      </w:pPr>
      <w:r>
        <w:t>35</w:t>
      </w:r>
      <w:r>
        <w:rPr>
          <w:rFonts w:hint="eastAsia"/>
        </w:rPr>
        <w:t>．错误的修正</w:t>
      </w:r>
    </w:p>
    <w:p w14:paraId="7455FA8E">
      <w:pPr>
        <w:tabs>
          <w:tab w:val="clear" w:pos="426"/>
        </w:tabs>
      </w:pPr>
      <w:r>
        <w:t xml:space="preserve">35.1 </w:t>
      </w:r>
      <w:r>
        <w:rPr>
          <w:rFonts w:hint="eastAsia"/>
        </w:rPr>
        <w:t>评标委员会将审查投标文件是否完整、总体编排是否有序、文件签署是否合格、投标供应商是否提交了投标保证金、有无计算上的错误等。</w:t>
      </w:r>
    </w:p>
    <w:p w14:paraId="78AE03EB">
      <w:pPr>
        <w:tabs>
          <w:tab w:val="clear" w:pos="426"/>
        </w:tabs>
      </w:pPr>
      <w:r>
        <w:t xml:space="preserve">35.2  </w:t>
      </w:r>
      <w:r>
        <w:rPr>
          <w:rFonts w:hint="eastAsia"/>
        </w:rPr>
        <w:t>算术错误将按以下方法更正（次序排先者优先）：</w:t>
      </w:r>
    </w:p>
    <w:p w14:paraId="62BBD0FF">
      <w:pPr>
        <w:tabs>
          <w:tab w:val="clear" w:pos="426"/>
        </w:tabs>
      </w:pPr>
      <w:r>
        <w:t>35.2.1</w:t>
      </w:r>
      <w:r>
        <w:rPr>
          <w:rFonts w:hint="eastAsia"/>
        </w:rPr>
        <w:t>投标文件中开标一览表（报价表）内容与投标文件中相应内容不一致的，以开标一览表（报价表）为准；</w:t>
      </w:r>
    </w:p>
    <w:p w14:paraId="0B3083E7">
      <w:pPr>
        <w:tabs>
          <w:tab w:val="clear" w:pos="426"/>
        </w:tabs>
      </w:pPr>
      <w:r>
        <w:t>35.2.2</w:t>
      </w:r>
      <w:r>
        <w:rPr>
          <w:rFonts w:hint="eastAsia"/>
        </w:rPr>
        <w:t>大写金额和小写金额不一致的，以大写金额为准；</w:t>
      </w:r>
    </w:p>
    <w:p w14:paraId="2DA2789B">
      <w:pPr>
        <w:tabs>
          <w:tab w:val="clear" w:pos="426"/>
        </w:tabs>
      </w:pPr>
      <w:r>
        <w:t>35.2.3</w:t>
      </w:r>
      <w:r>
        <w:rPr>
          <w:rFonts w:hint="eastAsia"/>
        </w:rPr>
        <w:t>单价金额小数点或者百分比有明显错位的，以开标一览表的总价为准，并修改单价；</w:t>
      </w:r>
    </w:p>
    <w:p w14:paraId="19E8D216">
      <w:pPr>
        <w:tabs>
          <w:tab w:val="clear" w:pos="426"/>
        </w:tabs>
      </w:pPr>
      <w:r>
        <w:t>35.2.4</w:t>
      </w:r>
      <w:r>
        <w:rPr>
          <w:rFonts w:hint="eastAsia"/>
        </w:rPr>
        <w:t>总价金额与按单价汇总金额不一致的，以单价金额计算结果为准；</w:t>
      </w:r>
    </w:p>
    <w:p w14:paraId="742CE0CF">
      <w:pPr>
        <w:tabs>
          <w:tab w:val="clear" w:pos="426"/>
        </w:tabs>
      </w:pPr>
      <w:r>
        <w:t xml:space="preserve">35.2.5 </w:t>
      </w:r>
      <w:r>
        <w:rPr>
          <w:rFonts w:hint="eastAsia"/>
        </w:rPr>
        <w:t>对不同文字文本投标文件的解释发生异议的，以中文文本为准。</w:t>
      </w:r>
    </w:p>
    <w:p w14:paraId="2AA5B3EF">
      <w:pPr>
        <w:tabs>
          <w:tab w:val="clear" w:pos="426"/>
        </w:tabs>
      </w:pPr>
      <w:r>
        <w:t xml:space="preserve">35.3  </w:t>
      </w:r>
      <w:r>
        <w:rPr>
          <w:rFonts w:hint="eastAsia"/>
        </w:rPr>
        <w:t>对于投标文件中不构成实质性偏差的不正规、不一致或不规则，给评审带来不便，评标委员会可以接受。</w:t>
      </w:r>
    </w:p>
    <w:p w14:paraId="58AEC2AE">
      <w:pPr>
        <w:tabs>
          <w:tab w:val="clear" w:pos="426"/>
        </w:tabs>
      </w:pPr>
      <w:r>
        <w:t xml:space="preserve">35.4  </w:t>
      </w:r>
      <w:r>
        <w:rPr>
          <w:rFonts w:hint="eastAsia"/>
        </w:rPr>
        <w:t>投标供应商的投标报价是可变动价格的，或包含了价格调整要求的，或投标报价中提供两个（含两个）以上的报价（招标文件规定提交备选投标方案的除外），或严重漏项，评标委员会无法进行判断的，评标委员会可以作无效标处理。</w:t>
      </w:r>
    </w:p>
    <w:p w14:paraId="43F3C994">
      <w:pPr>
        <w:tabs>
          <w:tab w:val="clear" w:pos="426"/>
        </w:tabs>
      </w:pPr>
      <w:r>
        <w:t>35.5</w:t>
      </w:r>
      <w:r>
        <w:rPr>
          <w:rFonts w:hint="eastAsia"/>
        </w:rPr>
        <w:t>根据上述修正错误的原则及方法调整或修正投标文件的投标报价，投标供应商同意后，调整后的投标报价对投标供应商起约束作用。</w:t>
      </w:r>
      <w:r>
        <w:rPr>
          <w:rFonts w:hint="eastAsia"/>
          <w:bCs/>
        </w:rPr>
        <w:t>如果投标供应商不接受修正后的报价，则其投标将被拒绝并且其投标保证金也将被没收，并不影响评标工作。</w:t>
      </w:r>
    </w:p>
    <w:p w14:paraId="2ED76042">
      <w:pPr>
        <w:tabs>
          <w:tab w:val="clear" w:pos="426"/>
        </w:tabs>
      </w:pPr>
      <w:r>
        <w:t>36</w:t>
      </w:r>
      <w:r>
        <w:rPr>
          <w:rFonts w:hint="eastAsia"/>
        </w:rPr>
        <w:t>．投标文件的比较与评价</w:t>
      </w:r>
    </w:p>
    <w:p w14:paraId="3C62AD0E">
      <w:pPr>
        <w:tabs>
          <w:tab w:val="clear" w:pos="426"/>
        </w:tabs>
      </w:pPr>
      <w:r>
        <w:t>36.1</w:t>
      </w:r>
      <w:r>
        <w:rPr>
          <w:rFonts w:hint="eastAsia"/>
        </w:rPr>
        <w:t>评标委员会将参照相关法律、法规、规定，仅对通过资格性审查和符合性审查的投标文件进行综合比较与评价。</w:t>
      </w:r>
    </w:p>
    <w:p w14:paraId="4BD0084B">
      <w:pPr>
        <w:tabs>
          <w:tab w:val="clear" w:pos="426"/>
        </w:tabs>
      </w:pPr>
      <w:r>
        <w:rPr>
          <w:bCs/>
        </w:rPr>
        <w:t xml:space="preserve">36.2  </w:t>
      </w:r>
      <w:r>
        <w:rPr>
          <w:rFonts w:hint="eastAsia"/>
        </w:rPr>
        <w:t>评标委员会应当根据招标文件，审查并逐项列出投标文件的全部投标偏离。投标偏离分为重大偏离和细微偏离。</w:t>
      </w:r>
    </w:p>
    <w:p w14:paraId="5C67C92E">
      <w:pPr>
        <w:tabs>
          <w:tab w:val="clear" w:pos="426"/>
        </w:tabs>
      </w:pPr>
      <w:r>
        <w:t xml:space="preserve">36.3 </w:t>
      </w:r>
      <w:r>
        <w:rPr>
          <w:rFonts w:hint="eastAsia"/>
        </w:rPr>
        <w:t>评标委员会应当对投标供应商的投标文件进行分析和比较。</w:t>
      </w:r>
    </w:p>
    <w:p w14:paraId="584C4C54">
      <w:pPr>
        <w:tabs>
          <w:tab w:val="clear" w:pos="426"/>
        </w:tabs>
      </w:pPr>
      <w:r>
        <w:t xml:space="preserve">36.4  </w:t>
      </w:r>
      <w:r>
        <w:rPr>
          <w:rFonts w:hint="eastAsia"/>
        </w:rPr>
        <w:t>评标委员会应当根据招标文件规定，对投标文件中的每项评审内容进行评审。</w:t>
      </w:r>
    </w:p>
    <w:p w14:paraId="48883B3E">
      <w:pPr>
        <w:tabs>
          <w:tab w:val="clear" w:pos="426"/>
        </w:tabs>
        <w:rPr>
          <w:kern w:val="10"/>
        </w:rPr>
      </w:pPr>
      <w:r>
        <w:rPr>
          <w:kern w:val="10"/>
        </w:rPr>
        <w:t xml:space="preserve">36.5  </w:t>
      </w:r>
      <w:r>
        <w:rPr>
          <w:rFonts w:hint="eastAsia"/>
          <w:kern w:val="10"/>
        </w:rPr>
        <w:t>投标文件存在重大偏离的，应作废标处理。下列情况属于重大偏离：</w:t>
      </w:r>
    </w:p>
    <w:p w14:paraId="3E40A6EE">
      <w:pPr>
        <w:tabs>
          <w:tab w:val="clear" w:pos="426"/>
        </w:tabs>
        <w:rPr>
          <w:kern w:val="10"/>
        </w:rPr>
      </w:pPr>
      <w:r>
        <w:rPr>
          <w:kern w:val="10"/>
        </w:rPr>
        <w:t xml:space="preserve">36.5.1  </w:t>
      </w:r>
      <w:r>
        <w:rPr>
          <w:rFonts w:hint="eastAsia"/>
          <w:kern w:val="10"/>
        </w:rPr>
        <w:t>投标供应商以他人的名义投标或出现下列串通投标、弄虚作假投标嫌疑的：</w:t>
      </w:r>
    </w:p>
    <w:p w14:paraId="4D6E0090">
      <w:pPr>
        <w:tabs>
          <w:tab w:val="clear" w:pos="426"/>
        </w:tabs>
        <w:rPr>
          <w:kern w:val="10"/>
        </w:rPr>
      </w:pPr>
      <w:r>
        <w:rPr>
          <w:kern w:val="10"/>
        </w:rPr>
        <w:t xml:space="preserve">36.5.1.1  </w:t>
      </w:r>
      <w:r>
        <w:rPr>
          <w:rFonts w:hint="eastAsia"/>
          <w:kern w:val="10"/>
        </w:rPr>
        <w:t>不同投标供应商的投标文件内容存在非正常一致的；</w:t>
      </w:r>
    </w:p>
    <w:p w14:paraId="2F0C0685">
      <w:pPr>
        <w:tabs>
          <w:tab w:val="clear" w:pos="426"/>
        </w:tabs>
        <w:rPr>
          <w:kern w:val="10"/>
        </w:rPr>
      </w:pPr>
      <w:r>
        <w:rPr>
          <w:kern w:val="10"/>
        </w:rPr>
        <w:t xml:space="preserve">36.5.1.2  </w:t>
      </w:r>
      <w:r>
        <w:rPr>
          <w:rFonts w:hint="eastAsia"/>
          <w:kern w:val="10"/>
        </w:rPr>
        <w:t>不同投标供应商的投标文件错漏之处一致的；</w:t>
      </w:r>
    </w:p>
    <w:p w14:paraId="0790598C">
      <w:pPr>
        <w:tabs>
          <w:tab w:val="clear" w:pos="426"/>
        </w:tabs>
        <w:rPr>
          <w:kern w:val="10"/>
        </w:rPr>
      </w:pPr>
      <w:r>
        <w:rPr>
          <w:kern w:val="10"/>
        </w:rPr>
        <w:t xml:space="preserve">36.5.1.3  </w:t>
      </w:r>
      <w:r>
        <w:rPr>
          <w:rFonts w:hint="eastAsia"/>
          <w:kern w:val="10"/>
        </w:rPr>
        <w:t>不同投标供应商的投标报价或者报价组成异常一致或者呈规律性变化的；</w:t>
      </w:r>
    </w:p>
    <w:p w14:paraId="513940EC">
      <w:pPr>
        <w:tabs>
          <w:tab w:val="clear" w:pos="426"/>
        </w:tabs>
        <w:rPr>
          <w:kern w:val="10"/>
        </w:rPr>
      </w:pPr>
      <w:r>
        <w:rPr>
          <w:kern w:val="10"/>
        </w:rPr>
        <w:t xml:space="preserve">36.5.1.4  </w:t>
      </w:r>
      <w:r>
        <w:rPr>
          <w:rFonts w:hint="eastAsia"/>
          <w:kern w:val="10"/>
        </w:rPr>
        <w:t>不同投标供应商的投标文件由同一单位或者同一个人编制的；</w:t>
      </w:r>
    </w:p>
    <w:p w14:paraId="697E3030">
      <w:pPr>
        <w:tabs>
          <w:tab w:val="clear" w:pos="426"/>
        </w:tabs>
        <w:rPr>
          <w:kern w:val="10"/>
        </w:rPr>
      </w:pPr>
      <w:r>
        <w:rPr>
          <w:kern w:val="10"/>
        </w:rPr>
        <w:t xml:space="preserve">36.5.1.5  </w:t>
      </w:r>
      <w:r>
        <w:rPr>
          <w:rFonts w:hint="eastAsia"/>
          <w:kern w:val="10"/>
        </w:rPr>
        <w:t>不同投标供应商的投标文件载明的项目负责人与主要技术人员出现同一人的；</w:t>
      </w:r>
    </w:p>
    <w:p w14:paraId="5355AA9C">
      <w:pPr>
        <w:tabs>
          <w:tab w:val="clear" w:pos="426"/>
        </w:tabs>
        <w:rPr>
          <w:kern w:val="10"/>
        </w:rPr>
      </w:pPr>
      <w:r>
        <w:rPr>
          <w:kern w:val="10"/>
        </w:rPr>
        <w:t xml:space="preserve">36.5.1.6  </w:t>
      </w:r>
      <w:r>
        <w:rPr>
          <w:rFonts w:hint="eastAsia"/>
          <w:kern w:val="10"/>
        </w:rPr>
        <w:t>不同投标供应商的投标文件相互混装的；</w:t>
      </w:r>
    </w:p>
    <w:p w14:paraId="32B28E6F">
      <w:pPr>
        <w:tabs>
          <w:tab w:val="clear" w:pos="426"/>
        </w:tabs>
        <w:rPr>
          <w:kern w:val="10"/>
        </w:rPr>
      </w:pPr>
      <w:r>
        <w:rPr>
          <w:kern w:val="10"/>
        </w:rPr>
        <w:t xml:space="preserve">36.5.1.7  </w:t>
      </w:r>
      <w:r>
        <w:rPr>
          <w:rFonts w:hint="eastAsia"/>
          <w:kern w:val="10"/>
        </w:rPr>
        <w:t>不同投标供应商委托同一人投标的；</w:t>
      </w:r>
    </w:p>
    <w:p w14:paraId="05BE5245">
      <w:pPr>
        <w:tabs>
          <w:tab w:val="clear" w:pos="426"/>
        </w:tabs>
        <w:rPr>
          <w:kern w:val="10"/>
        </w:rPr>
      </w:pPr>
      <w:r>
        <w:rPr>
          <w:kern w:val="10"/>
        </w:rPr>
        <w:t xml:space="preserve">36.5.1.8  </w:t>
      </w:r>
      <w:r>
        <w:rPr>
          <w:rFonts w:hint="eastAsia"/>
          <w:kern w:val="10"/>
        </w:rPr>
        <w:t>不同投标供应商聘请同一人为其投标提供技术或者经济咨询服务的，但招标工程本身要求采用专有技术的除外；</w:t>
      </w:r>
    </w:p>
    <w:p w14:paraId="521A9D96">
      <w:pPr>
        <w:tabs>
          <w:tab w:val="clear" w:pos="426"/>
        </w:tabs>
        <w:rPr>
          <w:kern w:val="10"/>
        </w:rPr>
      </w:pPr>
      <w:r>
        <w:rPr>
          <w:kern w:val="10"/>
        </w:rPr>
        <w:t xml:space="preserve">36.5.1.9  </w:t>
      </w:r>
      <w:r>
        <w:rPr>
          <w:rFonts w:hint="eastAsia"/>
          <w:kern w:val="10"/>
        </w:rPr>
        <w:t>评标委员会认定的其他串通投标情形。</w:t>
      </w:r>
    </w:p>
    <w:p w14:paraId="39761677">
      <w:pPr>
        <w:tabs>
          <w:tab w:val="clear" w:pos="426"/>
        </w:tabs>
      </w:pPr>
      <w:r>
        <w:rPr>
          <w:kern w:val="10"/>
        </w:rPr>
        <w:t xml:space="preserve">36.5.2 </w:t>
      </w:r>
      <w:r>
        <w:rPr>
          <w:rFonts w:hint="eastAsia"/>
        </w:rPr>
        <w:t>投标文件不满足招标文件规定的任何一项实质性要求的；</w:t>
      </w:r>
    </w:p>
    <w:p w14:paraId="1EED6B50">
      <w:pPr>
        <w:tabs>
          <w:tab w:val="clear" w:pos="426"/>
        </w:tabs>
      </w:pPr>
      <w:r>
        <w:rPr>
          <w:bCs/>
          <w:kern w:val="10"/>
        </w:rPr>
        <w:t xml:space="preserve">36.5.3 </w:t>
      </w:r>
      <w:r>
        <w:rPr>
          <w:rFonts w:hint="eastAsia"/>
        </w:rPr>
        <w:t>投标文件对招标文件规定的非实质性要求的偏离，超出允许偏离的最大范围或最高项数的；</w:t>
      </w:r>
    </w:p>
    <w:p w14:paraId="0473DEFC">
      <w:pPr>
        <w:tabs>
          <w:tab w:val="clear" w:pos="426"/>
        </w:tabs>
      </w:pPr>
      <w:r>
        <w:rPr>
          <w:kern w:val="10"/>
        </w:rPr>
        <w:t xml:space="preserve">36.5.4 </w:t>
      </w:r>
      <w:r>
        <w:rPr>
          <w:rFonts w:hint="eastAsia"/>
        </w:rPr>
        <w:t>评标委员会根据招标文件的规定对投标文件的投标价格进行调整，投标供应商不接受调整方式的，或不接受调整后的价格的；</w:t>
      </w:r>
    </w:p>
    <w:p w14:paraId="6B737925">
      <w:pPr>
        <w:tabs>
          <w:tab w:val="clear" w:pos="426"/>
        </w:tabs>
        <w:rPr>
          <w:kern w:val="10"/>
        </w:rPr>
      </w:pPr>
      <w:r>
        <w:rPr>
          <w:kern w:val="10"/>
        </w:rPr>
        <w:t xml:space="preserve">36.6  </w:t>
      </w:r>
      <w:r>
        <w:rPr>
          <w:rFonts w:hint="eastAsia"/>
          <w:kern w:val="10"/>
        </w:rPr>
        <w:t>细微偏离是指投标文件在实质上响应招标文件要求，但在个别地方存在漏项或者提供了不完整的技术信息和数据等情况，并且补正这些漏项或者不完整不会对其他投标供应商造成不公平的结果。细微偏离不影响投标文件的有效性。</w:t>
      </w:r>
    </w:p>
    <w:p w14:paraId="0057B640">
      <w:pPr>
        <w:tabs>
          <w:tab w:val="clear" w:pos="426"/>
        </w:tabs>
        <w:rPr>
          <w:kern w:val="10"/>
        </w:rPr>
      </w:pPr>
      <w:r>
        <w:rPr>
          <w:kern w:val="10"/>
        </w:rPr>
        <w:t xml:space="preserve">36.7 </w:t>
      </w:r>
      <w:r>
        <w:rPr>
          <w:rFonts w:hint="eastAsia"/>
          <w:kern w:val="10"/>
        </w:rPr>
        <w:t>评标委员会应书面要求存在细微偏离的投标供应商在评标结束前予以补正。拒不补正的，在详细评审时可以对细微偏离按照不利于该投标供应商的原则进行调整，且投标供应商不得因此提出任何异议。</w:t>
      </w:r>
    </w:p>
    <w:p w14:paraId="52B578F8">
      <w:pPr>
        <w:tabs>
          <w:tab w:val="clear" w:pos="426"/>
        </w:tabs>
      </w:pPr>
      <w:r>
        <w:t>37.</w:t>
      </w:r>
      <w:r>
        <w:rPr>
          <w:rFonts w:hint="eastAsia"/>
        </w:rPr>
        <w:t>实地考察、演示或设备测试</w:t>
      </w:r>
    </w:p>
    <w:p w14:paraId="6F57057B">
      <w:pPr>
        <w:tabs>
          <w:tab w:val="clear" w:pos="426"/>
        </w:tabs>
      </w:pPr>
      <w:r>
        <w:t>37.1</w:t>
      </w:r>
      <w:r>
        <w:rPr>
          <w:rFonts w:hint="eastAsia"/>
        </w:rPr>
        <w:t>在招标过程中，评标委员会有权决定是否对本项目投标供应商进行现场勘察或实地考察或检验有关证明材料的原件。投标供应商应随时做好接受检查的准备。</w:t>
      </w:r>
    </w:p>
    <w:p w14:paraId="5914C04B">
      <w:pPr>
        <w:tabs>
          <w:tab w:val="clear" w:pos="426"/>
        </w:tabs>
      </w:pPr>
      <w:r>
        <w:t>37.2</w:t>
      </w:r>
      <w:r>
        <w:rPr>
          <w:rFonts w:hint="eastAsia"/>
        </w:rPr>
        <w:t>若招标文件要求进行现场演示或设备测试的，投标供应商应做好相应准备。</w:t>
      </w:r>
    </w:p>
    <w:p w14:paraId="29A59676">
      <w:pPr>
        <w:tabs>
          <w:tab w:val="clear" w:pos="426"/>
        </w:tabs>
      </w:pPr>
      <w:r>
        <w:t>38</w:t>
      </w:r>
      <w:r>
        <w:rPr>
          <w:rFonts w:hint="eastAsia"/>
        </w:rPr>
        <w:t>．评标方法</w:t>
      </w:r>
    </w:p>
    <w:p w14:paraId="5AF38B28">
      <w:pPr>
        <w:tabs>
          <w:tab w:val="clear" w:pos="426"/>
        </w:tabs>
        <w:rPr>
          <w:szCs w:val="21"/>
        </w:rPr>
      </w:pPr>
      <w:r>
        <w:rPr>
          <w:szCs w:val="21"/>
        </w:rPr>
        <w:t>38.1</w:t>
      </w:r>
      <w:r>
        <w:rPr>
          <w:rFonts w:hint="eastAsia"/>
        </w:rPr>
        <w:t>根据有关要求，</w:t>
      </w:r>
      <w:r>
        <w:rPr>
          <w:rFonts w:hint="eastAsia"/>
          <w:szCs w:val="21"/>
        </w:rPr>
        <w:t>项目评标方法根据是否是评定分离项目进行选择。</w:t>
      </w:r>
    </w:p>
    <w:p w14:paraId="60B07676">
      <w:pPr>
        <w:tabs>
          <w:tab w:val="clear" w:pos="426"/>
        </w:tabs>
      </w:pPr>
      <w:r>
        <w:t>38.2</w:t>
      </w:r>
      <w:r>
        <w:rPr>
          <w:rFonts w:hint="eastAsia"/>
        </w:rPr>
        <w:t>非评定分离项目</w:t>
      </w:r>
    </w:p>
    <w:p w14:paraId="10B7AEF1">
      <w:pPr>
        <w:tabs>
          <w:tab w:val="clear" w:pos="426"/>
        </w:tabs>
      </w:pPr>
      <w:r>
        <w:rPr>
          <w:rFonts w:hint="eastAsia"/>
        </w:rPr>
        <w:t>非评定分离项目评分方法为最低评标价法、综合评标法、性价比法及法律、法规允许的其它评标办法。</w:t>
      </w:r>
    </w:p>
    <w:p w14:paraId="1F34A8E7">
      <w:pPr>
        <w:tabs>
          <w:tab w:val="clear" w:pos="426"/>
        </w:tabs>
        <w:rPr>
          <w:b/>
        </w:rPr>
      </w:pPr>
      <w:r>
        <w:t>38.2.1</w:t>
      </w:r>
      <w:r>
        <w:rPr>
          <w:rFonts w:hint="eastAsia"/>
        </w:rPr>
        <w:t>最低评标价法</w:t>
      </w:r>
    </w:p>
    <w:p w14:paraId="7C993E8E">
      <w:pPr>
        <w:tabs>
          <w:tab w:val="clear" w:pos="426"/>
        </w:tabs>
      </w:pPr>
      <w:r>
        <w:rPr>
          <w:rFonts w:hint="eastAsia"/>
        </w:rPr>
        <w:t>最低价法是指以价格因素确定中标候选供应商的评标方法，即在满足招标文件实质性要求前提下，以报价最低的投标供应商作为中标候选供应商或中标供应商的评标方法；</w:t>
      </w:r>
    </w:p>
    <w:p w14:paraId="3CB98DB1">
      <w:pPr>
        <w:tabs>
          <w:tab w:val="clear" w:pos="426"/>
        </w:tabs>
        <w:rPr>
          <w:b/>
        </w:rPr>
      </w:pPr>
      <w:r>
        <w:t>38.2.2</w:t>
      </w:r>
      <w:r>
        <w:rPr>
          <w:rFonts w:hint="eastAsia"/>
        </w:rPr>
        <w:t>综合评分法</w:t>
      </w:r>
    </w:p>
    <w:p w14:paraId="0884E42E">
      <w:pPr>
        <w:tabs>
          <w:tab w:val="clear" w:pos="426"/>
        </w:tabs>
      </w:pPr>
      <w:r>
        <w:rPr>
          <w:rFonts w:hint="eastAsia"/>
        </w:rPr>
        <w:t>综合评分法是指在最大限度地满足招标文件实质性要求前提下，按照招标文件中规定的各项因素进行量化打分，每个投标供应商的总得分确定，以评标总得分最高的投标供应商作为中标候选供应商或中标供应商的评标方法。</w:t>
      </w:r>
    </w:p>
    <w:p w14:paraId="4444B9C6">
      <w:pPr>
        <w:tabs>
          <w:tab w:val="clear" w:pos="426"/>
        </w:tabs>
        <w:rPr>
          <w:b/>
          <w:bCs/>
        </w:rPr>
      </w:pPr>
      <w:r>
        <w:t>38.2.3</w:t>
      </w:r>
      <w:r>
        <w:rPr>
          <w:rFonts w:hint="eastAsia"/>
          <w:bCs/>
        </w:rPr>
        <w:t>性价比法</w:t>
      </w:r>
    </w:p>
    <w:p w14:paraId="00C152A4">
      <w:pPr>
        <w:tabs>
          <w:tab w:val="clear" w:pos="426"/>
        </w:tabs>
      </w:pPr>
      <w:r>
        <w:rPr>
          <w:rFonts w:hint="eastAsia"/>
        </w:rPr>
        <w:t>性价比法是指除价格因素外，经对投标文件进行评审，计算出评分因素的总分，除以投标报价，以商数最高的投标供应商作为中标候选供应商或中标供应商的评标方法。</w:t>
      </w:r>
    </w:p>
    <w:p w14:paraId="1F97220F">
      <w:pPr>
        <w:tabs>
          <w:tab w:val="clear" w:pos="426"/>
        </w:tabs>
      </w:pPr>
      <w:r>
        <w:t>38.3</w:t>
      </w:r>
      <w:r>
        <w:rPr>
          <w:rFonts w:hint="eastAsia"/>
        </w:rPr>
        <w:t>评定分离项目</w:t>
      </w:r>
    </w:p>
    <w:p w14:paraId="0338B60C">
      <w:pPr>
        <w:tabs>
          <w:tab w:val="clear" w:pos="426"/>
        </w:tabs>
      </w:pPr>
      <w:r>
        <w:rPr>
          <w:rFonts w:hint="eastAsia"/>
        </w:rPr>
        <w:t>评定分离项目，评审委员会应当按照综合评分法、定性评审法、最低价法或者法律、法规及规章规定的其他评审方法对投标文件进行评审。</w:t>
      </w:r>
    </w:p>
    <w:p w14:paraId="37A89EF5">
      <w:pPr>
        <w:tabs>
          <w:tab w:val="clear" w:pos="426"/>
        </w:tabs>
        <w:rPr>
          <w:b/>
        </w:rPr>
      </w:pPr>
      <w:r>
        <w:t>38.3.1</w:t>
      </w:r>
      <w:r>
        <w:rPr>
          <w:rFonts w:hint="eastAsia"/>
        </w:rPr>
        <w:t>综合评分法</w:t>
      </w:r>
    </w:p>
    <w:p w14:paraId="6A907069">
      <w:pPr>
        <w:tabs>
          <w:tab w:val="clear" w:pos="426"/>
        </w:tabs>
      </w:pPr>
      <w:r>
        <w:rPr>
          <w:rFonts w:hint="eastAsia"/>
        </w:rPr>
        <w:t>综合评分法是指在最大限度满足招标文件实质性要求的前提下，按照招标文件中规定的各项因素进行综合评审，评审总得分排名前列的投标供应商，作为推荐的候选中标供应商。</w:t>
      </w:r>
    </w:p>
    <w:p w14:paraId="1B63644B">
      <w:pPr>
        <w:tabs>
          <w:tab w:val="clear" w:pos="426"/>
        </w:tabs>
        <w:rPr>
          <w:sz w:val="18"/>
          <w:szCs w:val="18"/>
          <w:shd w:val="clear" w:color="auto" w:fill="FFFFFF"/>
        </w:rPr>
      </w:pPr>
      <w:r>
        <w:t>38.3.2</w:t>
      </w:r>
      <w:r>
        <w:rPr>
          <w:rFonts w:hint="eastAsia"/>
          <w:bCs/>
        </w:rPr>
        <w:t>定性评审法</w:t>
      </w:r>
    </w:p>
    <w:p w14:paraId="20A07352">
      <w:pPr>
        <w:tabs>
          <w:tab w:val="clear" w:pos="426"/>
        </w:tabs>
      </w:pPr>
      <w:r>
        <w:rPr>
          <w:rFonts w:hint="eastAsia"/>
        </w:rPr>
        <w:t>定性评审法是指按照招标文件规定的各项因素进行技术商务性评审，对各投标文件是否满足招标文件实质性要求提出评审意见，并形成评审报告。评审报告的内容主要包括：对各投标文件是否合格提出意见，指出各投标文件中的优点和存在的缺陷，签订合同前应注意和澄清的事项等。所有递交的投标文件未被判定为废标或者无效标的投标供应商，均推荐为候选中标供应商。</w:t>
      </w:r>
    </w:p>
    <w:p w14:paraId="724F6053">
      <w:pPr>
        <w:tabs>
          <w:tab w:val="clear" w:pos="426"/>
        </w:tabs>
      </w:pPr>
      <w:r>
        <w:t>38.3.3</w:t>
      </w:r>
      <w:r>
        <w:rPr>
          <w:rFonts w:hint="eastAsia"/>
        </w:rPr>
        <w:t>最低价法</w:t>
      </w:r>
    </w:p>
    <w:p w14:paraId="68C11337">
      <w:pPr>
        <w:tabs>
          <w:tab w:val="clear" w:pos="426"/>
        </w:tabs>
      </w:pPr>
      <w:r>
        <w:rPr>
          <w:rFonts w:hint="eastAsia"/>
        </w:rPr>
        <w:t>最低价法是指以价格为主要因素确定候选中标供应商的评审方法。</w:t>
      </w:r>
    </w:p>
    <w:p w14:paraId="312026FB">
      <w:pPr>
        <w:tabs>
          <w:tab w:val="clear" w:pos="426"/>
        </w:tabs>
      </w:pPr>
      <w:r>
        <w:t>38.4</w:t>
      </w:r>
      <w:r>
        <w:rPr>
          <w:rFonts w:hint="eastAsia"/>
        </w:rPr>
        <w:t>本项目采用的评标方法见本项目招标文件专用条款的相关内容。</w:t>
      </w:r>
    </w:p>
    <w:p w14:paraId="04914745">
      <w:pPr>
        <w:pStyle w:val="5"/>
        <w:numPr>
          <w:ilvl w:val="3"/>
          <w:numId w:val="0"/>
        </w:numPr>
        <w:tabs>
          <w:tab w:val="clear" w:pos="1680"/>
        </w:tabs>
      </w:pPr>
      <w:bookmarkStart w:id="164" w:name="_Toc14427260"/>
      <w:bookmarkStart w:id="165" w:name="_Toc530152528"/>
      <w:bookmarkStart w:id="166" w:name="_Toc529280587"/>
      <w:bookmarkStart w:id="167" w:name="_Toc152759244"/>
      <w:r>
        <w:rPr>
          <w:rFonts w:hint="eastAsia"/>
        </w:rPr>
        <w:t>第七章定标及公示</w:t>
      </w:r>
      <w:bookmarkEnd w:id="164"/>
      <w:bookmarkEnd w:id="165"/>
      <w:bookmarkEnd w:id="166"/>
      <w:bookmarkEnd w:id="167"/>
    </w:p>
    <w:p w14:paraId="2C2BD542">
      <w:pPr>
        <w:tabs>
          <w:tab w:val="clear" w:pos="426"/>
        </w:tabs>
      </w:pPr>
      <w:r>
        <w:t>39</w:t>
      </w:r>
      <w:r>
        <w:rPr>
          <w:rFonts w:hint="eastAsia"/>
        </w:rPr>
        <w:t>．定标方法</w:t>
      </w:r>
    </w:p>
    <w:p w14:paraId="19E3B09C">
      <w:pPr>
        <w:tabs>
          <w:tab w:val="clear" w:pos="426"/>
        </w:tabs>
      </w:pPr>
      <w:r>
        <w:t>39.1</w:t>
      </w:r>
      <w:r>
        <w:rPr>
          <w:rFonts w:hint="eastAsia"/>
        </w:rPr>
        <w:t>项目定标方法根据是否是评定分离项目进行选择。</w:t>
      </w:r>
    </w:p>
    <w:p w14:paraId="3A2C34AB">
      <w:pPr>
        <w:tabs>
          <w:tab w:val="clear" w:pos="426"/>
        </w:tabs>
      </w:pPr>
      <w:r>
        <w:t>39.2</w:t>
      </w:r>
      <w:r>
        <w:rPr>
          <w:rFonts w:hint="eastAsia"/>
        </w:rPr>
        <w:t>非评定分离项目</w:t>
      </w:r>
    </w:p>
    <w:p w14:paraId="09EEE824">
      <w:pPr>
        <w:tabs>
          <w:tab w:val="clear" w:pos="426"/>
        </w:tabs>
      </w:pPr>
      <w:r>
        <w:rPr>
          <w:rFonts w:hint="eastAsia"/>
        </w:rPr>
        <w:t>评标委员会依据本项目招标文件所约定的评标方法进行评审和比较，向采购代理机构提交书面评标报告，并根据评标方法比较评价结果从优到劣进行排序，并推荐中标候选人或确定中标供应商；</w:t>
      </w:r>
    </w:p>
    <w:p w14:paraId="3981F9F7">
      <w:pPr>
        <w:tabs>
          <w:tab w:val="clear" w:pos="426"/>
        </w:tabs>
      </w:pPr>
      <w:r>
        <w:t>39.2.1</w:t>
      </w:r>
      <w:r>
        <w:rPr>
          <w:rFonts w:hint="eastAsia"/>
        </w:rPr>
        <w:t>采用最低评标价法的，按投标报价由低到高顺序排列，投标报价相同的，按技术指标优劣顺序排列。评标委员会认为，排在前面的供应商的最低投标报价或者某些分项报价明显不合理或者低于成本，有可能影响商品质量和不能诚信履约的，应当要求其在规定的期限内提供书面文件予以解释说明，并提交相关证明材料；否则，评标委员会可以取消该投标供应商的中标资格，按顺序由排在后面的供应商递补，以此类推。对是否满足实质性要求或报价是否合理或是否低于成本，评委会意见不一致时，按少数服从多数原则作出决定。</w:t>
      </w:r>
    </w:p>
    <w:p w14:paraId="503AD92B">
      <w:pPr>
        <w:tabs>
          <w:tab w:val="clear" w:pos="426"/>
        </w:tabs>
      </w:pPr>
      <w:r>
        <w:t>39.2.2</w:t>
      </w:r>
      <w:r>
        <w:rPr>
          <w:rFonts w:hint="eastAsia"/>
        </w:rPr>
        <w:t>采用综合评分法的，按评审后得分由高到低顺序排列。得分相同的，按投标报价由低到高顺序排列。得分且投标报价相同的，按技术指标优劣顺序排列。</w:t>
      </w:r>
    </w:p>
    <w:p w14:paraId="1D532286">
      <w:pPr>
        <w:tabs>
          <w:tab w:val="clear" w:pos="426"/>
        </w:tabs>
      </w:pPr>
      <w:r>
        <w:t>39.2.3</w:t>
      </w:r>
      <w:r>
        <w:rPr>
          <w:rFonts w:hint="eastAsia"/>
        </w:rPr>
        <w:t>采用性价比法的，按商数得分由高到低顺序排列。商数得分相同的，按投标报价由低到高顺序排列。商数得分且投标报价相同的，按技术指标优劣顺序排列。</w:t>
      </w:r>
    </w:p>
    <w:p w14:paraId="14D9426E">
      <w:pPr>
        <w:tabs>
          <w:tab w:val="clear" w:pos="426"/>
        </w:tabs>
      </w:pPr>
      <w:r>
        <w:t>39.3</w:t>
      </w:r>
      <w:r>
        <w:rPr>
          <w:rFonts w:hint="eastAsia"/>
        </w:rPr>
        <w:t>评定分离项目</w:t>
      </w:r>
    </w:p>
    <w:p w14:paraId="41CACE76">
      <w:pPr>
        <w:tabs>
          <w:tab w:val="clear" w:pos="426"/>
        </w:tabs>
      </w:pPr>
      <w:r>
        <w:rPr>
          <w:rFonts w:hint="eastAsia"/>
        </w:rPr>
        <w:t>适用评定分离的采购项目，采购人应当根据不同的项目选用自定法、抽签法、竞价法或者法律、法规及规章规定的其他定标方法确定中标供应商。</w:t>
      </w:r>
    </w:p>
    <w:p w14:paraId="7F92D362">
      <w:pPr>
        <w:tabs>
          <w:tab w:val="clear" w:pos="426"/>
        </w:tabs>
      </w:pPr>
      <w:r>
        <w:t>39.3.1</w:t>
      </w:r>
      <w:r>
        <w:rPr>
          <w:rFonts w:hint="eastAsia"/>
        </w:rPr>
        <w:t>自定法是指采购人组织定标委员会，由定标委员会在候选中标供应商中确定中标供应商。</w:t>
      </w:r>
    </w:p>
    <w:p w14:paraId="455B3A4E">
      <w:pPr>
        <w:tabs>
          <w:tab w:val="clear" w:pos="426"/>
        </w:tabs>
      </w:pPr>
      <w:r>
        <w:t>39.3.2</w:t>
      </w:r>
      <w:r>
        <w:rPr>
          <w:rFonts w:hint="eastAsia"/>
        </w:rPr>
        <w:t> 抽签法是指候选中标供应商产生后，由采购人委托招标机构按照随机抽签的方式在候选中标供应商中确定中标供应商。 </w:t>
      </w:r>
    </w:p>
    <w:p w14:paraId="44F027B8">
      <w:pPr>
        <w:tabs>
          <w:tab w:val="clear" w:pos="426"/>
        </w:tabs>
      </w:pPr>
      <w:r>
        <w:t>39.3.3</w:t>
      </w:r>
      <w:r>
        <w:rPr>
          <w:rFonts w:hint="eastAsia"/>
        </w:rPr>
        <w:t>竞价法是指候选中标供应商产生后，由采购人委托招标机构组织候选中标供应商进行二次竞价，最终报价最低的为中标供应商</w:t>
      </w:r>
    </w:p>
    <w:p w14:paraId="5492ACCE">
      <w:pPr>
        <w:tabs>
          <w:tab w:val="clear" w:pos="426"/>
        </w:tabs>
      </w:pPr>
      <w:r>
        <w:t>39.4</w:t>
      </w:r>
      <w:r>
        <w:rPr>
          <w:rFonts w:hint="eastAsia"/>
        </w:rPr>
        <w:t>本项目采用的定标方法见本项目招标文件专用条款的相关内容。</w:t>
      </w:r>
    </w:p>
    <w:p w14:paraId="4D1635D4">
      <w:pPr>
        <w:tabs>
          <w:tab w:val="clear" w:pos="426"/>
        </w:tabs>
      </w:pPr>
      <w:r>
        <w:t>40</w:t>
      </w:r>
      <w:r>
        <w:rPr>
          <w:rFonts w:hint="eastAsia"/>
        </w:rPr>
        <w:t>．编写评标报告</w:t>
      </w:r>
    </w:p>
    <w:p w14:paraId="1C0B1F7E">
      <w:pPr>
        <w:tabs>
          <w:tab w:val="clear" w:pos="426"/>
        </w:tabs>
      </w:pPr>
      <w:r>
        <w:rPr>
          <w:rFonts w:hint="eastAsia"/>
        </w:rPr>
        <w:t>评标报告是评标委员会根据全体评标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评标委员会应当对此作出书面说明并记录在案。</w:t>
      </w:r>
    </w:p>
    <w:p w14:paraId="4818DBB2">
      <w:pPr>
        <w:tabs>
          <w:tab w:val="clear" w:pos="426"/>
        </w:tabs>
      </w:pPr>
      <w:r>
        <w:t>41</w:t>
      </w:r>
      <w:r>
        <w:rPr>
          <w:rFonts w:hint="eastAsia"/>
        </w:rPr>
        <w:t>．中标公告</w:t>
      </w:r>
    </w:p>
    <w:p w14:paraId="386644B5">
      <w:pPr>
        <w:tabs>
          <w:tab w:val="clear" w:pos="426"/>
        </w:tabs>
        <w:rPr>
          <w:b/>
          <w:bCs/>
        </w:rPr>
      </w:pPr>
      <w:r>
        <w:rPr>
          <w:b/>
          <w:bCs/>
        </w:rPr>
        <w:t>41.1</w:t>
      </w:r>
      <w:r>
        <w:rPr>
          <w:rFonts w:hint="eastAsia"/>
          <w:b/>
          <w:bCs/>
        </w:rPr>
        <w:t>为体现“公开、公平、公正”的原则，评标结束后，将在中国政府采购网（</w:t>
      </w:r>
      <w:r>
        <w:rPr>
          <w:b/>
          <w:bCs/>
        </w:rPr>
        <w:t>http://www.ccgp.gov.cn</w:t>
      </w:r>
      <w:r>
        <w:rPr>
          <w:rFonts w:hint="eastAsia"/>
          <w:b/>
          <w:bCs/>
        </w:rPr>
        <w:t>）、采购代理机构官网：（</w:t>
      </w:r>
      <w:r>
        <w:rPr>
          <w:b/>
          <w:bCs/>
        </w:rPr>
        <w:t>http://www.szsszx.com/</w:t>
      </w:r>
      <w:r>
        <w:rPr>
          <w:rFonts w:hint="eastAsia"/>
          <w:b/>
          <w:bCs/>
        </w:rPr>
        <w:t>）上发布中标结果公告，公示期为</w:t>
      </w:r>
      <w:r>
        <w:rPr>
          <w:b/>
          <w:bCs/>
        </w:rPr>
        <w:t>1</w:t>
      </w:r>
      <w:r>
        <w:rPr>
          <w:rFonts w:hint="eastAsia"/>
          <w:b/>
          <w:bCs/>
        </w:rPr>
        <w:t>个工作日。供应商如对评标结果有异议，请于公示期内，以书面的形式向我公司反映。若在公示期内未提出异议，则视为认同该评标结果。</w:t>
      </w:r>
    </w:p>
    <w:p w14:paraId="1ACF2039">
      <w:pPr>
        <w:tabs>
          <w:tab w:val="clear" w:pos="426"/>
        </w:tabs>
      </w:pPr>
      <w:r>
        <w:t>41.2</w:t>
      </w:r>
      <w:r>
        <w:rPr>
          <w:rFonts w:hint="eastAsia"/>
        </w:rPr>
        <w:t>质疑投诉人应保证质疑投诉内容的真实性和可靠性，并承担相应的法律责任。</w:t>
      </w:r>
    </w:p>
    <w:p w14:paraId="383EC862">
      <w:pPr>
        <w:tabs>
          <w:tab w:val="clear" w:pos="426"/>
        </w:tabs>
      </w:pPr>
      <w:r>
        <w:t>42</w:t>
      </w:r>
      <w:r>
        <w:rPr>
          <w:rFonts w:hint="eastAsia"/>
        </w:rPr>
        <w:t>．中标通知书</w:t>
      </w:r>
    </w:p>
    <w:p w14:paraId="55626FD1">
      <w:pPr>
        <w:tabs>
          <w:tab w:val="clear" w:pos="426"/>
        </w:tabs>
      </w:pPr>
      <w:r>
        <w:t>42.1</w:t>
      </w:r>
      <w:r>
        <w:rPr>
          <w:rFonts w:hint="eastAsia"/>
        </w:rPr>
        <w:t>中标公告公布后</w:t>
      </w:r>
      <w:r>
        <w:t>,</w:t>
      </w:r>
      <w:r>
        <w:rPr>
          <w:rFonts w:hint="eastAsia"/>
        </w:rPr>
        <w:t>公示期内无人投诉</w:t>
      </w:r>
      <w:r>
        <w:t>,</w:t>
      </w:r>
      <w:r>
        <w:rPr>
          <w:rFonts w:hint="eastAsia"/>
        </w:rPr>
        <w:t>请中标供应商凭单位证明及本人身份证到采购代理机构领取《中标通知书》。</w:t>
      </w:r>
    </w:p>
    <w:p w14:paraId="35A2CBDC">
      <w:pPr>
        <w:tabs>
          <w:tab w:val="clear" w:pos="426"/>
        </w:tabs>
      </w:pPr>
      <w:r>
        <w:t>42.2</w:t>
      </w:r>
      <w:r>
        <w:rPr>
          <w:rFonts w:hint="eastAsia"/>
        </w:rPr>
        <w:t>中标通知书是合同的重要组成部分。</w:t>
      </w:r>
    </w:p>
    <w:p w14:paraId="3C2C1858">
      <w:pPr>
        <w:tabs>
          <w:tab w:val="clear" w:pos="426"/>
        </w:tabs>
      </w:pPr>
      <w:r>
        <w:t>42.3</w:t>
      </w:r>
      <w:r>
        <w:rPr>
          <w:rFonts w:hint="eastAsia"/>
        </w:rPr>
        <w:t>因质疑投诉或其它原因导致项目结果变更或采购终止的，我公司有权收回中标通知书或终止采购合同。</w:t>
      </w:r>
    </w:p>
    <w:p w14:paraId="0433ABDA">
      <w:pPr>
        <w:pStyle w:val="5"/>
        <w:numPr>
          <w:ilvl w:val="3"/>
          <w:numId w:val="0"/>
        </w:numPr>
        <w:tabs>
          <w:tab w:val="clear" w:pos="1680"/>
        </w:tabs>
      </w:pPr>
      <w:bookmarkStart w:id="168" w:name="_Toc152759245"/>
      <w:bookmarkStart w:id="169" w:name="_Toc529280588"/>
      <w:bookmarkStart w:id="170" w:name="_Toc530152529"/>
      <w:bookmarkStart w:id="171" w:name="_Toc14427261"/>
      <w:r>
        <w:rPr>
          <w:rFonts w:hint="eastAsia"/>
        </w:rPr>
        <w:t>第八章公开招标失败的后续处理</w:t>
      </w:r>
      <w:bookmarkEnd w:id="168"/>
      <w:bookmarkEnd w:id="169"/>
      <w:bookmarkEnd w:id="170"/>
      <w:bookmarkEnd w:id="171"/>
    </w:p>
    <w:p w14:paraId="4EB8FB82">
      <w:pPr>
        <w:tabs>
          <w:tab w:val="clear" w:pos="426"/>
        </w:tabs>
      </w:pPr>
      <w:r>
        <w:t>43</w:t>
      </w:r>
      <w:r>
        <w:rPr>
          <w:rFonts w:hint="eastAsia"/>
        </w:rPr>
        <w:t>．公开招标失败的处理</w:t>
      </w:r>
    </w:p>
    <w:p w14:paraId="3BC23D23">
      <w:pPr>
        <w:tabs>
          <w:tab w:val="clear" w:pos="426"/>
        </w:tabs>
      </w:pPr>
      <w:r>
        <w:rPr>
          <w:szCs w:val="21"/>
        </w:rPr>
        <w:t>43.1</w:t>
      </w:r>
      <w:r>
        <w:rPr>
          <w:rFonts w:hint="eastAsia"/>
          <w:szCs w:val="21"/>
        </w:rPr>
        <w:t>本项目公开招标过程中若由于投标截止后</w:t>
      </w:r>
      <w:r>
        <w:rPr>
          <w:rFonts w:hint="eastAsia"/>
        </w:rPr>
        <w:t>实际递交投标文件的供应商数量不足、经评标委员会评审对招标文件作实质响应的供应商不足等原因造成公开招标失败，可由采购代理机构重新组织采购。</w:t>
      </w:r>
    </w:p>
    <w:p w14:paraId="20B7B0A7">
      <w:pPr>
        <w:tabs>
          <w:tab w:val="clear" w:pos="426"/>
        </w:tabs>
      </w:pPr>
      <w:r>
        <w:t>43.2</w:t>
      </w:r>
      <w:r>
        <w:rPr>
          <w:rFonts w:hint="eastAsia"/>
        </w:rPr>
        <w:t>对公开招标失败的项目，评标委员会在出具该项目招标失败结论的同时，提出重新采购组织形式的建议，以及进一步完善招标文件的资格、技术、商务要求的修改建议。</w:t>
      </w:r>
    </w:p>
    <w:p w14:paraId="621D613C">
      <w:pPr>
        <w:tabs>
          <w:tab w:val="clear" w:pos="426"/>
        </w:tabs>
      </w:pPr>
      <w:r>
        <w:t>43.3</w:t>
      </w:r>
      <w:r>
        <w:rPr>
          <w:rFonts w:hint="eastAsia"/>
        </w:rPr>
        <w:t>重新组织采购有以下两种组织形式：</w:t>
      </w:r>
    </w:p>
    <w:p w14:paraId="10701C6A">
      <w:pPr>
        <w:tabs>
          <w:tab w:val="clear" w:pos="426"/>
        </w:tabs>
      </w:pPr>
      <w:r>
        <w:rPr>
          <w:rFonts w:hint="eastAsia"/>
        </w:rPr>
        <w:t>（</w:t>
      </w:r>
      <w:r>
        <w:t>1</w:t>
      </w:r>
      <w:r>
        <w:rPr>
          <w:rFonts w:hint="eastAsia"/>
        </w:rPr>
        <w:t>）由采购代理机构重新组织公开招标；</w:t>
      </w:r>
    </w:p>
    <w:p w14:paraId="59002D8E">
      <w:pPr>
        <w:tabs>
          <w:tab w:val="clear" w:pos="426"/>
        </w:tabs>
      </w:pPr>
      <w:r>
        <w:rPr>
          <w:rFonts w:hint="eastAsia"/>
        </w:rPr>
        <w:t>（</w:t>
      </w:r>
      <w:r>
        <w:t>2</w:t>
      </w:r>
      <w:r>
        <w:rPr>
          <w:rFonts w:hint="eastAsia"/>
        </w:rPr>
        <w:t>）根据实际情况需要向相关监督管理部门提出非公开采购人式申请，经相关监督管理部门批准公开招标失败采购项目可转为竞争性谈判或单一来源谈判方式采购。</w:t>
      </w:r>
    </w:p>
    <w:p w14:paraId="4638979E">
      <w:pPr>
        <w:tabs>
          <w:tab w:val="clear" w:pos="426"/>
        </w:tabs>
      </w:pPr>
      <w:r>
        <w:t>43.4</w:t>
      </w:r>
      <w:r>
        <w:rPr>
          <w:rFonts w:hint="eastAsia"/>
        </w:rPr>
        <w:t>公开招标失败的采购项目重新组织公开招标，采购代理机构要重新按公开招标流程发布招标公告和招标文件、组成评标委员会等组织采购活动。</w:t>
      </w:r>
    </w:p>
    <w:p w14:paraId="76996126">
      <w:pPr>
        <w:tabs>
          <w:tab w:val="clear" w:pos="426"/>
        </w:tabs>
      </w:pPr>
      <w:r>
        <w:t>43.5</w:t>
      </w:r>
      <w:r>
        <w:rPr>
          <w:rFonts w:hint="eastAsia"/>
        </w:rPr>
        <w:t>公开招标失败的采购项目经相关监督管理部门批准转为竞争性谈判或单一来源谈判方式采购的，可不另行制作谈判文件，采购代理机构可就原招标文件中资格、技术及评标方法等变动情况向拟谈判对象发出谈判邀请。谈判邀请文件与原招标文件具同等效力，变动部分以谈判邀请文件为准。转为竞争性谈判或单一来源谈判方式采购的，供应商的原投标文件转为谈判应答文件。</w:t>
      </w:r>
    </w:p>
    <w:p w14:paraId="4CD38ABC">
      <w:pPr>
        <w:tabs>
          <w:tab w:val="clear" w:pos="426"/>
        </w:tabs>
      </w:pPr>
      <w:r>
        <w:t>44</w:t>
      </w:r>
      <w:r>
        <w:rPr>
          <w:rFonts w:hint="eastAsia"/>
        </w:rPr>
        <w:t>．公开招标失败项目转为竞争性谈判方式采购的</w:t>
      </w:r>
    </w:p>
    <w:p w14:paraId="702450A3">
      <w:pPr>
        <w:tabs>
          <w:tab w:val="clear" w:pos="426"/>
        </w:tabs>
      </w:pPr>
      <w:r>
        <w:t>44.1</w:t>
      </w:r>
      <w:r>
        <w:rPr>
          <w:rFonts w:hint="eastAsia"/>
        </w:rPr>
        <w:t>谈判文件</w:t>
      </w:r>
    </w:p>
    <w:p w14:paraId="5AD506F1">
      <w:pPr>
        <w:tabs>
          <w:tab w:val="clear" w:pos="426"/>
        </w:tabs>
      </w:pPr>
      <w:r>
        <w:t>44.1.1</w:t>
      </w:r>
      <w:r>
        <w:rPr>
          <w:rFonts w:hint="eastAsia"/>
        </w:rPr>
        <w:t>公开招标失败项目转为竞争性谈判方式采购的，原招标文件转为谈判文件。</w:t>
      </w:r>
    </w:p>
    <w:p w14:paraId="7701DEC4">
      <w:pPr>
        <w:tabs>
          <w:tab w:val="clear" w:pos="426"/>
        </w:tabs>
      </w:pPr>
      <w:r>
        <w:t>44.2</w:t>
      </w:r>
      <w:r>
        <w:rPr>
          <w:rFonts w:hint="eastAsia"/>
        </w:rPr>
        <w:t>谈判小组</w:t>
      </w:r>
    </w:p>
    <w:p w14:paraId="3C359C6C">
      <w:pPr>
        <w:tabs>
          <w:tab w:val="clear" w:pos="426"/>
        </w:tabs>
      </w:pPr>
      <w:r>
        <w:t>44.2.1</w:t>
      </w:r>
      <w:r>
        <w:rPr>
          <w:rFonts w:hint="eastAsia"/>
        </w:rPr>
        <w:t>公开招标失败项目转为竞争性谈判方式采购后，评标委员会转为谈判小组；专家可重新抽取也可继续采用评标委员会内专家。</w:t>
      </w:r>
    </w:p>
    <w:p w14:paraId="6CFE9A0D">
      <w:pPr>
        <w:tabs>
          <w:tab w:val="clear" w:pos="426"/>
        </w:tabs>
      </w:pPr>
      <w:r>
        <w:rPr>
          <w:szCs w:val="21"/>
        </w:rPr>
        <w:t>44.2.2</w:t>
      </w:r>
      <w:r>
        <w:rPr>
          <w:rFonts w:hint="eastAsia"/>
        </w:rPr>
        <w:t>谈判前，谈判小组将对各供应商的谈判应答文件进行审查，</w:t>
      </w:r>
      <w:r>
        <w:rPr>
          <w:rFonts w:hint="eastAsia"/>
          <w:bCs/>
        </w:rPr>
        <w:t>当谈判应答文件出现下列情况之一的将视为无效，按无效标或废标处理，不得进入谈判，</w:t>
      </w:r>
      <w:r>
        <w:rPr>
          <w:rFonts w:hint="eastAsia"/>
        </w:rPr>
        <w:t>具体内容见原招标文件中“资格、符合性评审</w:t>
      </w:r>
      <w:r>
        <w:rPr>
          <w:rFonts w:hint="eastAsia"/>
          <w:bCs/>
        </w:rPr>
        <w:t>”</w:t>
      </w:r>
      <w:r>
        <w:rPr>
          <w:rFonts w:hint="eastAsia"/>
        </w:rPr>
        <w:t>部分以及谈判邀请中相应的变动部分。</w:t>
      </w:r>
    </w:p>
    <w:p w14:paraId="1316D2C8">
      <w:pPr>
        <w:tabs>
          <w:tab w:val="clear" w:pos="426"/>
        </w:tabs>
      </w:pPr>
      <w:r>
        <w:t>44.3</w:t>
      </w:r>
      <w:r>
        <w:rPr>
          <w:rFonts w:hint="eastAsia"/>
        </w:rPr>
        <w:t>谈判程序</w:t>
      </w:r>
    </w:p>
    <w:p w14:paraId="7A3760B6">
      <w:pPr>
        <w:tabs>
          <w:tab w:val="clear" w:pos="426"/>
        </w:tabs>
      </w:pPr>
      <w:r>
        <w:t>44.3.1</w:t>
      </w:r>
      <w:r>
        <w:rPr>
          <w:rFonts w:hint="eastAsia"/>
        </w:rPr>
        <w:t>参加谈判的供应商和谈判小组成员填写谈判登记表，并交验证明文件（法定代表人证明书、法人授权委托书、被授权的谈判代表身份证原件）。</w:t>
      </w:r>
    </w:p>
    <w:p w14:paraId="2514319F">
      <w:pPr>
        <w:tabs>
          <w:tab w:val="clear" w:pos="426"/>
        </w:tabs>
      </w:pPr>
      <w:r>
        <w:t>44.3.2</w:t>
      </w:r>
      <w:r>
        <w:rPr>
          <w:rFonts w:hint="eastAsia"/>
        </w:rPr>
        <w:t>谈判小组主持人宣布谈判规则和谈判纪律。</w:t>
      </w:r>
    </w:p>
    <w:p w14:paraId="617EE27D">
      <w:pPr>
        <w:tabs>
          <w:tab w:val="clear" w:pos="426"/>
        </w:tabs>
      </w:pPr>
      <w:r>
        <w:t>44.3.3</w:t>
      </w:r>
      <w:r>
        <w:rPr>
          <w:rFonts w:hint="eastAsia"/>
        </w:rPr>
        <w:t>在谈判中，谈判小组将就以下谈判内容跟供应商进行谈判：</w:t>
      </w:r>
    </w:p>
    <w:p w14:paraId="1581DD61">
      <w:pPr>
        <w:tabs>
          <w:tab w:val="clear" w:pos="426"/>
        </w:tabs>
      </w:pPr>
      <w:r>
        <w:rPr>
          <w:rFonts w:hint="eastAsia"/>
        </w:rPr>
        <w:t>（</w:t>
      </w:r>
      <w:r>
        <w:t>1</w:t>
      </w:r>
      <w:r>
        <w:rPr>
          <w:rFonts w:hint="eastAsia"/>
        </w:rPr>
        <w:t>）项目方案；</w:t>
      </w:r>
    </w:p>
    <w:p w14:paraId="43367511">
      <w:pPr>
        <w:tabs>
          <w:tab w:val="clear" w:pos="426"/>
        </w:tabs>
      </w:pPr>
      <w:r>
        <w:rPr>
          <w:rFonts w:hint="eastAsia"/>
        </w:rPr>
        <w:t>（</w:t>
      </w:r>
      <w:r>
        <w:t>2</w:t>
      </w:r>
      <w:r>
        <w:rPr>
          <w:rFonts w:hint="eastAsia"/>
        </w:rPr>
        <w:t>）报价；</w:t>
      </w:r>
    </w:p>
    <w:p w14:paraId="679035BD">
      <w:pPr>
        <w:tabs>
          <w:tab w:val="clear" w:pos="426"/>
        </w:tabs>
      </w:pPr>
      <w:r>
        <w:rPr>
          <w:rFonts w:hint="eastAsia"/>
        </w:rPr>
        <w:t>（</w:t>
      </w:r>
      <w:r>
        <w:t>3</w:t>
      </w:r>
      <w:r>
        <w:rPr>
          <w:rFonts w:hint="eastAsia"/>
        </w:rPr>
        <w:t>）其它相关事项。</w:t>
      </w:r>
    </w:p>
    <w:p w14:paraId="1DF45E02">
      <w:pPr>
        <w:tabs>
          <w:tab w:val="clear" w:pos="426"/>
        </w:tabs>
      </w:pPr>
      <w:r>
        <w:rPr>
          <w:rFonts w:hint="eastAsia"/>
        </w:rPr>
        <w:t>原招标文件或谈判邀请文件有实质性变动的，谈判小组应当通过采购代理机构通知所有参加谈判的供应商。</w:t>
      </w:r>
    </w:p>
    <w:p w14:paraId="18E713AA">
      <w:pPr>
        <w:tabs>
          <w:tab w:val="clear" w:pos="426"/>
        </w:tabs>
      </w:pPr>
      <w:r>
        <w:t>44.3.4</w:t>
      </w:r>
      <w:r>
        <w:rPr>
          <w:rFonts w:hint="eastAsia"/>
        </w:rPr>
        <w:t>谈判小组可以用书面形式要求各供应商对其谈判应答文件含义不明确的内容作必要的澄清或者说明，重要问题供应商应以书面形式进行澄清、说明。</w:t>
      </w:r>
    </w:p>
    <w:p w14:paraId="29C2FDC7">
      <w:pPr>
        <w:tabs>
          <w:tab w:val="clear" w:pos="426"/>
        </w:tabs>
      </w:pPr>
      <w:r>
        <w:t xml:space="preserve">44.3.5 </w:t>
      </w:r>
      <w:r>
        <w:rPr>
          <w:rFonts w:hint="eastAsia"/>
        </w:rPr>
        <w:t>允许供应商在谈判结束之前根据谈判小组提出的内容进行澄清、修改或完善，或对项目方案进行相应的调整。</w:t>
      </w:r>
    </w:p>
    <w:p w14:paraId="69AAE4DD">
      <w:pPr>
        <w:tabs>
          <w:tab w:val="clear" w:pos="426"/>
        </w:tabs>
      </w:pPr>
      <w:r>
        <w:t>44.3.6</w:t>
      </w:r>
      <w:r>
        <w:rPr>
          <w:rFonts w:hint="eastAsia"/>
        </w:rPr>
        <w:t>供应商对谈判应答文件进行修改，都应形成文字材料，并经供应商谈判授权人签字认可。</w:t>
      </w:r>
    </w:p>
    <w:p w14:paraId="4BD700BE">
      <w:pPr>
        <w:tabs>
          <w:tab w:val="clear" w:pos="426"/>
        </w:tabs>
      </w:pPr>
      <w:r>
        <w:t>44.3.7</w:t>
      </w:r>
      <w:r>
        <w:rPr>
          <w:rFonts w:hint="eastAsia"/>
        </w:rPr>
        <w:t>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3CE54B3D">
      <w:pPr>
        <w:tabs>
          <w:tab w:val="clear" w:pos="426"/>
        </w:tabs>
        <w:rPr>
          <w:szCs w:val="21"/>
        </w:rPr>
      </w:pPr>
      <w:r>
        <w:rPr>
          <w:szCs w:val="21"/>
        </w:rPr>
        <w:t>44.3.8</w:t>
      </w:r>
      <w:r>
        <w:rPr>
          <w:rFonts w:hint="eastAsia"/>
          <w:szCs w:val="21"/>
        </w:rPr>
        <w:t>有下列情形之一的，该供应商的谈判结果</w:t>
      </w:r>
      <w:r>
        <w:rPr>
          <w:rFonts w:hint="eastAsia"/>
          <w:bCs/>
        </w:rPr>
        <w:t>按无效标或废标处理</w:t>
      </w:r>
      <w:r>
        <w:rPr>
          <w:rFonts w:hint="eastAsia"/>
          <w:szCs w:val="21"/>
        </w:rPr>
        <w:t>，</w:t>
      </w:r>
      <w:r>
        <w:rPr>
          <w:rFonts w:hint="eastAsia"/>
        </w:rPr>
        <w:t>具体内容见原招标文件中不符合“资格、符合性评审条款”部分以及谈判邀请中相应的变动部分。</w:t>
      </w:r>
    </w:p>
    <w:p w14:paraId="1A6D6ACD">
      <w:pPr>
        <w:tabs>
          <w:tab w:val="clear" w:pos="426"/>
        </w:tabs>
      </w:pPr>
      <w:r>
        <w:t>44.3.9</w:t>
      </w:r>
      <w:r>
        <w:rPr>
          <w:rFonts w:hint="eastAsia"/>
        </w:rPr>
        <w:t>谈判结束后，谈判小组根据供应商提供的谈判应答文件、谈判过程中产生的相关资料，对供应商谈判应答文件进行评估与比较，提出书面评审意见。</w:t>
      </w:r>
    </w:p>
    <w:p w14:paraId="626A9F36">
      <w:pPr>
        <w:tabs>
          <w:tab w:val="clear" w:pos="426"/>
        </w:tabs>
      </w:pPr>
      <w:r>
        <w:t>44.3.10</w:t>
      </w:r>
      <w:r>
        <w:rPr>
          <w:rFonts w:hint="eastAsia"/>
        </w:rPr>
        <w:t>谈判小组将对谈判过程进行记录，以存档备查。</w:t>
      </w:r>
    </w:p>
    <w:p w14:paraId="6A7EDDF4">
      <w:pPr>
        <w:tabs>
          <w:tab w:val="clear" w:pos="426"/>
        </w:tabs>
      </w:pPr>
      <w:r>
        <w:t>44.4</w:t>
      </w:r>
      <w:r>
        <w:rPr>
          <w:rFonts w:hint="eastAsia"/>
        </w:rPr>
        <w:t>评标方法和定标原则</w:t>
      </w:r>
    </w:p>
    <w:p w14:paraId="21856721">
      <w:pPr>
        <w:tabs>
          <w:tab w:val="clear" w:pos="426"/>
        </w:tabs>
      </w:pPr>
      <w:r>
        <w:t>44.4.1</w:t>
      </w:r>
      <w:r>
        <w:rPr>
          <w:rFonts w:hint="eastAsia"/>
        </w:rPr>
        <w:t>竞争性谈判采购项目的评标方法要比照最低评标价法规定执行。如确因实际情况需要采用其他评标方法的，应报经同级相关监督管理部门批准。原招标文件若采用</w:t>
      </w:r>
      <w:r>
        <w:rPr>
          <w:rFonts w:hint="eastAsia"/>
          <w:bCs/>
        </w:rPr>
        <w:t>最低评标价法以外的评标方法，转为竞争性谈判后，评标方法应采用</w:t>
      </w:r>
      <w:r>
        <w:rPr>
          <w:rFonts w:hint="eastAsia"/>
        </w:rPr>
        <w:t>最低评标价法。</w:t>
      </w:r>
    </w:p>
    <w:p w14:paraId="4A8F8015">
      <w:pPr>
        <w:tabs>
          <w:tab w:val="clear" w:pos="426"/>
        </w:tabs>
      </w:pPr>
      <w:r>
        <w:rPr>
          <w:szCs w:val="21"/>
        </w:rPr>
        <w:t>44.4.2</w:t>
      </w:r>
      <w:r>
        <w:rPr>
          <w:rFonts w:hint="eastAsia"/>
          <w:szCs w:val="21"/>
        </w:rPr>
        <w:t>对公开招标失败转为竞争性谈判方式采购的项目，谈判小组</w:t>
      </w:r>
      <w:r>
        <w:rPr>
          <w:rFonts w:hint="eastAsia"/>
        </w:rPr>
        <w:t>对谈判应答文件进行评审和比较，综合各家供应商最终的方案、服务和投资等谈判结果并按本通用条款第</w:t>
      </w:r>
      <w:r>
        <w:rPr>
          <w:bCs/>
          <w:szCs w:val="21"/>
        </w:rPr>
        <w:t>37.1.1</w:t>
      </w:r>
      <w:r>
        <w:rPr>
          <w:rFonts w:hint="eastAsia"/>
          <w:bCs/>
          <w:szCs w:val="21"/>
        </w:rPr>
        <w:t>款</w:t>
      </w:r>
      <w:r>
        <w:rPr>
          <w:rFonts w:hint="eastAsia"/>
        </w:rPr>
        <w:t>的</w:t>
      </w:r>
      <w:r>
        <w:rPr>
          <w:rFonts w:hint="eastAsia"/>
          <w:bCs/>
        </w:rPr>
        <w:t>最低评标价法</w:t>
      </w:r>
      <w:r>
        <w:rPr>
          <w:rFonts w:hint="eastAsia"/>
        </w:rPr>
        <w:t>进行评审。</w:t>
      </w:r>
    </w:p>
    <w:p w14:paraId="08190566">
      <w:pPr>
        <w:tabs>
          <w:tab w:val="clear" w:pos="426"/>
        </w:tabs>
      </w:pPr>
      <w:r>
        <w:t>44.4.3</w:t>
      </w:r>
      <w:r>
        <w:rPr>
          <w:rFonts w:hint="eastAsia"/>
        </w:rPr>
        <w:t>若要采用其他评标方法的，必须报经相关监督管理部门批准，谈判小组按批准的评标方法进行评审。谈判邀请文件中应注明批准的评标方法。</w:t>
      </w:r>
    </w:p>
    <w:p w14:paraId="1DEC96FF">
      <w:pPr>
        <w:tabs>
          <w:tab w:val="clear" w:pos="426"/>
        </w:tabs>
      </w:pPr>
      <w:r>
        <w:t>44.4.4</w:t>
      </w:r>
      <w:r>
        <w:rPr>
          <w:rFonts w:hint="eastAsia"/>
        </w:rPr>
        <w:t>谈判小组向采购代理机构提交书面评标报告，并推荐中标候选人或确定中标供应商。</w:t>
      </w:r>
    </w:p>
    <w:p w14:paraId="3110116F">
      <w:pPr>
        <w:tabs>
          <w:tab w:val="clear" w:pos="426"/>
        </w:tabs>
      </w:pPr>
      <w:r>
        <w:t>45</w:t>
      </w:r>
      <w:r>
        <w:rPr>
          <w:rFonts w:hint="eastAsia"/>
        </w:rPr>
        <w:t>．公开招标失败项目转为单一来源谈判方式采购</w:t>
      </w:r>
    </w:p>
    <w:p w14:paraId="18E9FE1B">
      <w:pPr>
        <w:tabs>
          <w:tab w:val="clear" w:pos="426"/>
        </w:tabs>
      </w:pPr>
      <w:r>
        <w:t>45.1</w:t>
      </w:r>
      <w:r>
        <w:rPr>
          <w:rFonts w:hint="eastAsia"/>
        </w:rPr>
        <w:t>谈判文件</w:t>
      </w:r>
    </w:p>
    <w:p w14:paraId="7E7F2E96">
      <w:pPr>
        <w:tabs>
          <w:tab w:val="clear" w:pos="426"/>
        </w:tabs>
      </w:pPr>
      <w:r>
        <w:t>45.1.1</w:t>
      </w:r>
      <w:r>
        <w:rPr>
          <w:rFonts w:hint="eastAsia"/>
        </w:rPr>
        <w:t>公开招标失败项目转为单一来源谈判方式采购的，原招标文件转为谈判文件。</w:t>
      </w:r>
    </w:p>
    <w:p w14:paraId="77773046">
      <w:pPr>
        <w:tabs>
          <w:tab w:val="clear" w:pos="426"/>
        </w:tabs>
      </w:pPr>
      <w:r>
        <w:t>45.2</w:t>
      </w:r>
      <w:r>
        <w:rPr>
          <w:rFonts w:hint="eastAsia"/>
        </w:rPr>
        <w:t>谈判小组</w:t>
      </w:r>
    </w:p>
    <w:p w14:paraId="28555F4A">
      <w:pPr>
        <w:tabs>
          <w:tab w:val="clear" w:pos="426"/>
        </w:tabs>
      </w:pPr>
      <w:r>
        <w:t>45.2.1</w:t>
      </w:r>
      <w:r>
        <w:rPr>
          <w:rFonts w:hint="eastAsia"/>
        </w:rPr>
        <w:t>公开招标失败项目转为单一来源谈判方式采购后，评标委员会转为谈判小组，专家可重新抽取也可继续采用评标委员会内专家。</w:t>
      </w:r>
    </w:p>
    <w:p w14:paraId="760C2905">
      <w:pPr>
        <w:tabs>
          <w:tab w:val="clear" w:pos="426"/>
        </w:tabs>
      </w:pPr>
      <w:r>
        <w:rPr>
          <w:szCs w:val="21"/>
        </w:rPr>
        <w:t>45.2.2</w:t>
      </w:r>
      <w:r>
        <w:rPr>
          <w:rFonts w:hint="eastAsia"/>
        </w:rPr>
        <w:t>谈判前，谈判小组将对单一来源供应商的谈判应答文件进行审查，</w:t>
      </w:r>
      <w:r>
        <w:rPr>
          <w:rFonts w:hint="eastAsia"/>
          <w:bCs/>
        </w:rPr>
        <w:t>当谈判应答文件出现下列情况之一的将视为无效，按无效标或废标处理，不得进入谈判，</w:t>
      </w:r>
      <w:r>
        <w:rPr>
          <w:rFonts w:hint="eastAsia"/>
        </w:rPr>
        <w:t>具体内容见原招标文件中“资格、符合性评审条款</w:t>
      </w:r>
      <w:r>
        <w:rPr>
          <w:rFonts w:hint="eastAsia"/>
          <w:bCs/>
        </w:rPr>
        <w:t>”</w:t>
      </w:r>
      <w:r>
        <w:rPr>
          <w:rFonts w:hint="eastAsia"/>
        </w:rPr>
        <w:t>部分以及谈判邀请中相应的变动部分。</w:t>
      </w:r>
    </w:p>
    <w:p w14:paraId="38B7B91E">
      <w:pPr>
        <w:tabs>
          <w:tab w:val="clear" w:pos="426"/>
        </w:tabs>
      </w:pPr>
      <w:r>
        <w:t>45.3</w:t>
      </w:r>
      <w:r>
        <w:rPr>
          <w:rFonts w:hint="eastAsia"/>
        </w:rPr>
        <w:t>谈判程序</w:t>
      </w:r>
    </w:p>
    <w:p w14:paraId="13798311">
      <w:pPr>
        <w:tabs>
          <w:tab w:val="clear" w:pos="426"/>
        </w:tabs>
      </w:pPr>
      <w:r>
        <w:t>45.3.1</w:t>
      </w:r>
      <w:r>
        <w:rPr>
          <w:rFonts w:hint="eastAsia"/>
        </w:rPr>
        <w:t>参加谈判的供应商和谈判小组成员填写谈判登记表，并交验证明文件（法定代表人证明书、法人授权委托书、被授权的谈判代表身份证原件）。</w:t>
      </w:r>
    </w:p>
    <w:p w14:paraId="7AD56FB0">
      <w:pPr>
        <w:tabs>
          <w:tab w:val="clear" w:pos="426"/>
        </w:tabs>
      </w:pPr>
      <w:r>
        <w:t>45.3.2</w:t>
      </w:r>
      <w:r>
        <w:rPr>
          <w:rFonts w:hint="eastAsia"/>
        </w:rPr>
        <w:t>谈判小组主持人宣布谈判规则和谈判纪律。</w:t>
      </w:r>
    </w:p>
    <w:p w14:paraId="3FADA332">
      <w:pPr>
        <w:tabs>
          <w:tab w:val="clear" w:pos="426"/>
        </w:tabs>
      </w:pPr>
      <w:r>
        <w:t>45.3.3</w:t>
      </w:r>
      <w:r>
        <w:rPr>
          <w:rFonts w:hint="eastAsia"/>
        </w:rPr>
        <w:t>在谈判中，谈判小组将就以下谈判内容跟供应商进行谈判：</w:t>
      </w:r>
    </w:p>
    <w:p w14:paraId="4B172F7F">
      <w:pPr>
        <w:tabs>
          <w:tab w:val="clear" w:pos="426"/>
        </w:tabs>
      </w:pPr>
      <w:r>
        <w:rPr>
          <w:rFonts w:hint="eastAsia"/>
        </w:rPr>
        <w:t>（</w:t>
      </w:r>
      <w:r>
        <w:t>1</w:t>
      </w:r>
      <w:r>
        <w:rPr>
          <w:rFonts w:hint="eastAsia"/>
        </w:rPr>
        <w:t>）项目方案；</w:t>
      </w:r>
    </w:p>
    <w:p w14:paraId="09A469D5">
      <w:pPr>
        <w:tabs>
          <w:tab w:val="clear" w:pos="426"/>
        </w:tabs>
      </w:pPr>
      <w:r>
        <w:rPr>
          <w:rFonts w:hint="eastAsia"/>
        </w:rPr>
        <w:t>（</w:t>
      </w:r>
      <w:r>
        <w:t>2</w:t>
      </w:r>
      <w:r>
        <w:rPr>
          <w:rFonts w:hint="eastAsia"/>
        </w:rPr>
        <w:t>）报价；</w:t>
      </w:r>
    </w:p>
    <w:p w14:paraId="192B48B6">
      <w:pPr>
        <w:tabs>
          <w:tab w:val="clear" w:pos="426"/>
        </w:tabs>
      </w:pPr>
      <w:r>
        <w:rPr>
          <w:rFonts w:hint="eastAsia"/>
        </w:rPr>
        <w:t>（</w:t>
      </w:r>
      <w:r>
        <w:t>3</w:t>
      </w:r>
      <w:r>
        <w:rPr>
          <w:rFonts w:hint="eastAsia"/>
        </w:rPr>
        <w:t>）其它相关事项。</w:t>
      </w:r>
    </w:p>
    <w:p w14:paraId="62D86047">
      <w:pPr>
        <w:tabs>
          <w:tab w:val="clear" w:pos="426"/>
        </w:tabs>
      </w:pPr>
      <w:r>
        <w:rPr>
          <w:rFonts w:hint="eastAsia"/>
        </w:rPr>
        <w:t>原招标文件或谈判邀请文件有实质性变动的，谈判小组应当通过采购代理机构通知供应商。</w:t>
      </w:r>
    </w:p>
    <w:p w14:paraId="54571953">
      <w:pPr>
        <w:tabs>
          <w:tab w:val="clear" w:pos="426"/>
        </w:tabs>
      </w:pPr>
      <w:r>
        <w:t>45.3.4</w:t>
      </w:r>
      <w:r>
        <w:rPr>
          <w:rFonts w:hint="eastAsia"/>
        </w:rPr>
        <w:t>谈判小组可以用书面形式要求供应商对其谈判应答文件含义不明确的内容作必要的澄清或者说明，重要问题供应商应以书面形式进行澄清、说明。</w:t>
      </w:r>
    </w:p>
    <w:p w14:paraId="669083EA">
      <w:pPr>
        <w:tabs>
          <w:tab w:val="clear" w:pos="426"/>
        </w:tabs>
      </w:pPr>
      <w:r>
        <w:t xml:space="preserve">45.3.5 </w:t>
      </w:r>
      <w:r>
        <w:rPr>
          <w:rFonts w:hint="eastAsia"/>
        </w:rPr>
        <w:t>允许供应商在谈判结束之前根据谈判小组提出的内容进行澄清、修改或完善，或对项目方案进行相应的调整。</w:t>
      </w:r>
    </w:p>
    <w:p w14:paraId="2E2468F0">
      <w:pPr>
        <w:tabs>
          <w:tab w:val="clear" w:pos="426"/>
        </w:tabs>
      </w:pPr>
      <w:r>
        <w:t>45.3.6</w:t>
      </w:r>
      <w:r>
        <w:rPr>
          <w:rFonts w:hint="eastAsia"/>
        </w:rPr>
        <w:t>供应商对谈判应答文件进行修改，都应形成文字材料，并经供应商谈判授权人签字认可。</w:t>
      </w:r>
    </w:p>
    <w:p w14:paraId="51492DA9">
      <w:pPr>
        <w:tabs>
          <w:tab w:val="clear" w:pos="426"/>
        </w:tabs>
      </w:pPr>
      <w:r>
        <w:t>45.3.7</w:t>
      </w:r>
      <w:r>
        <w:rPr>
          <w:rFonts w:hint="eastAsia"/>
        </w:rPr>
        <w:t>谈判小组与单一来源供应商进行谈判。供应商有两次更改机会；供应商应在规定的时间内提出最后更改及书面承诺。</w:t>
      </w:r>
    </w:p>
    <w:p w14:paraId="64B909C6">
      <w:pPr>
        <w:tabs>
          <w:tab w:val="clear" w:pos="426"/>
        </w:tabs>
        <w:rPr>
          <w:szCs w:val="21"/>
        </w:rPr>
      </w:pPr>
      <w:r>
        <w:rPr>
          <w:szCs w:val="21"/>
        </w:rPr>
        <w:t>45.3.8</w:t>
      </w:r>
      <w:r>
        <w:rPr>
          <w:rFonts w:hint="eastAsia"/>
          <w:szCs w:val="21"/>
        </w:rPr>
        <w:t>有下列情形之一的，供应商的谈判结果作废标处理，</w:t>
      </w:r>
      <w:r>
        <w:rPr>
          <w:rFonts w:hint="eastAsia"/>
        </w:rPr>
        <w:t>具体内容见原招标文件中不符合“资格、符合性评审条款”部分以及谈判邀请中相应的变动部分。</w:t>
      </w:r>
    </w:p>
    <w:p w14:paraId="7A4422D1">
      <w:pPr>
        <w:tabs>
          <w:tab w:val="clear" w:pos="426"/>
        </w:tabs>
      </w:pPr>
      <w:r>
        <w:t>45.3.9</w:t>
      </w:r>
      <w:r>
        <w:rPr>
          <w:rFonts w:hint="eastAsia"/>
        </w:rPr>
        <w:t>谈判结束后，谈判小组根据供应商提供的谈判应答文件、谈判过程中产生的相关资料，对供应商谈判应答文件进行评估与比较，提出书面评审意见。</w:t>
      </w:r>
    </w:p>
    <w:p w14:paraId="484D02AE">
      <w:pPr>
        <w:tabs>
          <w:tab w:val="clear" w:pos="426"/>
        </w:tabs>
      </w:pPr>
      <w:r>
        <w:t>45.3.10</w:t>
      </w:r>
      <w:r>
        <w:rPr>
          <w:rFonts w:hint="eastAsia"/>
        </w:rPr>
        <w:t>谈判小组将对谈判过程进行记录，以存档备查。</w:t>
      </w:r>
    </w:p>
    <w:p w14:paraId="2919E266">
      <w:pPr>
        <w:tabs>
          <w:tab w:val="clear" w:pos="426"/>
        </w:tabs>
      </w:pPr>
      <w:r>
        <w:t>45.4</w:t>
      </w:r>
      <w:r>
        <w:rPr>
          <w:rFonts w:hint="eastAsia"/>
        </w:rPr>
        <w:t>评标方法和定标原则</w:t>
      </w:r>
    </w:p>
    <w:p w14:paraId="7C1B4907">
      <w:pPr>
        <w:tabs>
          <w:tab w:val="clear" w:pos="426"/>
        </w:tabs>
      </w:pPr>
      <w:r>
        <w:rPr>
          <w:szCs w:val="21"/>
        </w:rPr>
        <w:t>45.4.1</w:t>
      </w:r>
      <w:r>
        <w:rPr>
          <w:rFonts w:hint="eastAsia"/>
          <w:szCs w:val="21"/>
        </w:rPr>
        <w:t>单一来源谈判采用最低评标价法。</w:t>
      </w:r>
      <w:r>
        <w:rPr>
          <w:rFonts w:hint="eastAsia"/>
        </w:rPr>
        <w:t>原招标文件若采用</w:t>
      </w:r>
      <w:r>
        <w:rPr>
          <w:rFonts w:hint="eastAsia"/>
          <w:bCs/>
        </w:rPr>
        <w:t>最低评标价法以外的评标方法，转为单一来源谈判后，评标方法改为</w:t>
      </w:r>
      <w:r>
        <w:rPr>
          <w:rFonts w:hint="eastAsia"/>
          <w:szCs w:val="21"/>
        </w:rPr>
        <w:t>最低评标价法。谈判小组</w:t>
      </w:r>
      <w:r>
        <w:rPr>
          <w:rFonts w:hint="eastAsia"/>
        </w:rPr>
        <w:t>对谈判应答文件进行评审和比较，对供应商最终的方案、服务和投资等谈判结果按本通用条款第</w:t>
      </w:r>
      <w:r>
        <w:t>37.1.1</w:t>
      </w:r>
      <w:r>
        <w:rPr>
          <w:rFonts w:hint="eastAsia"/>
        </w:rPr>
        <w:t>的</w:t>
      </w:r>
      <w:r>
        <w:rPr>
          <w:rFonts w:hint="eastAsia"/>
          <w:bCs/>
        </w:rPr>
        <w:t>最低评标价法</w:t>
      </w:r>
      <w:r>
        <w:rPr>
          <w:rFonts w:hint="eastAsia"/>
        </w:rPr>
        <w:t>进行评审。</w:t>
      </w:r>
    </w:p>
    <w:p w14:paraId="25D95158">
      <w:pPr>
        <w:tabs>
          <w:tab w:val="clear" w:pos="426"/>
        </w:tabs>
        <w:rPr>
          <w:szCs w:val="21"/>
        </w:rPr>
      </w:pPr>
      <w:r>
        <w:t>45.4.2</w:t>
      </w:r>
      <w:r>
        <w:rPr>
          <w:rFonts w:hint="eastAsia"/>
        </w:rPr>
        <w:t>谈判小组向采购代理机构提交书面评标报告，并推荐中标候选人或确定中标供应商。</w:t>
      </w:r>
    </w:p>
    <w:p w14:paraId="613B7D84">
      <w:pPr>
        <w:pStyle w:val="5"/>
        <w:numPr>
          <w:ilvl w:val="3"/>
          <w:numId w:val="0"/>
        </w:numPr>
        <w:tabs>
          <w:tab w:val="clear" w:pos="1680"/>
        </w:tabs>
      </w:pPr>
      <w:bookmarkStart w:id="172" w:name="_Toc530152530"/>
      <w:bookmarkStart w:id="173" w:name="_Toc14427262"/>
      <w:bookmarkStart w:id="174" w:name="_Toc152759246"/>
      <w:bookmarkStart w:id="175" w:name="_Toc529280589"/>
      <w:r>
        <w:rPr>
          <w:rFonts w:hint="eastAsia"/>
        </w:rPr>
        <w:t>第九章合同的授予与备案</w:t>
      </w:r>
      <w:bookmarkEnd w:id="172"/>
      <w:bookmarkEnd w:id="173"/>
      <w:bookmarkEnd w:id="174"/>
      <w:bookmarkEnd w:id="175"/>
    </w:p>
    <w:p w14:paraId="3DD7E8F1">
      <w:pPr>
        <w:tabs>
          <w:tab w:val="clear" w:pos="426"/>
        </w:tabs>
      </w:pPr>
      <w:r>
        <w:t>46</w:t>
      </w:r>
      <w:r>
        <w:rPr>
          <w:rFonts w:hint="eastAsia"/>
        </w:rPr>
        <w:t>．履约担保</w:t>
      </w:r>
    </w:p>
    <w:p w14:paraId="2DB2DB46">
      <w:pPr>
        <w:tabs>
          <w:tab w:val="clear" w:pos="426"/>
        </w:tabs>
      </w:pPr>
      <w:r>
        <w:t xml:space="preserve">46.1  </w:t>
      </w:r>
      <w:r>
        <w:rPr>
          <w:rFonts w:hint="eastAsia"/>
        </w:rPr>
        <w:t>本项目履约担保的相关要求：详见“投标须知前附表”。</w:t>
      </w:r>
    </w:p>
    <w:p w14:paraId="3BD6198D">
      <w:pPr>
        <w:tabs>
          <w:tab w:val="clear" w:pos="426"/>
        </w:tabs>
      </w:pPr>
      <w:r>
        <w:t xml:space="preserve">46.2  </w:t>
      </w:r>
      <w:r>
        <w:rPr>
          <w:rFonts w:hint="eastAsia"/>
        </w:rPr>
        <w:t>在签订合同前，中标供应商应按规定向采购人提交履约担保，采用履约保函形式的可参照使用本招标文件提供的格式。</w:t>
      </w:r>
    </w:p>
    <w:p w14:paraId="6699E139">
      <w:pPr>
        <w:tabs>
          <w:tab w:val="clear" w:pos="426"/>
        </w:tabs>
      </w:pPr>
      <w:r>
        <w:t xml:space="preserve">46.3  </w:t>
      </w:r>
      <w:r>
        <w:rPr>
          <w:rFonts w:hint="eastAsia"/>
        </w:rPr>
        <w:t>联合体中标的，其履约担保由联合体牵头人提交，并应符合本节第</w:t>
      </w:r>
      <w:r>
        <w:t>42.1</w:t>
      </w:r>
      <w:r>
        <w:rPr>
          <w:rFonts w:hint="eastAsia"/>
        </w:rPr>
        <w:t>条、第</w:t>
      </w:r>
      <w:r>
        <w:t>45.2</w:t>
      </w:r>
      <w:r>
        <w:rPr>
          <w:rFonts w:hint="eastAsia"/>
        </w:rPr>
        <w:t>条的规定。</w:t>
      </w:r>
    </w:p>
    <w:p w14:paraId="2DB5772E">
      <w:pPr>
        <w:tabs>
          <w:tab w:val="clear" w:pos="426"/>
        </w:tabs>
      </w:pPr>
      <w:r>
        <w:t xml:space="preserve">46.4  </w:t>
      </w:r>
      <w:r>
        <w:rPr>
          <w:rFonts w:hint="eastAsia"/>
        </w:rPr>
        <w:t>如果中标供应商拒不提交本节第</w:t>
      </w:r>
      <w:r>
        <w:t>42.1</w:t>
      </w:r>
      <w:r>
        <w:rPr>
          <w:rFonts w:hint="eastAsia"/>
        </w:rPr>
        <w:t>条、第</w:t>
      </w:r>
      <w:r>
        <w:t>42.2</w:t>
      </w:r>
      <w:r>
        <w:rPr>
          <w:rFonts w:hint="eastAsia"/>
        </w:rPr>
        <w:t>条要求的履约担保的，采购人可取消其中标资格，并没收其投标担保。</w:t>
      </w:r>
    </w:p>
    <w:p w14:paraId="29E9F0C4">
      <w:pPr>
        <w:tabs>
          <w:tab w:val="clear" w:pos="426"/>
        </w:tabs>
      </w:pPr>
      <w:r>
        <w:t>47</w:t>
      </w:r>
      <w:r>
        <w:rPr>
          <w:rFonts w:hint="eastAsia"/>
        </w:rPr>
        <w:t>．签订合同</w:t>
      </w:r>
    </w:p>
    <w:p w14:paraId="68B13EF6">
      <w:pPr>
        <w:tabs>
          <w:tab w:val="clear" w:pos="426"/>
        </w:tabs>
      </w:pPr>
      <w:r>
        <w:t xml:space="preserve">47.1  </w:t>
      </w:r>
      <w:r>
        <w:rPr>
          <w:rFonts w:hint="eastAsia"/>
        </w:rPr>
        <w:t>采购人和中标供应商应当按“投标须知前附表”的规定，依据招标文件和中标供应商的投标文件订立书面合同。</w:t>
      </w:r>
    </w:p>
    <w:p w14:paraId="3FA44912">
      <w:pPr>
        <w:tabs>
          <w:tab w:val="clear" w:pos="426"/>
        </w:tabs>
      </w:pPr>
      <w:r>
        <w:t xml:space="preserve">47.2  </w:t>
      </w:r>
      <w:r>
        <w:rPr>
          <w:rFonts w:hint="eastAsia"/>
        </w:rPr>
        <w:t>中标供应商无正当理由拒签合同的，或者在签订合同时向采购人提出附加条件或者更改合同实质性内容的，采购人可取消其中标资格，并没收其投标担保；给采购人的损失超过其投标担保数额的，中标供应商应当对超过部分予以赔偿。</w:t>
      </w:r>
    </w:p>
    <w:p w14:paraId="3B619A75">
      <w:pPr>
        <w:pStyle w:val="5"/>
        <w:numPr>
          <w:ilvl w:val="3"/>
          <w:numId w:val="0"/>
        </w:numPr>
        <w:tabs>
          <w:tab w:val="clear" w:pos="1680"/>
        </w:tabs>
      </w:pPr>
      <w:bookmarkStart w:id="176" w:name="_Toc530152531"/>
      <w:bookmarkStart w:id="177" w:name="_Toc14427263"/>
      <w:bookmarkStart w:id="178" w:name="_Toc529280590"/>
      <w:bookmarkStart w:id="179" w:name="_Toc152759247"/>
      <w:r>
        <w:rPr>
          <w:rFonts w:hint="eastAsia"/>
        </w:rPr>
        <w:t>第十章质疑受理</w:t>
      </w:r>
      <w:bookmarkEnd w:id="176"/>
      <w:bookmarkEnd w:id="177"/>
      <w:bookmarkEnd w:id="178"/>
      <w:bookmarkEnd w:id="179"/>
    </w:p>
    <w:p w14:paraId="6C9646E6">
      <w:pPr>
        <w:tabs>
          <w:tab w:val="clear" w:pos="426"/>
        </w:tabs>
      </w:pPr>
      <w:r>
        <w:t>48.</w:t>
      </w:r>
      <w:r>
        <w:rPr>
          <w:rFonts w:hint="eastAsia"/>
        </w:rPr>
        <w:t>质疑受理机构</w:t>
      </w:r>
    </w:p>
    <w:p w14:paraId="422D166D">
      <w:pPr>
        <w:tabs>
          <w:tab w:val="clear" w:pos="426"/>
        </w:tabs>
        <w:rPr>
          <w:sz w:val="22"/>
          <w:szCs w:val="22"/>
        </w:rPr>
      </w:pPr>
      <w:r>
        <w:rPr>
          <w:rFonts w:hint="eastAsia"/>
        </w:rPr>
        <w:t>采购代理机构及采购人负责受理和答复质疑</w:t>
      </w:r>
      <w:r>
        <w:rPr>
          <w:rFonts w:hint="eastAsia"/>
          <w:sz w:val="22"/>
          <w:szCs w:val="22"/>
        </w:rPr>
        <w:t>。</w:t>
      </w:r>
    </w:p>
    <w:p w14:paraId="3AB6EA67">
      <w:pPr>
        <w:tabs>
          <w:tab w:val="clear" w:pos="426"/>
        </w:tabs>
      </w:pPr>
      <w:r>
        <w:t>49.</w:t>
      </w:r>
      <w:r>
        <w:rPr>
          <w:rFonts w:hint="eastAsia"/>
        </w:rPr>
        <w:t>质疑处理原则</w:t>
      </w:r>
    </w:p>
    <w:p w14:paraId="3FA6D52A">
      <w:pPr>
        <w:tabs>
          <w:tab w:val="clear" w:pos="426"/>
        </w:tabs>
      </w:pPr>
      <w:r>
        <w:t>49.1</w:t>
      </w:r>
      <w:r>
        <w:rPr>
          <w:rFonts w:hint="eastAsia"/>
        </w:rPr>
        <w:t>质疑处理遵循公平、公正、规范、高效的原则。</w:t>
      </w:r>
    </w:p>
    <w:p w14:paraId="3BEAADDD">
      <w:pPr>
        <w:tabs>
          <w:tab w:val="clear" w:pos="426"/>
        </w:tabs>
      </w:pPr>
      <w:r>
        <w:t>49.2</w:t>
      </w:r>
      <w:r>
        <w:rPr>
          <w:rFonts w:hint="eastAsia"/>
        </w:rPr>
        <w:t>供应商质疑实行实名制和</w:t>
      </w:r>
      <w:r>
        <w:t>“</w:t>
      </w:r>
      <w:r>
        <w:rPr>
          <w:rFonts w:hint="eastAsia"/>
        </w:rPr>
        <w:t>谁质疑，谁举证</w:t>
      </w:r>
      <w:r>
        <w:t>”</w:t>
      </w:r>
      <w:r>
        <w:rPr>
          <w:rFonts w:hint="eastAsia"/>
        </w:rPr>
        <w:t>的原则，质疑应有具体的事项及事实根据。</w:t>
      </w:r>
    </w:p>
    <w:p w14:paraId="53899DC3">
      <w:pPr>
        <w:tabs>
          <w:tab w:val="clear" w:pos="426"/>
        </w:tabs>
      </w:pPr>
      <w:r>
        <w:t>50.</w:t>
      </w:r>
      <w:r>
        <w:rPr>
          <w:rFonts w:hint="eastAsia"/>
        </w:rPr>
        <w:t>质疑受理的时效和范围</w:t>
      </w:r>
    </w:p>
    <w:p w14:paraId="17DFC550">
      <w:pPr>
        <w:tabs>
          <w:tab w:val="clear" w:pos="426"/>
        </w:tabs>
      </w:pPr>
      <w:r>
        <w:t>50.1</w:t>
      </w:r>
      <w:r>
        <w:rPr>
          <w:rFonts w:hint="eastAsia"/>
        </w:rPr>
        <w:t>供应商认为采购文件、采购过程和中标、成交结果使自己权益受到损害的，可以在知道或者应知其权益受到损害之日起</w:t>
      </w:r>
      <w:r>
        <w:t>10</w:t>
      </w:r>
      <w:r>
        <w:rPr>
          <w:rFonts w:hint="eastAsia"/>
        </w:rPr>
        <w:t>个工作日内，以书面形式向采购代理机构提出质疑。</w:t>
      </w:r>
    </w:p>
    <w:p w14:paraId="12904DD4">
      <w:pPr>
        <w:tabs>
          <w:tab w:val="clear" w:pos="426"/>
        </w:tabs>
      </w:pPr>
      <w:r>
        <w:t>50.2</w:t>
      </w:r>
      <w:r>
        <w:rPr>
          <w:rFonts w:hint="eastAsia"/>
        </w:rPr>
        <w:t>供应商对采购文件有疑问的，采购代理机构及采购人按答疑程序处理；供应商对采购文件有异议的，按质疑程序处理。</w:t>
      </w:r>
    </w:p>
    <w:p w14:paraId="59DA642D">
      <w:pPr>
        <w:tabs>
          <w:tab w:val="clear" w:pos="426"/>
        </w:tabs>
      </w:pPr>
      <w:r>
        <w:t>51.</w:t>
      </w:r>
      <w:r>
        <w:rPr>
          <w:rFonts w:hint="eastAsia"/>
        </w:rPr>
        <w:t>质疑条件</w:t>
      </w:r>
    </w:p>
    <w:p w14:paraId="6469F9AB">
      <w:pPr>
        <w:tabs>
          <w:tab w:val="clear" w:pos="426"/>
        </w:tabs>
      </w:pPr>
      <w:r>
        <w:t>51.1</w:t>
      </w:r>
      <w:r>
        <w:rPr>
          <w:rFonts w:hint="eastAsia"/>
        </w:rPr>
        <w:t>提出质疑的应是直接参与相应采购项目的供应商。以联合体形式参与的，由联合体共同提出；</w:t>
      </w:r>
    </w:p>
    <w:p w14:paraId="38FCD4A2">
      <w:pPr>
        <w:tabs>
          <w:tab w:val="clear" w:pos="426"/>
        </w:tabs>
      </w:pPr>
      <w:r>
        <w:t>51.2</w:t>
      </w:r>
      <w:r>
        <w:rPr>
          <w:rFonts w:hint="eastAsia"/>
        </w:rPr>
        <w:t>提供质疑的项目名称和编号、质疑供应商的单位名称、详细地址、邮政编码、联系人及联系电话等基本情况；</w:t>
      </w:r>
    </w:p>
    <w:p w14:paraId="0B7C5613">
      <w:pPr>
        <w:tabs>
          <w:tab w:val="clear" w:pos="426"/>
        </w:tabs>
      </w:pPr>
      <w:r>
        <w:t>51.3</w:t>
      </w:r>
      <w:r>
        <w:rPr>
          <w:rFonts w:hint="eastAsia"/>
        </w:rPr>
        <w:t>有质疑的具体事项、请求及理由，并附相关证据材料；</w:t>
      </w:r>
    </w:p>
    <w:p w14:paraId="5E6F138D">
      <w:pPr>
        <w:tabs>
          <w:tab w:val="clear" w:pos="426"/>
        </w:tabs>
      </w:pPr>
      <w:r>
        <w:t>51.4</w:t>
      </w:r>
      <w:r>
        <w:rPr>
          <w:rFonts w:hint="eastAsia"/>
        </w:rPr>
        <w:t>质疑书加盖公章，被授权人进行质疑的同时提交法人授权委托书；</w:t>
      </w:r>
    </w:p>
    <w:p w14:paraId="191B1614">
      <w:pPr>
        <w:tabs>
          <w:tab w:val="clear" w:pos="426"/>
        </w:tabs>
      </w:pPr>
      <w:r>
        <w:t>51.5</w:t>
      </w:r>
      <w:r>
        <w:rPr>
          <w:rFonts w:hint="eastAsia"/>
        </w:rPr>
        <w:t>质疑材料中有外文资料的，应一并附上中文译本，并以中文译本为准。</w:t>
      </w:r>
    </w:p>
    <w:p w14:paraId="66FD855F">
      <w:pPr>
        <w:tabs>
          <w:tab w:val="clear" w:pos="426"/>
        </w:tabs>
      </w:pPr>
      <w:r>
        <w:t>51.6</w:t>
      </w:r>
      <w:r>
        <w:rPr>
          <w:rFonts w:hint="eastAsia"/>
        </w:rPr>
        <w:t>质疑不得超过质疑受理的时效和范围。</w:t>
      </w:r>
    </w:p>
    <w:p w14:paraId="572DFAAC">
      <w:pPr>
        <w:tabs>
          <w:tab w:val="clear" w:pos="426"/>
        </w:tabs>
      </w:pPr>
      <w:r>
        <w:rPr>
          <w:rFonts w:hint="eastAsia"/>
        </w:rPr>
        <w:t>不符合上述条件的，我采购代理机构不予受理。</w:t>
      </w:r>
    </w:p>
    <w:p w14:paraId="10D1E56D">
      <w:pPr>
        <w:tabs>
          <w:tab w:val="clear" w:pos="426"/>
        </w:tabs>
      </w:pPr>
      <w:r>
        <w:t>52.</w:t>
      </w:r>
      <w:r>
        <w:rPr>
          <w:rFonts w:hint="eastAsia"/>
        </w:rPr>
        <w:t>受理质疑办理程序</w:t>
      </w:r>
    </w:p>
    <w:p w14:paraId="082AD8ED">
      <w:pPr>
        <w:tabs>
          <w:tab w:val="clear" w:pos="426"/>
        </w:tabs>
      </w:pPr>
      <w:r>
        <w:t>52.1</w:t>
      </w:r>
      <w:r>
        <w:rPr>
          <w:rFonts w:hint="eastAsia"/>
        </w:rPr>
        <w:t>先与质疑供应商进行沟通，以消除因误解或对采购规则和程序的不了解而引起的质疑。对沟通情况满意的，供应商撤回质疑，质疑处理程序终止。</w:t>
      </w:r>
    </w:p>
    <w:p w14:paraId="2564A81B">
      <w:pPr>
        <w:tabs>
          <w:tab w:val="clear" w:pos="426"/>
        </w:tabs>
      </w:pPr>
      <w:r>
        <w:t>52.2</w:t>
      </w:r>
      <w:r>
        <w:rPr>
          <w:rFonts w:hint="eastAsia"/>
        </w:rPr>
        <w:t>处理质疑一般进行书面审查；必要时听取各方当事人的陈述和申辩、进行相关调查；组织原评标委员会或谈判小组进行复议。</w:t>
      </w:r>
    </w:p>
    <w:p w14:paraId="2E142C78">
      <w:pPr>
        <w:tabs>
          <w:tab w:val="clear" w:pos="426"/>
        </w:tabs>
      </w:pPr>
      <w:r>
        <w:t>52.3</w:t>
      </w:r>
      <w:r>
        <w:rPr>
          <w:rFonts w:hint="eastAsia"/>
        </w:rPr>
        <w:t>在质疑处理期间，采购代理机构视情形决定暂停采购活动。</w:t>
      </w:r>
    </w:p>
    <w:p w14:paraId="4C1E5077">
      <w:pPr>
        <w:tabs>
          <w:tab w:val="clear" w:pos="426"/>
        </w:tabs>
      </w:pPr>
      <w:r>
        <w:t>52.4</w:t>
      </w:r>
      <w:r>
        <w:rPr>
          <w:rFonts w:hint="eastAsia"/>
        </w:rPr>
        <w:t>采购代理机构原则上在质疑受理之日起</w:t>
      </w:r>
      <w:r>
        <w:t>7</w:t>
      </w:r>
      <w:r>
        <w:rPr>
          <w:rFonts w:hint="eastAsia"/>
        </w:rPr>
        <w:t>个工作日内书面答复质疑供应商。答复函以直接领取、传真或邮寄方式送达。</w:t>
      </w:r>
    </w:p>
    <w:p w14:paraId="19F10011">
      <w:pPr>
        <w:tabs>
          <w:tab w:val="clear" w:pos="426"/>
        </w:tabs>
      </w:pPr>
      <w:r>
        <w:t>52.5</w:t>
      </w:r>
      <w:r>
        <w:rPr>
          <w:rFonts w:hint="eastAsia"/>
        </w:rPr>
        <w:t>供应商向采购代理机构提出质疑后，在质疑处理期限内，不得同时向其他方面提起同一质疑。质疑供应商如已就同一事项提起投诉、提请行政复议或诉讼的，质疑程序终止。</w:t>
      </w:r>
    </w:p>
    <w:p w14:paraId="2E3B320E">
      <w:pPr>
        <w:tabs>
          <w:tab w:val="clear" w:pos="426"/>
        </w:tabs>
      </w:pPr>
      <w:r>
        <w:t>53.</w:t>
      </w:r>
      <w:r>
        <w:rPr>
          <w:rFonts w:hint="eastAsia"/>
        </w:rPr>
        <w:t>相关责任与义务</w:t>
      </w:r>
    </w:p>
    <w:p w14:paraId="49B3D95D">
      <w:pPr>
        <w:tabs>
          <w:tab w:val="clear" w:pos="426"/>
        </w:tabs>
      </w:pPr>
      <w:r>
        <w:t>53.1</w:t>
      </w:r>
      <w:r>
        <w:rPr>
          <w:rFonts w:hint="eastAsia"/>
        </w:rPr>
        <w:t>采购人、评标专家和相关供应商等当事人应积极配合采购代理机构进行质疑调查，如实反映情况，及时提供证明材料。</w:t>
      </w:r>
    </w:p>
    <w:p w14:paraId="56C568BC">
      <w:pPr>
        <w:tabs>
          <w:tab w:val="clear" w:pos="426"/>
        </w:tabs>
      </w:pPr>
      <w:r>
        <w:t>53.2</w:t>
      </w:r>
      <w:r>
        <w:rPr>
          <w:rFonts w:hint="eastAsia"/>
        </w:rPr>
        <w:t>质疑供应商有下列情形之一的，属于虚假、恶意质疑，采购代理机构将有权力将质疑供应商虚假、恶意质疑的行为上报相关监督管理部门，并视情节提请相关监督管理部门给予一定年限内禁止参与相关采购活动资格或其他处罚：</w:t>
      </w:r>
    </w:p>
    <w:p w14:paraId="09211411">
      <w:pPr>
        <w:tabs>
          <w:tab w:val="clear" w:pos="426"/>
        </w:tabs>
      </w:pPr>
      <w:r>
        <w:t>53.2.1</w:t>
      </w:r>
      <w:r>
        <w:rPr>
          <w:rFonts w:hint="eastAsia"/>
        </w:rPr>
        <w:t>捏造事实或提供虚假证明材料的；</w:t>
      </w:r>
    </w:p>
    <w:p w14:paraId="432736DC">
      <w:pPr>
        <w:tabs>
          <w:tab w:val="clear" w:pos="426"/>
        </w:tabs>
      </w:pPr>
      <w:r>
        <w:t>53.2.2</w:t>
      </w:r>
      <w:r>
        <w:rPr>
          <w:rFonts w:hint="eastAsia"/>
        </w:rPr>
        <w:t>假冒他人名义进行质疑的；</w:t>
      </w:r>
    </w:p>
    <w:p w14:paraId="2A777BA7">
      <w:pPr>
        <w:tabs>
          <w:tab w:val="clear" w:pos="426"/>
        </w:tabs>
      </w:pPr>
      <w:r>
        <w:t>53.2.3</w:t>
      </w:r>
      <w:r>
        <w:rPr>
          <w:rFonts w:hint="eastAsia"/>
        </w:rPr>
        <w:t>拒不配合进行有关调查、情节严重的。</w:t>
      </w:r>
    </w:p>
    <w:p w14:paraId="73C6CBD0">
      <w:pPr>
        <w:tabs>
          <w:tab w:val="clear" w:pos="426"/>
        </w:tabs>
        <w:rPr>
          <w:b/>
        </w:rPr>
      </w:pPr>
      <w:r>
        <w:t>54</w:t>
      </w:r>
      <w:r>
        <w:rPr>
          <w:rFonts w:hint="eastAsia"/>
        </w:rPr>
        <w:t>．</w:t>
      </w:r>
      <w:r>
        <w:rPr>
          <w:rFonts w:hint="eastAsia"/>
          <w:b/>
        </w:rPr>
        <w:t>其他</w:t>
      </w:r>
    </w:p>
    <w:p w14:paraId="7346ECD2">
      <w:pPr>
        <w:tabs>
          <w:tab w:val="clear" w:pos="426"/>
        </w:tabs>
      </w:pPr>
      <w:r>
        <w:t xml:space="preserve">54.1  </w:t>
      </w:r>
      <w:r>
        <w:rPr>
          <w:rFonts w:hint="eastAsia"/>
        </w:rPr>
        <w:t>本招标文件的解释权归采购代理机构所有，采购代理机构在征得采购人或相关主管部门同意后，有权在法律允许范围内调整本次招标活动的细节及保留最终解释权。</w:t>
      </w:r>
    </w:p>
    <w:p w14:paraId="68D5E4FD">
      <w:pPr>
        <w:tabs>
          <w:tab w:val="clear" w:pos="426"/>
        </w:tabs>
      </w:pPr>
      <w:r>
        <w:t xml:space="preserve">54.2 </w:t>
      </w:r>
      <w:r>
        <w:rPr>
          <w:rFonts w:hint="eastAsia"/>
        </w:rPr>
        <w:t>采购代理机构向投标供应商提供的资料和数据，是采购代理机构现有的能供投标供应商利用的资料，采购代理机构对投标供应商由此而作出的推论、理解和结论概不负责。</w:t>
      </w:r>
    </w:p>
    <w:p w14:paraId="163D1967">
      <w:pPr>
        <w:tabs>
          <w:tab w:val="clear" w:pos="426"/>
        </w:tabs>
      </w:pPr>
      <w:r>
        <w:t xml:space="preserve">54.3 </w:t>
      </w:r>
      <w:r>
        <w:rPr>
          <w:rFonts w:hint="eastAsia"/>
        </w:rPr>
        <w:t>如果投标供应商实质上不符合投标资格，即使已购买招标文件、参加投标并缴纳各种费用，采购代理机构或采购人可以随时取消其投标或中标资格，采购代理机构或采购人对该投标供应商的一切损失概不责任。</w:t>
      </w:r>
    </w:p>
    <w:p w14:paraId="466028CE">
      <w:pPr>
        <w:tabs>
          <w:tab w:val="clear" w:pos="426"/>
        </w:tabs>
      </w:pPr>
      <w:r>
        <w:t xml:space="preserve">54.4 </w:t>
      </w:r>
      <w:r>
        <w:rPr>
          <w:rFonts w:hint="eastAsia"/>
        </w:rPr>
        <w:t>中标无效的，发出的中标通知书和签订的合同自始没有法律约束力，但不影响合同中存在的有关解决争议方法的条款的效力。</w:t>
      </w:r>
    </w:p>
    <w:p w14:paraId="00407CC7">
      <w:pPr>
        <w:tabs>
          <w:tab w:val="clear" w:pos="426"/>
        </w:tabs>
      </w:pPr>
      <w:r>
        <w:t xml:space="preserve">54.5 </w:t>
      </w:r>
      <w:r>
        <w:rPr>
          <w:rFonts w:hint="eastAsia"/>
        </w:rPr>
        <w:t>本招标文件所有的附件与本招标文件具有同等效力。</w:t>
      </w:r>
    </w:p>
    <w:p w14:paraId="10A76F15">
      <w:pPr>
        <w:tabs>
          <w:tab w:val="clear" w:pos="426"/>
        </w:tabs>
      </w:pPr>
    </w:p>
    <w:p w14:paraId="77CC4D78">
      <w:pPr>
        <w:shd w:val="clear" w:color="auto" w:fill="auto"/>
        <w:tabs>
          <w:tab w:val="clear" w:pos="426"/>
        </w:tabs>
        <w:adjustRightInd/>
        <w:snapToGrid/>
        <w:spacing w:line="240" w:lineRule="auto"/>
        <w:jc w:val="left"/>
      </w:pPr>
      <w:r>
        <w:br w:type="page"/>
      </w:r>
    </w:p>
    <w:p w14:paraId="3A6F0AB4">
      <w:pPr>
        <w:pStyle w:val="81"/>
        <w:tabs>
          <w:tab w:val="clear" w:pos="426"/>
        </w:tabs>
      </w:pPr>
      <w:bookmarkStart w:id="180" w:name="_Toc152759248"/>
      <w:bookmarkStart w:id="181" w:name="_Toc14427264"/>
      <w:bookmarkStart w:id="182" w:name="_Toc3627284"/>
      <w:r>
        <w:rPr>
          <w:rFonts w:hint="eastAsia"/>
        </w:rPr>
        <w:t>招标代理服务取费说明</w:t>
      </w:r>
      <w:bookmarkEnd w:id="180"/>
      <w:bookmarkEnd w:id="181"/>
      <w:bookmarkEnd w:id="182"/>
    </w:p>
    <w:p w14:paraId="4A675B35">
      <w:pPr>
        <w:tabs>
          <w:tab w:val="clear" w:pos="426"/>
        </w:tabs>
        <w:ind w:firstLine="440" w:firstLineChars="200"/>
        <w:rPr>
          <w:sz w:val="22"/>
        </w:rPr>
      </w:pPr>
    </w:p>
    <w:p w14:paraId="0548E23D">
      <w:pPr>
        <w:tabs>
          <w:tab w:val="clear" w:pos="426"/>
        </w:tabs>
        <w:ind w:firstLine="440" w:firstLineChars="200"/>
        <w:rPr>
          <w:sz w:val="22"/>
        </w:rPr>
      </w:pPr>
      <w:r>
        <w:rPr>
          <w:rFonts w:hint="eastAsia"/>
          <w:sz w:val="22"/>
        </w:rPr>
        <w:t>招标代理服务收费以各包预算金额为计算基数，依据采购人与代理机构约定的招标代理服务费收费办法，按差额定率累进法计算，下浮5%后向中标供应商收取。低于人民币5000元的，按最低人民币5000元收费。收费标准如下表所列：</w:t>
      </w:r>
    </w:p>
    <w:p w14:paraId="11F74CBB">
      <w:pPr>
        <w:tabs>
          <w:tab w:val="clear" w:pos="426"/>
        </w:tabs>
        <w:ind w:firstLine="440" w:firstLineChars="200"/>
        <w:rPr>
          <w:sz w:val="22"/>
        </w:rPr>
      </w:pPr>
      <w:r>
        <w:rPr>
          <w:rFonts w:hint="eastAsia"/>
          <w:sz w:val="22"/>
        </w:rPr>
        <w:t>招标代理服务收费标准</w:t>
      </w:r>
    </w:p>
    <w:tbl>
      <w:tblPr>
        <w:tblStyle w:val="8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86"/>
        <w:gridCol w:w="1845"/>
        <w:gridCol w:w="1845"/>
        <w:gridCol w:w="1846"/>
      </w:tblGrid>
      <w:tr w14:paraId="03164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2986" w:type="dxa"/>
            <w:vAlign w:val="center"/>
          </w:tcPr>
          <w:p w14:paraId="38EDE93D">
            <w:pPr>
              <w:tabs>
                <w:tab w:val="clear" w:pos="426"/>
              </w:tabs>
              <w:spacing w:line="300" w:lineRule="auto"/>
              <w:jc w:val="right"/>
              <w:rPr>
                <w:szCs w:val="21"/>
              </w:rPr>
            </w:pPr>
            <w:r>
              <w:rPr>
                <w:rFonts w:hint="eastAsia"/>
                <w:szCs w:val="21"/>
              </w:rPr>
              <w:t>服务类型</w:t>
            </w:r>
          </w:p>
          <w:p w14:paraId="7FB197F7">
            <w:pPr>
              <w:tabs>
                <w:tab w:val="clear" w:pos="426"/>
              </w:tabs>
              <w:spacing w:line="300" w:lineRule="auto"/>
              <w:jc w:val="center"/>
              <w:rPr>
                <w:szCs w:val="21"/>
              </w:rPr>
            </w:pPr>
            <w:r>
              <w:rPr>
                <w:rFonts w:hint="eastAsia"/>
                <w:szCs w:val="21"/>
              </w:rPr>
              <w:t>费率</w:t>
            </w:r>
          </w:p>
          <w:p w14:paraId="00DF12FA">
            <w:pPr>
              <w:tabs>
                <w:tab w:val="clear" w:pos="426"/>
              </w:tabs>
              <w:spacing w:line="300" w:lineRule="auto"/>
              <w:rPr>
                <w:szCs w:val="21"/>
              </w:rPr>
            </w:pPr>
            <w:r>
              <w:rPr>
                <w:rFonts w:hint="eastAsia"/>
                <w:szCs w:val="21"/>
              </w:rPr>
              <w:t>中标金额</w:t>
            </w:r>
          </w:p>
        </w:tc>
        <w:tc>
          <w:tcPr>
            <w:tcW w:w="1845" w:type="dxa"/>
            <w:vAlign w:val="center"/>
          </w:tcPr>
          <w:p w14:paraId="6D5585D1">
            <w:pPr>
              <w:spacing w:line="240" w:lineRule="auto"/>
              <w:jc w:val="center"/>
              <w:rPr>
                <w:szCs w:val="21"/>
              </w:rPr>
            </w:pPr>
            <w:r>
              <w:rPr>
                <w:rFonts w:hint="eastAsia"/>
                <w:szCs w:val="21"/>
              </w:rPr>
              <w:t>货物采购</w:t>
            </w:r>
          </w:p>
        </w:tc>
        <w:tc>
          <w:tcPr>
            <w:tcW w:w="1845" w:type="dxa"/>
            <w:vAlign w:val="center"/>
          </w:tcPr>
          <w:p w14:paraId="1B099DBB">
            <w:pPr>
              <w:spacing w:line="240" w:lineRule="auto"/>
              <w:jc w:val="center"/>
              <w:rPr>
                <w:szCs w:val="21"/>
              </w:rPr>
            </w:pPr>
            <w:r>
              <w:rPr>
                <w:rFonts w:hint="eastAsia"/>
                <w:szCs w:val="21"/>
              </w:rPr>
              <w:t>服务采购</w:t>
            </w:r>
          </w:p>
        </w:tc>
        <w:tc>
          <w:tcPr>
            <w:tcW w:w="1846" w:type="dxa"/>
            <w:vAlign w:val="center"/>
          </w:tcPr>
          <w:p w14:paraId="3E388145">
            <w:pPr>
              <w:spacing w:line="240" w:lineRule="auto"/>
              <w:jc w:val="center"/>
              <w:rPr>
                <w:szCs w:val="21"/>
              </w:rPr>
            </w:pPr>
            <w:r>
              <w:rPr>
                <w:rFonts w:hint="eastAsia"/>
                <w:szCs w:val="21"/>
              </w:rPr>
              <w:t>工程采购</w:t>
            </w:r>
          </w:p>
        </w:tc>
      </w:tr>
      <w:tr w14:paraId="0944B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14:paraId="56905DB9">
            <w:pPr>
              <w:shd w:val="clear" w:color="auto" w:fill="auto"/>
              <w:tabs>
                <w:tab w:val="clear" w:pos="426"/>
              </w:tabs>
              <w:adjustRightInd/>
              <w:snapToGrid/>
              <w:spacing w:line="240" w:lineRule="auto"/>
              <w:jc w:val="left"/>
              <w:rPr>
                <w:szCs w:val="21"/>
              </w:rPr>
            </w:pPr>
            <w:r>
              <w:rPr>
                <w:szCs w:val="21"/>
              </w:rPr>
              <w:t>100</w:t>
            </w:r>
            <w:r>
              <w:rPr>
                <w:rFonts w:hint="eastAsia"/>
                <w:szCs w:val="21"/>
              </w:rPr>
              <w:t>万元以下</w:t>
            </w:r>
          </w:p>
        </w:tc>
        <w:tc>
          <w:tcPr>
            <w:tcW w:w="1845" w:type="dxa"/>
            <w:vAlign w:val="center"/>
          </w:tcPr>
          <w:p w14:paraId="0F1B7B1D">
            <w:pPr>
              <w:spacing w:line="240" w:lineRule="auto"/>
              <w:jc w:val="center"/>
              <w:rPr>
                <w:szCs w:val="21"/>
              </w:rPr>
            </w:pPr>
            <w:r>
              <w:rPr>
                <w:szCs w:val="21"/>
              </w:rPr>
              <w:t>1.500%</w:t>
            </w:r>
          </w:p>
        </w:tc>
        <w:tc>
          <w:tcPr>
            <w:tcW w:w="1845" w:type="dxa"/>
            <w:vAlign w:val="center"/>
          </w:tcPr>
          <w:p w14:paraId="05CE2CE5">
            <w:pPr>
              <w:spacing w:line="240" w:lineRule="auto"/>
              <w:jc w:val="center"/>
              <w:rPr>
                <w:szCs w:val="21"/>
              </w:rPr>
            </w:pPr>
            <w:r>
              <w:rPr>
                <w:szCs w:val="21"/>
              </w:rPr>
              <w:t>1.500%</w:t>
            </w:r>
          </w:p>
        </w:tc>
        <w:tc>
          <w:tcPr>
            <w:tcW w:w="1846" w:type="dxa"/>
            <w:vAlign w:val="center"/>
          </w:tcPr>
          <w:p w14:paraId="4F5DF0B7">
            <w:pPr>
              <w:spacing w:line="240" w:lineRule="auto"/>
              <w:jc w:val="center"/>
              <w:rPr>
                <w:szCs w:val="21"/>
              </w:rPr>
            </w:pPr>
            <w:r>
              <w:rPr>
                <w:szCs w:val="21"/>
              </w:rPr>
              <w:t>1.000%</w:t>
            </w:r>
          </w:p>
        </w:tc>
      </w:tr>
      <w:tr w14:paraId="7DE9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14:paraId="1CF44941">
            <w:pPr>
              <w:spacing w:line="240" w:lineRule="auto"/>
              <w:jc w:val="left"/>
              <w:rPr>
                <w:szCs w:val="21"/>
              </w:rPr>
            </w:pPr>
            <w:r>
              <w:rPr>
                <w:szCs w:val="21"/>
              </w:rPr>
              <w:t>100</w:t>
            </w:r>
            <w:r>
              <w:rPr>
                <w:rFonts w:hint="eastAsia"/>
                <w:szCs w:val="21"/>
              </w:rPr>
              <w:t>万元（含）</w:t>
            </w:r>
            <w:r>
              <w:rPr>
                <w:szCs w:val="21"/>
              </w:rPr>
              <w:t>-500</w:t>
            </w:r>
            <w:r>
              <w:rPr>
                <w:rFonts w:hint="eastAsia"/>
                <w:szCs w:val="21"/>
              </w:rPr>
              <w:t>万元</w:t>
            </w:r>
          </w:p>
        </w:tc>
        <w:tc>
          <w:tcPr>
            <w:tcW w:w="1845" w:type="dxa"/>
            <w:vAlign w:val="center"/>
          </w:tcPr>
          <w:p w14:paraId="4F250DD1">
            <w:pPr>
              <w:spacing w:line="240" w:lineRule="auto"/>
              <w:jc w:val="center"/>
              <w:rPr>
                <w:szCs w:val="21"/>
              </w:rPr>
            </w:pPr>
            <w:r>
              <w:rPr>
                <w:szCs w:val="21"/>
              </w:rPr>
              <w:t>1.100%</w:t>
            </w:r>
          </w:p>
        </w:tc>
        <w:tc>
          <w:tcPr>
            <w:tcW w:w="1845" w:type="dxa"/>
            <w:vAlign w:val="center"/>
          </w:tcPr>
          <w:p w14:paraId="2EAF159C">
            <w:pPr>
              <w:spacing w:line="240" w:lineRule="auto"/>
              <w:jc w:val="center"/>
              <w:rPr>
                <w:szCs w:val="21"/>
              </w:rPr>
            </w:pPr>
            <w:r>
              <w:rPr>
                <w:szCs w:val="21"/>
              </w:rPr>
              <w:t>0.800%</w:t>
            </w:r>
          </w:p>
        </w:tc>
        <w:tc>
          <w:tcPr>
            <w:tcW w:w="1846" w:type="dxa"/>
            <w:vAlign w:val="center"/>
          </w:tcPr>
          <w:p w14:paraId="48598FF1">
            <w:pPr>
              <w:spacing w:line="240" w:lineRule="auto"/>
              <w:jc w:val="center"/>
              <w:rPr>
                <w:szCs w:val="21"/>
              </w:rPr>
            </w:pPr>
            <w:r>
              <w:rPr>
                <w:szCs w:val="21"/>
              </w:rPr>
              <w:t>0.700%</w:t>
            </w:r>
          </w:p>
        </w:tc>
      </w:tr>
      <w:tr w14:paraId="15466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14:paraId="3D1C4E1C">
            <w:pPr>
              <w:spacing w:line="240" w:lineRule="auto"/>
              <w:jc w:val="left"/>
              <w:rPr>
                <w:szCs w:val="21"/>
              </w:rPr>
            </w:pPr>
            <w:r>
              <w:rPr>
                <w:szCs w:val="21"/>
              </w:rPr>
              <w:t>500</w:t>
            </w:r>
            <w:r>
              <w:rPr>
                <w:rFonts w:hint="eastAsia"/>
                <w:szCs w:val="21"/>
              </w:rPr>
              <w:t>万元（含）</w:t>
            </w:r>
            <w:r>
              <w:rPr>
                <w:szCs w:val="21"/>
              </w:rPr>
              <w:t>-1000</w:t>
            </w:r>
            <w:r>
              <w:rPr>
                <w:rFonts w:hint="eastAsia"/>
                <w:szCs w:val="21"/>
              </w:rPr>
              <w:t>万元</w:t>
            </w:r>
          </w:p>
        </w:tc>
        <w:tc>
          <w:tcPr>
            <w:tcW w:w="1845" w:type="dxa"/>
            <w:vAlign w:val="center"/>
          </w:tcPr>
          <w:p w14:paraId="4D47B654">
            <w:pPr>
              <w:spacing w:line="240" w:lineRule="auto"/>
              <w:jc w:val="center"/>
              <w:rPr>
                <w:szCs w:val="21"/>
              </w:rPr>
            </w:pPr>
            <w:r>
              <w:rPr>
                <w:szCs w:val="21"/>
              </w:rPr>
              <w:t>0.800%</w:t>
            </w:r>
          </w:p>
        </w:tc>
        <w:tc>
          <w:tcPr>
            <w:tcW w:w="1845" w:type="dxa"/>
            <w:vAlign w:val="center"/>
          </w:tcPr>
          <w:p w14:paraId="38485009">
            <w:pPr>
              <w:spacing w:line="240" w:lineRule="auto"/>
              <w:jc w:val="center"/>
              <w:rPr>
                <w:szCs w:val="21"/>
              </w:rPr>
            </w:pPr>
            <w:r>
              <w:rPr>
                <w:szCs w:val="21"/>
              </w:rPr>
              <w:t>0.450%</w:t>
            </w:r>
          </w:p>
        </w:tc>
        <w:tc>
          <w:tcPr>
            <w:tcW w:w="1846" w:type="dxa"/>
            <w:vAlign w:val="center"/>
          </w:tcPr>
          <w:p w14:paraId="6F3DB346">
            <w:pPr>
              <w:spacing w:line="240" w:lineRule="auto"/>
              <w:jc w:val="center"/>
              <w:rPr>
                <w:szCs w:val="21"/>
              </w:rPr>
            </w:pPr>
            <w:r>
              <w:rPr>
                <w:szCs w:val="21"/>
              </w:rPr>
              <w:t>0.550%</w:t>
            </w:r>
          </w:p>
        </w:tc>
      </w:tr>
      <w:tr w14:paraId="4D88F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14:paraId="77FB3444">
            <w:pPr>
              <w:spacing w:line="240" w:lineRule="auto"/>
              <w:jc w:val="left"/>
              <w:rPr>
                <w:szCs w:val="21"/>
              </w:rPr>
            </w:pPr>
            <w:r>
              <w:rPr>
                <w:szCs w:val="21"/>
              </w:rPr>
              <w:t>1000</w:t>
            </w:r>
            <w:r>
              <w:rPr>
                <w:rFonts w:hint="eastAsia"/>
                <w:szCs w:val="21"/>
              </w:rPr>
              <w:t>万元（含）</w:t>
            </w:r>
            <w:r>
              <w:rPr>
                <w:szCs w:val="21"/>
              </w:rPr>
              <w:t>-5000</w:t>
            </w:r>
            <w:r>
              <w:rPr>
                <w:rFonts w:hint="eastAsia"/>
                <w:szCs w:val="21"/>
              </w:rPr>
              <w:t>万元</w:t>
            </w:r>
          </w:p>
        </w:tc>
        <w:tc>
          <w:tcPr>
            <w:tcW w:w="1845" w:type="dxa"/>
            <w:vAlign w:val="center"/>
          </w:tcPr>
          <w:p w14:paraId="09A0DC25">
            <w:pPr>
              <w:spacing w:line="240" w:lineRule="auto"/>
              <w:jc w:val="center"/>
              <w:rPr>
                <w:szCs w:val="21"/>
              </w:rPr>
            </w:pPr>
            <w:r>
              <w:rPr>
                <w:szCs w:val="21"/>
              </w:rPr>
              <w:t>0.500%</w:t>
            </w:r>
          </w:p>
        </w:tc>
        <w:tc>
          <w:tcPr>
            <w:tcW w:w="1845" w:type="dxa"/>
            <w:vAlign w:val="center"/>
          </w:tcPr>
          <w:p w14:paraId="631DF6E4">
            <w:pPr>
              <w:spacing w:line="240" w:lineRule="auto"/>
              <w:jc w:val="center"/>
              <w:rPr>
                <w:szCs w:val="21"/>
              </w:rPr>
            </w:pPr>
            <w:r>
              <w:rPr>
                <w:szCs w:val="21"/>
              </w:rPr>
              <w:t>0.250%</w:t>
            </w:r>
          </w:p>
        </w:tc>
        <w:tc>
          <w:tcPr>
            <w:tcW w:w="1846" w:type="dxa"/>
            <w:vAlign w:val="center"/>
          </w:tcPr>
          <w:p w14:paraId="648F3F10">
            <w:pPr>
              <w:spacing w:line="240" w:lineRule="auto"/>
              <w:jc w:val="center"/>
              <w:rPr>
                <w:szCs w:val="21"/>
              </w:rPr>
            </w:pPr>
            <w:r>
              <w:rPr>
                <w:szCs w:val="21"/>
              </w:rPr>
              <w:t>0.350%</w:t>
            </w:r>
          </w:p>
        </w:tc>
      </w:tr>
      <w:tr w14:paraId="3E77C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14:paraId="1E0BF6DA">
            <w:pPr>
              <w:spacing w:line="240" w:lineRule="auto"/>
              <w:jc w:val="left"/>
              <w:rPr>
                <w:szCs w:val="21"/>
              </w:rPr>
            </w:pPr>
            <w:r>
              <w:rPr>
                <w:szCs w:val="21"/>
              </w:rPr>
              <w:t>5000</w:t>
            </w:r>
            <w:r>
              <w:rPr>
                <w:rFonts w:hint="eastAsia"/>
                <w:szCs w:val="21"/>
              </w:rPr>
              <w:t>万元（含）</w:t>
            </w:r>
            <w:r>
              <w:rPr>
                <w:szCs w:val="21"/>
              </w:rPr>
              <w:t>-1</w:t>
            </w:r>
            <w:r>
              <w:rPr>
                <w:rFonts w:hint="eastAsia"/>
                <w:szCs w:val="21"/>
              </w:rPr>
              <w:t>亿元</w:t>
            </w:r>
          </w:p>
        </w:tc>
        <w:tc>
          <w:tcPr>
            <w:tcW w:w="1845" w:type="dxa"/>
            <w:vAlign w:val="center"/>
          </w:tcPr>
          <w:p w14:paraId="0E7EE063">
            <w:pPr>
              <w:spacing w:line="240" w:lineRule="auto"/>
              <w:jc w:val="center"/>
              <w:rPr>
                <w:szCs w:val="21"/>
              </w:rPr>
            </w:pPr>
            <w:r>
              <w:rPr>
                <w:szCs w:val="21"/>
              </w:rPr>
              <w:t>0.250%</w:t>
            </w:r>
          </w:p>
        </w:tc>
        <w:tc>
          <w:tcPr>
            <w:tcW w:w="1845" w:type="dxa"/>
            <w:vAlign w:val="center"/>
          </w:tcPr>
          <w:p w14:paraId="1570C82C">
            <w:pPr>
              <w:spacing w:line="240" w:lineRule="auto"/>
              <w:jc w:val="center"/>
              <w:rPr>
                <w:szCs w:val="21"/>
              </w:rPr>
            </w:pPr>
            <w:r>
              <w:rPr>
                <w:szCs w:val="21"/>
              </w:rPr>
              <w:t>0.100%</w:t>
            </w:r>
          </w:p>
        </w:tc>
        <w:tc>
          <w:tcPr>
            <w:tcW w:w="1846" w:type="dxa"/>
            <w:vAlign w:val="center"/>
          </w:tcPr>
          <w:p w14:paraId="087B6260">
            <w:pPr>
              <w:spacing w:line="240" w:lineRule="auto"/>
              <w:jc w:val="center"/>
              <w:rPr>
                <w:szCs w:val="21"/>
              </w:rPr>
            </w:pPr>
            <w:r>
              <w:rPr>
                <w:szCs w:val="21"/>
              </w:rPr>
              <w:t>0.200%</w:t>
            </w:r>
          </w:p>
        </w:tc>
      </w:tr>
      <w:tr w14:paraId="446A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14:paraId="5DCDC706">
            <w:pPr>
              <w:spacing w:line="240" w:lineRule="auto"/>
              <w:jc w:val="left"/>
              <w:rPr>
                <w:szCs w:val="21"/>
              </w:rPr>
            </w:pPr>
            <w:r>
              <w:rPr>
                <w:szCs w:val="21"/>
              </w:rPr>
              <w:t>1</w:t>
            </w:r>
            <w:r>
              <w:rPr>
                <w:rFonts w:hint="eastAsia"/>
                <w:szCs w:val="21"/>
              </w:rPr>
              <w:t>亿元（含）</w:t>
            </w:r>
            <w:r>
              <w:rPr>
                <w:szCs w:val="21"/>
              </w:rPr>
              <w:t>-5</w:t>
            </w:r>
            <w:r>
              <w:rPr>
                <w:rFonts w:hint="eastAsia"/>
                <w:szCs w:val="21"/>
              </w:rPr>
              <w:t>亿元</w:t>
            </w:r>
          </w:p>
        </w:tc>
        <w:tc>
          <w:tcPr>
            <w:tcW w:w="1845" w:type="dxa"/>
            <w:vAlign w:val="center"/>
          </w:tcPr>
          <w:p w14:paraId="28B097E3">
            <w:pPr>
              <w:spacing w:line="240" w:lineRule="auto"/>
              <w:jc w:val="center"/>
              <w:rPr>
                <w:szCs w:val="21"/>
              </w:rPr>
            </w:pPr>
            <w:r>
              <w:rPr>
                <w:szCs w:val="21"/>
              </w:rPr>
              <w:t>0.050%</w:t>
            </w:r>
          </w:p>
        </w:tc>
        <w:tc>
          <w:tcPr>
            <w:tcW w:w="1845" w:type="dxa"/>
            <w:vAlign w:val="center"/>
          </w:tcPr>
          <w:p w14:paraId="1282472C">
            <w:pPr>
              <w:spacing w:line="240" w:lineRule="auto"/>
              <w:jc w:val="center"/>
              <w:rPr>
                <w:szCs w:val="21"/>
              </w:rPr>
            </w:pPr>
            <w:r>
              <w:rPr>
                <w:szCs w:val="21"/>
              </w:rPr>
              <w:t>0.050%</w:t>
            </w:r>
          </w:p>
        </w:tc>
        <w:tc>
          <w:tcPr>
            <w:tcW w:w="1846" w:type="dxa"/>
            <w:vAlign w:val="center"/>
          </w:tcPr>
          <w:p w14:paraId="41DE11E3">
            <w:pPr>
              <w:spacing w:line="240" w:lineRule="auto"/>
              <w:jc w:val="center"/>
              <w:rPr>
                <w:szCs w:val="21"/>
              </w:rPr>
            </w:pPr>
            <w:r>
              <w:rPr>
                <w:szCs w:val="21"/>
              </w:rPr>
              <w:t>0.050%</w:t>
            </w:r>
          </w:p>
        </w:tc>
      </w:tr>
      <w:tr w14:paraId="4611A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14:paraId="3D90DA3F">
            <w:pPr>
              <w:spacing w:line="240" w:lineRule="auto"/>
              <w:jc w:val="left"/>
              <w:rPr>
                <w:szCs w:val="21"/>
              </w:rPr>
            </w:pPr>
            <w:r>
              <w:rPr>
                <w:szCs w:val="21"/>
              </w:rPr>
              <w:t>5</w:t>
            </w:r>
            <w:r>
              <w:rPr>
                <w:rFonts w:hint="eastAsia"/>
                <w:szCs w:val="21"/>
              </w:rPr>
              <w:t>亿元（含）</w:t>
            </w:r>
            <w:r>
              <w:rPr>
                <w:szCs w:val="21"/>
              </w:rPr>
              <w:t>-10</w:t>
            </w:r>
            <w:r>
              <w:rPr>
                <w:rFonts w:hint="eastAsia"/>
                <w:szCs w:val="21"/>
              </w:rPr>
              <w:t>亿元</w:t>
            </w:r>
          </w:p>
        </w:tc>
        <w:tc>
          <w:tcPr>
            <w:tcW w:w="1845" w:type="dxa"/>
            <w:vAlign w:val="center"/>
          </w:tcPr>
          <w:p w14:paraId="023640A4">
            <w:pPr>
              <w:spacing w:line="240" w:lineRule="auto"/>
              <w:jc w:val="center"/>
              <w:rPr>
                <w:szCs w:val="21"/>
              </w:rPr>
            </w:pPr>
            <w:r>
              <w:rPr>
                <w:szCs w:val="21"/>
              </w:rPr>
              <w:t>0.035%</w:t>
            </w:r>
          </w:p>
        </w:tc>
        <w:tc>
          <w:tcPr>
            <w:tcW w:w="1845" w:type="dxa"/>
            <w:vAlign w:val="center"/>
          </w:tcPr>
          <w:p w14:paraId="04BB9891">
            <w:pPr>
              <w:spacing w:line="240" w:lineRule="auto"/>
              <w:jc w:val="center"/>
              <w:rPr>
                <w:szCs w:val="21"/>
              </w:rPr>
            </w:pPr>
            <w:r>
              <w:rPr>
                <w:szCs w:val="21"/>
              </w:rPr>
              <w:t>0.035%</w:t>
            </w:r>
          </w:p>
        </w:tc>
        <w:tc>
          <w:tcPr>
            <w:tcW w:w="1846" w:type="dxa"/>
            <w:vAlign w:val="center"/>
          </w:tcPr>
          <w:p w14:paraId="5BDC2936">
            <w:pPr>
              <w:spacing w:line="240" w:lineRule="auto"/>
              <w:jc w:val="center"/>
              <w:rPr>
                <w:szCs w:val="21"/>
              </w:rPr>
            </w:pPr>
            <w:r>
              <w:rPr>
                <w:szCs w:val="21"/>
              </w:rPr>
              <w:t>0.035%</w:t>
            </w:r>
          </w:p>
        </w:tc>
      </w:tr>
      <w:tr w14:paraId="485AF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14:paraId="51443537">
            <w:pPr>
              <w:spacing w:line="240" w:lineRule="auto"/>
              <w:jc w:val="left"/>
              <w:rPr>
                <w:szCs w:val="21"/>
              </w:rPr>
            </w:pPr>
            <w:r>
              <w:rPr>
                <w:szCs w:val="21"/>
              </w:rPr>
              <w:t>10</w:t>
            </w:r>
            <w:r>
              <w:rPr>
                <w:rFonts w:hint="eastAsia"/>
                <w:szCs w:val="21"/>
              </w:rPr>
              <w:t>亿元（含）</w:t>
            </w:r>
            <w:r>
              <w:rPr>
                <w:szCs w:val="21"/>
              </w:rPr>
              <w:t>-50</w:t>
            </w:r>
            <w:r>
              <w:rPr>
                <w:rFonts w:hint="eastAsia"/>
                <w:szCs w:val="21"/>
              </w:rPr>
              <w:t>亿元</w:t>
            </w:r>
          </w:p>
        </w:tc>
        <w:tc>
          <w:tcPr>
            <w:tcW w:w="1845" w:type="dxa"/>
            <w:vAlign w:val="center"/>
          </w:tcPr>
          <w:p w14:paraId="1D4E6768">
            <w:pPr>
              <w:spacing w:line="240" w:lineRule="auto"/>
              <w:jc w:val="center"/>
              <w:rPr>
                <w:szCs w:val="21"/>
              </w:rPr>
            </w:pPr>
            <w:r>
              <w:rPr>
                <w:szCs w:val="21"/>
              </w:rPr>
              <w:t>0.008%</w:t>
            </w:r>
          </w:p>
        </w:tc>
        <w:tc>
          <w:tcPr>
            <w:tcW w:w="1845" w:type="dxa"/>
            <w:vAlign w:val="center"/>
          </w:tcPr>
          <w:p w14:paraId="72D387DA">
            <w:pPr>
              <w:spacing w:line="240" w:lineRule="auto"/>
              <w:jc w:val="center"/>
              <w:rPr>
                <w:szCs w:val="21"/>
              </w:rPr>
            </w:pPr>
            <w:r>
              <w:rPr>
                <w:szCs w:val="21"/>
              </w:rPr>
              <w:t>0.008%</w:t>
            </w:r>
          </w:p>
        </w:tc>
        <w:tc>
          <w:tcPr>
            <w:tcW w:w="1846" w:type="dxa"/>
            <w:vAlign w:val="center"/>
          </w:tcPr>
          <w:p w14:paraId="49B63831">
            <w:pPr>
              <w:spacing w:line="240" w:lineRule="auto"/>
              <w:jc w:val="center"/>
              <w:rPr>
                <w:szCs w:val="21"/>
              </w:rPr>
            </w:pPr>
            <w:r>
              <w:rPr>
                <w:szCs w:val="21"/>
              </w:rPr>
              <w:t>0.008%</w:t>
            </w:r>
          </w:p>
        </w:tc>
      </w:tr>
      <w:tr w14:paraId="39CF1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86" w:type="dxa"/>
            <w:vAlign w:val="center"/>
          </w:tcPr>
          <w:p w14:paraId="575A5B88">
            <w:pPr>
              <w:spacing w:line="240" w:lineRule="auto"/>
              <w:jc w:val="left"/>
              <w:rPr>
                <w:szCs w:val="21"/>
              </w:rPr>
            </w:pPr>
            <w:r>
              <w:rPr>
                <w:szCs w:val="21"/>
              </w:rPr>
              <w:t>50</w:t>
            </w:r>
            <w:r>
              <w:rPr>
                <w:rFonts w:hint="eastAsia"/>
                <w:szCs w:val="21"/>
              </w:rPr>
              <w:t>亿元（含）</w:t>
            </w:r>
            <w:r>
              <w:rPr>
                <w:szCs w:val="21"/>
              </w:rPr>
              <w:t>-100</w:t>
            </w:r>
            <w:r>
              <w:rPr>
                <w:rFonts w:hint="eastAsia"/>
                <w:szCs w:val="21"/>
              </w:rPr>
              <w:t>亿元</w:t>
            </w:r>
          </w:p>
        </w:tc>
        <w:tc>
          <w:tcPr>
            <w:tcW w:w="1845" w:type="dxa"/>
            <w:vAlign w:val="center"/>
          </w:tcPr>
          <w:p w14:paraId="32613E14">
            <w:pPr>
              <w:spacing w:line="240" w:lineRule="auto"/>
              <w:jc w:val="center"/>
              <w:rPr>
                <w:szCs w:val="21"/>
              </w:rPr>
            </w:pPr>
            <w:r>
              <w:rPr>
                <w:szCs w:val="21"/>
              </w:rPr>
              <w:t>0.006%</w:t>
            </w:r>
          </w:p>
        </w:tc>
        <w:tc>
          <w:tcPr>
            <w:tcW w:w="1845" w:type="dxa"/>
            <w:vAlign w:val="center"/>
          </w:tcPr>
          <w:p w14:paraId="3BEB4932">
            <w:pPr>
              <w:spacing w:line="240" w:lineRule="auto"/>
              <w:jc w:val="center"/>
              <w:rPr>
                <w:szCs w:val="21"/>
              </w:rPr>
            </w:pPr>
            <w:r>
              <w:rPr>
                <w:szCs w:val="21"/>
              </w:rPr>
              <w:t>0.006%</w:t>
            </w:r>
          </w:p>
        </w:tc>
        <w:tc>
          <w:tcPr>
            <w:tcW w:w="1846" w:type="dxa"/>
            <w:vAlign w:val="center"/>
          </w:tcPr>
          <w:p w14:paraId="68CFA277">
            <w:pPr>
              <w:spacing w:line="240" w:lineRule="auto"/>
              <w:jc w:val="center"/>
              <w:rPr>
                <w:szCs w:val="21"/>
              </w:rPr>
            </w:pPr>
            <w:r>
              <w:rPr>
                <w:szCs w:val="21"/>
              </w:rPr>
              <w:t>0.006%</w:t>
            </w:r>
          </w:p>
        </w:tc>
      </w:tr>
    </w:tbl>
    <w:p w14:paraId="1BF9F1CE">
      <w:pPr>
        <w:tabs>
          <w:tab w:val="clear" w:pos="426"/>
        </w:tabs>
        <w:ind w:left="424" w:leftChars="202" w:firstLine="440" w:firstLineChars="200"/>
        <w:rPr>
          <w:sz w:val="22"/>
        </w:rPr>
      </w:pPr>
      <w:r>
        <w:rPr>
          <w:rFonts w:hint="eastAsia"/>
          <w:sz w:val="22"/>
        </w:rPr>
        <w:t>以某150万项目服务类招标为例：</w:t>
      </w:r>
    </w:p>
    <w:p w14:paraId="3374CB47">
      <w:pPr>
        <w:tabs>
          <w:tab w:val="clear" w:pos="426"/>
        </w:tabs>
        <w:ind w:left="424" w:leftChars="202" w:firstLine="440" w:firstLineChars="200"/>
        <w:rPr>
          <w:sz w:val="22"/>
        </w:rPr>
      </w:pPr>
      <w:r>
        <w:rPr>
          <w:rFonts w:hint="eastAsia"/>
          <w:sz w:val="22"/>
        </w:rPr>
        <w:t>计算基准价为中标价150万元，则招标代理服务费计算为：</w:t>
      </w:r>
    </w:p>
    <w:p w14:paraId="681FF6A5">
      <w:pPr>
        <w:tabs>
          <w:tab w:val="clear" w:pos="426"/>
        </w:tabs>
        <w:ind w:left="424" w:leftChars="202" w:firstLine="440" w:firstLineChars="200"/>
        <w:rPr>
          <w:sz w:val="22"/>
        </w:rPr>
      </w:pPr>
      <w:r>
        <w:rPr>
          <w:sz w:val="22"/>
        </w:rPr>
        <w:t>100</w:t>
      </w:r>
      <w:r>
        <w:rPr>
          <w:rFonts w:hint="eastAsia"/>
          <w:sz w:val="22"/>
        </w:rPr>
        <w:t>万元×</w:t>
      </w:r>
      <w:r>
        <w:rPr>
          <w:sz w:val="22"/>
        </w:rPr>
        <w:t>1.5%=1.5</w:t>
      </w:r>
      <w:r>
        <w:rPr>
          <w:rFonts w:hint="eastAsia"/>
          <w:sz w:val="22"/>
        </w:rPr>
        <w:t>万元</w:t>
      </w:r>
    </w:p>
    <w:p w14:paraId="72B2D2E2">
      <w:pPr>
        <w:tabs>
          <w:tab w:val="clear" w:pos="426"/>
        </w:tabs>
        <w:ind w:left="424" w:leftChars="202" w:firstLine="440" w:firstLineChars="200"/>
        <w:rPr>
          <w:sz w:val="22"/>
        </w:rPr>
      </w:pPr>
      <w:r>
        <w:rPr>
          <w:rFonts w:hint="eastAsia"/>
          <w:sz w:val="22"/>
        </w:rPr>
        <w:t>（150</w:t>
      </w:r>
      <w:r>
        <w:rPr>
          <w:sz w:val="22"/>
        </w:rPr>
        <w:t>-100</w:t>
      </w:r>
      <w:r>
        <w:rPr>
          <w:rFonts w:hint="eastAsia"/>
          <w:sz w:val="22"/>
        </w:rPr>
        <w:t>）万元×</w:t>
      </w:r>
      <w:r>
        <w:rPr>
          <w:sz w:val="22"/>
        </w:rPr>
        <w:t>0.8%=</w:t>
      </w:r>
      <w:r>
        <w:rPr>
          <w:rFonts w:hint="eastAsia"/>
          <w:sz w:val="22"/>
        </w:rPr>
        <w:t>0.4万元</w:t>
      </w:r>
    </w:p>
    <w:p w14:paraId="367CB54F">
      <w:pPr>
        <w:tabs>
          <w:tab w:val="clear" w:pos="426"/>
        </w:tabs>
        <w:ind w:left="424" w:leftChars="202" w:firstLine="440" w:firstLineChars="200"/>
        <w:rPr>
          <w:sz w:val="22"/>
        </w:rPr>
      </w:pPr>
      <w:r>
        <w:rPr>
          <w:rFonts w:hint="eastAsia"/>
          <w:sz w:val="22"/>
        </w:rPr>
        <w:t>因此，招标代理服务费为：（</w:t>
      </w:r>
      <w:r>
        <w:rPr>
          <w:sz w:val="22"/>
        </w:rPr>
        <w:t>1.5+</w:t>
      </w:r>
      <w:r>
        <w:rPr>
          <w:rFonts w:hint="eastAsia"/>
          <w:sz w:val="22"/>
        </w:rPr>
        <w:t>0.4）×（1</w:t>
      </w:r>
      <w:r>
        <w:rPr>
          <w:sz w:val="22"/>
        </w:rPr>
        <w:t>-20%</w:t>
      </w:r>
      <w:r>
        <w:rPr>
          <w:rFonts w:hint="eastAsia"/>
          <w:sz w:val="22"/>
        </w:rPr>
        <w:t>）</w:t>
      </w:r>
      <w:r>
        <w:rPr>
          <w:sz w:val="22"/>
        </w:rPr>
        <w:t>=</w:t>
      </w:r>
      <w:r>
        <w:rPr>
          <w:rFonts w:hint="eastAsia"/>
          <w:sz w:val="22"/>
        </w:rPr>
        <w:t>1.52万元。</w:t>
      </w:r>
    </w:p>
    <w:p w14:paraId="2697086E">
      <w:pPr>
        <w:shd w:val="clear" w:color="auto" w:fill="auto"/>
        <w:tabs>
          <w:tab w:val="clear" w:pos="426"/>
        </w:tabs>
        <w:adjustRightInd/>
        <w:snapToGrid/>
        <w:spacing w:line="240" w:lineRule="auto"/>
        <w:jc w:val="left"/>
        <w:rPr>
          <w:rFonts w:ascii="方正仿宋_GBK" w:eastAsia="方正仿宋_GBK" w:cs="Sylfaen"/>
          <w:sz w:val="28"/>
          <w:szCs w:val="28"/>
        </w:rPr>
      </w:pPr>
    </w:p>
    <w:p w14:paraId="686A7F2D">
      <w:pPr>
        <w:shd w:val="clear" w:color="auto" w:fill="auto"/>
        <w:tabs>
          <w:tab w:val="clear" w:pos="426"/>
        </w:tabs>
        <w:adjustRightInd/>
        <w:snapToGrid/>
        <w:spacing w:line="240" w:lineRule="auto"/>
        <w:ind w:firstLine="560" w:firstLineChars="200"/>
        <w:rPr>
          <w:rFonts w:ascii="方正仿宋_GBK" w:eastAsia="方正仿宋_GBK" w:cs="Sylfaen"/>
          <w:sz w:val="28"/>
          <w:szCs w:val="28"/>
        </w:rPr>
      </w:pPr>
    </w:p>
    <w:p w14:paraId="14B6207A">
      <w:pPr>
        <w:tabs>
          <w:tab w:val="clear" w:pos="426"/>
        </w:tabs>
        <w:ind w:left="424" w:leftChars="202" w:firstLine="440" w:firstLineChars="200"/>
        <w:rPr>
          <w:sz w:val="22"/>
        </w:rPr>
      </w:pPr>
    </w:p>
    <w:sectPr>
      <w:footerReference r:id="rId12" w:type="default"/>
      <w:pgSz w:w="11906" w:h="16838"/>
      <w:pgMar w:top="1134" w:right="1134" w:bottom="1134" w:left="1418" w:header="851" w:footer="992" w:gutter="0"/>
      <w:cols w:space="720" w:num="1"/>
      <w:titlePg/>
      <w:docGrid w:type="lines" w:linePitch="46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C6A020C2-0FC1-4A0F-8222-2895634A56A9}"/>
  </w:font>
  <w:font w:name="黑体">
    <w:panose1 w:val="02010609060101010101"/>
    <w:charset w:val="86"/>
    <w:family w:val="auto"/>
    <w:pitch w:val="default"/>
    <w:sig w:usb0="800002BF" w:usb1="38CF7CFA" w:usb2="00000016" w:usb3="00000000" w:csb0="00040001" w:csb1="00000000"/>
    <w:embedRegular r:id="rId2" w:fontKey="{54E9FCFE-81A1-44B9-A499-8D8844BAE08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4DBA3035-F9FC-4C9E-828A-E4BD9578C3DF}"/>
  </w:font>
  <w:font w:name="Cambria">
    <w:panose1 w:val="02040503050406030204"/>
    <w:charset w:val="00"/>
    <w:family w:val="roman"/>
    <w:pitch w:val="default"/>
    <w:sig w:usb0="E00006FF" w:usb1="420024FF" w:usb2="02000000" w:usb3="00000000" w:csb0="2000019F" w:csb1="00000000"/>
    <w:embedRegular r:id="rId4" w:fontKey="{6C024E67-B821-4FAE-B6A6-7D5BB59CFE71}"/>
  </w:font>
  <w:font w:name="Arial Unicode MS">
    <w:altName w:val="宋体"/>
    <w:panose1 w:val="020B0604020202020204"/>
    <w:charset w:val="86"/>
    <w:family w:val="swiss"/>
    <w:pitch w:val="default"/>
    <w:sig w:usb0="00000000" w:usb1="00000000" w:usb2="0000003F" w:usb3="00000000" w:csb0="003F01FF"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embedRegular r:id="rId5" w:fontKey="{AD6E195F-5C5E-4EE5-98B2-2D705D8034AC}"/>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00" w:csb1="00000000"/>
  </w:font>
  <w:font w:name="Tahoma">
    <w:panose1 w:val="020B0604030504040204"/>
    <w:charset w:val="00"/>
    <w:family w:val="swiss"/>
    <w:pitch w:val="default"/>
    <w:sig w:usb0="E1002EFF" w:usb1="C000605B" w:usb2="00000029" w:usb3="00000000" w:csb0="200101FF" w:csb1="20280000"/>
  </w:font>
  <w:font w:name="文鼎粗黑">
    <w:altName w:val="黑体"/>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E4002EFF" w:usb1="C000247B" w:usb2="00000009" w:usb3="00000000" w:csb0="200001FF" w:csb1="00000000"/>
  </w:font>
  <w:font w:name="ˎ̥">
    <w:altName w:val="Times New Roman"/>
    <w:panose1 w:val="00000000000000000000"/>
    <w:charset w:val="00"/>
    <w:family w:val="roman"/>
    <w:pitch w:val="default"/>
    <w:sig w:usb0="00000000" w:usb1="00000000" w:usb2="00000000" w:usb3="00000000" w:csb0="0000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细黑">
    <w:altName w:val="微软雅黑"/>
    <w:panose1 w:val="02010600040101010101"/>
    <w:charset w:val="86"/>
    <w:family w:val="auto"/>
    <w:pitch w:val="default"/>
    <w:sig w:usb0="00000000" w:usb1="00000000" w:usb2="00000010" w:usb3="00000000" w:csb0="0004009F" w:csb1="00000000"/>
  </w:font>
  <w:font w:name="微软雅黑">
    <w:panose1 w:val="020B0503020204020204"/>
    <w:charset w:val="86"/>
    <w:family w:val="swiss"/>
    <w:pitch w:val="default"/>
    <w:sig w:usb0="80000287" w:usb1="2ACF3C50" w:usb2="00000016" w:usb3="00000000" w:csb0="0004001F" w:csb1="00000000"/>
  </w:font>
  <w:font w:name="幼圆">
    <w:altName w:val="宋体"/>
    <w:panose1 w:val="02010509060101010101"/>
    <w:charset w:val="86"/>
    <w:family w:val="modern"/>
    <w:pitch w:val="default"/>
    <w:sig w:usb0="00000000" w:usb1="00000000" w:usb2="00000010" w:usb3="00000000" w:csb0="00040000" w:csb1="00000000"/>
  </w:font>
  <w:font w:name="华康简标题宋">
    <w:altName w:val="宋体"/>
    <w:panose1 w:val="00000000000000000000"/>
    <w:charset w:val="86"/>
    <w:family w:val="modern"/>
    <w:pitch w:val="default"/>
    <w:sig w:usb0="00000000" w:usb1="00000000" w:usb2="00000010" w:usb3="00000000" w:csb0="00040000" w:csb1="00000000"/>
  </w:font>
  <w:font w:name="微软雅黑 Light">
    <w:panose1 w:val="020B0502040204020203"/>
    <w:charset w:val="86"/>
    <w:family w:val="swiss"/>
    <w:pitch w:val="default"/>
    <w:sig w:usb0="80000287" w:usb1="2ACF0010" w:usb2="00000016" w:usb3="00000000" w:csb0="0004001F" w:csb1="00000000"/>
  </w:font>
  <w:font w:name="仿宋体">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86"/>
    <w:family w:val="script"/>
    <w:pitch w:val="default"/>
    <w:sig w:usb0="00000000" w:usb1="00000000" w:usb2="00000000" w:usb3="00000000" w:csb0="00040000" w:csb1="00000000"/>
    <w:embedRegular r:id="rId6" w:fontKey="{6A860531-B5AF-4365-B159-7F63B696B619}"/>
  </w:font>
  <w:font w:name="Sylfaen">
    <w:panose1 w:val="010A0502050306030303"/>
    <w:charset w:val="00"/>
    <w:family w:val="roman"/>
    <w:pitch w:val="default"/>
    <w:sig w:usb0="04000687" w:usb1="00000000" w:usb2="00000000" w:usb3="00000000" w:csb0="2000009F" w:csb1="00000000"/>
    <w:embedRegular r:id="rId7" w:fontKey="{210E964F-2410-41AC-A490-8E2081C3F80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F1A6E7">
    <w:pPr>
      <w:pStyle w:val="54"/>
      <w:rPr>
        <w:rStyle w:val="90"/>
      </w:rPr>
    </w:pPr>
    <w:r>
      <w:rPr>
        <w:rStyle w:val="90"/>
      </w:rPr>
      <w:fldChar w:fldCharType="begin"/>
    </w:r>
    <w:r>
      <w:rPr>
        <w:rStyle w:val="90"/>
      </w:rPr>
      <w:instrText xml:space="preserve">PAGE  </w:instrText>
    </w:r>
    <w:r>
      <w:rPr>
        <w:rStyle w:val="90"/>
      </w:rPr>
      <w:fldChar w:fldCharType="separate"/>
    </w:r>
    <w:r>
      <w:rPr>
        <w:rStyle w:val="90"/>
      </w:rPr>
      <w:t>65</w:t>
    </w:r>
    <w:r>
      <w:rPr>
        <w:rStyle w:val="90"/>
      </w:rPr>
      <w:fldChar w:fldCharType="end"/>
    </w:r>
  </w:p>
  <w:p w14:paraId="6814D252">
    <w:pPr>
      <w:pStyle w:val="5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4EA84">
    <w:pPr>
      <w:pStyle w:val="54"/>
      <w:jc w:val="center"/>
    </w:pPr>
    <w:r>
      <w:fldChar w:fldCharType="begin"/>
    </w:r>
    <w:r>
      <w:instrText xml:space="preserve"> PAGE   \* MERGEFORMAT </w:instrText>
    </w:r>
    <w:r>
      <w:fldChar w:fldCharType="separate"/>
    </w:r>
    <w:r>
      <w:rPr>
        <w:lang w:val="zh-CN"/>
      </w:rPr>
      <w:t>10</w:t>
    </w:r>
    <w:r>
      <w:rPr>
        <w:lang w:val="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42049">
    <w:pPr>
      <w:pStyle w:val="54"/>
      <w:jc w:val="center"/>
    </w:pPr>
    <w:r>
      <w:fldChar w:fldCharType="begin"/>
    </w:r>
    <w:r>
      <w:instrText xml:space="preserve"> PAGE   \* MERGEFORMAT </w:instrText>
    </w:r>
    <w:r>
      <w:fldChar w:fldCharType="separate"/>
    </w:r>
    <w:r>
      <w:rPr>
        <w:lang w:val="zh-CN"/>
      </w:rPr>
      <w:t>11</w:t>
    </w:r>
    <w:r>
      <w:rPr>
        <w:lang w:val="zh-CN"/>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8FC2D">
    <w:pPr>
      <w:pStyle w:val="54"/>
      <w:jc w:val="center"/>
    </w:pPr>
    <w:r>
      <w:fldChar w:fldCharType="begin"/>
    </w:r>
    <w:r>
      <w:instrText xml:space="preserve">PAGE   \* MERGEFORMAT</w:instrText>
    </w:r>
    <w:r>
      <w:fldChar w:fldCharType="separate"/>
    </w:r>
    <w:r>
      <w:rPr>
        <w:lang w:val="zh-CN"/>
      </w:rPr>
      <w:t>32</w:t>
    </w:r>
    <w:r>
      <w:rPr>
        <w:lang w:val="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67012">
    <w:pPr>
      <w:pStyle w:val="55"/>
      <w:ind w:left="420"/>
    </w:pPr>
    <w:r>
      <w:rPr>
        <w:rFonts w:hint="eastAsia"/>
      </w:rPr>
      <w:t>广东省深圳市消防救援支队特勤大队2025年深中通道消防站物业管理服务采购项目-项目编号：SSZX2025-025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C4F31">
    <w:pPr>
      <w:pStyle w:val="55"/>
      <w:ind w:left="420"/>
    </w:pPr>
    <w:bookmarkStart w:id="183" w:name="_Hlk152925176"/>
    <w:r>
      <w:rPr>
        <w:rFonts w:hint="eastAsia"/>
      </w:rPr>
      <w:t>广东省深圳市消防救援支队特勤大队2025年深中通道消防站物业管理服务采购项目-项目编号：</w:t>
    </w:r>
    <w:bookmarkEnd w:id="183"/>
    <w:r>
      <w:rPr>
        <w:rFonts w:hint="eastAsia"/>
      </w:rPr>
      <w:t>SSZX2025-025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231B95">
    <w:pPr>
      <w:pStyle w:val="55"/>
    </w:pPr>
    <w:r>
      <w:rPr>
        <w:rFonts w:hint="eastAsia"/>
      </w:rPr>
      <w:t>广东省深圳市消防救援支队特勤大队2025年深中通道消防站物业管理服务采购项目</w:t>
    </w:r>
    <w:r>
      <w:t>-</w:t>
    </w:r>
    <w:r>
      <w:rPr>
        <w:rFonts w:hint="eastAsia"/>
      </w:rPr>
      <w:t>项目编号：SSZX2025-025</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A098A">
    <w:pPr>
      <w:pStyle w:val="55"/>
    </w:pPr>
    <w:r>
      <w:rPr>
        <w:rFonts w:hint="eastAsia"/>
      </w:rPr>
      <w:t>广东省深圳市消防救援支队特勤大队2025年深中通道消防站物业管理服务采购项目-项目编号：SSZX2025-025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9D3C3D"/>
    <w:multiLevelType w:val="multilevel"/>
    <w:tmpl w:val="9C9D3C3D"/>
    <w:lvl w:ilvl="0" w:tentative="0">
      <w:start w:val="1"/>
      <w:numFmt w:val="decimal"/>
      <w:pStyle w:val="156"/>
      <w:lvlText w:val="%1)"/>
      <w:lvlJc w:val="left"/>
      <w:pPr>
        <w:tabs>
          <w:tab w:val="left" w:pos="0"/>
        </w:tabs>
        <w:ind w:left="420" w:hanging="420"/>
      </w:pPr>
      <w:rPr>
        <w:rFonts w:hint="default"/>
      </w:rPr>
    </w:lvl>
    <w:lvl w:ilvl="1" w:tentative="0">
      <w:start w:val="1"/>
      <w:numFmt w:val="bullet"/>
      <w:lvlText w:val=""/>
      <w:lvlJc w:val="left"/>
      <w:pPr>
        <w:tabs>
          <w:tab w:val="left" w:pos="0"/>
        </w:tabs>
        <w:ind w:left="1260" w:hanging="420"/>
      </w:pPr>
      <w:rPr>
        <w:rFonts w:hint="default" w:ascii="Wingdings" w:hAnsi="Wingdings"/>
      </w:rPr>
    </w:lvl>
    <w:lvl w:ilvl="2" w:tentative="0">
      <w:start w:val="1"/>
      <w:numFmt w:val="bullet"/>
      <w:lvlText w:val=""/>
      <w:lvlJc w:val="left"/>
      <w:pPr>
        <w:tabs>
          <w:tab w:val="left" w:pos="0"/>
        </w:tabs>
        <w:ind w:left="1680" w:hanging="420"/>
      </w:pPr>
      <w:rPr>
        <w:rFonts w:hint="default" w:ascii="Wingdings" w:hAnsi="Wingdings"/>
      </w:rPr>
    </w:lvl>
    <w:lvl w:ilvl="3" w:tentative="0">
      <w:start w:val="1"/>
      <w:numFmt w:val="bullet"/>
      <w:lvlText w:val=""/>
      <w:lvlJc w:val="left"/>
      <w:pPr>
        <w:tabs>
          <w:tab w:val="left" w:pos="0"/>
        </w:tabs>
        <w:ind w:left="2100" w:hanging="420"/>
      </w:pPr>
      <w:rPr>
        <w:rFonts w:hint="default" w:ascii="Wingdings" w:hAnsi="Wingdings"/>
      </w:rPr>
    </w:lvl>
    <w:lvl w:ilvl="4" w:tentative="0">
      <w:start w:val="1"/>
      <w:numFmt w:val="bullet"/>
      <w:lvlText w:val=""/>
      <w:lvlJc w:val="left"/>
      <w:pPr>
        <w:tabs>
          <w:tab w:val="left" w:pos="0"/>
        </w:tabs>
        <w:ind w:left="2520" w:hanging="420"/>
      </w:pPr>
      <w:rPr>
        <w:rFonts w:hint="default" w:ascii="Wingdings" w:hAnsi="Wingdings"/>
      </w:rPr>
    </w:lvl>
    <w:lvl w:ilvl="5" w:tentative="0">
      <w:start w:val="1"/>
      <w:numFmt w:val="bullet"/>
      <w:lvlText w:val=""/>
      <w:lvlJc w:val="left"/>
      <w:pPr>
        <w:tabs>
          <w:tab w:val="left" w:pos="0"/>
        </w:tabs>
        <w:ind w:left="2940" w:hanging="420"/>
      </w:pPr>
      <w:rPr>
        <w:rFonts w:hint="default" w:ascii="Wingdings" w:hAnsi="Wingdings"/>
      </w:rPr>
    </w:lvl>
    <w:lvl w:ilvl="6" w:tentative="0">
      <w:start w:val="1"/>
      <w:numFmt w:val="bullet"/>
      <w:lvlText w:val=""/>
      <w:lvlJc w:val="left"/>
      <w:pPr>
        <w:tabs>
          <w:tab w:val="left" w:pos="0"/>
        </w:tabs>
        <w:ind w:left="3360" w:hanging="420"/>
      </w:pPr>
      <w:rPr>
        <w:rFonts w:hint="default" w:ascii="Wingdings" w:hAnsi="Wingdings"/>
      </w:rPr>
    </w:lvl>
    <w:lvl w:ilvl="7" w:tentative="0">
      <w:start w:val="1"/>
      <w:numFmt w:val="bullet"/>
      <w:lvlText w:val=""/>
      <w:lvlJc w:val="left"/>
      <w:pPr>
        <w:tabs>
          <w:tab w:val="left" w:pos="0"/>
        </w:tabs>
        <w:ind w:left="3780" w:hanging="420"/>
      </w:pPr>
      <w:rPr>
        <w:rFonts w:hint="default" w:ascii="Wingdings" w:hAnsi="Wingdings"/>
      </w:rPr>
    </w:lvl>
    <w:lvl w:ilvl="8" w:tentative="0">
      <w:start w:val="1"/>
      <w:numFmt w:val="bullet"/>
      <w:lvlText w:val=""/>
      <w:lvlJc w:val="left"/>
      <w:pPr>
        <w:tabs>
          <w:tab w:val="left" w:pos="0"/>
        </w:tabs>
        <w:ind w:left="4200" w:hanging="420"/>
      </w:pPr>
      <w:rPr>
        <w:rFonts w:hint="default" w:ascii="Wingdings" w:hAnsi="Wingdings"/>
      </w:rPr>
    </w:lvl>
  </w:abstractNum>
  <w:abstractNum w:abstractNumId="1">
    <w:nsid w:val="9DF148B3"/>
    <w:multiLevelType w:val="multilevel"/>
    <w:tmpl w:val="9DF148B3"/>
    <w:lvl w:ilvl="0" w:tentative="0">
      <w:start w:val="1"/>
      <w:numFmt w:val="chineseCountingThousand"/>
      <w:pStyle w:val="391"/>
      <w:suff w:val="space"/>
      <w:lvlText w:val="第%1章"/>
      <w:lvlJc w:val="left"/>
      <w:pPr>
        <w:tabs>
          <w:tab w:val="left" w:pos="0"/>
        </w:tabs>
        <w:ind w:left="284" w:hanging="284"/>
      </w:pPr>
      <w:rPr>
        <w:rFonts w:hint="eastAsia" w:ascii="黑体" w:hAnsi="黑体" w:eastAsia="黑体"/>
        <w:sz w:val="30"/>
      </w:rPr>
    </w:lvl>
    <w:lvl w:ilvl="1" w:tentative="0">
      <w:start w:val="1"/>
      <w:numFmt w:val="decimal"/>
      <w:isLgl/>
      <w:suff w:val="space"/>
      <w:lvlText w:val="%1.%2"/>
      <w:lvlJc w:val="left"/>
      <w:pPr>
        <w:tabs>
          <w:tab w:val="left" w:pos="0"/>
        </w:tabs>
        <w:ind w:left="284" w:hanging="284"/>
      </w:pPr>
      <w:rPr>
        <w:rFonts w:hint="eastAsia" w:ascii="黑体" w:hAnsi="黑体" w:eastAsia="黑体"/>
        <w:sz w:val="28"/>
      </w:rPr>
    </w:lvl>
    <w:lvl w:ilvl="2" w:tentative="0">
      <w:start w:val="1"/>
      <w:numFmt w:val="decimal"/>
      <w:isLgl/>
      <w:suff w:val="space"/>
      <w:lvlText w:val="%1.%2.%3"/>
      <w:lvlJc w:val="left"/>
      <w:pPr>
        <w:tabs>
          <w:tab w:val="left" w:pos="0"/>
        </w:tabs>
        <w:ind w:left="284" w:hanging="284"/>
      </w:pPr>
      <w:rPr>
        <w:rFonts w:hint="eastAsia" w:ascii="黑体" w:hAnsi="黑体" w:eastAsia="黑体"/>
        <w:sz w:val="26"/>
      </w:rPr>
    </w:lvl>
    <w:lvl w:ilvl="3" w:tentative="0">
      <w:start w:val="1"/>
      <w:numFmt w:val="decimal"/>
      <w:isLgl/>
      <w:suff w:val="space"/>
      <w:lvlText w:val="%1.%2.%3.%4"/>
      <w:lvlJc w:val="left"/>
      <w:pPr>
        <w:tabs>
          <w:tab w:val="left" w:pos="0"/>
        </w:tabs>
        <w:ind w:left="284" w:hanging="284"/>
      </w:pPr>
      <w:rPr>
        <w:rFonts w:hint="eastAsia" w:ascii="黑体" w:hAnsi="黑体" w:eastAsia="黑体"/>
        <w:sz w:val="24"/>
      </w:rPr>
    </w:lvl>
    <w:lvl w:ilvl="4" w:tentative="0">
      <w:start w:val="1"/>
      <w:numFmt w:val="none"/>
      <w:suff w:val="space"/>
      <w:lvlText w:val=""/>
      <w:lvlJc w:val="left"/>
      <w:pPr>
        <w:tabs>
          <w:tab w:val="left" w:pos="0"/>
        </w:tabs>
        <w:ind w:left="0" w:firstLine="0"/>
      </w:pPr>
      <w:rPr>
        <w:rFonts w:hint="eastAsia"/>
      </w:rPr>
    </w:lvl>
    <w:lvl w:ilvl="5" w:tentative="0">
      <w:start w:val="1"/>
      <w:numFmt w:val="none"/>
      <w:suff w:val="nothing"/>
      <w:lvlText w:val=""/>
      <w:lvlJc w:val="left"/>
      <w:pPr>
        <w:tabs>
          <w:tab w:val="left" w:pos="0"/>
        </w:tabs>
        <w:ind w:left="0" w:firstLine="0"/>
      </w:pPr>
      <w:rPr>
        <w:rFonts w:hint="eastAsia"/>
      </w:rPr>
    </w:lvl>
    <w:lvl w:ilvl="6" w:tentative="0">
      <w:start w:val="1"/>
      <w:numFmt w:val="none"/>
      <w:suff w:val="nothing"/>
      <w:lvlText w:val=""/>
      <w:lvlJc w:val="left"/>
      <w:pPr>
        <w:tabs>
          <w:tab w:val="left" w:pos="0"/>
        </w:tabs>
        <w:ind w:left="0" w:firstLine="0"/>
      </w:pPr>
      <w:rPr>
        <w:rFonts w:hint="eastAsia"/>
      </w:rPr>
    </w:lvl>
    <w:lvl w:ilvl="7" w:tentative="0">
      <w:start w:val="1"/>
      <w:numFmt w:val="none"/>
      <w:suff w:val="nothing"/>
      <w:lvlText w:val=""/>
      <w:lvlJc w:val="left"/>
      <w:pPr>
        <w:tabs>
          <w:tab w:val="left" w:pos="0"/>
        </w:tabs>
        <w:ind w:left="0" w:firstLine="0"/>
      </w:pPr>
      <w:rPr>
        <w:rFonts w:hint="eastAsia"/>
      </w:rPr>
    </w:lvl>
    <w:lvl w:ilvl="8" w:tentative="0">
      <w:start w:val="1"/>
      <w:numFmt w:val="none"/>
      <w:suff w:val="nothing"/>
      <w:lvlText w:val=""/>
      <w:lvlJc w:val="left"/>
      <w:pPr>
        <w:tabs>
          <w:tab w:val="left" w:pos="0"/>
        </w:tabs>
        <w:ind w:left="0" w:firstLine="0"/>
      </w:pPr>
      <w:rPr>
        <w:rFonts w:hint="eastAsia"/>
      </w:rPr>
    </w:lvl>
  </w:abstractNum>
  <w:abstractNum w:abstractNumId="2">
    <w:nsid w:val="9F175D3E"/>
    <w:multiLevelType w:val="multilevel"/>
    <w:tmpl w:val="9F175D3E"/>
    <w:lvl w:ilvl="0" w:tentative="0">
      <w:start w:val="1"/>
      <w:numFmt w:val="bullet"/>
      <w:pStyle w:val="175"/>
      <w:lvlText w:val=""/>
      <w:lvlJc w:val="left"/>
      <w:pPr>
        <w:tabs>
          <w:tab w:val="left" w:pos="0"/>
        </w:tabs>
        <w:ind w:left="420" w:hanging="420"/>
      </w:pPr>
      <w:rPr>
        <w:rFonts w:hint="default" w:ascii="Wingdings" w:hAnsi="Wingdings"/>
      </w:rPr>
    </w:lvl>
    <w:lvl w:ilvl="1" w:tentative="0">
      <w:start w:val="1"/>
      <w:numFmt w:val="bullet"/>
      <w:lvlText w:val=""/>
      <w:lvlJc w:val="left"/>
      <w:pPr>
        <w:tabs>
          <w:tab w:val="left" w:pos="0"/>
        </w:tabs>
        <w:ind w:left="840" w:hanging="420"/>
      </w:pPr>
      <w:rPr>
        <w:rFonts w:hint="default" w:ascii="Wingdings" w:hAnsi="Wingdings"/>
      </w:rPr>
    </w:lvl>
    <w:lvl w:ilvl="2" w:tentative="0">
      <w:start w:val="1"/>
      <w:numFmt w:val="bullet"/>
      <w:lvlText w:val=""/>
      <w:lvlJc w:val="left"/>
      <w:pPr>
        <w:tabs>
          <w:tab w:val="left" w:pos="0"/>
        </w:tabs>
        <w:ind w:left="1260" w:hanging="420"/>
      </w:pPr>
      <w:rPr>
        <w:rFonts w:hint="default" w:ascii="Wingdings" w:hAnsi="Wingdings"/>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bullet"/>
      <w:lvlText w:val=""/>
      <w:lvlJc w:val="left"/>
      <w:pPr>
        <w:tabs>
          <w:tab w:val="left" w:pos="0"/>
        </w:tabs>
        <w:ind w:left="2100" w:hanging="420"/>
      </w:pPr>
      <w:rPr>
        <w:rFonts w:hint="default" w:ascii="Wingdings" w:hAnsi="Wingdings"/>
      </w:rPr>
    </w:lvl>
    <w:lvl w:ilvl="5" w:tentative="0">
      <w:start w:val="1"/>
      <w:numFmt w:val="bullet"/>
      <w:lvlText w:val=""/>
      <w:lvlJc w:val="left"/>
      <w:pPr>
        <w:tabs>
          <w:tab w:val="left" w:pos="0"/>
        </w:tabs>
        <w:ind w:left="2520" w:hanging="420"/>
      </w:pPr>
      <w:rPr>
        <w:rFonts w:hint="default" w:ascii="Wingdings" w:hAnsi="Wingdings"/>
      </w:rPr>
    </w:lvl>
    <w:lvl w:ilvl="6" w:tentative="0">
      <w:start w:val="1"/>
      <w:numFmt w:val="bullet"/>
      <w:lvlText w:val=""/>
      <w:lvlJc w:val="left"/>
      <w:pPr>
        <w:tabs>
          <w:tab w:val="left" w:pos="0"/>
        </w:tabs>
        <w:ind w:left="2940" w:hanging="420"/>
      </w:pPr>
      <w:rPr>
        <w:rFonts w:hint="default" w:ascii="Wingdings" w:hAnsi="Wingdings"/>
      </w:rPr>
    </w:lvl>
    <w:lvl w:ilvl="7" w:tentative="0">
      <w:start w:val="1"/>
      <w:numFmt w:val="bullet"/>
      <w:lvlText w:val=""/>
      <w:lvlJc w:val="left"/>
      <w:pPr>
        <w:tabs>
          <w:tab w:val="left" w:pos="0"/>
        </w:tabs>
        <w:ind w:left="3360" w:hanging="420"/>
      </w:pPr>
      <w:rPr>
        <w:rFonts w:hint="default" w:ascii="Wingdings" w:hAnsi="Wingdings"/>
      </w:rPr>
    </w:lvl>
    <w:lvl w:ilvl="8" w:tentative="0">
      <w:start w:val="1"/>
      <w:numFmt w:val="bullet"/>
      <w:lvlText w:val=""/>
      <w:lvlJc w:val="left"/>
      <w:pPr>
        <w:tabs>
          <w:tab w:val="left" w:pos="0"/>
        </w:tabs>
        <w:ind w:left="3780" w:hanging="420"/>
      </w:pPr>
      <w:rPr>
        <w:rFonts w:hint="default" w:ascii="Wingdings" w:hAnsi="Wingdings"/>
      </w:rPr>
    </w:lvl>
  </w:abstractNum>
  <w:abstractNum w:abstractNumId="3">
    <w:nsid w:val="A990462A"/>
    <w:multiLevelType w:val="singleLevel"/>
    <w:tmpl w:val="A990462A"/>
    <w:lvl w:ilvl="0" w:tentative="0">
      <w:start w:val="4"/>
      <w:numFmt w:val="decimal"/>
      <w:lvlText w:val="%1."/>
      <w:lvlJc w:val="left"/>
      <w:pPr>
        <w:tabs>
          <w:tab w:val="left" w:pos="312"/>
        </w:tabs>
      </w:pPr>
    </w:lvl>
  </w:abstractNum>
  <w:abstractNum w:abstractNumId="4">
    <w:nsid w:val="AC0D3E71"/>
    <w:multiLevelType w:val="multilevel"/>
    <w:tmpl w:val="AC0D3E71"/>
    <w:lvl w:ilvl="0" w:tentative="0">
      <w:start w:val="1"/>
      <w:numFmt w:val="chineseCountingThousand"/>
      <w:pStyle w:val="271"/>
      <w:lvlText w:val="第%1章"/>
      <w:lvlJc w:val="left"/>
      <w:pPr>
        <w:tabs>
          <w:tab w:val="left" w:pos="340"/>
        </w:tabs>
        <w:ind w:left="0" w:firstLine="0"/>
      </w:pPr>
      <w:rPr>
        <w:rFonts w:hint="eastAsia"/>
      </w:rPr>
    </w:lvl>
    <w:lvl w:ilvl="1" w:tentative="0">
      <w:start w:val="1"/>
      <w:numFmt w:val="decimal"/>
      <w:pStyle w:val="272"/>
      <w:isLgl/>
      <w:suff w:val="space"/>
      <w:lvlText w:val="%1.%2"/>
      <w:lvlJc w:val="left"/>
      <w:pPr>
        <w:tabs>
          <w:tab w:val="left" w:pos="0"/>
        </w:tabs>
        <w:ind w:left="0" w:firstLine="0"/>
      </w:pPr>
      <w:rPr>
        <w:rFonts w:hint="eastAsia"/>
      </w:rPr>
    </w:lvl>
    <w:lvl w:ilvl="2" w:tentative="0">
      <w:start w:val="1"/>
      <w:numFmt w:val="decimal"/>
      <w:pStyle w:val="273"/>
      <w:isLgl/>
      <w:suff w:val="space"/>
      <w:lvlText w:val="%1.%2.%3"/>
      <w:lvlJc w:val="left"/>
      <w:pPr>
        <w:tabs>
          <w:tab w:val="left" w:pos="0"/>
        </w:tabs>
        <w:ind w:left="0" w:firstLine="0"/>
      </w:pPr>
      <w:rPr>
        <w:rFonts w:hint="eastAsia"/>
      </w:rPr>
    </w:lvl>
    <w:lvl w:ilvl="3" w:tentative="0">
      <w:start w:val="1"/>
      <w:numFmt w:val="decimal"/>
      <w:pStyle w:val="274"/>
      <w:isLgl/>
      <w:suff w:val="space"/>
      <w:lvlText w:val="%1.%2.%3.%4"/>
      <w:lvlJc w:val="left"/>
      <w:pPr>
        <w:tabs>
          <w:tab w:val="left" w:pos="0"/>
        </w:tabs>
        <w:ind w:left="0" w:firstLine="0"/>
      </w:pPr>
      <w:rPr>
        <w:b w:val="0"/>
        <w:bCs w:val="0"/>
        <w:i w:val="0"/>
        <w:iCs w:val="0"/>
        <w:caps w:val="0"/>
        <w:smallCaps w:val="0"/>
        <w:strike w:val="0"/>
        <w:dstrike w:val="0"/>
        <w:vanish w:val="0"/>
        <w:color w:val="000000"/>
        <w:spacing w:val="0"/>
        <w:position w:val="0"/>
        <w:u w:val="none"/>
        <w:vertAlign w:val="baseline"/>
      </w:rPr>
    </w:lvl>
    <w:lvl w:ilvl="4" w:tentative="0">
      <w:start w:val="1"/>
      <w:numFmt w:val="decimal"/>
      <w:pStyle w:val="275"/>
      <w:isLgl/>
      <w:suff w:val="space"/>
      <w:lvlText w:val="%1.%2.%3.%4.%5"/>
      <w:lvlJc w:val="left"/>
      <w:pPr>
        <w:tabs>
          <w:tab w:val="left" w:pos="0"/>
        </w:tabs>
        <w:ind w:left="0" w:firstLine="0"/>
      </w:pPr>
      <w:rPr>
        <w:rFonts w:hint="eastAsia"/>
      </w:rPr>
    </w:lvl>
    <w:lvl w:ilvl="5" w:tentative="0">
      <w:start w:val="1"/>
      <w:numFmt w:val="decimal"/>
      <w:lvlText w:val="%1.%2.%3.%4.%5.%6"/>
      <w:lvlJc w:val="left"/>
      <w:pPr>
        <w:tabs>
          <w:tab w:val="left" w:pos="0"/>
        </w:tabs>
        <w:ind w:left="0" w:firstLine="0"/>
      </w:pPr>
      <w:rPr>
        <w:rFonts w:hint="eastAsia"/>
      </w:rPr>
    </w:lvl>
    <w:lvl w:ilvl="6" w:tentative="0">
      <w:start w:val="1"/>
      <w:numFmt w:val="decimal"/>
      <w:lvlText w:val="%1.%2.%3.%4.%5.%6.%7"/>
      <w:lvlJc w:val="left"/>
      <w:pPr>
        <w:tabs>
          <w:tab w:val="left" w:pos="0"/>
        </w:tabs>
        <w:ind w:left="0" w:firstLine="0"/>
      </w:pPr>
      <w:rPr>
        <w:rFonts w:hint="eastAsia"/>
      </w:rPr>
    </w:lvl>
    <w:lvl w:ilvl="7" w:tentative="0">
      <w:start w:val="1"/>
      <w:numFmt w:val="decimal"/>
      <w:lvlText w:val="%1.%2.%3.%4.%5.%6.%7.%8"/>
      <w:lvlJc w:val="left"/>
      <w:pPr>
        <w:tabs>
          <w:tab w:val="left" w:pos="0"/>
        </w:tabs>
        <w:ind w:left="0" w:firstLine="0"/>
      </w:pPr>
      <w:rPr>
        <w:rFonts w:hint="eastAsia"/>
      </w:rPr>
    </w:lvl>
    <w:lvl w:ilvl="8" w:tentative="0">
      <w:start w:val="1"/>
      <w:numFmt w:val="decimal"/>
      <w:lvlText w:val="%1.%2.%3.%4.%5.%6.%7.%8.%9"/>
      <w:lvlJc w:val="left"/>
      <w:pPr>
        <w:tabs>
          <w:tab w:val="left" w:pos="0"/>
        </w:tabs>
        <w:ind w:left="0" w:firstLine="0"/>
      </w:pPr>
      <w:rPr>
        <w:rFonts w:hint="eastAsia"/>
      </w:rPr>
    </w:lvl>
  </w:abstractNum>
  <w:abstractNum w:abstractNumId="5">
    <w:nsid w:val="B150720D"/>
    <w:multiLevelType w:val="multilevel"/>
    <w:tmpl w:val="B150720D"/>
    <w:lvl w:ilvl="0" w:tentative="0">
      <w:start w:val="1"/>
      <w:numFmt w:val="bullet"/>
      <w:pStyle w:val="180"/>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6">
    <w:nsid w:val="B4E76765"/>
    <w:multiLevelType w:val="singleLevel"/>
    <w:tmpl w:val="B4E76765"/>
    <w:lvl w:ilvl="0" w:tentative="0">
      <w:start w:val="1"/>
      <w:numFmt w:val="decimal"/>
      <w:pStyle w:val="35"/>
      <w:lvlText w:val="%1."/>
      <w:lvlJc w:val="left"/>
      <w:pPr>
        <w:tabs>
          <w:tab w:val="left" w:pos="1200"/>
        </w:tabs>
        <w:ind w:left="1200" w:hanging="360"/>
      </w:pPr>
    </w:lvl>
  </w:abstractNum>
  <w:abstractNum w:abstractNumId="7">
    <w:nsid w:val="B617F434"/>
    <w:multiLevelType w:val="singleLevel"/>
    <w:tmpl w:val="B617F434"/>
    <w:lvl w:ilvl="0" w:tentative="0">
      <w:start w:val="1"/>
      <w:numFmt w:val="decimalEnclosedCircleChinese"/>
      <w:suff w:val="nothing"/>
      <w:lvlText w:val="%1　"/>
      <w:lvlJc w:val="left"/>
      <w:pPr>
        <w:ind w:left="0" w:firstLine="400"/>
      </w:pPr>
      <w:rPr>
        <w:rFonts w:hint="eastAsia"/>
      </w:rPr>
    </w:lvl>
  </w:abstractNum>
  <w:abstractNum w:abstractNumId="8">
    <w:nsid w:val="B985D9C8"/>
    <w:multiLevelType w:val="multilevel"/>
    <w:tmpl w:val="B985D9C8"/>
    <w:lvl w:ilvl="0" w:tentative="0">
      <w:start w:val="1"/>
      <w:numFmt w:val="chineseCountingThousand"/>
      <w:pStyle w:val="183"/>
      <w:lvlText w:val="第%1章"/>
      <w:lvlJc w:val="left"/>
      <w:pPr>
        <w:tabs>
          <w:tab w:val="left" w:pos="1440"/>
        </w:tabs>
        <w:ind w:left="0" w:firstLine="0"/>
      </w:pPr>
      <w:rPr>
        <w:rFonts w:hint="eastAsia"/>
      </w:rPr>
    </w:lvl>
    <w:lvl w:ilvl="1" w:tentative="0">
      <w:start w:val="1"/>
      <w:numFmt w:val="decimal"/>
      <w:pStyle w:val="184"/>
      <w:isLgl/>
      <w:lvlText w:val="%1.%2"/>
      <w:lvlJc w:val="left"/>
      <w:pPr>
        <w:tabs>
          <w:tab w:val="left" w:pos="720"/>
        </w:tabs>
        <w:ind w:left="0" w:firstLine="0"/>
      </w:pPr>
      <w:rPr>
        <w:rFonts w:hint="eastAsia"/>
      </w:rPr>
    </w:lvl>
    <w:lvl w:ilvl="2" w:tentative="0">
      <w:start w:val="1"/>
      <w:numFmt w:val="decimal"/>
      <w:pStyle w:val="185"/>
      <w:isLgl/>
      <w:suff w:val="space"/>
      <w:lvlText w:val="%1.%2.%3"/>
      <w:lvlJc w:val="left"/>
      <w:pPr>
        <w:tabs>
          <w:tab w:val="left" w:pos="0"/>
        </w:tabs>
        <w:ind w:left="0" w:firstLine="0"/>
      </w:pPr>
      <w:rPr>
        <w:rFonts w:hint="eastAsia"/>
      </w:rPr>
    </w:lvl>
    <w:lvl w:ilvl="3" w:tentative="0">
      <w:start w:val="1"/>
      <w:numFmt w:val="decimal"/>
      <w:lvlText w:val=""/>
      <w:lvlJc w:val="left"/>
      <w:pPr>
        <w:tabs>
          <w:tab w:val="left" w:pos="360"/>
        </w:tabs>
        <w:ind w:left="0" w:firstLine="0"/>
      </w:pPr>
      <w:rPr>
        <w:rFonts w:hint="eastAsia"/>
      </w:rPr>
    </w:lvl>
    <w:lvl w:ilvl="4" w:tentative="0">
      <w:start w:val="1"/>
      <w:numFmt w:val="decimal"/>
      <w:lvlText w:val=""/>
      <w:lvlJc w:val="left"/>
      <w:pPr>
        <w:tabs>
          <w:tab w:val="left" w:pos="360"/>
        </w:tabs>
        <w:ind w:left="0" w:firstLine="0"/>
      </w:pPr>
      <w:rPr>
        <w:rFonts w:hint="eastAsia"/>
      </w:rPr>
    </w:lvl>
    <w:lvl w:ilvl="5" w:tentative="0">
      <w:start w:val="1"/>
      <w:numFmt w:val="decimal"/>
      <w:lvlText w:val=""/>
      <w:lvlJc w:val="left"/>
      <w:pPr>
        <w:tabs>
          <w:tab w:val="left" w:pos="360"/>
        </w:tabs>
        <w:ind w:left="0" w:firstLine="0"/>
      </w:pPr>
      <w:rPr>
        <w:rFonts w:hint="eastAsia"/>
      </w:rPr>
    </w:lvl>
    <w:lvl w:ilvl="6" w:tentative="0">
      <w:start w:val="1"/>
      <w:numFmt w:val="decimal"/>
      <w:lvlText w:val=""/>
      <w:lvlJc w:val="left"/>
      <w:pPr>
        <w:tabs>
          <w:tab w:val="left" w:pos="360"/>
        </w:tabs>
        <w:ind w:left="0" w:firstLine="0"/>
      </w:pPr>
      <w:rPr>
        <w:rFonts w:hint="eastAsia"/>
      </w:rPr>
    </w:lvl>
    <w:lvl w:ilvl="7" w:tentative="0">
      <w:start w:val="1"/>
      <w:numFmt w:val="decimal"/>
      <w:lvlText w:val=""/>
      <w:lvlJc w:val="left"/>
      <w:pPr>
        <w:tabs>
          <w:tab w:val="left" w:pos="360"/>
        </w:tabs>
        <w:ind w:left="0" w:firstLine="0"/>
      </w:pPr>
      <w:rPr>
        <w:rFonts w:hint="eastAsia"/>
      </w:rPr>
    </w:lvl>
    <w:lvl w:ilvl="8" w:tentative="0">
      <w:start w:val="1"/>
      <w:numFmt w:val="decimal"/>
      <w:lvlText w:val=""/>
      <w:lvlJc w:val="left"/>
      <w:pPr>
        <w:tabs>
          <w:tab w:val="left" w:pos="360"/>
        </w:tabs>
        <w:ind w:left="0" w:firstLine="0"/>
      </w:pPr>
      <w:rPr>
        <w:rFonts w:hint="eastAsia"/>
      </w:rPr>
    </w:lvl>
  </w:abstractNum>
  <w:abstractNum w:abstractNumId="9">
    <w:nsid w:val="B9B1C257"/>
    <w:multiLevelType w:val="multilevel"/>
    <w:tmpl w:val="B9B1C257"/>
    <w:lvl w:ilvl="0" w:tentative="0">
      <w:start w:val="1"/>
      <w:numFmt w:val="bullet"/>
      <w:lvlText w:val=""/>
      <w:lvlJc w:val="left"/>
      <w:pPr>
        <w:tabs>
          <w:tab w:val="left" w:pos="0"/>
        </w:tabs>
        <w:ind w:left="420" w:hanging="420"/>
      </w:pPr>
      <w:rPr>
        <w:rFonts w:hint="default" w:ascii="Wingdings" w:hAnsi="Wingdings"/>
      </w:rPr>
    </w:lvl>
    <w:lvl w:ilvl="1" w:tentative="0">
      <w:start w:val="1"/>
      <w:numFmt w:val="decimal"/>
      <w:pStyle w:val="290"/>
      <w:lvlText w:val="%2)"/>
      <w:lvlJc w:val="left"/>
      <w:pPr>
        <w:tabs>
          <w:tab w:val="left" w:pos="0"/>
        </w:tabs>
        <w:ind w:left="840" w:hanging="420"/>
      </w:pPr>
      <w:rPr>
        <w:rFonts w:hint="default"/>
      </w:rPr>
    </w:lvl>
    <w:lvl w:ilvl="2" w:tentative="0">
      <w:start w:val="1"/>
      <w:numFmt w:val="bullet"/>
      <w:lvlText w:val=""/>
      <w:lvlJc w:val="left"/>
      <w:pPr>
        <w:tabs>
          <w:tab w:val="left" w:pos="0"/>
        </w:tabs>
        <w:ind w:left="1260" w:hanging="420"/>
      </w:pPr>
      <w:rPr>
        <w:rFonts w:hint="default" w:ascii="Wingdings" w:hAnsi="Wingdings"/>
      </w:rPr>
    </w:lvl>
    <w:lvl w:ilvl="3" w:tentative="0">
      <w:start w:val="1"/>
      <w:numFmt w:val="bullet"/>
      <w:lvlText w:val=""/>
      <w:lvlJc w:val="left"/>
      <w:pPr>
        <w:tabs>
          <w:tab w:val="left" w:pos="0"/>
        </w:tabs>
        <w:ind w:left="1680" w:hanging="420"/>
      </w:pPr>
      <w:rPr>
        <w:rFonts w:hint="default" w:ascii="Wingdings" w:hAnsi="Wingdings"/>
      </w:rPr>
    </w:lvl>
    <w:lvl w:ilvl="4" w:tentative="0">
      <w:start w:val="1"/>
      <w:numFmt w:val="bullet"/>
      <w:lvlText w:val=""/>
      <w:lvlJc w:val="left"/>
      <w:pPr>
        <w:tabs>
          <w:tab w:val="left" w:pos="0"/>
        </w:tabs>
        <w:ind w:left="2100" w:hanging="420"/>
      </w:pPr>
      <w:rPr>
        <w:rFonts w:hint="default" w:ascii="Wingdings" w:hAnsi="Wingdings"/>
      </w:rPr>
    </w:lvl>
    <w:lvl w:ilvl="5" w:tentative="0">
      <w:start w:val="1"/>
      <w:numFmt w:val="bullet"/>
      <w:lvlText w:val=""/>
      <w:lvlJc w:val="left"/>
      <w:pPr>
        <w:tabs>
          <w:tab w:val="left" w:pos="0"/>
        </w:tabs>
        <w:ind w:left="2520" w:hanging="420"/>
      </w:pPr>
      <w:rPr>
        <w:rFonts w:hint="default" w:ascii="Wingdings" w:hAnsi="Wingdings"/>
      </w:rPr>
    </w:lvl>
    <w:lvl w:ilvl="6" w:tentative="0">
      <w:start w:val="1"/>
      <w:numFmt w:val="bullet"/>
      <w:lvlText w:val=""/>
      <w:lvlJc w:val="left"/>
      <w:pPr>
        <w:tabs>
          <w:tab w:val="left" w:pos="0"/>
        </w:tabs>
        <w:ind w:left="2940" w:hanging="420"/>
      </w:pPr>
      <w:rPr>
        <w:rFonts w:hint="default" w:ascii="Wingdings" w:hAnsi="Wingdings"/>
      </w:rPr>
    </w:lvl>
    <w:lvl w:ilvl="7" w:tentative="0">
      <w:start w:val="1"/>
      <w:numFmt w:val="bullet"/>
      <w:lvlText w:val=""/>
      <w:lvlJc w:val="left"/>
      <w:pPr>
        <w:tabs>
          <w:tab w:val="left" w:pos="0"/>
        </w:tabs>
        <w:ind w:left="3360" w:hanging="420"/>
      </w:pPr>
      <w:rPr>
        <w:rFonts w:hint="default" w:ascii="Wingdings" w:hAnsi="Wingdings"/>
      </w:rPr>
    </w:lvl>
    <w:lvl w:ilvl="8" w:tentative="0">
      <w:start w:val="1"/>
      <w:numFmt w:val="bullet"/>
      <w:lvlText w:val=""/>
      <w:lvlJc w:val="left"/>
      <w:pPr>
        <w:tabs>
          <w:tab w:val="left" w:pos="0"/>
        </w:tabs>
        <w:ind w:left="3780" w:hanging="420"/>
      </w:pPr>
      <w:rPr>
        <w:rFonts w:hint="default" w:ascii="Wingdings" w:hAnsi="Wingdings"/>
      </w:rPr>
    </w:lvl>
  </w:abstractNum>
  <w:abstractNum w:abstractNumId="10">
    <w:nsid w:val="C26D0BD1"/>
    <w:multiLevelType w:val="singleLevel"/>
    <w:tmpl w:val="C26D0BD1"/>
    <w:lvl w:ilvl="0" w:tentative="0">
      <w:start w:val="1"/>
      <w:numFmt w:val="bullet"/>
      <w:pStyle w:val="210"/>
      <w:lvlText w:val=""/>
      <w:lvlJc w:val="left"/>
      <w:pPr>
        <w:tabs>
          <w:tab w:val="left" w:pos="360"/>
        </w:tabs>
        <w:ind w:left="360" w:hanging="360"/>
      </w:pPr>
      <w:rPr>
        <w:rFonts w:hint="default" w:ascii="Wingdings" w:hAnsi="Wingdings"/>
      </w:rPr>
    </w:lvl>
  </w:abstractNum>
  <w:abstractNum w:abstractNumId="11">
    <w:nsid w:val="C4527E8E"/>
    <w:multiLevelType w:val="multilevel"/>
    <w:tmpl w:val="C4527E8E"/>
    <w:lvl w:ilvl="0" w:tentative="0">
      <w:start w:val="1"/>
      <w:numFmt w:val="decimal"/>
      <w:pStyle w:val="288"/>
      <w:lvlText w:val="%1)"/>
      <w:lvlJc w:val="left"/>
      <w:pPr>
        <w:tabs>
          <w:tab w:val="left" w:pos="0"/>
        </w:tabs>
        <w:ind w:left="420" w:hanging="420"/>
      </w:pPr>
      <w:rPr>
        <w:rFonts w:ascii="Times New Roman" w:hAnsi="Times New Roman" w:cs="Times New Roman"/>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12">
    <w:nsid w:val="D04EF464"/>
    <w:multiLevelType w:val="multilevel"/>
    <w:tmpl w:val="D04EF464"/>
    <w:lvl w:ilvl="0" w:tentative="0">
      <w:start w:val="1"/>
      <w:numFmt w:val="decimal"/>
      <w:pStyle w:val="361"/>
      <w:suff w:val="nothing"/>
      <w:lvlText w:val="%1."/>
      <w:lvlJc w:val="left"/>
      <w:pPr>
        <w:tabs>
          <w:tab w:val="left" w:pos="0"/>
        </w:tabs>
        <w:ind w:left="180" w:firstLine="0"/>
      </w:pPr>
      <w:rPr>
        <w:rFonts w:hint="eastAsia" w:ascii="宋体" w:hAnsi="宋体" w:eastAsia="宋体"/>
        <w:b w:val="0"/>
        <w:i w:val="0"/>
        <w:caps w:val="0"/>
        <w:smallCaps w:val="0"/>
        <w:strike w:val="0"/>
        <w:dstrike w:val="0"/>
        <w:vanish w:val="0"/>
        <w:color w:val="000000"/>
        <w:spacing w:val="0"/>
        <w:position w:val="0"/>
        <w:sz w:val="24"/>
        <w:szCs w:val="24"/>
        <w:vertAlign w:val="baseline"/>
      </w:rPr>
    </w:lvl>
    <w:lvl w:ilvl="1" w:tentative="0">
      <w:start w:val="1"/>
      <w:numFmt w:val="decimal"/>
      <w:pStyle w:val="362"/>
      <w:suff w:val="nothing"/>
      <w:lvlText w:val="%1.%2"/>
      <w:lvlJc w:val="left"/>
      <w:pPr>
        <w:tabs>
          <w:tab w:val="left" w:pos="0"/>
        </w:tabs>
        <w:ind w:left="4736" w:hanging="3836"/>
      </w:pPr>
      <w:rPr>
        <w:rFonts w:hint="eastAsia" w:ascii="Times New Roman" w:hAnsi="Times New Roman" w:cs="Times New Roman"/>
        <w:b w:val="0"/>
        <w:bCs w:val="0"/>
        <w:i w:val="0"/>
        <w:iCs w:val="0"/>
        <w:caps w:val="0"/>
        <w:smallCaps w:val="0"/>
        <w:strike w:val="0"/>
        <w:dstrike w:val="0"/>
        <w:vanish w:val="0"/>
        <w:color w:val="000000"/>
        <w:spacing w:val="0"/>
        <w:position w:val="0"/>
        <w:sz w:val="24"/>
        <w:szCs w:val="24"/>
        <w:u w:val="none"/>
        <w:vertAlign w:val="baseline"/>
      </w:rPr>
    </w:lvl>
    <w:lvl w:ilvl="2" w:tentative="0">
      <w:start w:val="1"/>
      <w:numFmt w:val="decimal"/>
      <w:pStyle w:val="363"/>
      <w:suff w:val="nothing"/>
      <w:lvlText w:val="%3）"/>
      <w:lvlJc w:val="left"/>
      <w:pPr>
        <w:tabs>
          <w:tab w:val="left" w:pos="0"/>
        </w:tabs>
        <w:ind w:left="890" w:hanging="170"/>
      </w:pPr>
      <w:rPr>
        <w:b w:val="0"/>
        <w:i w:val="0"/>
        <w:strike w:val="0"/>
        <w:dstrike w:val="0"/>
        <w:color w:val="000000"/>
      </w:rPr>
    </w:lvl>
    <w:lvl w:ilvl="3" w:tentative="0">
      <w:start w:val="1"/>
      <w:numFmt w:val="decimal"/>
      <w:pStyle w:val="364"/>
      <w:suff w:val="nothing"/>
      <w:lvlText w:val="%1.%2.%3.%4"/>
      <w:lvlJc w:val="left"/>
      <w:pPr>
        <w:tabs>
          <w:tab w:val="left" w:pos="0"/>
        </w:tabs>
        <w:ind w:left="284" w:hanging="227"/>
      </w:pPr>
      <w:rPr>
        <w:rFonts w:hint="eastAsia"/>
        <w:b w:val="0"/>
        <w:i w:val="0"/>
      </w:rPr>
    </w:lvl>
    <w:lvl w:ilvl="4" w:tentative="0">
      <w:start w:val="1"/>
      <w:numFmt w:val="decimal"/>
      <w:pStyle w:val="365"/>
      <w:suff w:val="nothing"/>
      <w:lvlText w:val="%1.%2.%3.%4.%5"/>
      <w:lvlJc w:val="left"/>
      <w:pPr>
        <w:tabs>
          <w:tab w:val="left" w:pos="0"/>
        </w:tabs>
        <w:ind w:left="397" w:hanging="340"/>
      </w:pPr>
      <w:rPr>
        <w:rFonts w:hint="eastAsia" w:ascii="宋体" w:hAnsi="宋体" w:eastAsia="宋体"/>
        <w:b w:val="0"/>
        <w:i w:val="0"/>
        <w:caps w:val="0"/>
        <w:smallCaps w:val="0"/>
        <w:strike w:val="0"/>
        <w:dstrike w:val="0"/>
        <w:snapToGrid w:val="0"/>
        <w:vanish w:val="0"/>
        <w:color w:val="auto"/>
        <w:spacing w:val="0"/>
        <w:kern w:val="0"/>
        <w:position w:val="0"/>
        <w:sz w:val="24"/>
        <w:szCs w:val="24"/>
        <w:u w:val="none"/>
        <w:vertAlign w:val="baseline"/>
      </w:rPr>
    </w:lvl>
    <w:lvl w:ilvl="5" w:tentative="0">
      <w:start w:val="1"/>
      <w:numFmt w:val="decimal"/>
      <w:lvlText w:val="%1.%2.%3.%4.%5.%6"/>
      <w:lvlJc w:val="left"/>
      <w:pPr>
        <w:tabs>
          <w:tab w:val="left" w:pos="3720"/>
        </w:tabs>
        <w:ind w:left="3414" w:hanging="1134"/>
      </w:pPr>
      <w:rPr>
        <w:rFonts w:hint="eastAsia"/>
      </w:rPr>
    </w:lvl>
    <w:lvl w:ilvl="6" w:tentative="0">
      <w:start w:val="1"/>
      <w:numFmt w:val="decimal"/>
      <w:lvlText w:val="%1.%2.%3.%4.%5.%6.%7"/>
      <w:lvlJc w:val="left"/>
      <w:pPr>
        <w:tabs>
          <w:tab w:val="left" w:pos="4505"/>
        </w:tabs>
        <w:ind w:left="3981" w:hanging="1276"/>
      </w:pPr>
      <w:rPr>
        <w:rFonts w:hint="eastAsia"/>
      </w:rPr>
    </w:lvl>
    <w:lvl w:ilvl="7" w:tentative="0">
      <w:start w:val="1"/>
      <w:numFmt w:val="decimal"/>
      <w:lvlText w:val="%1.%2.%3.%4.%5.%6.%7.%8"/>
      <w:lvlJc w:val="left"/>
      <w:pPr>
        <w:tabs>
          <w:tab w:val="left" w:pos="5290"/>
        </w:tabs>
        <w:ind w:left="4548" w:hanging="1418"/>
      </w:pPr>
      <w:rPr>
        <w:rFonts w:hint="eastAsia"/>
      </w:rPr>
    </w:lvl>
    <w:lvl w:ilvl="8" w:tentative="0">
      <w:start w:val="1"/>
      <w:numFmt w:val="decimal"/>
      <w:lvlText w:val="%1.%2.%3.%4.%5.%6.%7.%8.%9"/>
      <w:lvlJc w:val="left"/>
      <w:pPr>
        <w:tabs>
          <w:tab w:val="left" w:pos="5716"/>
        </w:tabs>
        <w:ind w:left="5256" w:hanging="1700"/>
      </w:pPr>
      <w:rPr>
        <w:rFonts w:hint="eastAsia"/>
      </w:rPr>
    </w:lvl>
  </w:abstractNum>
  <w:abstractNum w:abstractNumId="13">
    <w:nsid w:val="D3185048"/>
    <w:multiLevelType w:val="multilevel"/>
    <w:tmpl w:val="D3185048"/>
    <w:lvl w:ilvl="0" w:tentative="0">
      <w:start w:val="1"/>
      <w:numFmt w:val="decimal"/>
      <w:pStyle w:val="266"/>
      <w:suff w:val="space"/>
      <w:lvlText w:val="%1"/>
      <w:lvlJc w:val="left"/>
      <w:pPr>
        <w:tabs>
          <w:tab w:val="left" w:pos="0"/>
        </w:tabs>
        <w:ind w:left="0" w:firstLine="0"/>
      </w:pPr>
      <w:rPr>
        <w:rFonts w:hint="eastAsia"/>
      </w:rPr>
    </w:lvl>
    <w:lvl w:ilvl="1" w:tentative="0">
      <w:start w:val="1"/>
      <w:numFmt w:val="decimal"/>
      <w:pStyle w:val="267"/>
      <w:suff w:val="space"/>
      <w:lvlText w:val="%1.%2"/>
      <w:lvlJc w:val="left"/>
      <w:pPr>
        <w:tabs>
          <w:tab w:val="left" w:pos="0"/>
        </w:tabs>
        <w:ind w:left="0" w:firstLine="0"/>
      </w:pPr>
      <w:rPr>
        <w:rFonts w:hint="eastAsia"/>
      </w:rPr>
    </w:lvl>
    <w:lvl w:ilvl="2" w:tentative="0">
      <w:start w:val="1"/>
      <w:numFmt w:val="decimal"/>
      <w:pStyle w:val="268"/>
      <w:suff w:val="space"/>
      <w:lvlText w:val="%1.%2.%3"/>
      <w:lvlJc w:val="left"/>
      <w:pPr>
        <w:tabs>
          <w:tab w:val="left" w:pos="0"/>
        </w:tabs>
        <w:ind w:left="0" w:firstLine="0"/>
      </w:pPr>
      <w:rPr>
        <w:rFonts w:hint="eastAsia"/>
      </w:rPr>
    </w:lvl>
    <w:lvl w:ilvl="3" w:tentative="0">
      <w:start w:val="1"/>
      <w:numFmt w:val="decimal"/>
      <w:pStyle w:val="269"/>
      <w:suff w:val="space"/>
      <w:lvlText w:val="%1.%2.%3.%4"/>
      <w:lvlJc w:val="left"/>
      <w:pPr>
        <w:tabs>
          <w:tab w:val="left" w:pos="0"/>
        </w:tabs>
        <w:ind w:left="0" w:firstLine="0"/>
      </w:pPr>
      <w:rPr>
        <w:rFonts w:hint="eastAsia"/>
      </w:rPr>
    </w:lvl>
    <w:lvl w:ilvl="4" w:tentative="0">
      <w:start w:val="1"/>
      <w:numFmt w:val="decimal"/>
      <w:pStyle w:val="270"/>
      <w:suff w:val="space"/>
      <w:lvlText w:val="%1.%2.%3.%4.%5"/>
      <w:lvlJc w:val="left"/>
      <w:pPr>
        <w:tabs>
          <w:tab w:val="left" w:pos="0"/>
        </w:tabs>
        <w:ind w:left="0" w:firstLine="0"/>
      </w:pPr>
      <w:rPr>
        <w:rFonts w:hint="eastAsia"/>
      </w:rPr>
    </w:lvl>
    <w:lvl w:ilvl="5" w:tentative="0">
      <w:start w:val="1"/>
      <w:numFmt w:val="decimal"/>
      <w:lvlText w:val="%1.%2.%3.%4.%5.%6"/>
      <w:lvlJc w:val="left"/>
      <w:pPr>
        <w:tabs>
          <w:tab w:val="left" w:pos="0"/>
        </w:tabs>
        <w:ind w:left="0" w:firstLine="0"/>
      </w:pPr>
      <w:rPr>
        <w:rFonts w:hint="eastAsia"/>
      </w:rPr>
    </w:lvl>
    <w:lvl w:ilvl="6" w:tentative="0">
      <w:start w:val="1"/>
      <w:numFmt w:val="decimal"/>
      <w:lvlText w:val="%1.%2.%3.%4.%5.%6.%7"/>
      <w:lvlJc w:val="left"/>
      <w:pPr>
        <w:tabs>
          <w:tab w:val="left" w:pos="0"/>
        </w:tabs>
        <w:ind w:left="0" w:firstLine="0"/>
      </w:pPr>
      <w:rPr>
        <w:rFonts w:hint="eastAsia"/>
      </w:rPr>
    </w:lvl>
    <w:lvl w:ilvl="7" w:tentative="0">
      <w:start w:val="1"/>
      <w:numFmt w:val="decimal"/>
      <w:lvlText w:val="%1.%2.%3.%4.%5.%6.%7.%8"/>
      <w:lvlJc w:val="left"/>
      <w:pPr>
        <w:tabs>
          <w:tab w:val="left" w:pos="0"/>
        </w:tabs>
        <w:ind w:left="0" w:firstLine="0"/>
      </w:pPr>
      <w:rPr>
        <w:rFonts w:hint="eastAsia"/>
      </w:rPr>
    </w:lvl>
    <w:lvl w:ilvl="8" w:tentative="0">
      <w:start w:val="1"/>
      <w:numFmt w:val="decimal"/>
      <w:lvlText w:val="%1.%2.%3.%4.%5.%6.%7.%8.%9"/>
      <w:lvlJc w:val="left"/>
      <w:pPr>
        <w:tabs>
          <w:tab w:val="left" w:pos="0"/>
        </w:tabs>
        <w:ind w:left="0" w:firstLine="0"/>
      </w:pPr>
      <w:rPr>
        <w:rFonts w:hint="eastAsia"/>
      </w:rPr>
    </w:lvl>
  </w:abstractNum>
  <w:abstractNum w:abstractNumId="14">
    <w:nsid w:val="DCA6C445"/>
    <w:multiLevelType w:val="multilevel"/>
    <w:tmpl w:val="DCA6C445"/>
    <w:lvl w:ilvl="0" w:tentative="0">
      <w:start w:val="1"/>
      <w:numFmt w:val="decimal"/>
      <w:pStyle w:val="278"/>
      <w:lvlText w:val="%1)"/>
      <w:lvlJc w:val="left"/>
      <w:pPr>
        <w:tabs>
          <w:tab w:val="left" w:pos="0"/>
        </w:tabs>
        <w:ind w:left="620" w:hanging="420"/>
      </w:pPr>
    </w:lvl>
    <w:lvl w:ilvl="1" w:tentative="0">
      <w:start w:val="1"/>
      <w:numFmt w:val="lowerLetter"/>
      <w:lvlText w:val="%2)"/>
      <w:lvlJc w:val="left"/>
      <w:pPr>
        <w:tabs>
          <w:tab w:val="left" w:pos="0"/>
        </w:tabs>
        <w:ind w:left="1040" w:hanging="420"/>
      </w:pPr>
    </w:lvl>
    <w:lvl w:ilvl="2" w:tentative="0">
      <w:start w:val="1"/>
      <w:numFmt w:val="lowerRoman"/>
      <w:lvlText w:val="%3."/>
      <w:lvlJc w:val="right"/>
      <w:pPr>
        <w:tabs>
          <w:tab w:val="left" w:pos="0"/>
        </w:tabs>
        <w:ind w:left="1460" w:hanging="420"/>
      </w:pPr>
    </w:lvl>
    <w:lvl w:ilvl="3" w:tentative="0">
      <w:start w:val="1"/>
      <w:numFmt w:val="decimal"/>
      <w:lvlText w:val="%4."/>
      <w:lvlJc w:val="left"/>
      <w:pPr>
        <w:tabs>
          <w:tab w:val="left" w:pos="0"/>
        </w:tabs>
        <w:ind w:left="1880" w:hanging="420"/>
      </w:pPr>
    </w:lvl>
    <w:lvl w:ilvl="4" w:tentative="0">
      <w:start w:val="1"/>
      <w:numFmt w:val="lowerLetter"/>
      <w:lvlText w:val="%5)"/>
      <w:lvlJc w:val="left"/>
      <w:pPr>
        <w:tabs>
          <w:tab w:val="left" w:pos="0"/>
        </w:tabs>
        <w:ind w:left="2300" w:hanging="420"/>
      </w:pPr>
    </w:lvl>
    <w:lvl w:ilvl="5" w:tentative="0">
      <w:start w:val="1"/>
      <w:numFmt w:val="lowerRoman"/>
      <w:lvlText w:val="%6."/>
      <w:lvlJc w:val="right"/>
      <w:pPr>
        <w:tabs>
          <w:tab w:val="left" w:pos="0"/>
        </w:tabs>
        <w:ind w:left="2720" w:hanging="420"/>
      </w:pPr>
    </w:lvl>
    <w:lvl w:ilvl="6" w:tentative="0">
      <w:start w:val="1"/>
      <w:numFmt w:val="decimal"/>
      <w:lvlText w:val="%7."/>
      <w:lvlJc w:val="left"/>
      <w:pPr>
        <w:tabs>
          <w:tab w:val="left" w:pos="0"/>
        </w:tabs>
        <w:ind w:left="3140" w:hanging="420"/>
      </w:pPr>
    </w:lvl>
    <w:lvl w:ilvl="7" w:tentative="0">
      <w:start w:val="1"/>
      <w:numFmt w:val="lowerLetter"/>
      <w:lvlText w:val="%8)"/>
      <w:lvlJc w:val="left"/>
      <w:pPr>
        <w:tabs>
          <w:tab w:val="left" w:pos="0"/>
        </w:tabs>
        <w:ind w:left="3560" w:hanging="420"/>
      </w:pPr>
    </w:lvl>
    <w:lvl w:ilvl="8" w:tentative="0">
      <w:start w:val="1"/>
      <w:numFmt w:val="lowerRoman"/>
      <w:lvlText w:val="%9."/>
      <w:lvlJc w:val="right"/>
      <w:pPr>
        <w:tabs>
          <w:tab w:val="left" w:pos="0"/>
        </w:tabs>
        <w:ind w:left="3980" w:hanging="420"/>
      </w:pPr>
    </w:lvl>
  </w:abstractNum>
  <w:abstractNum w:abstractNumId="15">
    <w:nsid w:val="E4C626FC"/>
    <w:multiLevelType w:val="singleLevel"/>
    <w:tmpl w:val="E4C626FC"/>
    <w:lvl w:ilvl="0" w:tentative="0">
      <w:start w:val="1"/>
      <w:numFmt w:val="decimal"/>
      <w:pStyle w:val="46"/>
      <w:lvlText w:val="%1."/>
      <w:lvlJc w:val="left"/>
      <w:pPr>
        <w:tabs>
          <w:tab w:val="left" w:pos="1620"/>
        </w:tabs>
        <w:ind w:left="1620" w:hanging="360"/>
      </w:pPr>
    </w:lvl>
  </w:abstractNum>
  <w:abstractNum w:abstractNumId="16">
    <w:nsid w:val="E76233AE"/>
    <w:multiLevelType w:val="singleLevel"/>
    <w:tmpl w:val="E76233AE"/>
    <w:lvl w:ilvl="0" w:tentative="0">
      <w:start w:val="5"/>
      <w:numFmt w:val="decimal"/>
      <w:suff w:val="nothing"/>
      <w:lvlText w:val="（%1）"/>
      <w:lvlJc w:val="left"/>
    </w:lvl>
  </w:abstractNum>
  <w:abstractNum w:abstractNumId="17">
    <w:nsid w:val="00000004"/>
    <w:multiLevelType w:val="multilevel"/>
    <w:tmpl w:val="00000004"/>
    <w:lvl w:ilvl="0" w:tentative="0">
      <w:start w:val="1"/>
      <w:numFmt w:val="decimal"/>
      <w:lvlText w:val="%1."/>
      <w:lvlJc w:val="left"/>
      <w:pPr>
        <w:tabs>
          <w:tab w:val="left" w:pos="0"/>
        </w:tabs>
        <w:ind w:left="0" w:firstLine="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4"/>
      <w:lvlText w:val="%4."/>
      <w:lvlJc w:val="left"/>
      <w:pPr>
        <w:tabs>
          <w:tab w:val="left" w:pos="1680"/>
        </w:tabs>
        <w:ind w:left="1680" w:hanging="420"/>
      </w:pPr>
    </w:lvl>
    <w:lvl w:ilvl="4" w:tentative="0">
      <w:start w:val="1"/>
      <w:numFmt w:val="lowerLetter"/>
      <w:pStyle w:val="6"/>
      <w:lvlText w:val="%5)"/>
      <w:lvlJc w:val="left"/>
      <w:pPr>
        <w:tabs>
          <w:tab w:val="left" w:pos="2100"/>
        </w:tabs>
        <w:ind w:left="2100" w:hanging="420"/>
      </w:pPr>
    </w:lvl>
    <w:lvl w:ilvl="5" w:tentative="0">
      <w:start w:val="1"/>
      <w:numFmt w:val="lowerRoman"/>
      <w:pStyle w:val="8"/>
      <w:lvlText w:val="%6."/>
      <w:lvlJc w:val="right"/>
      <w:pPr>
        <w:tabs>
          <w:tab w:val="left" w:pos="2520"/>
        </w:tabs>
        <w:ind w:left="2520" w:hanging="420"/>
      </w:pPr>
    </w:lvl>
    <w:lvl w:ilvl="6" w:tentative="0">
      <w:start w:val="1"/>
      <w:numFmt w:val="decimal"/>
      <w:pStyle w:val="9"/>
      <w:lvlText w:val="%7."/>
      <w:lvlJc w:val="left"/>
      <w:pPr>
        <w:tabs>
          <w:tab w:val="left" w:pos="2940"/>
        </w:tabs>
        <w:ind w:left="2940" w:hanging="420"/>
      </w:pPr>
    </w:lvl>
    <w:lvl w:ilvl="7" w:tentative="0">
      <w:start w:val="1"/>
      <w:numFmt w:val="lowerLetter"/>
      <w:pStyle w:val="10"/>
      <w:lvlText w:val="%8)"/>
      <w:lvlJc w:val="left"/>
      <w:pPr>
        <w:tabs>
          <w:tab w:val="left" w:pos="3360"/>
        </w:tabs>
        <w:ind w:left="3360" w:hanging="420"/>
      </w:pPr>
    </w:lvl>
    <w:lvl w:ilvl="8" w:tentative="0">
      <w:start w:val="1"/>
      <w:numFmt w:val="lowerRoman"/>
      <w:pStyle w:val="11"/>
      <w:lvlText w:val="%9."/>
      <w:lvlJc w:val="right"/>
      <w:pPr>
        <w:tabs>
          <w:tab w:val="left" w:pos="3780"/>
        </w:tabs>
        <w:ind w:left="3780" w:hanging="420"/>
      </w:pPr>
    </w:lvl>
  </w:abstractNum>
  <w:abstractNum w:abstractNumId="18">
    <w:nsid w:val="0000000F"/>
    <w:multiLevelType w:val="multilevel"/>
    <w:tmpl w:val="0000000F"/>
    <w:lvl w:ilvl="0" w:tentative="0">
      <w:start w:val="0"/>
      <w:numFmt w:val="decimal"/>
      <w:pStyle w:val="530"/>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053BEEC5"/>
    <w:multiLevelType w:val="multilevel"/>
    <w:tmpl w:val="053BEEC5"/>
    <w:lvl w:ilvl="0" w:tentative="0">
      <w:start w:val="1"/>
      <w:numFmt w:val="chineseCountingThousand"/>
      <w:pStyle w:val="153"/>
      <w:lvlText w:val="第%1章"/>
      <w:lvlJc w:val="left"/>
      <w:pPr>
        <w:tabs>
          <w:tab w:val="left" w:pos="0"/>
        </w:tabs>
        <w:ind w:left="420" w:hanging="420"/>
      </w:pPr>
      <w:rPr>
        <w:rFonts w:hint="eastAsia"/>
      </w:rPr>
    </w:lvl>
    <w:lvl w:ilvl="1" w:tentative="0">
      <w:start w:val="1"/>
      <w:numFmt w:val="decimal"/>
      <w:lvlText w:val="1.%2"/>
      <w:lvlJc w:val="left"/>
      <w:pPr>
        <w:tabs>
          <w:tab w:val="left" w:pos="0"/>
        </w:tabs>
        <w:ind w:left="420" w:hanging="420"/>
      </w:pPr>
      <w:rPr>
        <w:rFonts w:hint="default" w:ascii="Calibri Light" w:hAnsi="Calibri Light" w:eastAsia="宋体" w:cs="Calibri"/>
        <w:sz w:val="32"/>
        <w:szCs w:val="32"/>
      </w:rPr>
    </w:lvl>
    <w:lvl w:ilvl="2" w:tentative="0">
      <w:start w:val="1"/>
      <w:numFmt w:val="decimal"/>
      <w:lvlText w:val="1.1.%3"/>
      <w:lvlJc w:val="left"/>
      <w:pPr>
        <w:tabs>
          <w:tab w:val="left" w:pos="0"/>
        </w:tabs>
        <w:ind w:left="420" w:firstLine="147"/>
      </w:pPr>
      <w:rPr>
        <w:rFonts w:hint="eastAsia"/>
      </w:r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0">
    <w:nsid w:val="0AE64B02"/>
    <w:multiLevelType w:val="multilevel"/>
    <w:tmpl w:val="0AE64B02"/>
    <w:lvl w:ilvl="0" w:tentative="0">
      <w:start w:val="1"/>
      <w:numFmt w:val="decimal"/>
      <w:pStyle w:val="151"/>
      <w:lvlText w:val="图4-%1."/>
      <w:lvlJc w:val="center"/>
      <w:pPr>
        <w:tabs>
          <w:tab w:val="left" w:pos="737"/>
        </w:tabs>
        <w:ind w:left="737" w:hanging="449"/>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1235B5CB"/>
    <w:multiLevelType w:val="multilevel"/>
    <w:tmpl w:val="1235B5CB"/>
    <w:lvl w:ilvl="0" w:tentative="0">
      <w:start w:val="1"/>
      <w:numFmt w:val="bullet"/>
      <w:pStyle w:val="260"/>
      <w:lvlText w:val=""/>
      <w:lvlJc w:val="left"/>
      <w:pPr>
        <w:tabs>
          <w:tab w:val="left" w:pos="0"/>
        </w:tabs>
        <w:ind w:left="900" w:hanging="420"/>
      </w:pPr>
      <w:rPr>
        <w:rFonts w:hint="default" w:ascii="Wingdings" w:hAnsi="Wingdings"/>
      </w:rPr>
    </w:lvl>
    <w:lvl w:ilvl="1" w:tentative="0">
      <w:start w:val="1"/>
      <w:numFmt w:val="bullet"/>
      <w:lvlText w:val=""/>
      <w:lvlJc w:val="left"/>
      <w:pPr>
        <w:tabs>
          <w:tab w:val="left" w:pos="0"/>
        </w:tabs>
        <w:ind w:left="1320" w:hanging="420"/>
      </w:pPr>
      <w:rPr>
        <w:rFonts w:hint="default" w:ascii="Wingdings" w:hAnsi="Wingdings"/>
      </w:rPr>
    </w:lvl>
    <w:lvl w:ilvl="2" w:tentative="0">
      <w:start w:val="1"/>
      <w:numFmt w:val="bullet"/>
      <w:lvlText w:val=""/>
      <w:lvlJc w:val="left"/>
      <w:pPr>
        <w:tabs>
          <w:tab w:val="left" w:pos="0"/>
        </w:tabs>
        <w:ind w:left="1740" w:hanging="420"/>
      </w:pPr>
      <w:rPr>
        <w:rFonts w:hint="default" w:ascii="Wingdings" w:hAnsi="Wingdings"/>
      </w:rPr>
    </w:lvl>
    <w:lvl w:ilvl="3" w:tentative="0">
      <w:start w:val="1"/>
      <w:numFmt w:val="bullet"/>
      <w:lvlText w:val=""/>
      <w:lvlJc w:val="left"/>
      <w:pPr>
        <w:tabs>
          <w:tab w:val="left" w:pos="0"/>
        </w:tabs>
        <w:ind w:left="2160" w:hanging="420"/>
      </w:pPr>
      <w:rPr>
        <w:rFonts w:hint="default" w:ascii="Wingdings" w:hAnsi="Wingdings"/>
      </w:rPr>
    </w:lvl>
    <w:lvl w:ilvl="4" w:tentative="0">
      <w:start w:val="1"/>
      <w:numFmt w:val="bullet"/>
      <w:lvlText w:val=""/>
      <w:lvlJc w:val="left"/>
      <w:pPr>
        <w:tabs>
          <w:tab w:val="left" w:pos="0"/>
        </w:tabs>
        <w:ind w:left="2580" w:hanging="420"/>
      </w:pPr>
      <w:rPr>
        <w:rFonts w:hint="default" w:ascii="Wingdings" w:hAnsi="Wingdings"/>
      </w:rPr>
    </w:lvl>
    <w:lvl w:ilvl="5" w:tentative="0">
      <w:start w:val="1"/>
      <w:numFmt w:val="bullet"/>
      <w:lvlText w:val=""/>
      <w:lvlJc w:val="left"/>
      <w:pPr>
        <w:tabs>
          <w:tab w:val="left" w:pos="0"/>
        </w:tabs>
        <w:ind w:left="3000" w:hanging="420"/>
      </w:pPr>
      <w:rPr>
        <w:rFonts w:hint="default" w:ascii="Wingdings" w:hAnsi="Wingdings"/>
      </w:rPr>
    </w:lvl>
    <w:lvl w:ilvl="6" w:tentative="0">
      <w:start w:val="1"/>
      <w:numFmt w:val="bullet"/>
      <w:lvlText w:val=""/>
      <w:lvlJc w:val="left"/>
      <w:pPr>
        <w:tabs>
          <w:tab w:val="left" w:pos="0"/>
        </w:tabs>
        <w:ind w:left="3420" w:hanging="420"/>
      </w:pPr>
      <w:rPr>
        <w:rFonts w:hint="default" w:ascii="Wingdings" w:hAnsi="Wingdings"/>
      </w:rPr>
    </w:lvl>
    <w:lvl w:ilvl="7" w:tentative="0">
      <w:start w:val="1"/>
      <w:numFmt w:val="bullet"/>
      <w:lvlText w:val=""/>
      <w:lvlJc w:val="left"/>
      <w:pPr>
        <w:tabs>
          <w:tab w:val="left" w:pos="0"/>
        </w:tabs>
        <w:ind w:left="3840" w:hanging="420"/>
      </w:pPr>
      <w:rPr>
        <w:rFonts w:hint="default" w:ascii="Wingdings" w:hAnsi="Wingdings"/>
      </w:rPr>
    </w:lvl>
    <w:lvl w:ilvl="8" w:tentative="0">
      <w:start w:val="1"/>
      <w:numFmt w:val="bullet"/>
      <w:lvlText w:val=""/>
      <w:lvlJc w:val="left"/>
      <w:pPr>
        <w:tabs>
          <w:tab w:val="left" w:pos="0"/>
        </w:tabs>
        <w:ind w:left="4260" w:hanging="420"/>
      </w:pPr>
      <w:rPr>
        <w:rFonts w:hint="default" w:ascii="Wingdings" w:hAnsi="Wingdings"/>
      </w:rPr>
    </w:lvl>
  </w:abstractNum>
  <w:abstractNum w:abstractNumId="22">
    <w:nsid w:val="13DE1810"/>
    <w:multiLevelType w:val="singleLevel"/>
    <w:tmpl w:val="13DE1810"/>
    <w:lvl w:ilvl="0" w:tentative="0">
      <w:start w:val="1"/>
      <w:numFmt w:val="decimal"/>
      <w:lvlText w:val="%1."/>
      <w:lvlJc w:val="left"/>
      <w:pPr>
        <w:ind w:left="425" w:hanging="425"/>
      </w:pPr>
      <w:rPr>
        <w:rFonts w:hint="default"/>
      </w:rPr>
    </w:lvl>
  </w:abstractNum>
  <w:abstractNum w:abstractNumId="23">
    <w:nsid w:val="19E3BFDE"/>
    <w:multiLevelType w:val="singleLevel"/>
    <w:tmpl w:val="19E3BFDE"/>
    <w:lvl w:ilvl="0" w:tentative="0">
      <w:start w:val="3"/>
      <w:numFmt w:val="decimal"/>
      <w:suff w:val="space"/>
      <w:lvlText w:val="%1、"/>
      <w:lvlJc w:val="left"/>
    </w:lvl>
  </w:abstractNum>
  <w:abstractNum w:abstractNumId="24">
    <w:nsid w:val="1EC1F55B"/>
    <w:multiLevelType w:val="multilevel"/>
    <w:tmpl w:val="1EC1F55B"/>
    <w:lvl w:ilvl="0" w:tentative="0">
      <w:start w:val="5"/>
      <w:numFmt w:val="decimal"/>
      <w:lvlText w:val="%1"/>
      <w:lvlJc w:val="left"/>
      <w:pPr>
        <w:tabs>
          <w:tab w:val="left" w:pos="425"/>
        </w:tabs>
        <w:ind w:left="425" w:hanging="425"/>
      </w:pPr>
      <w:rPr>
        <w:rFonts w:hint="eastAsia"/>
      </w:rPr>
    </w:lvl>
    <w:lvl w:ilvl="1" w:tentative="0">
      <w:start w:val="1"/>
      <w:numFmt w:val="decimal"/>
      <w:pStyle w:val="150"/>
      <w:lvlText w:val="%1.%2"/>
      <w:lvlJc w:val="left"/>
      <w:pPr>
        <w:tabs>
          <w:tab w:val="left" w:pos="510"/>
        </w:tabs>
        <w:ind w:left="420" w:hanging="420"/>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217F3F51"/>
    <w:multiLevelType w:val="multilevel"/>
    <w:tmpl w:val="217F3F51"/>
    <w:lvl w:ilvl="0" w:tentative="0">
      <w:start w:val="1"/>
      <w:numFmt w:val="chineseCountingThousand"/>
      <w:lvlText w:val="%1、"/>
      <w:lvlJc w:val="left"/>
      <w:pPr>
        <w:tabs>
          <w:tab w:val="left" w:pos="0"/>
        </w:tabs>
        <w:ind w:left="420" w:hanging="420"/>
      </w:pPr>
    </w:lvl>
    <w:lvl w:ilvl="1" w:tentative="0">
      <w:start w:val="1"/>
      <w:numFmt w:val="chineseCountingThousand"/>
      <w:suff w:val="nothing"/>
      <w:lvlText w:val="%2、"/>
      <w:lvlJc w:val="left"/>
      <w:pPr>
        <w:tabs>
          <w:tab w:val="left" w:pos="0"/>
        </w:tabs>
        <w:ind w:left="840" w:hanging="420"/>
      </w:pPr>
      <w:rPr>
        <w:rFonts w:hint="eastAsia"/>
      </w:r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26">
    <w:nsid w:val="226B47A1"/>
    <w:multiLevelType w:val="multilevel"/>
    <w:tmpl w:val="226B47A1"/>
    <w:lvl w:ilvl="0" w:tentative="0">
      <w:start w:val="1"/>
      <w:numFmt w:val="decimal"/>
      <w:pStyle w:val="187"/>
      <w:lvlText w:val="%1."/>
      <w:lvlJc w:val="left"/>
      <w:pPr>
        <w:tabs>
          <w:tab w:val="left" w:pos="900"/>
        </w:tabs>
        <w:ind w:left="90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24212C01"/>
    <w:multiLevelType w:val="multilevel"/>
    <w:tmpl w:val="24212C01"/>
    <w:lvl w:ilvl="0" w:tentative="0">
      <w:start w:val="1"/>
      <w:numFmt w:val="chineseCountingThousand"/>
      <w:lvlText w:val="%1、"/>
      <w:lvlJc w:val="left"/>
      <w:pPr>
        <w:tabs>
          <w:tab w:val="left" w:pos="420"/>
        </w:tabs>
        <w:ind w:left="420" w:hanging="420"/>
      </w:pPr>
      <w:rPr>
        <w:rFonts w:hint="eastAsia"/>
      </w:rPr>
    </w:lvl>
    <w:lvl w:ilvl="1" w:tentative="0">
      <w:start w:val="1"/>
      <w:numFmt w:val="decimal"/>
      <w:suff w:val="nothing"/>
      <w:lvlText w:val="%2."/>
      <w:lvlJc w:val="left"/>
      <w:pPr>
        <w:tabs>
          <w:tab w:val="left" w:pos="0"/>
        </w:tabs>
        <w:ind w:left="840" w:hanging="420"/>
      </w:pPr>
      <w:rPr>
        <w:rFonts w:hint="eastAsia" w:ascii="宋体" w:hAnsi="宋体" w:eastAsia="宋体"/>
        <w:b w:val="0"/>
      </w:rPr>
    </w:lvl>
    <w:lvl w:ilvl="2" w:tentative="0">
      <w:start w:val="1"/>
      <w:numFmt w:val="lowerRoman"/>
      <w:lvlText w:val="%3."/>
      <w:lvlJc w:val="right"/>
      <w:pPr>
        <w:tabs>
          <w:tab w:val="left" w:pos="1260"/>
        </w:tabs>
        <w:ind w:left="1260" w:hanging="420"/>
      </w:pPr>
      <w:rPr>
        <w:rFonts w:hint="eastAsia"/>
      </w:rPr>
    </w:lvl>
    <w:lvl w:ilvl="3" w:tentative="0">
      <w:start w:val="1"/>
      <w:numFmt w:val="decimal"/>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rPr>
        <w:rFonts w:hint="eastAsia"/>
      </w:rPr>
    </w:lvl>
    <w:lvl w:ilvl="5" w:tentative="0">
      <w:start w:val="1"/>
      <w:numFmt w:val="lowerRoman"/>
      <w:lvlText w:val="%6."/>
      <w:lvlJc w:val="right"/>
      <w:pPr>
        <w:tabs>
          <w:tab w:val="left" w:pos="2520"/>
        </w:tabs>
        <w:ind w:left="2520" w:hanging="420"/>
      </w:pPr>
      <w:rPr>
        <w:rFonts w:hint="eastAsia"/>
      </w:rPr>
    </w:lvl>
    <w:lvl w:ilvl="6" w:tentative="0">
      <w:start w:val="1"/>
      <w:numFmt w:val="decimal"/>
      <w:lvlText w:val="%7."/>
      <w:lvlJc w:val="left"/>
      <w:pPr>
        <w:tabs>
          <w:tab w:val="left" w:pos="2940"/>
        </w:tabs>
        <w:ind w:left="2940" w:hanging="420"/>
      </w:pPr>
      <w:rPr>
        <w:rFonts w:hint="eastAsia"/>
      </w:rPr>
    </w:lvl>
    <w:lvl w:ilvl="7" w:tentative="0">
      <w:start w:val="1"/>
      <w:numFmt w:val="lowerLetter"/>
      <w:lvlText w:val="%8)"/>
      <w:lvlJc w:val="left"/>
      <w:pPr>
        <w:tabs>
          <w:tab w:val="left" w:pos="3360"/>
        </w:tabs>
        <w:ind w:left="3360" w:hanging="42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28">
    <w:nsid w:val="27023690"/>
    <w:multiLevelType w:val="multilevel"/>
    <w:tmpl w:val="27023690"/>
    <w:lvl w:ilvl="0" w:tentative="0">
      <w:start w:val="1"/>
      <w:numFmt w:val="chineseCountingThousand"/>
      <w:suff w:val="nothing"/>
      <w:lvlText w:val="%1"/>
      <w:lvlJc w:val="left"/>
      <w:pPr>
        <w:ind w:left="0" w:firstLine="0"/>
      </w:pPr>
      <w:rPr>
        <w:rFonts w:hint="eastAsia"/>
        <w:b/>
        <w:bCs w:val="0"/>
      </w:rPr>
    </w:lvl>
    <w:lvl w:ilvl="1" w:tentative="0">
      <w:start w:val="1"/>
      <w:numFmt w:val="lowerLetter"/>
      <w:lvlText w:val="%2)"/>
      <w:lvlJc w:val="left"/>
      <w:pPr>
        <w:tabs>
          <w:tab w:val="left" w:pos="0"/>
        </w:tabs>
        <w:ind w:left="840" w:hanging="420"/>
      </w:pPr>
      <w:rPr>
        <w:rFonts w:hint="eastAsia"/>
      </w:rPr>
    </w:lvl>
    <w:lvl w:ilvl="2" w:tentative="0">
      <w:start w:val="1"/>
      <w:numFmt w:val="lowerRoman"/>
      <w:lvlText w:val="%3."/>
      <w:lvlJc w:val="right"/>
      <w:pPr>
        <w:tabs>
          <w:tab w:val="left" w:pos="0"/>
        </w:tabs>
        <w:ind w:left="1260" w:hanging="420"/>
      </w:pPr>
      <w:rPr>
        <w:rFonts w:hint="eastAsia"/>
      </w:rPr>
    </w:lvl>
    <w:lvl w:ilvl="3" w:tentative="0">
      <w:start w:val="1"/>
      <w:numFmt w:val="decimal"/>
      <w:lvlText w:val="%4."/>
      <w:lvlJc w:val="left"/>
      <w:pPr>
        <w:tabs>
          <w:tab w:val="left" w:pos="0"/>
        </w:tabs>
        <w:ind w:left="1680" w:hanging="420"/>
      </w:pPr>
      <w:rPr>
        <w:rFonts w:hint="eastAsia"/>
      </w:rPr>
    </w:lvl>
    <w:lvl w:ilvl="4" w:tentative="0">
      <w:start w:val="1"/>
      <w:numFmt w:val="lowerLetter"/>
      <w:lvlText w:val="%5)"/>
      <w:lvlJc w:val="left"/>
      <w:pPr>
        <w:tabs>
          <w:tab w:val="left" w:pos="0"/>
        </w:tabs>
        <w:ind w:left="2100" w:hanging="420"/>
      </w:pPr>
      <w:rPr>
        <w:rFonts w:hint="eastAsia"/>
      </w:rPr>
    </w:lvl>
    <w:lvl w:ilvl="5" w:tentative="0">
      <w:start w:val="1"/>
      <w:numFmt w:val="lowerRoman"/>
      <w:lvlText w:val="%6."/>
      <w:lvlJc w:val="right"/>
      <w:pPr>
        <w:tabs>
          <w:tab w:val="left" w:pos="0"/>
        </w:tabs>
        <w:ind w:left="2520" w:hanging="420"/>
      </w:pPr>
      <w:rPr>
        <w:rFonts w:hint="eastAsia"/>
      </w:rPr>
    </w:lvl>
    <w:lvl w:ilvl="6" w:tentative="0">
      <w:start w:val="1"/>
      <w:numFmt w:val="decimal"/>
      <w:lvlText w:val="%7."/>
      <w:lvlJc w:val="left"/>
      <w:pPr>
        <w:tabs>
          <w:tab w:val="left" w:pos="0"/>
        </w:tabs>
        <w:ind w:left="2940" w:hanging="420"/>
      </w:pPr>
      <w:rPr>
        <w:rFonts w:hint="eastAsia"/>
      </w:rPr>
    </w:lvl>
    <w:lvl w:ilvl="7" w:tentative="0">
      <w:start w:val="1"/>
      <w:numFmt w:val="lowerLetter"/>
      <w:lvlText w:val="%8)"/>
      <w:lvlJc w:val="left"/>
      <w:pPr>
        <w:tabs>
          <w:tab w:val="left" w:pos="0"/>
        </w:tabs>
        <w:ind w:left="3360" w:hanging="420"/>
      </w:pPr>
      <w:rPr>
        <w:rFonts w:hint="eastAsia"/>
      </w:rPr>
    </w:lvl>
    <w:lvl w:ilvl="8" w:tentative="0">
      <w:start w:val="1"/>
      <w:numFmt w:val="lowerRoman"/>
      <w:lvlText w:val="%9."/>
      <w:lvlJc w:val="right"/>
      <w:pPr>
        <w:tabs>
          <w:tab w:val="left" w:pos="0"/>
        </w:tabs>
        <w:ind w:left="3780" w:hanging="420"/>
      </w:pPr>
      <w:rPr>
        <w:rFonts w:hint="eastAsia"/>
      </w:rPr>
    </w:lvl>
  </w:abstractNum>
  <w:abstractNum w:abstractNumId="29">
    <w:nsid w:val="28FE580F"/>
    <w:multiLevelType w:val="singleLevel"/>
    <w:tmpl w:val="28FE580F"/>
    <w:lvl w:ilvl="0" w:tentative="0">
      <w:start w:val="1"/>
      <w:numFmt w:val="decimal"/>
      <w:pStyle w:val="63"/>
      <w:lvlText w:val="%1."/>
      <w:lvlJc w:val="left"/>
      <w:pPr>
        <w:tabs>
          <w:tab w:val="left" w:pos="2040"/>
        </w:tabs>
        <w:ind w:left="2040" w:hanging="360"/>
      </w:pPr>
    </w:lvl>
  </w:abstractNum>
  <w:abstractNum w:abstractNumId="30">
    <w:nsid w:val="2D4C6A2F"/>
    <w:multiLevelType w:val="singleLevel"/>
    <w:tmpl w:val="2D4C6A2F"/>
    <w:lvl w:ilvl="0" w:tentative="0">
      <w:start w:val="1"/>
      <w:numFmt w:val="bullet"/>
      <w:pStyle w:val="31"/>
      <w:lvlText w:val=""/>
      <w:lvlJc w:val="left"/>
      <w:pPr>
        <w:tabs>
          <w:tab w:val="left" w:pos="1200"/>
        </w:tabs>
        <w:ind w:left="1200" w:hanging="360"/>
      </w:pPr>
      <w:rPr>
        <w:rFonts w:hint="default" w:ascii="Wingdings" w:hAnsi="Wingdings"/>
      </w:rPr>
    </w:lvl>
  </w:abstractNum>
  <w:abstractNum w:abstractNumId="31">
    <w:nsid w:val="3CBFB7FA"/>
    <w:multiLevelType w:val="singleLevel"/>
    <w:tmpl w:val="3CBFB7FA"/>
    <w:lvl w:ilvl="0" w:tentative="0">
      <w:start w:val="1"/>
      <w:numFmt w:val="decimal"/>
      <w:suff w:val="nothing"/>
      <w:lvlText w:val="（%1）"/>
      <w:lvlJc w:val="left"/>
    </w:lvl>
  </w:abstractNum>
  <w:abstractNum w:abstractNumId="32">
    <w:nsid w:val="404F81CC"/>
    <w:multiLevelType w:val="singleLevel"/>
    <w:tmpl w:val="404F81CC"/>
    <w:lvl w:ilvl="0" w:tentative="0">
      <w:start w:val="1"/>
      <w:numFmt w:val="decimal"/>
      <w:pStyle w:val="19"/>
      <w:lvlText w:val="%1."/>
      <w:lvlJc w:val="left"/>
      <w:pPr>
        <w:tabs>
          <w:tab w:val="left" w:pos="360"/>
        </w:tabs>
        <w:ind w:left="360" w:hanging="360"/>
      </w:pPr>
    </w:lvl>
  </w:abstractNum>
  <w:abstractNum w:abstractNumId="33">
    <w:nsid w:val="499CB997"/>
    <w:multiLevelType w:val="singleLevel"/>
    <w:tmpl w:val="499CB997"/>
    <w:lvl w:ilvl="0" w:tentative="0">
      <w:start w:val="1"/>
      <w:numFmt w:val="bullet"/>
      <w:pStyle w:val="16"/>
      <w:lvlText w:val=""/>
      <w:lvlJc w:val="left"/>
      <w:pPr>
        <w:tabs>
          <w:tab w:val="left" w:pos="1620"/>
        </w:tabs>
        <w:ind w:left="1620" w:hanging="360"/>
      </w:pPr>
      <w:rPr>
        <w:rFonts w:hint="default" w:ascii="Wingdings" w:hAnsi="Wingdings"/>
      </w:rPr>
    </w:lvl>
  </w:abstractNum>
  <w:abstractNum w:abstractNumId="34">
    <w:nsid w:val="4AF300E9"/>
    <w:multiLevelType w:val="multilevel"/>
    <w:tmpl w:val="4AF300E9"/>
    <w:lvl w:ilvl="0" w:tentative="0">
      <w:start w:val="2"/>
      <w:numFmt w:val="decimal"/>
      <w:lvlText w:val="(%1)"/>
      <w:lvlJc w:val="left"/>
      <w:pPr>
        <w:tabs>
          <w:tab w:val="left" w:pos="1200"/>
        </w:tabs>
        <w:ind w:left="1200" w:hanging="360"/>
      </w:pPr>
      <w:rPr>
        <w:rFonts w:hint="default"/>
      </w:rPr>
    </w:lvl>
    <w:lvl w:ilvl="1" w:tentative="0">
      <w:start w:val="1"/>
      <w:numFmt w:val="decimal"/>
      <w:suff w:val="nothing"/>
      <w:lvlText w:val="%2．"/>
      <w:lvlJc w:val="left"/>
      <w:pPr>
        <w:tabs>
          <w:tab w:val="left" w:pos="0"/>
        </w:tabs>
        <w:ind w:left="1620" w:hanging="360"/>
      </w:pPr>
      <w:rPr>
        <w:rFonts w:hint="default" w:ascii="宋体" w:hAnsi="宋体" w:eastAsia="宋体"/>
      </w:rPr>
    </w:lvl>
    <w:lvl w:ilvl="2" w:tentative="0">
      <w:start w:val="1"/>
      <w:numFmt w:val="lowerRoman"/>
      <w:lvlText w:val="%3."/>
      <w:lvlJc w:val="right"/>
      <w:pPr>
        <w:tabs>
          <w:tab w:val="left" w:pos="2100"/>
        </w:tabs>
        <w:ind w:left="2100" w:hanging="420"/>
      </w:pPr>
      <w:rPr>
        <w:rFonts w:hint="eastAsia"/>
      </w:rPr>
    </w:lvl>
    <w:lvl w:ilvl="3" w:tentative="0">
      <w:start w:val="1"/>
      <w:numFmt w:val="decimal"/>
      <w:lvlText w:val="%4."/>
      <w:lvlJc w:val="left"/>
      <w:pPr>
        <w:tabs>
          <w:tab w:val="left" w:pos="2520"/>
        </w:tabs>
        <w:ind w:left="2520" w:hanging="420"/>
      </w:pPr>
      <w:rPr>
        <w:rFonts w:hint="eastAsia"/>
      </w:rPr>
    </w:lvl>
    <w:lvl w:ilvl="4" w:tentative="0">
      <w:start w:val="1"/>
      <w:numFmt w:val="lowerLetter"/>
      <w:lvlText w:val="%5)"/>
      <w:lvlJc w:val="left"/>
      <w:pPr>
        <w:tabs>
          <w:tab w:val="left" w:pos="2940"/>
        </w:tabs>
        <w:ind w:left="2940" w:hanging="420"/>
      </w:pPr>
      <w:rPr>
        <w:rFonts w:hint="eastAsia"/>
      </w:rPr>
    </w:lvl>
    <w:lvl w:ilvl="5" w:tentative="0">
      <w:start w:val="1"/>
      <w:numFmt w:val="lowerRoman"/>
      <w:lvlText w:val="%6."/>
      <w:lvlJc w:val="right"/>
      <w:pPr>
        <w:tabs>
          <w:tab w:val="left" w:pos="3360"/>
        </w:tabs>
        <w:ind w:left="3360" w:hanging="420"/>
      </w:pPr>
      <w:rPr>
        <w:rFonts w:hint="eastAsia"/>
      </w:rPr>
    </w:lvl>
    <w:lvl w:ilvl="6" w:tentative="0">
      <w:start w:val="1"/>
      <w:numFmt w:val="decimal"/>
      <w:lvlText w:val="%7."/>
      <w:lvlJc w:val="left"/>
      <w:pPr>
        <w:tabs>
          <w:tab w:val="left" w:pos="3780"/>
        </w:tabs>
        <w:ind w:left="3780" w:hanging="420"/>
      </w:pPr>
      <w:rPr>
        <w:rFonts w:hint="eastAsia"/>
      </w:rPr>
    </w:lvl>
    <w:lvl w:ilvl="7" w:tentative="0">
      <w:start w:val="1"/>
      <w:numFmt w:val="lowerLetter"/>
      <w:lvlText w:val="%8)"/>
      <w:lvlJc w:val="left"/>
      <w:pPr>
        <w:tabs>
          <w:tab w:val="left" w:pos="4200"/>
        </w:tabs>
        <w:ind w:left="4200" w:hanging="420"/>
      </w:pPr>
      <w:rPr>
        <w:rFonts w:hint="eastAsia"/>
      </w:rPr>
    </w:lvl>
    <w:lvl w:ilvl="8" w:tentative="0">
      <w:start w:val="1"/>
      <w:numFmt w:val="lowerRoman"/>
      <w:lvlText w:val="%9."/>
      <w:lvlJc w:val="right"/>
      <w:pPr>
        <w:tabs>
          <w:tab w:val="left" w:pos="4620"/>
        </w:tabs>
        <w:ind w:left="4620" w:hanging="420"/>
      </w:pPr>
      <w:rPr>
        <w:rFonts w:hint="eastAsia"/>
      </w:rPr>
    </w:lvl>
  </w:abstractNum>
  <w:abstractNum w:abstractNumId="35">
    <w:nsid w:val="4C296137"/>
    <w:multiLevelType w:val="singleLevel"/>
    <w:tmpl w:val="4C296137"/>
    <w:lvl w:ilvl="0" w:tentative="0">
      <w:start w:val="1"/>
      <w:numFmt w:val="bullet"/>
      <w:pStyle w:val="39"/>
      <w:lvlText w:val=""/>
      <w:lvlJc w:val="left"/>
      <w:pPr>
        <w:tabs>
          <w:tab w:val="left" w:pos="780"/>
        </w:tabs>
        <w:ind w:left="780" w:hanging="360"/>
      </w:pPr>
      <w:rPr>
        <w:rFonts w:hint="default" w:ascii="Wingdings" w:hAnsi="Wingdings"/>
      </w:rPr>
    </w:lvl>
  </w:abstractNum>
  <w:abstractNum w:abstractNumId="36">
    <w:nsid w:val="5226D2A2"/>
    <w:multiLevelType w:val="singleLevel"/>
    <w:tmpl w:val="5226D2A2"/>
    <w:lvl w:ilvl="0" w:tentative="0">
      <w:start w:val="2"/>
      <w:numFmt w:val="chineseCounting"/>
      <w:suff w:val="space"/>
      <w:lvlText w:val="第%1条"/>
      <w:lvlJc w:val="left"/>
      <w:rPr>
        <w:rFonts w:hint="eastAsia"/>
      </w:rPr>
    </w:lvl>
  </w:abstractNum>
  <w:abstractNum w:abstractNumId="37">
    <w:nsid w:val="54C72B21"/>
    <w:multiLevelType w:val="multilevel"/>
    <w:tmpl w:val="54C72B21"/>
    <w:lvl w:ilvl="0" w:tentative="0">
      <w:start w:val="1"/>
      <w:numFmt w:val="bullet"/>
      <w:pStyle w:val="154"/>
      <w:lvlText w:val=""/>
      <w:lvlJc w:val="left"/>
      <w:pPr>
        <w:tabs>
          <w:tab w:val="left" w:pos="0"/>
        </w:tabs>
        <w:ind w:left="780" w:hanging="420"/>
      </w:pPr>
      <w:rPr>
        <w:rFonts w:hint="default" w:ascii="Wingdings" w:hAnsi="Wingdings"/>
      </w:rPr>
    </w:lvl>
    <w:lvl w:ilvl="1" w:tentative="0">
      <w:start w:val="1"/>
      <w:numFmt w:val="bullet"/>
      <w:lvlText w:val=""/>
      <w:lvlJc w:val="left"/>
      <w:pPr>
        <w:tabs>
          <w:tab w:val="left" w:pos="0"/>
        </w:tabs>
        <w:ind w:left="1200" w:hanging="420"/>
      </w:pPr>
      <w:rPr>
        <w:rFonts w:hint="default" w:ascii="Wingdings" w:hAnsi="Wingdings"/>
      </w:rPr>
    </w:lvl>
    <w:lvl w:ilvl="2" w:tentative="0">
      <w:start w:val="1"/>
      <w:numFmt w:val="bullet"/>
      <w:lvlText w:val=""/>
      <w:lvlJc w:val="left"/>
      <w:pPr>
        <w:tabs>
          <w:tab w:val="left" w:pos="0"/>
        </w:tabs>
        <w:ind w:left="1620" w:hanging="420"/>
      </w:pPr>
      <w:rPr>
        <w:rFonts w:hint="default" w:ascii="Wingdings" w:hAnsi="Wingdings"/>
      </w:rPr>
    </w:lvl>
    <w:lvl w:ilvl="3" w:tentative="0">
      <w:start w:val="1"/>
      <w:numFmt w:val="bullet"/>
      <w:lvlText w:val=""/>
      <w:lvlJc w:val="left"/>
      <w:pPr>
        <w:tabs>
          <w:tab w:val="left" w:pos="0"/>
        </w:tabs>
        <w:ind w:left="2040" w:hanging="420"/>
      </w:pPr>
      <w:rPr>
        <w:rFonts w:hint="default" w:ascii="Wingdings" w:hAnsi="Wingdings"/>
      </w:rPr>
    </w:lvl>
    <w:lvl w:ilvl="4" w:tentative="0">
      <w:start w:val="1"/>
      <w:numFmt w:val="bullet"/>
      <w:lvlText w:val=""/>
      <w:lvlJc w:val="left"/>
      <w:pPr>
        <w:tabs>
          <w:tab w:val="left" w:pos="0"/>
        </w:tabs>
        <w:ind w:left="2460" w:hanging="420"/>
      </w:pPr>
      <w:rPr>
        <w:rFonts w:hint="default" w:ascii="Wingdings" w:hAnsi="Wingdings"/>
      </w:rPr>
    </w:lvl>
    <w:lvl w:ilvl="5" w:tentative="0">
      <w:start w:val="1"/>
      <w:numFmt w:val="bullet"/>
      <w:lvlText w:val=""/>
      <w:lvlJc w:val="left"/>
      <w:pPr>
        <w:tabs>
          <w:tab w:val="left" w:pos="0"/>
        </w:tabs>
        <w:ind w:left="2880" w:hanging="420"/>
      </w:pPr>
      <w:rPr>
        <w:rFonts w:hint="default" w:ascii="Wingdings" w:hAnsi="Wingdings"/>
      </w:rPr>
    </w:lvl>
    <w:lvl w:ilvl="6" w:tentative="0">
      <w:start w:val="1"/>
      <w:numFmt w:val="bullet"/>
      <w:lvlText w:val=""/>
      <w:lvlJc w:val="left"/>
      <w:pPr>
        <w:tabs>
          <w:tab w:val="left" w:pos="0"/>
        </w:tabs>
        <w:ind w:left="3300" w:hanging="420"/>
      </w:pPr>
      <w:rPr>
        <w:rFonts w:hint="default" w:ascii="Wingdings" w:hAnsi="Wingdings"/>
      </w:rPr>
    </w:lvl>
    <w:lvl w:ilvl="7" w:tentative="0">
      <w:start w:val="1"/>
      <w:numFmt w:val="bullet"/>
      <w:lvlText w:val=""/>
      <w:lvlJc w:val="left"/>
      <w:pPr>
        <w:tabs>
          <w:tab w:val="left" w:pos="0"/>
        </w:tabs>
        <w:ind w:left="3720" w:hanging="420"/>
      </w:pPr>
      <w:rPr>
        <w:rFonts w:hint="default" w:ascii="Wingdings" w:hAnsi="Wingdings"/>
      </w:rPr>
    </w:lvl>
    <w:lvl w:ilvl="8" w:tentative="0">
      <w:start w:val="1"/>
      <w:numFmt w:val="bullet"/>
      <w:lvlText w:val=""/>
      <w:lvlJc w:val="left"/>
      <w:pPr>
        <w:tabs>
          <w:tab w:val="left" w:pos="0"/>
        </w:tabs>
        <w:ind w:left="4140" w:hanging="420"/>
      </w:pPr>
      <w:rPr>
        <w:rFonts w:hint="default" w:ascii="Wingdings" w:hAnsi="Wingdings"/>
      </w:rPr>
    </w:lvl>
  </w:abstractNum>
  <w:abstractNum w:abstractNumId="38">
    <w:nsid w:val="59F52AF8"/>
    <w:multiLevelType w:val="multilevel"/>
    <w:tmpl w:val="59F52AF8"/>
    <w:lvl w:ilvl="0" w:tentative="0">
      <w:start w:val="1"/>
      <w:numFmt w:val="decimal"/>
      <w:pStyle w:val="283"/>
      <w:lvlText w:val="%1)"/>
      <w:lvlJc w:val="left"/>
      <w:pPr>
        <w:tabs>
          <w:tab w:val="left" w:pos="0"/>
        </w:tabs>
        <w:ind w:left="982" w:hanging="420"/>
      </w:pPr>
    </w:lvl>
    <w:lvl w:ilvl="1" w:tentative="0">
      <w:start w:val="1"/>
      <w:numFmt w:val="lowerLetter"/>
      <w:pStyle w:val="280"/>
      <w:lvlText w:val="%2)"/>
      <w:lvlJc w:val="left"/>
      <w:pPr>
        <w:tabs>
          <w:tab w:val="left" w:pos="0"/>
        </w:tabs>
        <w:ind w:left="1402" w:hanging="420"/>
      </w:pPr>
    </w:lvl>
    <w:lvl w:ilvl="2" w:tentative="0">
      <w:start w:val="1"/>
      <w:numFmt w:val="lowerRoman"/>
      <w:pStyle w:val="281"/>
      <w:lvlText w:val="%3."/>
      <w:lvlJc w:val="right"/>
      <w:pPr>
        <w:tabs>
          <w:tab w:val="left" w:pos="0"/>
        </w:tabs>
        <w:ind w:left="1822" w:hanging="420"/>
      </w:pPr>
    </w:lvl>
    <w:lvl w:ilvl="3" w:tentative="0">
      <w:start w:val="1"/>
      <w:numFmt w:val="decimal"/>
      <w:lvlText w:val="%4."/>
      <w:lvlJc w:val="left"/>
      <w:pPr>
        <w:tabs>
          <w:tab w:val="left" w:pos="0"/>
        </w:tabs>
        <w:ind w:left="2242" w:hanging="420"/>
      </w:pPr>
    </w:lvl>
    <w:lvl w:ilvl="4" w:tentative="0">
      <w:start w:val="1"/>
      <w:numFmt w:val="lowerLetter"/>
      <w:lvlText w:val="%5)"/>
      <w:lvlJc w:val="left"/>
      <w:pPr>
        <w:tabs>
          <w:tab w:val="left" w:pos="0"/>
        </w:tabs>
        <w:ind w:left="2662" w:hanging="420"/>
      </w:pPr>
    </w:lvl>
    <w:lvl w:ilvl="5" w:tentative="0">
      <w:start w:val="1"/>
      <w:numFmt w:val="lowerRoman"/>
      <w:lvlText w:val="%6."/>
      <w:lvlJc w:val="right"/>
      <w:pPr>
        <w:tabs>
          <w:tab w:val="left" w:pos="0"/>
        </w:tabs>
        <w:ind w:left="3082" w:hanging="420"/>
      </w:pPr>
    </w:lvl>
    <w:lvl w:ilvl="6" w:tentative="0">
      <w:start w:val="1"/>
      <w:numFmt w:val="decimal"/>
      <w:lvlText w:val="%7."/>
      <w:lvlJc w:val="left"/>
      <w:pPr>
        <w:tabs>
          <w:tab w:val="left" w:pos="0"/>
        </w:tabs>
        <w:ind w:left="3502" w:hanging="420"/>
      </w:pPr>
    </w:lvl>
    <w:lvl w:ilvl="7" w:tentative="0">
      <w:start w:val="1"/>
      <w:numFmt w:val="lowerLetter"/>
      <w:lvlText w:val="%8)"/>
      <w:lvlJc w:val="left"/>
      <w:pPr>
        <w:tabs>
          <w:tab w:val="left" w:pos="0"/>
        </w:tabs>
        <w:ind w:left="3922" w:hanging="420"/>
      </w:pPr>
    </w:lvl>
    <w:lvl w:ilvl="8" w:tentative="0">
      <w:start w:val="1"/>
      <w:numFmt w:val="lowerRoman"/>
      <w:lvlText w:val="%9."/>
      <w:lvlJc w:val="right"/>
      <w:pPr>
        <w:tabs>
          <w:tab w:val="left" w:pos="0"/>
        </w:tabs>
        <w:ind w:left="4342" w:hanging="420"/>
      </w:pPr>
    </w:lvl>
  </w:abstractNum>
  <w:abstractNum w:abstractNumId="39">
    <w:nsid w:val="5B5AF7FA"/>
    <w:multiLevelType w:val="multilevel"/>
    <w:tmpl w:val="5B5AF7FA"/>
    <w:lvl w:ilvl="0" w:tentative="0">
      <w:start w:val="1"/>
      <w:numFmt w:val="decimal"/>
      <w:pStyle w:val="285"/>
      <w:lvlText w:val="%1)"/>
      <w:lvlJc w:val="left"/>
      <w:pPr>
        <w:tabs>
          <w:tab w:val="left" w:pos="0"/>
        </w:tabs>
        <w:ind w:left="980" w:hanging="420"/>
      </w:pPr>
      <w:rPr>
        <w:b w:val="0"/>
        <w:bCs w:val="0"/>
        <w:i w:val="0"/>
        <w:iCs w:val="0"/>
        <w:caps w:val="0"/>
        <w:smallCaps w:val="0"/>
        <w:strike w:val="0"/>
        <w:dstrike w:val="0"/>
        <w:vanish w:val="0"/>
        <w:color w:val="000000"/>
        <w:spacing w:val="0"/>
        <w:position w:val="0"/>
        <w:u w:val="none"/>
        <w:vertAlign w:val="baseline"/>
      </w:rPr>
    </w:lvl>
    <w:lvl w:ilvl="1" w:tentative="0">
      <w:start w:val="1"/>
      <w:numFmt w:val="lowerLetter"/>
      <w:lvlText w:val="%2)"/>
      <w:lvlJc w:val="left"/>
      <w:pPr>
        <w:tabs>
          <w:tab w:val="left" w:pos="0"/>
        </w:tabs>
        <w:ind w:left="1400" w:hanging="420"/>
      </w:pPr>
    </w:lvl>
    <w:lvl w:ilvl="2" w:tentative="0">
      <w:start w:val="1"/>
      <w:numFmt w:val="lowerRoman"/>
      <w:lvlText w:val="%3."/>
      <w:lvlJc w:val="right"/>
      <w:pPr>
        <w:tabs>
          <w:tab w:val="left" w:pos="0"/>
        </w:tabs>
        <w:ind w:left="1820" w:hanging="420"/>
      </w:pPr>
    </w:lvl>
    <w:lvl w:ilvl="3" w:tentative="0">
      <w:start w:val="1"/>
      <w:numFmt w:val="decimal"/>
      <w:lvlText w:val="%4."/>
      <w:lvlJc w:val="left"/>
      <w:pPr>
        <w:tabs>
          <w:tab w:val="left" w:pos="0"/>
        </w:tabs>
        <w:ind w:left="2240" w:hanging="420"/>
      </w:pPr>
    </w:lvl>
    <w:lvl w:ilvl="4" w:tentative="0">
      <w:start w:val="1"/>
      <w:numFmt w:val="lowerLetter"/>
      <w:lvlText w:val="%5)"/>
      <w:lvlJc w:val="left"/>
      <w:pPr>
        <w:tabs>
          <w:tab w:val="left" w:pos="0"/>
        </w:tabs>
        <w:ind w:left="2660" w:hanging="420"/>
      </w:pPr>
    </w:lvl>
    <w:lvl w:ilvl="5" w:tentative="0">
      <w:start w:val="1"/>
      <w:numFmt w:val="lowerRoman"/>
      <w:lvlText w:val="%6."/>
      <w:lvlJc w:val="right"/>
      <w:pPr>
        <w:tabs>
          <w:tab w:val="left" w:pos="0"/>
        </w:tabs>
        <w:ind w:left="3080" w:hanging="420"/>
      </w:pPr>
    </w:lvl>
    <w:lvl w:ilvl="6" w:tentative="0">
      <w:start w:val="1"/>
      <w:numFmt w:val="decimal"/>
      <w:lvlText w:val="%7."/>
      <w:lvlJc w:val="left"/>
      <w:pPr>
        <w:tabs>
          <w:tab w:val="left" w:pos="0"/>
        </w:tabs>
        <w:ind w:left="3500" w:hanging="420"/>
      </w:pPr>
    </w:lvl>
    <w:lvl w:ilvl="7" w:tentative="0">
      <w:start w:val="1"/>
      <w:numFmt w:val="lowerLetter"/>
      <w:lvlText w:val="%8)"/>
      <w:lvlJc w:val="left"/>
      <w:pPr>
        <w:tabs>
          <w:tab w:val="left" w:pos="0"/>
        </w:tabs>
        <w:ind w:left="3920" w:hanging="420"/>
      </w:pPr>
    </w:lvl>
    <w:lvl w:ilvl="8" w:tentative="0">
      <w:start w:val="1"/>
      <w:numFmt w:val="lowerRoman"/>
      <w:lvlText w:val="%9."/>
      <w:lvlJc w:val="right"/>
      <w:pPr>
        <w:tabs>
          <w:tab w:val="left" w:pos="0"/>
        </w:tabs>
        <w:ind w:left="4340" w:hanging="420"/>
      </w:pPr>
    </w:lvl>
  </w:abstractNum>
  <w:abstractNum w:abstractNumId="40">
    <w:nsid w:val="5D34656E"/>
    <w:multiLevelType w:val="multilevel"/>
    <w:tmpl w:val="5D34656E"/>
    <w:lvl w:ilvl="0" w:tentative="0">
      <w:start w:val="1"/>
      <w:numFmt w:val="bullet"/>
      <w:pStyle w:val="14"/>
      <w:lvlText w:val=""/>
      <w:lvlJc w:val="left"/>
      <w:pPr>
        <w:tabs>
          <w:tab w:val="left" w:pos="0"/>
        </w:tabs>
        <w:ind w:left="988" w:hanging="420"/>
      </w:pPr>
      <w:rPr>
        <w:rFonts w:hint="default" w:ascii="Wingdings" w:hAnsi="Wingdings"/>
      </w:rPr>
    </w:lvl>
    <w:lvl w:ilvl="1" w:tentative="0">
      <w:start w:val="1"/>
      <w:numFmt w:val="bullet"/>
      <w:lvlText w:val=""/>
      <w:lvlJc w:val="left"/>
      <w:pPr>
        <w:tabs>
          <w:tab w:val="left" w:pos="0"/>
        </w:tabs>
        <w:ind w:left="1400" w:hanging="420"/>
      </w:pPr>
      <w:rPr>
        <w:rFonts w:hint="default" w:ascii="Wingdings" w:hAnsi="Wingdings"/>
      </w:rPr>
    </w:lvl>
    <w:lvl w:ilvl="2" w:tentative="0">
      <w:start w:val="1"/>
      <w:numFmt w:val="bullet"/>
      <w:lvlText w:val=""/>
      <w:lvlJc w:val="left"/>
      <w:pPr>
        <w:tabs>
          <w:tab w:val="left" w:pos="0"/>
        </w:tabs>
        <w:ind w:left="1820" w:hanging="420"/>
      </w:pPr>
      <w:rPr>
        <w:rFonts w:hint="default" w:ascii="Wingdings" w:hAnsi="Wingdings"/>
      </w:rPr>
    </w:lvl>
    <w:lvl w:ilvl="3" w:tentative="0">
      <w:start w:val="1"/>
      <w:numFmt w:val="bullet"/>
      <w:lvlText w:val=""/>
      <w:lvlJc w:val="left"/>
      <w:pPr>
        <w:tabs>
          <w:tab w:val="left" w:pos="0"/>
        </w:tabs>
        <w:ind w:left="2240" w:hanging="420"/>
      </w:pPr>
      <w:rPr>
        <w:rFonts w:hint="default" w:ascii="Wingdings" w:hAnsi="Wingdings"/>
      </w:rPr>
    </w:lvl>
    <w:lvl w:ilvl="4" w:tentative="0">
      <w:start w:val="1"/>
      <w:numFmt w:val="bullet"/>
      <w:lvlText w:val=""/>
      <w:lvlJc w:val="left"/>
      <w:pPr>
        <w:tabs>
          <w:tab w:val="left" w:pos="0"/>
        </w:tabs>
        <w:ind w:left="2660" w:hanging="420"/>
      </w:pPr>
      <w:rPr>
        <w:rFonts w:hint="default" w:ascii="Wingdings" w:hAnsi="Wingdings"/>
      </w:rPr>
    </w:lvl>
    <w:lvl w:ilvl="5" w:tentative="0">
      <w:start w:val="1"/>
      <w:numFmt w:val="bullet"/>
      <w:lvlText w:val=""/>
      <w:lvlJc w:val="left"/>
      <w:pPr>
        <w:tabs>
          <w:tab w:val="left" w:pos="0"/>
        </w:tabs>
        <w:ind w:left="3080" w:hanging="420"/>
      </w:pPr>
      <w:rPr>
        <w:rFonts w:hint="default" w:ascii="Wingdings" w:hAnsi="Wingdings"/>
      </w:rPr>
    </w:lvl>
    <w:lvl w:ilvl="6" w:tentative="0">
      <w:start w:val="1"/>
      <w:numFmt w:val="bullet"/>
      <w:lvlText w:val=""/>
      <w:lvlJc w:val="left"/>
      <w:pPr>
        <w:tabs>
          <w:tab w:val="left" w:pos="0"/>
        </w:tabs>
        <w:ind w:left="3500" w:hanging="420"/>
      </w:pPr>
      <w:rPr>
        <w:rFonts w:hint="default" w:ascii="Wingdings" w:hAnsi="Wingdings"/>
      </w:rPr>
    </w:lvl>
    <w:lvl w:ilvl="7" w:tentative="0">
      <w:start w:val="1"/>
      <w:numFmt w:val="bullet"/>
      <w:lvlText w:val=""/>
      <w:lvlJc w:val="left"/>
      <w:pPr>
        <w:tabs>
          <w:tab w:val="left" w:pos="0"/>
        </w:tabs>
        <w:ind w:left="3920" w:hanging="420"/>
      </w:pPr>
      <w:rPr>
        <w:rFonts w:hint="default" w:ascii="Wingdings" w:hAnsi="Wingdings"/>
      </w:rPr>
    </w:lvl>
    <w:lvl w:ilvl="8" w:tentative="0">
      <w:start w:val="1"/>
      <w:numFmt w:val="bullet"/>
      <w:lvlText w:val=""/>
      <w:lvlJc w:val="left"/>
      <w:pPr>
        <w:tabs>
          <w:tab w:val="left" w:pos="0"/>
        </w:tabs>
        <w:ind w:left="4340" w:hanging="420"/>
      </w:pPr>
      <w:rPr>
        <w:rFonts w:hint="default" w:ascii="Wingdings" w:hAnsi="Wingdings"/>
      </w:rPr>
    </w:lvl>
  </w:abstractNum>
  <w:abstractNum w:abstractNumId="41">
    <w:nsid w:val="64253DA1"/>
    <w:multiLevelType w:val="multilevel"/>
    <w:tmpl w:val="64253DA1"/>
    <w:lvl w:ilvl="0" w:tentative="0">
      <w:start w:val="1"/>
      <w:numFmt w:val="decimal"/>
      <w:suff w:val="nothing"/>
      <w:lvlText w:val="%1"/>
      <w:lvlJc w:val="left"/>
      <w:pPr>
        <w:tabs>
          <w:tab w:val="left" w:pos="0"/>
        </w:tabs>
        <w:ind w:left="596" w:hanging="420"/>
      </w:pPr>
      <w:rPr>
        <w:rFonts w:hint="eastAsia"/>
      </w:rPr>
    </w:lvl>
    <w:lvl w:ilvl="1" w:tentative="0">
      <w:start w:val="1"/>
      <w:numFmt w:val="lowerLetter"/>
      <w:lvlText w:val="%2)"/>
      <w:lvlJc w:val="left"/>
      <w:pPr>
        <w:tabs>
          <w:tab w:val="left" w:pos="1016"/>
        </w:tabs>
        <w:ind w:left="1016" w:hanging="420"/>
      </w:pPr>
      <w:rPr>
        <w:rFonts w:hint="eastAsia"/>
      </w:rPr>
    </w:lvl>
    <w:lvl w:ilvl="2" w:tentative="0">
      <w:start w:val="1"/>
      <w:numFmt w:val="lowerRoman"/>
      <w:lvlText w:val="%3."/>
      <w:lvlJc w:val="right"/>
      <w:pPr>
        <w:tabs>
          <w:tab w:val="left" w:pos="1436"/>
        </w:tabs>
        <w:ind w:left="1436" w:hanging="420"/>
      </w:pPr>
      <w:rPr>
        <w:rFonts w:hint="eastAsia"/>
      </w:rPr>
    </w:lvl>
    <w:lvl w:ilvl="3" w:tentative="0">
      <w:start w:val="1"/>
      <w:numFmt w:val="decimal"/>
      <w:lvlText w:val="%4."/>
      <w:lvlJc w:val="left"/>
      <w:pPr>
        <w:tabs>
          <w:tab w:val="left" w:pos="1856"/>
        </w:tabs>
        <w:ind w:left="1856" w:hanging="420"/>
      </w:pPr>
      <w:rPr>
        <w:rFonts w:hint="eastAsia"/>
      </w:rPr>
    </w:lvl>
    <w:lvl w:ilvl="4" w:tentative="0">
      <w:start w:val="1"/>
      <w:numFmt w:val="lowerLetter"/>
      <w:lvlText w:val="%5)"/>
      <w:lvlJc w:val="left"/>
      <w:pPr>
        <w:tabs>
          <w:tab w:val="left" w:pos="2276"/>
        </w:tabs>
        <w:ind w:left="2276" w:hanging="420"/>
      </w:pPr>
      <w:rPr>
        <w:rFonts w:hint="eastAsia"/>
      </w:rPr>
    </w:lvl>
    <w:lvl w:ilvl="5" w:tentative="0">
      <w:start w:val="1"/>
      <w:numFmt w:val="lowerRoman"/>
      <w:lvlText w:val="%6."/>
      <w:lvlJc w:val="right"/>
      <w:pPr>
        <w:tabs>
          <w:tab w:val="left" w:pos="2696"/>
        </w:tabs>
        <w:ind w:left="2696" w:hanging="420"/>
      </w:pPr>
      <w:rPr>
        <w:rFonts w:hint="eastAsia"/>
      </w:rPr>
    </w:lvl>
    <w:lvl w:ilvl="6" w:tentative="0">
      <w:start w:val="1"/>
      <w:numFmt w:val="decimal"/>
      <w:lvlText w:val="%7."/>
      <w:lvlJc w:val="left"/>
      <w:pPr>
        <w:tabs>
          <w:tab w:val="left" w:pos="3116"/>
        </w:tabs>
        <w:ind w:left="3116" w:hanging="420"/>
      </w:pPr>
      <w:rPr>
        <w:rFonts w:hint="eastAsia"/>
      </w:rPr>
    </w:lvl>
    <w:lvl w:ilvl="7" w:tentative="0">
      <w:start w:val="1"/>
      <w:numFmt w:val="lowerLetter"/>
      <w:lvlText w:val="%8)"/>
      <w:lvlJc w:val="left"/>
      <w:pPr>
        <w:tabs>
          <w:tab w:val="left" w:pos="3536"/>
        </w:tabs>
        <w:ind w:left="3536" w:hanging="420"/>
      </w:pPr>
      <w:rPr>
        <w:rFonts w:hint="eastAsia"/>
      </w:rPr>
    </w:lvl>
    <w:lvl w:ilvl="8" w:tentative="0">
      <w:start w:val="1"/>
      <w:numFmt w:val="lowerRoman"/>
      <w:lvlText w:val="%9."/>
      <w:lvlJc w:val="right"/>
      <w:pPr>
        <w:tabs>
          <w:tab w:val="left" w:pos="3956"/>
        </w:tabs>
        <w:ind w:left="3956" w:hanging="420"/>
      </w:pPr>
      <w:rPr>
        <w:rFonts w:hint="eastAsia"/>
      </w:rPr>
    </w:lvl>
  </w:abstractNum>
  <w:abstractNum w:abstractNumId="42">
    <w:nsid w:val="734F656C"/>
    <w:multiLevelType w:val="multilevel"/>
    <w:tmpl w:val="734F656C"/>
    <w:lvl w:ilvl="0" w:tentative="0">
      <w:start w:val="1"/>
      <w:numFmt w:val="decimal"/>
      <w:suff w:val="nothing"/>
      <w:lvlText w:val="%1"/>
      <w:lvlJc w:val="left"/>
      <w:pPr>
        <w:tabs>
          <w:tab w:val="left" w:pos="0"/>
        </w:tabs>
        <w:ind w:left="630" w:hanging="420"/>
      </w:pPr>
      <w:rPr>
        <w:rFonts w:hint="eastAsia"/>
      </w:rPr>
    </w:lvl>
    <w:lvl w:ilvl="1" w:tentative="0">
      <w:start w:val="1"/>
      <w:numFmt w:val="lowerLetter"/>
      <w:lvlText w:val="%2)"/>
      <w:lvlJc w:val="left"/>
      <w:pPr>
        <w:tabs>
          <w:tab w:val="left" w:pos="0"/>
        </w:tabs>
        <w:ind w:left="840" w:hanging="420"/>
      </w:pPr>
    </w:lvl>
    <w:lvl w:ilvl="2" w:tentative="0">
      <w:start w:val="1"/>
      <w:numFmt w:val="lowerRoman"/>
      <w:lvlText w:val="%3."/>
      <w:lvlJc w:val="right"/>
      <w:pPr>
        <w:tabs>
          <w:tab w:val="left" w:pos="0"/>
        </w:tabs>
        <w:ind w:left="1260" w:hanging="420"/>
      </w:pPr>
    </w:lvl>
    <w:lvl w:ilvl="3" w:tentative="0">
      <w:start w:val="1"/>
      <w:numFmt w:val="decimal"/>
      <w:lvlText w:val="%4."/>
      <w:lvlJc w:val="left"/>
      <w:pPr>
        <w:tabs>
          <w:tab w:val="left" w:pos="0"/>
        </w:tabs>
        <w:ind w:left="1680" w:hanging="420"/>
      </w:pPr>
    </w:lvl>
    <w:lvl w:ilvl="4" w:tentative="0">
      <w:start w:val="1"/>
      <w:numFmt w:val="lowerLetter"/>
      <w:lvlText w:val="%5)"/>
      <w:lvlJc w:val="left"/>
      <w:pPr>
        <w:tabs>
          <w:tab w:val="left" w:pos="0"/>
        </w:tabs>
        <w:ind w:left="2100" w:hanging="420"/>
      </w:pPr>
    </w:lvl>
    <w:lvl w:ilvl="5" w:tentative="0">
      <w:start w:val="1"/>
      <w:numFmt w:val="lowerRoman"/>
      <w:lvlText w:val="%6."/>
      <w:lvlJc w:val="right"/>
      <w:pPr>
        <w:tabs>
          <w:tab w:val="left" w:pos="0"/>
        </w:tabs>
        <w:ind w:left="2520" w:hanging="420"/>
      </w:pPr>
    </w:lvl>
    <w:lvl w:ilvl="6" w:tentative="0">
      <w:start w:val="1"/>
      <w:numFmt w:val="decimal"/>
      <w:lvlText w:val="%7."/>
      <w:lvlJc w:val="left"/>
      <w:pPr>
        <w:tabs>
          <w:tab w:val="left" w:pos="0"/>
        </w:tabs>
        <w:ind w:left="2940" w:hanging="420"/>
      </w:pPr>
    </w:lvl>
    <w:lvl w:ilvl="7" w:tentative="0">
      <w:start w:val="1"/>
      <w:numFmt w:val="lowerLetter"/>
      <w:lvlText w:val="%8)"/>
      <w:lvlJc w:val="left"/>
      <w:pPr>
        <w:tabs>
          <w:tab w:val="left" w:pos="0"/>
        </w:tabs>
        <w:ind w:left="3360" w:hanging="420"/>
      </w:pPr>
    </w:lvl>
    <w:lvl w:ilvl="8" w:tentative="0">
      <w:start w:val="1"/>
      <w:numFmt w:val="lowerRoman"/>
      <w:lvlText w:val="%9."/>
      <w:lvlJc w:val="right"/>
      <w:pPr>
        <w:tabs>
          <w:tab w:val="left" w:pos="0"/>
        </w:tabs>
        <w:ind w:left="3780" w:hanging="420"/>
      </w:pPr>
    </w:lvl>
  </w:abstractNum>
  <w:abstractNum w:abstractNumId="43">
    <w:nsid w:val="797F14BE"/>
    <w:multiLevelType w:val="singleLevel"/>
    <w:tmpl w:val="797F14BE"/>
    <w:lvl w:ilvl="0" w:tentative="0">
      <w:start w:val="1"/>
      <w:numFmt w:val="bullet"/>
      <w:pStyle w:val="45"/>
      <w:lvlText w:val=""/>
      <w:lvlJc w:val="left"/>
      <w:pPr>
        <w:tabs>
          <w:tab w:val="left" w:pos="2040"/>
        </w:tabs>
        <w:ind w:left="2040" w:hanging="360"/>
      </w:pPr>
      <w:rPr>
        <w:rFonts w:hint="default" w:ascii="Wingdings" w:hAnsi="Wingdings"/>
      </w:rPr>
    </w:lvl>
  </w:abstractNum>
  <w:num w:numId="1">
    <w:abstractNumId w:val="17"/>
  </w:num>
  <w:num w:numId="2">
    <w:abstractNumId w:val="40"/>
  </w:num>
  <w:num w:numId="3">
    <w:abstractNumId w:val="33"/>
  </w:num>
  <w:num w:numId="4">
    <w:abstractNumId w:val="32"/>
  </w:num>
  <w:num w:numId="5">
    <w:abstractNumId w:val="30"/>
  </w:num>
  <w:num w:numId="6">
    <w:abstractNumId w:val="6"/>
  </w:num>
  <w:num w:numId="7">
    <w:abstractNumId w:val="35"/>
  </w:num>
  <w:num w:numId="8">
    <w:abstractNumId w:val="43"/>
  </w:num>
  <w:num w:numId="9">
    <w:abstractNumId w:val="15"/>
  </w:num>
  <w:num w:numId="10">
    <w:abstractNumId w:val="29"/>
  </w:num>
  <w:num w:numId="11">
    <w:abstractNumId w:val="24"/>
  </w:num>
  <w:num w:numId="12">
    <w:abstractNumId w:val="20"/>
  </w:num>
  <w:num w:numId="13">
    <w:abstractNumId w:val="19"/>
  </w:num>
  <w:num w:numId="14">
    <w:abstractNumId w:val="37"/>
  </w:num>
  <w:num w:numId="15">
    <w:abstractNumId w:val="0"/>
  </w:num>
  <w:num w:numId="16">
    <w:abstractNumId w:val="2"/>
  </w:num>
  <w:num w:numId="17">
    <w:abstractNumId w:val="5"/>
  </w:num>
  <w:num w:numId="18">
    <w:abstractNumId w:val="8"/>
  </w:num>
  <w:num w:numId="19">
    <w:abstractNumId w:val="26"/>
  </w:num>
  <w:num w:numId="20">
    <w:abstractNumId w:val="10"/>
  </w:num>
  <w:num w:numId="21">
    <w:abstractNumId w:val="21"/>
  </w:num>
  <w:num w:numId="22">
    <w:abstractNumId w:val="13"/>
  </w:num>
  <w:num w:numId="23">
    <w:abstractNumId w:val="4"/>
  </w:num>
  <w:num w:numId="24">
    <w:abstractNumId w:val="14"/>
  </w:num>
  <w:num w:numId="25">
    <w:abstractNumId w:val="38"/>
  </w:num>
  <w:num w:numId="26">
    <w:abstractNumId w:val="39"/>
  </w:num>
  <w:num w:numId="27">
    <w:abstractNumId w:val="11"/>
  </w:num>
  <w:num w:numId="28">
    <w:abstractNumId w:val="9"/>
  </w:num>
  <w:num w:numId="29">
    <w:abstractNumId w:val="12"/>
  </w:num>
  <w:num w:numId="30">
    <w:abstractNumId w:val="1"/>
  </w:num>
  <w:num w:numId="31">
    <w:abstractNumId w:val="18"/>
  </w:num>
  <w:num w:numId="32">
    <w:abstractNumId w:val="42"/>
  </w:num>
  <w:num w:numId="33">
    <w:abstractNumId w:val="41"/>
  </w:num>
  <w:num w:numId="34">
    <w:abstractNumId w:val="31"/>
  </w:num>
  <w:num w:numId="35">
    <w:abstractNumId w:val="22"/>
  </w:num>
  <w:num w:numId="36">
    <w:abstractNumId w:val="16"/>
  </w:num>
  <w:num w:numId="37">
    <w:abstractNumId w:val="7"/>
  </w:num>
  <w:num w:numId="38">
    <w:abstractNumId w:val="3"/>
  </w:num>
  <w:num w:numId="39">
    <w:abstractNumId w:val="36"/>
  </w:num>
  <w:num w:numId="40">
    <w:abstractNumId w:val="23"/>
  </w:num>
  <w:num w:numId="41">
    <w:abstractNumId w:val="25"/>
  </w:num>
  <w:num w:numId="42">
    <w:abstractNumId w:val="28"/>
  </w:num>
  <w:num w:numId="43">
    <w:abstractNumId w:val="27"/>
  </w:num>
  <w:num w:numId="4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documentProtection w:enforcement="0"/>
  <w:defaultTabStop w:val="420"/>
  <w:drawingGridHorizontalSpacing w:val="105"/>
  <w:drawingGridVerticalSpacing w:val="231"/>
  <w:noPunctuationKerning w:val="1"/>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Q4NzIwNzA4ZTJjN2M2YzAzODJmMmZmNWFlZjU1OTAifQ=="/>
  </w:docVars>
  <w:rsids>
    <w:rsidRoot w:val="006C5683"/>
    <w:rsid w:val="000015CB"/>
    <w:rsid w:val="000017FA"/>
    <w:rsid w:val="000021E9"/>
    <w:rsid w:val="000027F1"/>
    <w:rsid w:val="00003511"/>
    <w:rsid w:val="00004873"/>
    <w:rsid w:val="00004AEC"/>
    <w:rsid w:val="00005B02"/>
    <w:rsid w:val="000060D0"/>
    <w:rsid w:val="00006D88"/>
    <w:rsid w:val="00010C75"/>
    <w:rsid w:val="00011D2E"/>
    <w:rsid w:val="000145F4"/>
    <w:rsid w:val="0001650A"/>
    <w:rsid w:val="00017A00"/>
    <w:rsid w:val="000200F4"/>
    <w:rsid w:val="00020BF0"/>
    <w:rsid w:val="00021C95"/>
    <w:rsid w:val="00022110"/>
    <w:rsid w:val="00031D0B"/>
    <w:rsid w:val="00033912"/>
    <w:rsid w:val="000355DB"/>
    <w:rsid w:val="00035638"/>
    <w:rsid w:val="00035D60"/>
    <w:rsid w:val="000379AC"/>
    <w:rsid w:val="00040351"/>
    <w:rsid w:val="0004289B"/>
    <w:rsid w:val="00043266"/>
    <w:rsid w:val="00044738"/>
    <w:rsid w:val="00045A4A"/>
    <w:rsid w:val="00047D3A"/>
    <w:rsid w:val="000518A9"/>
    <w:rsid w:val="00051F63"/>
    <w:rsid w:val="0005491F"/>
    <w:rsid w:val="00055B0A"/>
    <w:rsid w:val="00055C0E"/>
    <w:rsid w:val="000562DD"/>
    <w:rsid w:val="0006047C"/>
    <w:rsid w:val="00061424"/>
    <w:rsid w:val="00061F80"/>
    <w:rsid w:val="00062150"/>
    <w:rsid w:val="00063076"/>
    <w:rsid w:val="00063A10"/>
    <w:rsid w:val="00065D87"/>
    <w:rsid w:val="00065F3F"/>
    <w:rsid w:val="00066E2A"/>
    <w:rsid w:val="000675EA"/>
    <w:rsid w:val="00070E31"/>
    <w:rsid w:val="00071C79"/>
    <w:rsid w:val="00073781"/>
    <w:rsid w:val="0007403B"/>
    <w:rsid w:val="000761F4"/>
    <w:rsid w:val="00076C4E"/>
    <w:rsid w:val="000775F2"/>
    <w:rsid w:val="00077C1C"/>
    <w:rsid w:val="000816F0"/>
    <w:rsid w:val="0008437A"/>
    <w:rsid w:val="0008483B"/>
    <w:rsid w:val="00086008"/>
    <w:rsid w:val="00086ED9"/>
    <w:rsid w:val="00087CC7"/>
    <w:rsid w:val="00090EAE"/>
    <w:rsid w:val="00092DD1"/>
    <w:rsid w:val="0009300C"/>
    <w:rsid w:val="000942A1"/>
    <w:rsid w:val="00094482"/>
    <w:rsid w:val="00094AC5"/>
    <w:rsid w:val="00094CE9"/>
    <w:rsid w:val="00096521"/>
    <w:rsid w:val="00096FCE"/>
    <w:rsid w:val="000A06B5"/>
    <w:rsid w:val="000A1509"/>
    <w:rsid w:val="000A1C1D"/>
    <w:rsid w:val="000A3668"/>
    <w:rsid w:val="000A4BA3"/>
    <w:rsid w:val="000A636C"/>
    <w:rsid w:val="000A65DB"/>
    <w:rsid w:val="000B054C"/>
    <w:rsid w:val="000B22EA"/>
    <w:rsid w:val="000B3A7B"/>
    <w:rsid w:val="000B67F3"/>
    <w:rsid w:val="000C0489"/>
    <w:rsid w:val="000C27F8"/>
    <w:rsid w:val="000C2925"/>
    <w:rsid w:val="000C2ED1"/>
    <w:rsid w:val="000C36E3"/>
    <w:rsid w:val="000C41A6"/>
    <w:rsid w:val="000C49EB"/>
    <w:rsid w:val="000C4EC9"/>
    <w:rsid w:val="000C5C2B"/>
    <w:rsid w:val="000C7449"/>
    <w:rsid w:val="000D05BA"/>
    <w:rsid w:val="000D3422"/>
    <w:rsid w:val="000D649C"/>
    <w:rsid w:val="000E06EB"/>
    <w:rsid w:val="000E2F6C"/>
    <w:rsid w:val="000E5A5F"/>
    <w:rsid w:val="000E5C46"/>
    <w:rsid w:val="000E7652"/>
    <w:rsid w:val="000F0838"/>
    <w:rsid w:val="000F18A9"/>
    <w:rsid w:val="000F5162"/>
    <w:rsid w:val="000F5CC5"/>
    <w:rsid w:val="000F5E31"/>
    <w:rsid w:val="000F5F2D"/>
    <w:rsid w:val="000F6D23"/>
    <w:rsid w:val="00100890"/>
    <w:rsid w:val="00100985"/>
    <w:rsid w:val="0010331A"/>
    <w:rsid w:val="0010394D"/>
    <w:rsid w:val="00104157"/>
    <w:rsid w:val="001052B1"/>
    <w:rsid w:val="001061B4"/>
    <w:rsid w:val="00107D53"/>
    <w:rsid w:val="00107EB0"/>
    <w:rsid w:val="0011106F"/>
    <w:rsid w:val="00113686"/>
    <w:rsid w:val="00113B47"/>
    <w:rsid w:val="00115F02"/>
    <w:rsid w:val="001166FC"/>
    <w:rsid w:val="00116B2C"/>
    <w:rsid w:val="0012044A"/>
    <w:rsid w:val="00122279"/>
    <w:rsid w:val="00122DBE"/>
    <w:rsid w:val="00122F14"/>
    <w:rsid w:val="001230F7"/>
    <w:rsid w:val="00123716"/>
    <w:rsid w:val="001264C4"/>
    <w:rsid w:val="00126858"/>
    <w:rsid w:val="00126BBC"/>
    <w:rsid w:val="00127026"/>
    <w:rsid w:val="00127E5A"/>
    <w:rsid w:val="00130483"/>
    <w:rsid w:val="00130521"/>
    <w:rsid w:val="001314E7"/>
    <w:rsid w:val="00131A80"/>
    <w:rsid w:val="00132428"/>
    <w:rsid w:val="001343B6"/>
    <w:rsid w:val="00134697"/>
    <w:rsid w:val="00134C01"/>
    <w:rsid w:val="00136AEC"/>
    <w:rsid w:val="001379AF"/>
    <w:rsid w:val="00140435"/>
    <w:rsid w:val="00140FE1"/>
    <w:rsid w:val="001413BF"/>
    <w:rsid w:val="00141882"/>
    <w:rsid w:val="00141A1B"/>
    <w:rsid w:val="00144851"/>
    <w:rsid w:val="001500F5"/>
    <w:rsid w:val="00150D74"/>
    <w:rsid w:val="00151BCC"/>
    <w:rsid w:val="00154382"/>
    <w:rsid w:val="00154962"/>
    <w:rsid w:val="00154B08"/>
    <w:rsid w:val="001569BD"/>
    <w:rsid w:val="0016088B"/>
    <w:rsid w:val="001608B6"/>
    <w:rsid w:val="001620E0"/>
    <w:rsid w:val="00162E69"/>
    <w:rsid w:val="001635E6"/>
    <w:rsid w:val="001659CA"/>
    <w:rsid w:val="00167FEB"/>
    <w:rsid w:val="00170993"/>
    <w:rsid w:val="00171DEE"/>
    <w:rsid w:val="0017394E"/>
    <w:rsid w:val="00174CFF"/>
    <w:rsid w:val="0018016B"/>
    <w:rsid w:val="00180ACA"/>
    <w:rsid w:val="001824A0"/>
    <w:rsid w:val="00182DA1"/>
    <w:rsid w:val="0018349F"/>
    <w:rsid w:val="00183BFA"/>
    <w:rsid w:val="0018428F"/>
    <w:rsid w:val="00184350"/>
    <w:rsid w:val="001843F3"/>
    <w:rsid w:val="0018549E"/>
    <w:rsid w:val="001860D3"/>
    <w:rsid w:val="001914F1"/>
    <w:rsid w:val="00191B0F"/>
    <w:rsid w:val="00192555"/>
    <w:rsid w:val="001932DD"/>
    <w:rsid w:val="0019369C"/>
    <w:rsid w:val="00194FEA"/>
    <w:rsid w:val="00195297"/>
    <w:rsid w:val="001955C7"/>
    <w:rsid w:val="001965F1"/>
    <w:rsid w:val="0019688B"/>
    <w:rsid w:val="0019695C"/>
    <w:rsid w:val="001969A0"/>
    <w:rsid w:val="001A102D"/>
    <w:rsid w:val="001A1048"/>
    <w:rsid w:val="001A16C8"/>
    <w:rsid w:val="001A2318"/>
    <w:rsid w:val="001A3552"/>
    <w:rsid w:val="001A40BB"/>
    <w:rsid w:val="001A51FD"/>
    <w:rsid w:val="001A5C59"/>
    <w:rsid w:val="001A6998"/>
    <w:rsid w:val="001A6AD1"/>
    <w:rsid w:val="001A7128"/>
    <w:rsid w:val="001A7216"/>
    <w:rsid w:val="001A797B"/>
    <w:rsid w:val="001B1008"/>
    <w:rsid w:val="001B12D5"/>
    <w:rsid w:val="001B37C0"/>
    <w:rsid w:val="001B47E7"/>
    <w:rsid w:val="001B67D7"/>
    <w:rsid w:val="001C0D27"/>
    <w:rsid w:val="001C3AD2"/>
    <w:rsid w:val="001C3FAF"/>
    <w:rsid w:val="001C4E18"/>
    <w:rsid w:val="001D1DCD"/>
    <w:rsid w:val="001D22A3"/>
    <w:rsid w:val="001D2A82"/>
    <w:rsid w:val="001D2F7C"/>
    <w:rsid w:val="001D38D1"/>
    <w:rsid w:val="001D3D19"/>
    <w:rsid w:val="001D6978"/>
    <w:rsid w:val="001D794F"/>
    <w:rsid w:val="001E1F04"/>
    <w:rsid w:val="001E2C66"/>
    <w:rsid w:val="001E3A30"/>
    <w:rsid w:val="001E53F4"/>
    <w:rsid w:val="001E5464"/>
    <w:rsid w:val="001E609A"/>
    <w:rsid w:val="001E6B73"/>
    <w:rsid w:val="001E7A5D"/>
    <w:rsid w:val="001E7D48"/>
    <w:rsid w:val="001E7D7C"/>
    <w:rsid w:val="001F20D4"/>
    <w:rsid w:val="001F5680"/>
    <w:rsid w:val="001F78BB"/>
    <w:rsid w:val="00201CD2"/>
    <w:rsid w:val="00201D97"/>
    <w:rsid w:val="0020226C"/>
    <w:rsid w:val="0020377D"/>
    <w:rsid w:val="00204419"/>
    <w:rsid w:val="00204DEC"/>
    <w:rsid w:val="00205CE6"/>
    <w:rsid w:val="002070C4"/>
    <w:rsid w:val="002073AB"/>
    <w:rsid w:val="002100D0"/>
    <w:rsid w:val="002100F4"/>
    <w:rsid w:val="002111EC"/>
    <w:rsid w:val="002126A5"/>
    <w:rsid w:val="0021375E"/>
    <w:rsid w:val="00216F17"/>
    <w:rsid w:val="002171F6"/>
    <w:rsid w:val="002205BB"/>
    <w:rsid w:val="00220AD9"/>
    <w:rsid w:val="002251B8"/>
    <w:rsid w:val="0022630B"/>
    <w:rsid w:val="00231531"/>
    <w:rsid w:val="00232170"/>
    <w:rsid w:val="002345EF"/>
    <w:rsid w:val="00236FE2"/>
    <w:rsid w:val="002371C4"/>
    <w:rsid w:val="002442D8"/>
    <w:rsid w:val="00244979"/>
    <w:rsid w:val="0024536B"/>
    <w:rsid w:val="00246E8E"/>
    <w:rsid w:val="002478CB"/>
    <w:rsid w:val="00247BA2"/>
    <w:rsid w:val="00250F84"/>
    <w:rsid w:val="00251762"/>
    <w:rsid w:val="002527B0"/>
    <w:rsid w:val="00253881"/>
    <w:rsid w:val="002546DA"/>
    <w:rsid w:val="00254FC7"/>
    <w:rsid w:val="002563D1"/>
    <w:rsid w:val="00256808"/>
    <w:rsid w:val="002579BB"/>
    <w:rsid w:val="00260505"/>
    <w:rsid w:val="002624AB"/>
    <w:rsid w:val="002641FB"/>
    <w:rsid w:val="00264F1A"/>
    <w:rsid w:val="00265C84"/>
    <w:rsid w:val="00267C7A"/>
    <w:rsid w:val="002712D5"/>
    <w:rsid w:val="00274604"/>
    <w:rsid w:val="00275A7B"/>
    <w:rsid w:val="00275F53"/>
    <w:rsid w:val="00276053"/>
    <w:rsid w:val="00276521"/>
    <w:rsid w:val="00277361"/>
    <w:rsid w:val="0028141F"/>
    <w:rsid w:val="0028145D"/>
    <w:rsid w:val="00281E98"/>
    <w:rsid w:val="00283027"/>
    <w:rsid w:val="00286E2B"/>
    <w:rsid w:val="00287754"/>
    <w:rsid w:val="00291058"/>
    <w:rsid w:val="00291CE4"/>
    <w:rsid w:val="0029281A"/>
    <w:rsid w:val="00292F16"/>
    <w:rsid w:val="0029564A"/>
    <w:rsid w:val="00296E9D"/>
    <w:rsid w:val="0029708A"/>
    <w:rsid w:val="0029791C"/>
    <w:rsid w:val="002A1A37"/>
    <w:rsid w:val="002A2758"/>
    <w:rsid w:val="002A283D"/>
    <w:rsid w:val="002A41E8"/>
    <w:rsid w:val="002A472D"/>
    <w:rsid w:val="002A7241"/>
    <w:rsid w:val="002B1EB2"/>
    <w:rsid w:val="002B209F"/>
    <w:rsid w:val="002B4EB1"/>
    <w:rsid w:val="002B6A0E"/>
    <w:rsid w:val="002C0BF4"/>
    <w:rsid w:val="002C20D2"/>
    <w:rsid w:val="002C2236"/>
    <w:rsid w:val="002C244A"/>
    <w:rsid w:val="002C3899"/>
    <w:rsid w:val="002C4CCE"/>
    <w:rsid w:val="002D0511"/>
    <w:rsid w:val="002D1468"/>
    <w:rsid w:val="002D3711"/>
    <w:rsid w:val="002D3C8B"/>
    <w:rsid w:val="002D65CC"/>
    <w:rsid w:val="002D6E9A"/>
    <w:rsid w:val="002D7843"/>
    <w:rsid w:val="002E2099"/>
    <w:rsid w:val="002E2807"/>
    <w:rsid w:val="002E2834"/>
    <w:rsid w:val="002E2921"/>
    <w:rsid w:val="002E3519"/>
    <w:rsid w:val="002E51B7"/>
    <w:rsid w:val="002E646F"/>
    <w:rsid w:val="002E7118"/>
    <w:rsid w:val="002E7B1C"/>
    <w:rsid w:val="002F11E5"/>
    <w:rsid w:val="002F165B"/>
    <w:rsid w:val="002F2F4A"/>
    <w:rsid w:val="002F4E4D"/>
    <w:rsid w:val="002F6E8F"/>
    <w:rsid w:val="00303E1C"/>
    <w:rsid w:val="003057D9"/>
    <w:rsid w:val="00305A66"/>
    <w:rsid w:val="003066BF"/>
    <w:rsid w:val="00312064"/>
    <w:rsid w:val="00312722"/>
    <w:rsid w:val="0031310F"/>
    <w:rsid w:val="00320E76"/>
    <w:rsid w:val="00321570"/>
    <w:rsid w:val="00321D5A"/>
    <w:rsid w:val="00324457"/>
    <w:rsid w:val="00325368"/>
    <w:rsid w:val="00330C9E"/>
    <w:rsid w:val="00331378"/>
    <w:rsid w:val="0033176D"/>
    <w:rsid w:val="00331923"/>
    <w:rsid w:val="0033338D"/>
    <w:rsid w:val="0033425C"/>
    <w:rsid w:val="00334C79"/>
    <w:rsid w:val="00335A27"/>
    <w:rsid w:val="00335B0B"/>
    <w:rsid w:val="003365DB"/>
    <w:rsid w:val="003403E4"/>
    <w:rsid w:val="003404BA"/>
    <w:rsid w:val="003410C7"/>
    <w:rsid w:val="00343C42"/>
    <w:rsid w:val="00344970"/>
    <w:rsid w:val="00346259"/>
    <w:rsid w:val="003478F1"/>
    <w:rsid w:val="003504DC"/>
    <w:rsid w:val="0035081D"/>
    <w:rsid w:val="00351012"/>
    <w:rsid w:val="00351229"/>
    <w:rsid w:val="0035158F"/>
    <w:rsid w:val="003546A2"/>
    <w:rsid w:val="00355AE1"/>
    <w:rsid w:val="00357827"/>
    <w:rsid w:val="003612B7"/>
    <w:rsid w:val="003614AA"/>
    <w:rsid w:val="0036283F"/>
    <w:rsid w:val="0036492D"/>
    <w:rsid w:val="00364935"/>
    <w:rsid w:val="00365B87"/>
    <w:rsid w:val="00366DC6"/>
    <w:rsid w:val="0036797B"/>
    <w:rsid w:val="003718D3"/>
    <w:rsid w:val="00371A5A"/>
    <w:rsid w:val="003748AD"/>
    <w:rsid w:val="00377A00"/>
    <w:rsid w:val="00380033"/>
    <w:rsid w:val="0038016C"/>
    <w:rsid w:val="00380A89"/>
    <w:rsid w:val="00382E2D"/>
    <w:rsid w:val="00382EE2"/>
    <w:rsid w:val="00384C59"/>
    <w:rsid w:val="003918A5"/>
    <w:rsid w:val="00391ED9"/>
    <w:rsid w:val="00393FA9"/>
    <w:rsid w:val="003949D9"/>
    <w:rsid w:val="003967C1"/>
    <w:rsid w:val="00396F92"/>
    <w:rsid w:val="00396FB1"/>
    <w:rsid w:val="003A11B6"/>
    <w:rsid w:val="003A23C5"/>
    <w:rsid w:val="003A2807"/>
    <w:rsid w:val="003A29A8"/>
    <w:rsid w:val="003A69BD"/>
    <w:rsid w:val="003B2ABF"/>
    <w:rsid w:val="003B2D01"/>
    <w:rsid w:val="003C20E2"/>
    <w:rsid w:val="003C284E"/>
    <w:rsid w:val="003C30DF"/>
    <w:rsid w:val="003C532C"/>
    <w:rsid w:val="003C5917"/>
    <w:rsid w:val="003C5D58"/>
    <w:rsid w:val="003D0404"/>
    <w:rsid w:val="003D0533"/>
    <w:rsid w:val="003D1BCB"/>
    <w:rsid w:val="003D258F"/>
    <w:rsid w:val="003D3777"/>
    <w:rsid w:val="003D428F"/>
    <w:rsid w:val="003D73B8"/>
    <w:rsid w:val="003E2663"/>
    <w:rsid w:val="003E332C"/>
    <w:rsid w:val="003E37A7"/>
    <w:rsid w:val="003E4400"/>
    <w:rsid w:val="003E470E"/>
    <w:rsid w:val="003E4ADE"/>
    <w:rsid w:val="003E568D"/>
    <w:rsid w:val="003E6FC6"/>
    <w:rsid w:val="003E7DD2"/>
    <w:rsid w:val="003F0670"/>
    <w:rsid w:val="003F1948"/>
    <w:rsid w:val="003F1B79"/>
    <w:rsid w:val="003F1F77"/>
    <w:rsid w:val="003F35D1"/>
    <w:rsid w:val="003F4A23"/>
    <w:rsid w:val="003F55CF"/>
    <w:rsid w:val="003F5B73"/>
    <w:rsid w:val="003F646F"/>
    <w:rsid w:val="003F66AC"/>
    <w:rsid w:val="00400128"/>
    <w:rsid w:val="0040029A"/>
    <w:rsid w:val="004029A6"/>
    <w:rsid w:val="00402F04"/>
    <w:rsid w:val="00404660"/>
    <w:rsid w:val="00404969"/>
    <w:rsid w:val="0040573B"/>
    <w:rsid w:val="00407177"/>
    <w:rsid w:val="00407DAD"/>
    <w:rsid w:val="00413B34"/>
    <w:rsid w:val="00413DD2"/>
    <w:rsid w:val="00414823"/>
    <w:rsid w:val="0041507C"/>
    <w:rsid w:val="00415193"/>
    <w:rsid w:val="00416E40"/>
    <w:rsid w:val="00420B0F"/>
    <w:rsid w:val="00420CE9"/>
    <w:rsid w:val="00421F60"/>
    <w:rsid w:val="004238DA"/>
    <w:rsid w:val="00424E7D"/>
    <w:rsid w:val="004278EE"/>
    <w:rsid w:val="004304A1"/>
    <w:rsid w:val="00430759"/>
    <w:rsid w:val="004308FB"/>
    <w:rsid w:val="004309DD"/>
    <w:rsid w:val="00430D70"/>
    <w:rsid w:val="00431277"/>
    <w:rsid w:val="00432341"/>
    <w:rsid w:val="004328D0"/>
    <w:rsid w:val="004338F6"/>
    <w:rsid w:val="00434697"/>
    <w:rsid w:val="0043657E"/>
    <w:rsid w:val="00436F66"/>
    <w:rsid w:val="004408C5"/>
    <w:rsid w:val="00442383"/>
    <w:rsid w:val="00443E4D"/>
    <w:rsid w:val="00445517"/>
    <w:rsid w:val="00445936"/>
    <w:rsid w:val="00445A95"/>
    <w:rsid w:val="00445E71"/>
    <w:rsid w:val="0044767F"/>
    <w:rsid w:val="004506C3"/>
    <w:rsid w:val="004512B0"/>
    <w:rsid w:val="00451554"/>
    <w:rsid w:val="0045197E"/>
    <w:rsid w:val="00452A34"/>
    <w:rsid w:val="004530B6"/>
    <w:rsid w:val="0045352A"/>
    <w:rsid w:val="00457EC8"/>
    <w:rsid w:val="00461747"/>
    <w:rsid w:val="00461FCE"/>
    <w:rsid w:val="00464E3A"/>
    <w:rsid w:val="004654FC"/>
    <w:rsid w:val="00466872"/>
    <w:rsid w:val="004707C8"/>
    <w:rsid w:val="00471610"/>
    <w:rsid w:val="004716CA"/>
    <w:rsid w:val="004722D5"/>
    <w:rsid w:val="00472487"/>
    <w:rsid w:val="004727FC"/>
    <w:rsid w:val="00474F7D"/>
    <w:rsid w:val="00475080"/>
    <w:rsid w:val="0047596E"/>
    <w:rsid w:val="0047663E"/>
    <w:rsid w:val="004768AA"/>
    <w:rsid w:val="00477219"/>
    <w:rsid w:val="0047798F"/>
    <w:rsid w:val="00481172"/>
    <w:rsid w:val="004870C4"/>
    <w:rsid w:val="004870F6"/>
    <w:rsid w:val="00487CD6"/>
    <w:rsid w:val="004915A6"/>
    <w:rsid w:val="00492AD7"/>
    <w:rsid w:val="0049306C"/>
    <w:rsid w:val="00493A43"/>
    <w:rsid w:val="00494724"/>
    <w:rsid w:val="00494F05"/>
    <w:rsid w:val="004968E5"/>
    <w:rsid w:val="004977B4"/>
    <w:rsid w:val="004A0030"/>
    <w:rsid w:val="004A0AB8"/>
    <w:rsid w:val="004A2F26"/>
    <w:rsid w:val="004A357A"/>
    <w:rsid w:val="004A5686"/>
    <w:rsid w:val="004A6498"/>
    <w:rsid w:val="004A6E76"/>
    <w:rsid w:val="004B4632"/>
    <w:rsid w:val="004B68DD"/>
    <w:rsid w:val="004C10D9"/>
    <w:rsid w:val="004C1449"/>
    <w:rsid w:val="004C6D45"/>
    <w:rsid w:val="004C6D48"/>
    <w:rsid w:val="004C744C"/>
    <w:rsid w:val="004C77B2"/>
    <w:rsid w:val="004D11E3"/>
    <w:rsid w:val="004D26EE"/>
    <w:rsid w:val="004D3335"/>
    <w:rsid w:val="004D6193"/>
    <w:rsid w:val="004E0C23"/>
    <w:rsid w:val="004E1795"/>
    <w:rsid w:val="004E2669"/>
    <w:rsid w:val="004E29FB"/>
    <w:rsid w:val="004E2A77"/>
    <w:rsid w:val="004F0A7D"/>
    <w:rsid w:val="004F182F"/>
    <w:rsid w:val="004F1A79"/>
    <w:rsid w:val="004F205C"/>
    <w:rsid w:val="004F4551"/>
    <w:rsid w:val="004F588F"/>
    <w:rsid w:val="004F6DA6"/>
    <w:rsid w:val="0050380D"/>
    <w:rsid w:val="005041DC"/>
    <w:rsid w:val="00505A8B"/>
    <w:rsid w:val="005064BA"/>
    <w:rsid w:val="00507E7D"/>
    <w:rsid w:val="005113B1"/>
    <w:rsid w:val="0051659D"/>
    <w:rsid w:val="0051715A"/>
    <w:rsid w:val="00517E7F"/>
    <w:rsid w:val="00522031"/>
    <w:rsid w:val="00522FD9"/>
    <w:rsid w:val="00523874"/>
    <w:rsid w:val="00524325"/>
    <w:rsid w:val="00524528"/>
    <w:rsid w:val="0052453B"/>
    <w:rsid w:val="0052457C"/>
    <w:rsid w:val="0052578C"/>
    <w:rsid w:val="00527316"/>
    <w:rsid w:val="005274AC"/>
    <w:rsid w:val="00527AEA"/>
    <w:rsid w:val="00530782"/>
    <w:rsid w:val="00530C1E"/>
    <w:rsid w:val="00533CE0"/>
    <w:rsid w:val="00540A35"/>
    <w:rsid w:val="00540D0B"/>
    <w:rsid w:val="00542415"/>
    <w:rsid w:val="00542A52"/>
    <w:rsid w:val="00544B50"/>
    <w:rsid w:val="0054671B"/>
    <w:rsid w:val="00546D43"/>
    <w:rsid w:val="00551018"/>
    <w:rsid w:val="005548D4"/>
    <w:rsid w:val="0055618B"/>
    <w:rsid w:val="00556E9B"/>
    <w:rsid w:val="00560838"/>
    <w:rsid w:val="005616ED"/>
    <w:rsid w:val="0056354C"/>
    <w:rsid w:val="005650DD"/>
    <w:rsid w:val="00565791"/>
    <w:rsid w:val="0056723E"/>
    <w:rsid w:val="00570399"/>
    <w:rsid w:val="0057405A"/>
    <w:rsid w:val="00574E81"/>
    <w:rsid w:val="00576909"/>
    <w:rsid w:val="005800AF"/>
    <w:rsid w:val="005814E4"/>
    <w:rsid w:val="00584001"/>
    <w:rsid w:val="00584191"/>
    <w:rsid w:val="005841CE"/>
    <w:rsid w:val="00584B9C"/>
    <w:rsid w:val="00585A00"/>
    <w:rsid w:val="0058669B"/>
    <w:rsid w:val="0058689B"/>
    <w:rsid w:val="005878D7"/>
    <w:rsid w:val="00592EF6"/>
    <w:rsid w:val="00593FB1"/>
    <w:rsid w:val="005947BE"/>
    <w:rsid w:val="005975A8"/>
    <w:rsid w:val="005A0B93"/>
    <w:rsid w:val="005A1E11"/>
    <w:rsid w:val="005A2234"/>
    <w:rsid w:val="005A2D4F"/>
    <w:rsid w:val="005A3C6F"/>
    <w:rsid w:val="005A3C80"/>
    <w:rsid w:val="005A4946"/>
    <w:rsid w:val="005A6598"/>
    <w:rsid w:val="005A6E2B"/>
    <w:rsid w:val="005B07F6"/>
    <w:rsid w:val="005B1420"/>
    <w:rsid w:val="005B179C"/>
    <w:rsid w:val="005B226C"/>
    <w:rsid w:val="005B2864"/>
    <w:rsid w:val="005B3FCB"/>
    <w:rsid w:val="005B402C"/>
    <w:rsid w:val="005B42CE"/>
    <w:rsid w:val="005B518B"/>
    <w:rsid w:val="005B5C2D"/>
    <w:rsid w:val="005B61B6"/>
    <w:rsid w:val="005B65E7"/>
    <w:rsid w:val="005C0877"/>
    <w:rsid w:val="005C3A33"/>
    <w:rsid w:val="005C3ECC"/>
    <w:rsid w:val="005C3ED5"/>
    <w:rsid w:val="005C5206"/>
    <w:rsid w:val="005C569E"/>
    <w:rsid w:val="005C58E1"/>
    <w:rsid w:val="005C733F"/>
    <w:rsid w:val="005D2327"/>
    <w:rsid w:val="005D301C"/>
    <w:rsid w:val="005D3193"/>
    <w:rsid w:val="005D35DA"/>
    <w:rsid w:val="005D5406"/>
    <w:rsid w:val="005D5FFB"/>
    <w:rsid w:val="005D6FD4"/>
    <w:rsid w:val="005D78E6"/>
    <w:rsid w:val="005E0EC1"/>
    <w:rsid w:val="005E14EB"/>
    <w:rsid w:val="005E3912"/>
    <w:rsid w:val="005E4B08"/>
    <w:rsid w:val="005F03D4"/>
    <w:rsid w:val="005F1CB9"/>
    <w:rsid w:val="005F2989"/>
    <w:rsid w:val="005F2A1C"/>
    <w:rsid w:val="005F31F4"/>
    <w:rsid w:val="005F349B"/>
    <w:rsid w:val="005F3ED4"/>
    <w:rsid w:val="0060196E"/>
    <w:rsid w:val="0060202F"/>
    <w:rsid w:val="00602C7C"/>
    <w:rsid w:val="00604F33"/>
    <w:rsid w:val="00606B81"/>
    <w:rsid w:val="00607C19"/>
    <w:rsid w:val="006100FA"/>
    <w:rsid w:val="00613C80"/>
    <w:rsid w:val="00615E12"/>
    <w:rsid w:val="00616691"/>
    <w:rsid w:val="00617512"/>
    <w:rsid w:val="006203E7"/>
    <w:rsid w:val="00621EA9"/>
    <w:rsid w:val="006220D5"/>
    <w:rsid w:val="00622324"/>
    <w:rsid w:val="00623B5A"/>
    <w:rsid w:val="006244FE"/>
    <w:rsid w:val="00625737"/>
    <w:rsid w:val="006258C9"/>
    <w:rsid w:val="00625EB5"/>
    <w:rsid w:val="00626027"/>
    <w:rsid w:val="00626D79"/>
    <w:rsid w:val="00632225"/>
    <w:rsid w:val="006327AB"/>
    <w:rsid w:val="006344EE"/>
    <w:rsid w:val="0063529A"/>
    <w:rsid w:val="006359A8"/>
    <w:rsid w:val="0063730A"/>
    <w:rsid w:val="00640179"/>
    <w:rsid w:val="00643BC3"/>
    <w:rsid w:val="00643EDE"/>
    <w:rsid w:val="00650A31"/>
    <w:rsid w:val="00650D2F"/>
    <w:rsid w:val="0065203D"/>
    <w:rsid w:val="00652509"/>
    <w:rsid w:val="00655FCA"/>
    <w:rsid w:val="0065616E"/>
    <w:rsid w:val="0065684A"/>
    <w:rsid w:val="0066186B"/>
    <w:rsid w:val="00661A90"/>
    <w:rsid w:val="00661D01"/>
    <w:rsid w:val="00663927"/>
    <w:rsid w:val="00663C73"/>
    <w:rsid w:val="00664975"/>
    <w:rsid w:val="00664DA3"/>
    <w:rsid w:val="00665526"/>
    <w:rsid w:val="0066571C"/>
    <w:rsid w:val="00665BBE"/>
    <w:rsid w:val="00666FD6"/>
    <w:rsid w:val="00670CC0"/>
    <w:rsid w:val="00671873"/>
    <w:rsid w:val="006738BE"/>
    <w:rsid w:val="0067435A"/>
    <w:rsid w:val="0067445D"/>
    <w:rsid w:val="00674AB3"/>
    <w:rsid w:val="006755AB"/>
    <w:rsid w:val="00677694"/>
    <w:rsid w:val="006806B0"/>
    <w:rsid w:val="006817A0"/>
    <w:rsid w:val="006827C6"/>
    <w:rsid w:val="00683272"/>
    <w:rsid w:val="00683B4A"/>
    <w:rsid w:val="006843CC"/>
    <w:rsid w:val="006867F0"/>
    <w:rsid w:val="00687BCE"/>
    <w:rsid w:val="00687CE4"/>
    <w:rsid w:val="00691283"/>
    <w:rsid w:val="00691729"/>
    <w:rsid w:val="00693FB1"/>
    <w:rsid w:val="006948F4"/>
    <w:rsid w:val="00695A34"/>
    <w:rsid w:val="006A058F"/>
    <w:rsid w:val="006A18D5"/>
    <w:rsid w:val="006A3371"/>
    <w:rsid w:val="006A761F"/>
    <w:rsid w:val="006B0F5E"/>
    <w:rsid w:val="006B628A"/>
    <w:rsid w:val="006B6298"/>
    <w:rsid w:val="006B76F1"/>
    <w:rsid w:val="006B7C69"/>
    <w:rsid w:val="006C2781"/>
    <w:rsid w:val="006C2A23"/>
    <w:rsid w:val="006C30FC"/>
    <w:rsid w:val="006C5683"/>
    <w:rsid w:val="006C69C1"/>
    <w:rsid w:val="006C75FC"/>
    <w:rsid w:val="006D089E"/>
    <w:rsid w:val="006D0D8D"/>
    <w:rsid w:val="006D25B0"/>
    <w:rsid w:val="006E32DE"/>
    <w:rsid w:val="006E4E42"/>
    <w:rsid w:val="006E5B5E"/>
    <w:rsid w:val="006E7320"/>
    <w:rsid w:val="006F0758"/>
    <w:rsid w:val="006F27FD"/>
    <w:rsid w:val="006F2BF9"/>
    <w:rsid w:val="006F4C74"/>
    <w:rsid w:val="006F7A23"/>
    <w:rsid w:val="006F7EA4"/>
    <w:rsid w:val="006F7ED4"/>
    <w:rsid w:val="007006B5"/>
    <w:rsid w:val="007006EA"/>
    <w:rsid w:val="00701191"/>
    <w:rsid w:val="00701E72"/>
    <w:rsid w:val="00702DE8"/>
    <w:rsid w:val="0070452E"/>
    <w:rsid w:val="007045F9"/>
    <w:rsid w:val="00705002"/>
    <w:rsid w:val="0070525A"/>
    <w:rsid w:val="00705A42"/>
    <w:rsid w:val="00705C10"/>
    <w:rsid w:val="00705E5E"/>
    <w:rsid w:val="007069E3"/>
    <w:rsid w:val="0070712B"/>
    <w:rsid w:val="0070728F"/>
    <w:rsid w:val="00710486"/>
    <w:rsid w:val="007106EC"/>
    <w:rsid w:val="00711336"/>
    <w:rsid w:val="007116B6"/>
    <w:rsid w:val="00713FAF"/>
    <w:rsid w:val="0071520B"/>
    <w:rsid w:val="0071615B"/>
    <w:rsid w:val="007176BA"/>
    <w:rsid w:val="00717D82"/>
    <w:rsid w:val="00717DFC"/>
    <w:rsid w:val="00721722"/>
    <w:rsid w:val="00723C2D"/>
    <w:rsid w:val="007256BE"/>
    <w:rsid w:val="00727134"/>
    <w:rsid w:val="00730C9F"/>
    <w:rsid w:val="00731EBC"/>
    <w:rsid w:val="0073218D"/>
    <w:rsid w:val="00732EA7"/>
    <w:rsid w:val="00733791"/>
    <w:rsid w:val="00735E86"/>
    <w:rsid w:val="007363EA"/>
    <w:rsid w:val="00737AA3"/>
    <w:rsid w:val="00737D84"/>
    <w:rsid w:val="007412B8"/>
    <w:rsid w:val="00742844"/>
    <w:rsid w:val="007444B3"/>
    <w:rsid w:val="00747DAE"/>
    <w:rsid w:val="00751657"/>
    <w:rsid w:val="00752614"/>
    <w:rsid w:val="00756C64"/>
    <w:rsid w:val="00756CCF"/>
    <w:rsid w:val="0075788D"/>
    <w:rsid w:val="00757EF5"/>
    <w:rsid w:val="007622AE"/>
    <w:rsid w:val="00762893"/>
    <w:rsid w:val="007628F9"/>
    <w:rsid w:val="0076471F"/>
    <w:rsid w:val="007660B0"/>
    <w:rsid w:val="0076610D"/>
    <w:rsid w:val="007666DD"/>
    <w:rsid w:val="007668B2"/>
    <w:rsid w:val="00770365"/>
    <w:rsid w:val="007704B8"/>
    <w:rsid w:val="00770FAA"/>
    <w:rsid w:val="00772942"/>
    <w:rsid w:val="0077295F"/>
    <w:rsid w:val="0077442B"/>
    <w:rsid w:val="00774773"/>
    <w:rsid w:val="007755E6"/>
    <w:rsid w:val="0077724D"/>
    <w:rsid w:val="00777370"/>
    <w:rsid w:val="00777E67"/>
    <w:rsid w:val="00780BCF"/>
    <w:rsid w:val="00781212"/>
    <w:rsid w:val="007828B7"/>
    <w:rsid w:val="00783F16"/>
    <w:rsid w:val="00784045"/>
    <w:rsid w:val="00785979"/>
    <w:rsid w:val="00785CC4"/>
    <w:rsid w:val="00785EE7"/>
    <w:rsid w:val="0079036C"/>
    <w:rsid w:val="00791E8C"/>
    <w:rsid w:val="00793B23"/>
    <w:rsid w:val="007944E6"/>
    <w:rsid w:val="007956E7"/>
    <w:rsid w:val="00797FA0"/>
    <w:rsid w:val="007A28D9"/>
    <w:rsid w:val="007A28E5"/>
    <w:rsid w:val="007A2B66"/>
    <w:rsid w:val="007A353C"/>
    <w:rsid w:val="007A383D"/>
    <w:rsid w:val="007A49D6"/>
    <w:rsid w:val="007A4EA0"/>
    <w:rsid w:val="007A6670"/>
    <w:rsid w:val="007B24F4"/>
    <w:rsid w:val="007B32AD"/>
    <w:rsid w:val="007B47A9"/>
    <w:rsid w:val="007B5D75"/>
    <w:rsid w:val="007B6439"/>
    <w:rsid w:val="007B7701"/>
    <w:rsid w:val="007B7978"/>
    <w:rsid w:val="007B7BAA"/>
    <w:rsid w:val="007C038F"/>
    <w:rsid w:val="007C139C"/>
    <w:rsid w:val="007C16E1"/>
    <w:rsid w:val="007C1751"/>
    <w:rsid w:val="007C1E6E"/>
    <w:rsid w:val="007C2180"/>
    <w:rsid w:val="007C22FB"/>
    <w:rsid w:val="007C27BC"/>
    <w:rsid w:val="007C2EE8"/>
    <w:rsid w:val="007C3182"/>
    <w:rsid w:val="007C51F2"/>
    <w:rsid w:val="007C543B"/>
    <w:rsid w:val="007C55A4"/>
    <w:rsid w:val="007C611A"/>
    <w:rsid w:val="007C6489"/>
    <w:rsid w:val="007D0255"/>
    <w:rsid w:val="007D3F02"/>
    <w:rsid w:val="007D494D"/>
    <w:rsid w:val="007D5069"/>
    <w:rsid w:val="007D519F"/>
    <w:rsid w:val="007D5B2F"/>
    <w:rsid w:val="007D7461"/>
    <w:rsid w:val="007E210F"/>
    <w:rsid w:val="007E2BFA"/>
    <w:rsid w:val="007E2FDB"/>
    <w:rsid w:val="007E39E7"/>
    <w:rsid w:val="007E5595"/>
    <w:rsid w:val="007E578F"/>
    <w:rsid w:val="007E5EB1"/>
    <w:rsid w:val="007E6ACB"/>
    <w:rsid w:val="007F101A"/>
    <w:rsid w:val="007F1250"/>
    <w:rsid w:val="007F2C52"/>
    <w:rsid w:val="007F3638"/>
    <w:rsid w:val="007F3F88"/>
    <w:rsid w:val="00802F98"/>
    <w:rsid w:val="00804D2C"/>
    <w:rsid w:val="00805F83"/>
    <w:rsid w:val="00806091"/>
    <w:rsid w:val="008068AF"/>
    <w:rsid w:val="00810FE4"/>
    <w:rsid w:val="0081273B"/>
    <w:rsid w:val="00812B9F"/>
    <w:rsid w:val="008135DF"/>
    <w:rsid w:val="008136F1"/>
    <w:rsid w:val="008138CF"/>
    <w:rsid w:val="0081486E"/>
    <w:rsid w:val="0081704B"/>
    <w:rsid w:val="0082303E"/>
    <w:rsid w:val="00825D7C"/>
    <w:rsid w:val="0082600C"/>
    <w:rsid w:val="00827414"/>
    <w:rsid w:val="008306EF"/>
    <w:rsid w:val="00831E99"/>
    <w:rsid w:val="008343AC"/>
    <w:rsid w:val="008373DD"/>
    <w:rsid w:val="00837433"/>
    <w:rsid w:val="0084164C"/>
    <w:rsid w:val="008422A5"/>
    <w:rsid w:val="00845057"/>
    <w:rsid w:val="008467F1"/>
    <w:rsid w:val="008468BB"/>
    <w:rsid w:val="00846DAB"/>
    <w:rsid w:val="008506FF"/>
    <w:rsid w:val="00851238"/>
    <w:rsid w:val="00851B19"/>
    <w:rsid w:val="00851D86"/>
    <w:rsid w:val="00852A98"/>
    <w:rsid w:val="00853F52"/>
    <w:rsid w:val="00854284"/>
    <w:rsid w:val="008544A7"/>
    <w:rsid w:val="00854E6C"/>
    <w:rsid w:val="00855D95"/>
    <w:rsid w:val="008566D6"/>
    <w:rsid w:val="00856A61"/>
    <w:rsid w:val="00857725"/>
    <w:rsid w:val="00860AA9"/>
    <w:rsid w:val="00862EA3"/>
    <w:rsid w:val="00863612"/>
    <w:rsid w:val="0086391D"/>
    <w:rsid w:val="00863D69"/>
    <w:rsid w:val="0086420F"/>
    <w:rsid w:val="00864DCD"/>
    <w:rsid w:val="00865A3C"/>
    <w:rsid w:val="00866C37"/>
    <w:rsid w:val="0087049A"/>
    <w:rsid w:val="00870B8C"/>
    <w:rsid w:val="00871210"/>
    <w:rsid w:val="008718F4"/>
    <w:rsid w:val="0087190C"/>
    <w:rsid w:val="00871B10"/>
    <w:rsid w:val="0087257D"/>
    <w:rsid w:val="0087359A"/>
    <w:rsid w:val="00874324"/>
    <w:rsid w:val="008748A3"/>
    <w:rsid w:val="008825CC"/>
    <w:rsid w:val="0088299D"/>
    <w:rsid w:val="00884AE4"/>
    <w:rsid w:val="008865A4"/>
    <w:rsid w:val="00887103"/>
    <w:rsid w:val="008913A9"/>
    <w:rsid w:val="00892367"/>
    <w:rsid w:val="00892AD7"/>
    <w:rsid w:val="008931E4"/>
    <w:rsid w:val="00893884"/>
    <w:rsid w:val="00893D1B"/>
    <w:rsid w:val="00894352"/>
    <w:rsid w:val="00894724"/>
    <w:rsid w:val="00894B01"/>
    <w:rsid w:val="0089509A"/>
    <w:rsid w:val="00895264"/>
    <w:rsid w:val="00895FC8"/>
    <w:rsid w:val="00897536"/>
    <w:rsid w:val="00897AC9"/>
    <w:rsid w:val="008A1116"/>
    <w:rsid w:val="008A1EF5"/>
    <w:rsid w:val="008A2D10"/>
    <w:rsid w:val="008A6971"/>
    <w:rsid w:val="008A768E"/>
    <w:rsid w:val="008A76B7"/>
    <w:rsid w:val="008B0B3B"/>
    <w:rsid w:val="008B774A"/>
    <w:rsid w:val="008C2305"/>
    <w:rsid w:val="008C26DE"/>
    <w:rsid w:val="008C46D5"/>
    <w:rsid w:val="008C4E0D"/>
    <w:rsid w:val="008C6FFB"/>
    <w:rsid w:val="008D069D"/>
    <w:rsid w:val="008D0790"/>
    <w:rsid w:val="008D1006"/>
    <w:rsid w:val="008D1FA4"/>
    <w:rsid w:val="008D2427"/>
    <w:rsid w:val="008D3557"/>
    <w:rsid w:val="008D434B"/>
    <w:rsid w:val="008D4CC3"/>
    <w:rsid w:val="008D5A8D"/>
    <w:rsid w:val="008D5F54"/>
    <w:rsid w:val="008D6811"/>
    <w:rsid w:val="008D6FED"/>
    <w:rsid w:val="008E02E0"/>
    <w:rsid w:val="008E1F05"/>
    <w:rsid w:val="008E64AD"/>
    <w:rsid w:val="008E6A45"/>
    <w:rsid w:val="008F108B"/>
    <w:rsid w:val="008F118C"/>
    <w:rsid w:val="008F12F4"/>
    <w:rsid w:val="008F1896"/>
    <w:rsid w:val="008F238C"/>
    <w:rsid w:val="008F28C7"/>
    <w:rsid w:val="008F625F"/>
    <w:rsid w:val="008F7317"/>
    <w:rsid w:val="0090152E"/>
    <w:rsid w:val="00901CBF"/>
    <w:rsid w:val="0090248C"/>
    <w:rsid w:val="00902B65"/>
    <w:rsid w:val="009031FC"/>
    <w:rsid w:val="00905E51"/>
    <w:rsid w:val="009060CA"/>
    <w:rsid w:val="00907930"/>
    <w:rsid w:val="00910384"/>
    <w:rsid w:val="009115E2"/>
    <w:rsid w:val="00912870"/>
    <w:rsid w:val="00912B91"/>
    <w:rsid w:val="009142CD"/>
    <w:rsid w:val="009145CB"/>
    <w:rsid w:val="009152A0"/>
    <w:rsid w:val="00920A3F"/>
    <w:rsid w:val="00920D74"/>
    <w:rsid w:val="009220A2"/>
    <w:rsid w:val="009226EB"/>
    <w:rsid w:val="00922E46"/>
    <w:rsid w:val="00924ACD"/>
    <w:rsid w:val="009254D3"/>
    <w:rsid w:val="009269B5"/>
    <w:rsid w:val="009273CA"/>
    <w:rsid w:val="0092743C"/>
    <w:rsid w:val="009303E1"/>
    <w:rsid w:val="00930761"/>
    <w:rsid w:val="00935D41"/>
    <w:rsid w:val="00936DE3"/>
    <w:rsid w:val="00937040"/>
    <w:rsid w:val="00941CD2"/>
    <w:rsid w:val="00943303"/>
    <w:rsid w:val="009438C6"/>
    <w:rsid w:val="00943B2C"/>
    <w:rsid w:val="00945648"/>
    <w:rsid w:val="009456A8"/>
    <w:rsid w:val="00945CB6"/>
    <w:rsid w:val="00946EA8"/>
    <w:rsid w:val="00947BC4"/>
    <w:rsid w:val="009507F6"/>
    <w:rsid w:val="00950A5E"/>
    <w:rsid w:val="0095156D"/>
    <w:rsid w:val="00952B2D"/>
    <w:rsid w:val="00953302"/>
    <w:rsid w:val="00954BF0"/>
    <w:rsid w:val="0095624B"/>
    <w:rsid w:val="009562A5"/>
    <w:rsid w:val="00957E24"/>
    <w:rsid w:val="009644FB"/>
    <w:rsid w:val="00964BAF"/>
    <w:rsid w:val="00965B50"/>
    <w:rsid w:val="00965E7E"/>
    <w:rsid w:val="00965F6B"/>
    <w:rsid w:val="009670AF"/>
    <w:rsid w:val="009707C0"/>
    <w:rsid w:val="00970D4D"/>
    <w:rsid w:val="00971736"/>
    <w:rsid w:val="0097210C"/>
    <w:rsid w:val="009757F2"/>
    <w:rsid w:val="00983838"/>
    <w:rsid w:val="00985522"/>
    <w:rsid w:val="009857E8"/>
    <w:rsid w:val="00985B4D"/>
    <w:rsid w:val="00986672"/>
    <w:rsid w:val="009872D7"/>
    <w:rsid w:val="00987652"/>
    <w:rsid w:val="00993BC2"/>
    <w:rsid w:val="00994493"/>
    <w:rsid w:val="00994E33"/>
    <w:rsid w:val="00996591"/>
    <w:rsid w:val="00997707"/>
    <w:rsid w:val="009A0F91"/>
    <w:rsid w:val="009A3547"/>
    <w:rsid w:val="009A57A0"/>
    <w:rsid w:val="009A7C0F"/>
    <w:rsid w:val="009B217B"/>
    <w:rsid w:val="009B26DD"/>
    <w:rsid w:val="009B6D28"/>
    <w:rsid w:val="009C0313"/>
    <w:rsid w:val="009C056C"/>
    <w:rsid w:val="009C1BA0"/>
    <w:rsid w:val="009C1F97"/>
    <w:rsid w:val="009C7330"/>
    <w:rsid w:val="009D1289"/>
    <w:rsid w:val="009D1ECF"/>
    <w:rsid w:val="009D394B"/>
    <w:rsid w:val="009D5175"/>
    <w:rsid w:val="009D69AE"/>
    <w:rsid w:val="009E07AC"/>
    <w:rsid w:val="009E0B04"/>
    <w:rsid w:val="009E1E96"/>
    <w:rsid w:val="009E25E5"/>
    <w:rsid w:val="009E37B5"/>
    <w:rsid w:val="009E43E3"/>
    <w:rsid w:val="009E5E62"/>
    <w:rsid w:val="009E5E74"/>
    <w:rsid w:val="009E63D0"/>
    <w:rsid w:val="009E646A"/>
    <w:rsid w:val="009E66B2"/>
    <w:rsid w:val="009E6B20"/>
    <w:rsid w:val="009E6C63"/>
    <w:rsid w:val="009F09A6"/>
    <w:rsid w:val="009F105F"/>
    <w:rsid w:val="009F1451"/>
    <w:rsid w:val="009F2204"/>
    <w:rsid w:val="009F6036"/>
    <w:rsid w:val="009F6A26"/>
    <w:rsid w:val="009F6E58"/>
    <w:rsid w:val="00A00432"/>
    <w:rsid w:val="00A01A51"/>
    <w:rsid w:val="00A01B36"/>
    <w:rsid w:val="00A01BBB"/>
    <w:rsid w:val="00A0365C"/>
    <w:rsid w:val="00A03AFF"/>
    <w:rsid w:val="00A05E82"/>
    <w:rsid w:val="00A06D0E"/>
    <w:rsid w:val="00A077B3"/>
    <w:rsid w:val="00A12143"/>
    <w:rsid w:val="00A1214F"/>
    <w:rsid w:val="00A12409"/>
    <w:rsid w:val="00A12544"/>
    <w:rsid w:val="00A12F51"/>
    <w:rsid w:val="00A13B8E"/>
    <w:rsid w:val="00A15196"/>
    <w:rsid w:val="00A157B1"/>
    <w:rsid w:val="00A17F65"/>
    <w:rsid w:val="00A224FA"/>
    <w:rsid w:val="00A22DEA"/>
    <w:rsid w:val="00A2335F"/>
    <w:rsid w:val="00A24656"/>
    <w:rsid w:val="00A24EEB"/>
    <w:rsid w:val="00A251C9"/>
    <w:rsid w:val="00A2568B"/>
    <w:rsid w:val="00A4456B"/>
    <w:rsid w:val="00A44DF5"/>
    <w:rsid w:val="00A44FDF"/>
    <w:rsid w:val="00A46B90"/>
    <w:rsid w:val="00A50871"/>
    <w:rsid w:val="00A52ACE"/>
    <w:rsid w:val="00A551C7"/>
    <w:rsid w:val="00A61521"/>
    <w:rsid w:val="00A619C6"/>
    <w:rsid w:val="00A630AD"/>
    <w:rsid w:val="00A64FEF"/>
    <w:rsid w:val="00A65874"/>
    <w:rsid w:val="00A676F2"/>
    <w:rsid w:val="00A70839"/>
    <w:rsid w:val="00A71239"/>
    <w:rsid w:val="00A72563"/>
    <w:rsid w:val="00A72AC1"/>
    <w:rsid w:val="00A733E5"/>
    <w:rsid w:val="00A73F1F"/>
    <w:rsid w:val="00A75DAD"/>
    <w:rsid w:val="00A75F5C"/>
    <w:rsid w:val="00A775CA"/>
    <w:rsid w:val="00A77BE4"/>
    <w:rsid w:val="00A80FE9"/>
    <w:rsid w:val="00A8393D"/>
    <w:rsid w:val="00A83EAE"/>
    <w:rsid w:val="00A86A12"/>
    <w:rsid w:val="00A877BD"/>
    <w:rsid w:val="00A910AE"/>
    <w:rsid w:val="00A92002"/>
    <w:rsid w:val="00A9395B"/>
    <w:rsid w:val="00A94254"/>
    <w:rsid w:val="00A95764"/>
    <w:rsid w:val="00A95E27"/>
    <w:rsid w:val="00A96C63"/>
    <w:rsid w:val="00AA02E0"/>
    <w:rsid w:val="00AA04A6"/>
    <w:rsid w:val="00AA28FD"/>
    <w:rsid w:val="00AA2D4B"/>
    <w:rsid w:val="00AA575F"/>
    <w:rsid w:val="00AA6C00"/>
    <w:rsid w:val="00AB1183"/>
    <w:rsid w:val="00AB2B43"/>
    <w:rsid w:val="00AB3CF2"/>
    <w:rsid w:val="00AB4CE3"/>
    <w:rsid w:val="00AB53EF"/>
    <w:rsid w:val="00AB665A"/>
    <w:rsid w:val="00AB70B6"/>
    <w:rsid w:val="00AB77CE"/>
    <w:rsid w:val="00AC0A54"/>
    <w:rsid w:val="00AC1428"/>
    <w:rsid w:val="00AC404B"/>
    <w:rsid w:val="00AC405F"/>
    <w:rsid w:val="00AC511C"/>
    <w:rsid w:val="00AC6DC9"/>
    <w:rsid w:val="00AC7542"/>
    <w:rsid w:val="00AD022E"/>
    <w:rsid w:val="00AD2B0A"/>
    <w:rsid w:val="00AD2D38"/>
    <w:rsid w:val="00AD486D"/>
    <w:rsid w:val="00AD5B3B"/>
    <w:rsid w:val="00AD6415"/>
    <w:rsid w:val="00AD7268"/>
    <w:rsid w:val="00AE031F"/>
    <w:rsid w:val="00AE18C2"/>
    <w:rsid w:val="00AE1BBD"/>
    <w:rsid w:val="00AE2146"/>
    <w:rsid w:val="00AE27F0"/>
    <w:rsid w:val="00AE460D"/>
    <w:rsid w:val="00AE7B39"/>
    <w:rsid w:val="00AF1BE2"/>
    <w:rsid w:val="00AF34CF"/>
    <w:rsid w:val="00AF5D42"/>
    <w:rsid w:val="00AF60B7"/>
    <w:rsid w:val="00AF67D8"/>
    <w:rsid w:val="00B0151D"/>
    <w:rsid w:val="00B029AD"/>
    <w:rsid w:val="00B02EDF"/>
    <w:rsid w:val="00B0430B"/>
    <w:rsid w:val="00B04F23"/>
    <w:rsid w:val="00B052CE"/>
    <w:rsid w:val="00B06D50"/>
    <w:rsid w:val="00B07D2E"/>
    <w:rsid w:val="00B10038"/>
    <w:rsid w:val="00B12ED4"/>
    <w:rsid w:val="00B13F4A"/>
    <w:rsid w:val="00B1472F"/>
    <w:rsid w:val="00B20A1E"/>
    <w:rsid w:val="00B20D19"/>
    <w:rsid w:val="00B2100C"/>
    <w:rsid w:val="00B21451"/>
    <w:rsid w:val="00B24A04"/>
    <w:rsid w:val="00B256AB"/>
    <w:rsid w:val="00B26A0A"/>
    <w:rsid w:val="00B2705F"/>
    <w:rsid w:val="00B27100"/>
    <w:rsid w:val="00B27310"/>
    <w:rsid w:val="00B275F6"/>
    <w:rsid w:val="00B27E0B"/>
    <w:rsid w:val="00B33629"/>
    <w:rsid w:val="00B34117"/>
    <w:rsid w:val="00B35420"/>
    <w:rsid w:val="00B35A59"/>
    <w:rsid w:val="00B36AB3"/>
    <w:rsid w:val="00B36B66"/>
    <w:rsid w:val="00B379C2"/>
    <w:rsid w:val="00B4070C"/>
    <w:rsid w:val="00B41025"/>
    <w:rsid w:val="00B41D4A"/>
    <w:rsid w:val="00B42061"/>
    <w:rsid w:val="00B43FA7"/>
    <w:rsid w:val="00B459AB"/>
    <w:rsid w:val="00B464EF"/>
    <w:rsid w:val="00B46601"/>
    <w:rsid w:val="00B50605"/>
    <w:rsid w:val="00B527FA"/>
    <w:rsid w:val="00B531D0"/>
    <w:rsid w:val="00B5340E"/>
    <w:rsid w:val="00B549CB"/>
    <w:rsid w:val="00B56E46"/>
    <w:rsid w:val="00B61378"/>
    <w:rsid w:val="00B619F3"/>
    <w:rsid w:val="00B62564"/>
    <w:rsid w:val="00B629E4"/>
    <w:rsid w:val="00B64AE5"/>
    <w:rsid w:val="00B6694B"/>
    <w:rsid w:val="00B6776B"/>
    <w:rsid w:val="00B677D7"/>
    <w:rsid w:val="00B67C18"/>
    <w:rsid w:val="00B71488"/>
    <w:rsid w:val="00B724E5"/>
    <w:rsid w:val="00B725A0"/>
    <w:rsid w:val="00B73171"/>
    <w:rsid w:val="00B74174"/>
    <w:rsid w:val="00B74807"/>
    <w:rsid w:val="00B762A5"/>
    <w:rsid w:val="00B76670"/>
    <w:rsid w:val="00B77890"/>
    <w:rsid w:val="00B77EB9"/>
    <w:rsid w:val="00B800C9"/>
    <w:rsid w:val="00B81F8B"/>
    <w:rsid w:val="00B835A2"/>
    <w:rsid w:val="00B83F45"/>
    <w:rsid w:val="00B92F96"/>
    <w:rsid w:val="00B92FEC"/>
    <w:rsid w:val="00B93019"/>
    <w:rsid w:val="00B93201"/>
    <w:rsid w:val="00B94B5B"/>
    <w:rsid w:val="00B95498"/>
    <w:rsid w:val="00B95E85"/>
    <w:rsid w:val="00B96BDF"/>
    <w:rsid w:val="00B97138"/>
    <w:rsid w:val="00BA0306"/>
    <w:rsid w:val="00BA10EE"/>
    <w:rsid w:val="00BA3054"/>
    <w:rsid w:val="00BA3858"/>
    <w:rsid w:val="00BA5399"/>
    <w:rsid w:val="00BA56B4"/>
    <w:rsid w:val="00BB089C"/>
    <w:rsid w:val="00BB0D86"/>
    <w:rsid w:val="00BB1D4C"/>
    <w:rsid w:val="00BB3E88"/>
    <w:rsid w:val="00BB4511"/>
    <w:rsid w:val="00BB47AA"/>
    <w:rsid w:val="00BB50D5"/>
    <w:rsid w:val="00BB772F"/>
    <w:rsid w:val="00BC25DD"/>
    <w:rsid w:val="00BC31AF"/>
    <w:rsid w:val="00BC328B"/>
    <w:rsid w:val="00BC5502"/>
    <w:rsid w:val="00BC6E83"/>
    <w:rsid w:val="00BD0140"/>
    <w:rsid w:val="00BD0260"/>
    <w:rsid w:val="00BD0311"/>
    <w:rsid w:val="00BD1987"/>
    <w:rsid w:val="00BD2491"/>
    <w:rsid w:val="00BD34AC"/>
    <w:rsid w:val="00BD3D4A"/>
    <w:rsid w:val="00BD4CCA"/>
    <w:rsid w:val="00BD593D"/>
    <w:rsid w:val="00BD6684"/>
    <w:rsid w:val="00BD6A10"/>
    <w:rsid w:val="00BD7AE2"/>
    <w:rsid w:val="00BE1A76"/>
    <w:rsid w:val="00BE1CDD"/>
    <w:rsid w:val="00BE1E10"/>
    <w:rsid w:val="00BE26FA"/>
    <w:rsid w:val="00BE29B7"/>
    <w:rsid w:val="00BE3A64"/>
    <w:rsid w:val="00BE4A4C"/>
    <w:rsid w:val="00BE4B7D"/>
    <w:rsid w:val="00BE6A28"/>
    <w:rsid w:val="00BE6B94"/>
    <w:rsid w:val="00BE7546"/>
    <w:rsid w:val="00BF046F"/>
    <w:rsid w:val="00BF10BD"/>
    <w:rsid w:val="00BF138C"/>
    <w:rsid w:val="00BF17AA"/>
    <w:rsid w:val="00BF3057"/>
    <w:rsid w:val="00BF3EDA"/>
    <w:rsid w:val="00BF404D"/>
    <w:rsid w:val="00BF44BD"/>
    <w:rsid w:val="00BF5049"/>
    <w:rsid w:val="00C000CC"/>
    <w:rsid w:val="00C004F9"/>
    <w:rsid w:val="00C00603"/>
    <w:rsid w:val="00C00D57"/>
    <w:rsid w:val="00C029C8"/>
    <w:rsid w:val="00C03454"/>
    <w:rsid w:val="00C0422B"/>
    <w:rsid w:val="00C049A4"/>
    <w:rsid w:val="00C04D4C"/>
    <w:rsid w:val="00C06534"/>
    <w:rsid w:val="00C1148B"/>
    <w:rsid w:val="00C1208B"/>
    <w:rsid w:val="00C120B2"/>
    <w:rsid w:val="00C12883"/>
    <w:rsid w:val="00C14A03"/>
    <w:rsid w:val="00C14DF2"/>
    <w:rsid w:val="00C1560C"/>
    <w:rsid w:val="00C15865"/>
    <w:rsid w:val="00C160F2"/>
    <w:rsid w:val="00C169D2"/>
    <w:rsid w:val="00C16AF0"/>
    <w:rsid w:val="00C2162F"/>
    <w:rsid w:val="00C21B61"/>
    <w:rsid w:val="00C21D46"/>
    <w:rsid w:val="00C22937"/>
    <w:rsid w:val="00C22D66"/>
    <w:rsid w:val="00C233BD"/>
    <w:rsid w:val="00C2453A"/>
    <w:rsid w:val="00C268F3"/>
    <w:rsid w:val="00C319CC"/>
    <w:rsid w:val="00C32A6A"/>
    <w:rsid w:val="00C333FD"/>
    <w:rsid w:val="00C35740"/>
    <w:rsid w:val="00C36796"/>
    <w:rsid w:val="00C36910"/>
    <w:rsid w:val="00C369E6"/>
    <w:rsid w:val="00C373C1"/>
    <w:rsid w:val="00C401C3"/>
    <w:rsid w:val="00C4298C"/>
    <w:rsid w:val="00C43920"/>
    <w:rsid w:val="00C4446E"/>
    <w:rsid w:val="00C47DF7"/>
    <w:rsid w:val="00C510B1"/>
    <w:rsid w:val="00C53A77"/>
    <w:rsid w:val="00C551CB"/>
    <w:rsid w:val="00C55EE7"/>
    <w:rsid w:val="00C56341"/>
    <w:rsid w:val="00C5768A"/>
    <w:rsid w:val="00C61895"/>
    <w:rsid w:val="00C6231F"/>
    <w:rsid w:val="00C6428E"/>
    <w:rsid w:val="00C64FFD"/>
    <w:rsid w:val="00C67DDE"/>
    <w:rsid w:val="00C67FBF"/>
    <w:rsid w:val="00C7000F"/>
    <w:rsid w:val="00C71AB6"/>
    <w:rsid w:val="00C71FD9"/>
    <w:rsid w:val="00C731F1"/>
    <w:rsid w:val="00C801A8"/>
    <w:rsid w:val="00C81736"/>
    <w:rsid w:val="00C8243A"/>
    <w:rsid w:val="00C83E3B"/>
    <w:rsid w:val="00C844B4"/>
    <w:rsid w:val="00C84DF5"/>
    <w:rsid w:val="00C857D9"/>
    <w:rsid w:val="00C866DC"/>
    <w:rsid w:val="00C86965"/>
    <w:rsid w:val="00C9084A"/>
    <w:rsid w:val="00C90B36"/>
    <w:rsid w:val="00C92622"/>
    <w:rsid w:val="00C92CE1"/>
    <w:rsid w:val="00C94465"/>
    <w:rsid w:val="00C9713D"/>
    <w:rsid w:val="00CA2C78"/>
    <w:rsid w:val="00CA3181"/>
    <w:rsid w:val="00CA44EA"/>
    <w:rsid w:val="00CA4565"/>
    <w:rsid w:val="00CA4604"/>
    <w:rsid w:val="00CA6A1B"/>
    <w:rsid w:val="00CA6DC2"/>
    <w:rsid w:val="00CA7F1B"/>
    <w:rsid w:val="00CB3D76"/>
    <w:rsid w:val="00CB454A"/>
    <w:rsid w:val="00CB54AC"/>
    <w:rsid w:val="00CB6F6D"/>
    <w:rsid w:val="00CC1710"/>
    <w:rsid w:val="00CC1EC9"/>
    <w:rsid w:val="00CC3DD8"/>
    <w:rsid w:val="00CC5370"/>
    <w:rsid w:val="00CC5A8E"/>
    <w:rsid w:val="00CC6154"/>
    <w:rsid w:val="00CC6A19"/>
    <w:rsid w:val="00CD0778"/>
    <w:rsid w:val="00CD0B10"/>
    <w:rsid w:val="00CD0FBF"/>
    <w:rsid w:val="00CD3A4E"/>
    <w:rsid w:val="00CD3B0D"/>
    <w:rsid w:val="00CD5AD1"/>
    <w:rsid w:val="00CD5D5A"/>
    <w:rsid w:val="00CD6E6A"/>
    <w:rsid w:val="00CE1405"/>
    <w:rsid w:val="00CE44AE"/>
    <w:rsid w:val="00CE6C53"/>
    <w:rsid w:val="00CE7DF8"/>
    <w:rsid w:val="00CF0AB4"/>
    <w:rsid w:val="00CF231D"/>
    <w:rsid w:val="00CF6601"/>
    <w:rsid w:val="00D01FD0"/>
    <w:rsid w:val="00D0269B"/>
    <w:rsid w:val="00D0292B"/>
    <w:rsid w:val="00D03296"/>
    <w:rsid w:val="00D05CCE"/>
    <w:rsid w:val="00D06616"/>
    <w:rsid w:val="00D06634"/>
    <w:rsid w:val="00D069C7"/>
    <w:rsid w:val="00D078EE"/>
    <w:rsid w:val="00D125C1"/>
    <w:rsid w:val="00D12C4A"/>
    <w:rsid w:val="00D137A8"/>
    <w:rsid w:val="00D16B51"/>
    <w:rsid w:val="00D178F4"/>
    <w:rsid w:val="00D21EB3"/>
    <w:rsid w:val="00D21F52"/>
    <w:rsid w:val="00D22A1F"/>
    <w:rsid w:val="00D2392D"/>
    <w:rsid w:val="00D23D19"/>
    <w:rsid w:val="00D24102"/>
    <w:rsid w:val="00D248EF"/>
    <w:rsid w:val="00D25746"/>
    <w:rsid w:val="00D25B79"/>
    <w:rsid w:val="00D25C9C"/>
    <w:rsid w:val="00D2611B"/>
    <w:rsid w:val="00D26883"/>
    <w:rsid w:val="00D275BC"/>
    <w:rsid w:val="00D30438"/>
    <w:rsid w:val="00D30F20"/>
    <w:rsid w:val="00D31EB4"/>
    <w:rsid w:val="00D327F7"/>
    <w:rsid w:val="00D331F0"/>
    <w:rsid w:val="00D34594"/>
    <w:rsid w:val="00D34F41"/>
    <w:rsid w:val="00D37F71"/>
    <w:rsid w:val="00D417E9"/>
    <w:rsid w:val="00D43017"/>
    <w:rsid w:val="00D448A5"/>
    <w:rsid w:val="00D5034E"/>
    <w:rsid w:val="00D533A0"/>
    <w:rsid w:val="00D5464D"/>
    <w:rsid w:val="00D5520D"/>
    <w:rsid w:val="00D5583C"/>
    <w:rsid w:val="00D61ED3"/>
    <w:rsid w:val="00D641F1"/>
    <w:rsid w:val="00D6542F"/>
    <w:rsid w:val="00D66256"/>
    <w:rsid w:val="00D66E6F"/>
    <w:rsid w:val="00D71625"/>
    <w:rsid w:val="00D72C2F"/>
    <w:rsid w:val="00D77D10"/>
    <w:rsid w:val="00D80739"/>
    <w:rsid w:val="00D821D9"/>
    <w:rsid w:val="00D82954"/>
    <w:rsid w:val="00D84B0A"/>
    <w:rsid w:val="00D84CEF"/>
    <w:rsid w:val="00D84EB1"/>
    <w:rsid w:val="00D86E7B"/>
    <w:rsid w:val="00D92A1A"/>
    <w:rsid w:val="00D93708"/>
    <w:rsid w:val="00D93F54"/>
    <w:rsid w:val="00D94437"/>
    <w:rsid w:val="00DA2817"/>
    <w:rsid w:val="00DA3799"/>
    <w:rsid w:val="00DA4494"/>
    <w:rsid w:val="00DA4D02"/>
    <w:rsid w:val="00DA5F8A"/>
    <w:rsid w:val="00DA76B3"/>
    <w:rsid w:val="00DB030F"/>
    <w:rsid w:val="00DB0808"/>
    <w:rsid w:val="00DB0977"/>
    <w:rsid w:val="00DB1132"/>
    <w:rsid w:val="00DB236C"/>
    <w:rsid w:val="00DB3499"/>
    <w:rsid w:val="00DB362A"/>
    <w:rsid w:val="00DB65DD"/>
    <w:rsid w:val="00DC0774"/>
    <w:rsid w:val="00DC0CC4"/>
    <w:rsid w:val="00DC5A4F"/>
    <w:rsid w:val="00DC6F6B"/>
    <w:rsid w:val="00DC7B01"/>
    <w:rsid w:val="00DD0B0C"/>
    <w:rsid w:val="00DD143A"/>
    <w:rsid w:val="00DD3AB0"/>
    <w:rsid w:val="00DD484A"/>
    <w:rsid w:val="00DD49BD"/>
    <w:rsid w:val="00DD56F6"/>
    <w:rsid w:val="00DD6720"/>
    <w:rsid w:val="00DD764A"/>
    <w:rsid w:val="00DE02FC"/>
    <w:rsid w:val="00DE39AA"/>
    <w:rsid w:val="00DE524C"/>
    <w:rsid w:val="00DE5CF4"/>
    <w:rsid w:val="00DE7F64"/>
    <w:rsid w:val="00DF0B11"/>
    <w:rsid w:val="00DF2847"/>
    <w:rsid w:val="00DF2C3B"/>
    <w:rsid w:val="00DF3774"/>
    <w:rsid w:val="00DF38A4"/>
    <w:rsid w:val="00DF4C2F"/>
    <w:rsid w:val="00DF67DE"/>
    <w:rsid w:val="00DF684F"/>
    <w:rsid w:val="00DF7F70"/>
    <w:rsid w:val="00E023EF"/>
    <w:rsid w:val="00E02BDD"/>
    <w:rsid w:val="00E03442"/>
    <w:rsid w:val="00E03647"/>
    <w:rsid w:val="00E056FE"/>
    <w:rsid w:val="00E05B67"/>
    <w:rsid w:val="00E07325"/>
    <w:rsid w:val="00E107E2"/>
    <w:rsid w:val="00E1169D"/>
    <w:rsid w:val="00E130AB"/>
    <w:rsid w:val="00E13F50"/>
    <w:rsid w:val="00E17BDF"/>
    <w:rsid w:val="00E2104A"/>
    <w:rsid w:val="00E233A9"/>
    <w:rsid w:val="00E23E76"/>
    <w:rsid w:val="00E24C0D"/>
    <w:rsid w:val="00E27B60"/>
    <w:rsid w:val="00E32EF7"/>
    <w:rsid w:val="00E34EFD"/>
    <w:rsid w:val="00E357F3"/>
    <w:rsid w:val="00E3792C"/>
    <w:rsid w:val="00E404A2"/>
    <w:rsid w:val="00E4256A"/>
    <w:rsid w:val="00E42656"/>
    <w:rsid w:val="00E42BE9"/>
    <w:rsid w:val="00E44043"/>
    <w:rsid w:val="00E441C4"/>
    <w:rsid w:val="00E45403"/>
    <w:rsid w:val="00E458FD"/>
    <w:rsid w:val="00E45A83"/>
    <w:rsid w:val="00E4700C"/>
    <w:rsid w:val="00E47BA5"/>
    <w:rsid w:val="00E50874"/>
    <w:rsid w:val="00E5092D"/>
    <w:rsid w:val="00E50997"/>
    <w:rsid w:val="00E50B32"/>
    <w:rsid w:val="00E52305"/>
    <w:rsid w:val="00E52380"/>
    <w:rsid w:val="00E546F1"/>
    <w:rsid w:val="00E5771A"/>
    <w:rsid w:val="00E60096"/>
    <w:rsid w:val="00E6305B"/>
    <w:rsid w:val="00E63957"/>
    <w:rsid w:val="00E64D72"/>
    <w:rsid w:val="00E663F2"/>
    <w:rsid w:val="00E66432"/>
    <w:rsid w:val="00E667F5"/>
    <w:rsid w:val="00E66B86"/>
    <w:rsid w:val="00E66FD7"/>
    <w:rsid w:val="00E776E1"/>
    <w:rsid w:val="00E8475F"/>
    <w:rsid w:val="00E8524B"/>
    <w:rsid w:val="00E901AF"/>
    <w:rsid w:val="00E90F5D"/>
    <w:rsid w:val="00E943C2"/>
    <w:rsid w:val="00E94A51"/>
    <w:rsid w:val="00E94E1B"/>
    <w:rsid w:val="00E96383"/>
    <w:rsid w:val="00E969F0"/>
    <w:rsid w:val="00E9745D"/>
    <w:rsid w:val="00EA1435"/>
    <w:rsid w:val="00EA17D7"/>
    <w:rsid w:val="00EA2453"/>
    <w:rsid w:val="00EA4379"/>
    <w:rsid w:val="00EA732E"/>
    <w:rsid w:val="00EA76CA"/>
    <w:rsid w:val="00EA7B97"/>
    <w:rsid w:val="00EA7D53"/>
    <w:rsid w:val="00EB0F7C"/>
    <w:rsid w:val="00EB5ADC"/>
    <w:rsid w:val="00EB6CFE"/>
    <w:rsid w:val="00EB7B95"/>
    <w:rsid w:val="00EB7E34"/>
    <w:rsid w:val="00EC0698"/>
    <w:rsid w:val="00EC0EF0"/>
    <w:rsid w:val="00EC27BE"/>
    <w:rsid w:val="00EC48A7"/>
    <w:rsid w:val="00EC5957"/>
    <w:rsid w:val="00EC6D99"/>
    <w:rsid w:val="00EC768D"/>
    <w:rsid w:val="00ED03FE"/>
    <w:rsid w:val="00ED26BE"/>
    <w:rsid w:val="00ED3D1B"/>
    <w:rsid w:val="00ED4508"/>
    <w:rsid w:val="00ED76E3"/>
    <w:rsid w:val="00EE25A0"/>
    <w:rsid w:val="00EE3211"/>
    <w:rsid w:val="00EE32F0"/>
    <w:rsid w:val="00EE58AD"/>
    <w:rsid w:val="00EE66E2"/>
    <w:rsid w:val="00EE7B04"/>
    <w:rsid w:val="00EF1370"/>
    <w:rsid w:val="00EF2142"/>
    <w:rsid w:val="00EF62C9"/>
    <w:rsid w:val="00EF7CE1"/>
    <w:rsid w:val="00F012E5"/>
    <w:rsid w:val="00F01D80"/>
    <w:rsid w:val="00F037A0"/>
    <w:rsid w:val="00F042F9"/>
    <w:rsid w:val="00F05358"/>
    <w:rsid w:val="00F05E2F"/>
    <w:rsid w:val="00F068BA"/>
    <w:rsid w:val="00F06D58"/>
    <w:rsid w:val="00F070F6"/>
    <w:rsid w:val="00F07927"/>
    <w:rsid w:val="00F113E1"/>
    <w:rsid w:val="00F14130"/>
    <w:rsid w:val="00F156A7"/>
    <w:rsid w:val="00F160A1"/>
    <w:rsid w:val="00F16370"/>
    <w:rsid w:val="00F17F98"/>
    <w:rsid w:val="00F20BF0"/>
    <w:rsid w:val="00F220F1"/>
    <w:rsid w:val="00F23AF1"/>
    <w:rsid w:val="00F23D1D"/>
    <w:rsid w:val="00F245AF"/>
    <w:rsid w:val="00F24D02"/>
    <w:rsid w:val="00F25CAA"/>
    <w:rsid w:val="00F260BD"/>
    <w:rsid w:val="00F2619D"/>
    <w:rsid w:val="00F27408"/>
    <w:rsid w:val="00F34FDA"/>
    <w:rsid w:val="00F36EFB"/>
    <w:rsid w:val="00F37B58"/>
    <w:rsid w:val="00F40693"/>
    <w:rsid w:val="00F40E41"/>
    <w:rsid w:val="00F418FB"/>
    <w:rsid w:val="00F41C3B"/>
    <w:rsid w:val="00F439D6"/>
    <w:rsid w:val="00F43FF7"/>
    <w:rsid w:val="00F44108"/>
    <w:rsid w:val="00F449C9"/>
    <w:rsid w:val="00F464FD"/>
    <w:rsid w:val="00F47B0C"/>
    <w:rsid w:val="00F47C06"/>
    <w:rsid w:val="00F47E71"/>
    <w:rsid w:val="00F50FF1"/>
    <w:rsid w:val="00F5168B"/>
    <w:rsid w:val="00F549B8"/>
    <w:rsid w:val="00F5698D"/>
    <w:rsid w:val="00F63FA4"/>
    <w:rsid w:val="00F64D64"/>
    <w:rsid w:val="00F65803"/>
    <w:rsid w:val="00F662E7"/>
    <w:rsid w:val="00F6707C"/>
    <w:rsid w:val="00F67C3A"/>
    <w:rsid w:val="00F7172B"/>
    <w:rsid w:val="00F77669"/>
    <w:rsid w:val="00F82718"/>
    <w:rsid w:val="00F82765"/>
    <w:rsid w:val="00F8322D"/>
    <w:rsid w:val="00F83961"/>
    <w:rsid w:val="00F8435F"/>
    <w:rsid w:val="00F87EB1"/>
    <w:rsid w:val="00F900D5"/>
    <w:rsid w:val="00F915FA"/>
    <w:rsid w:val="00F9522A"/>
    <w:rsid w:val="00F96355"/>
    <w:rsid w:val="00F96713"/>
    <w:rsid w:val="00FA1566"/>
    <w:rsid w:val="00FA2A2E"/>
    <w:rsid w:val="00FA3F4E"/>
    <w:rsid w:val="00FA50E5"/>
    <w:rsid w:val="00FA5E30"/>
    <w:rsid w:val="00FA74A9"/>
    <w:rsid w:val="00FA7BAB"/>
    <w:rsid w:val="00FB10C9"/>
    <w:rsid w:val="00FB19A4"/>
    <w:rsid w:val="00FB2A5F"/>
    <w:rsid w:val="00FB2B55"/>
    <w:rsid w:val="00FB2FED"/>
    <w:rsid w:val="00FB37B3"/>
    <w:rsid w:val="00FB3F76"/>
    <w:rsid w:val="00FB49C6"/>
    <w:rsid w:val="00FB5385"/>
    <w:rsid w:val="00FB6923"/>
    <w:rsid w:val="00FB6A50"/>
    <w:rsid w:val="00FB72AF"/>
    <w:rsid w:val="00FB766F"/>
    <w:rsid w:val="00FB7C99"/>
    <w:rsid w:val="00FC1F04"/>
    <w:rsid w:val="00FC2768"/>
    <w:rsid w:val="00FC3A36"/>
    <w:rsid w:val="00FC430B"/>
    <w:rsid w:val="00FC570D"/>
    <w:rsid w:val="00FD01E1"/>
    <w:rsid w:val="00FD0EB6"/>
    <w:rsid w:val="00FD30EA"/>
    <w:rsid w:val="00FD3786"/>
    <w:rsid w:val="00FD6977"/>
    <w:rsid w:val="00FD76C4"/>
    <w:rsid w:val="00FD77CE"/>
    <w:rsid w:val="00FE0ECC"/>
    <w:rsid w:val="00FE10A3"/>
    <w:rsid w:val="00FE12AE"/>
    <w:rsid w:val="00FE3093"/>
    <w:rsid w:val="00FE3540"/>
    <w:rsid w:val="00FE3F12"/>
    <w:rsid w:val="00FE45B9"/>
    <w:rsid w:val="00FE4FAE"/>
    <w:rsid w:val="00FE6808"/>
    <w:rsid w:val="00FE7BA4"/>
    <w:rsid w:val="00FE7BB2"/>
    <w:rsid w:val="00FE7E09"/>
    <w:rsid w:val="00FF124D"/>
    <w:rsid w:val="00FF1D23"/>
    <w:rsid w:val="00FF1F23"/>
    <w:rsid w:val="00FF2CC4"/>
    <w:rsid w:val="00FF4870"/>
    <w:rsid w:val="00FF4A81"/>
    <w:rsid w:val="00FF5902"/>
    <w:rsid w:val="00FF5D17"/>
    <w:rsid w:val="00FF61F0"/>
    <w:rsid w:val="01023B45"/>
    <w:rsid w:val="01B3097E"/>
    <w:rsid w:val="02EC3924"/>
    <w:rsid w:val="0435220B"/>
    <w:rsid w:val="04762137"/>
    <w:rsid w:val="052919A6"/>
    <w:rsid w:val="05EC7396"/>
    <w:rsid w:val="06155DFE"/>
    <w:rsid w:val="06677F89"/>
    <w:rsid w:val="066E0B04"/>
    <w:rsid w:val="06B331CE"/>
    <w:rsid w:val="06C76C7A"/>
    <w:rsid w:val="07322846"/>
    <w:rsid w:val="0822201E"/>
    <w:rsid w:val="088A61B1"/>
    <w:rsid w:val="089E411E"/>
    <w:rsid w:val="08B51480"/>
    <w:rsid w:val="0C4C20FB"/>
    <w:rsid w:val="0C526CE3"/>
    <w:rsid w:val="0C6947C8"/>
    <w:rsid w:val="0CF24064"/>
    <w:rsid w:val="0D7A28CA"/>
    <w:rsid w:val="0E181832"/>
    <w:rsid w:val="0E5E7E25"/>
    <w:rsid w:val="0F691186"/>
    <w:rsid w:val="0F733A6B"/>
    <w:rsid w:val="0FA34410"/>
    <w:rsid w:val="101604C9"/>
    <w:rsid w:val="104935C7"/>
    <w:rsid w:val="10685029"/>
    <w:rsid w:val="10F04ED1"/>
    <w:rsid w:val="11C73FD2"/>
    <w:rsid w:val="11D5379D"/>
    <w:rsid w:val="11FA70DC"/>
    <w:rsid w:val="121C4E44"/>
    <w:rsid w:val="12FE77F3"/>
    <w:rsid w:val="133B4ABA"/>
    <w:rsid w:val="14BC6D14"/>
    <w:rsid w:val="150D079A"/>
    <w:rsid w:val="152E621D"/>
    <w:rsid w:val="15537304"/>
    <w:rsid w:val="15566A6A"/>
    <w:rsid w:val="16B637AD"/>
    <w:rsid w:val="17F13B56"/>
    <w:rsid w:val="18F27B86"/>
    <w:rsid w:val="195B1BCF"/>
    <w:rsid w:val="1AD56698"/>
    <w:rsid w:val="1AEF6A73"/>
    <w:rsid w:val="1BF86185"/>
    <w:rsid w:val="1C5841A4"/>
    <w:rsid w:val="1CBB760A"/>
    <w:rsid w:val="1D3E7C43"/>
    <w:rsid w:val="1DFD14A7"/>
    <w:rsid w:val="1E0828F6"/>
    <w:rsid w:val="1EBA191C"/>
    <w:rsid w:val="1FB62C0B"/>
    <w:rsid w:val="20523600"/>
    <w:rsid w:val="23581C71"/>
    <w:rsid w:val="23DC390D"/>
    <w:rsid w:val="244E3E02"/>
    <w:rsid w:val="286B20A4"/>
    <w:rsid w:val="28B52B84"/>
    <w:rsid w:val="28EA087A"/>
    <w:rsid w:val="28EF40E4"/>
    <w:rsid w:val="291A4BB0"/>
    <w:rsid w:val="29F814B7"/>
    <w:rsid w:val="2A0F09FE"/>
    <w:rsid w:val="2A314FB8"/>
    <w:rsid w:val="2A351FC9"/>
    <w:rsid w:val="2AB34861"/>
    <w:rsid w:val="2AFB6D6E"/>
    <w:rsid w:val="2B710F24"/>
    <w:rsid w:val="2C1E438C"/>
    <w:rsid w:val="2C8D19F7"/>
    <w:rsid w:val="2CC80EB8"/>
    <w:rsid w:val="2DE97402"/>
    <w:rsid w:val="2E1317E0"/>
    <w:rsid w:val="2E180609"/>
    <w:rsid w:val="2F7470EF"/>
    <w:rsid w:val="30A457B2"/>
    <w:rsid w:val="31226782"/>
    <w:rsid w:val="3160503C"/>
    <w:rsid w:val="31EF35EE"/>
    <w:rsid w:val="321B1AA4"/>
    <w:rsid w:val="325338CA"/>
    <w:rsid w:val="327E4372"/>
    <w:rsid w:val="32DD0106"/>
    <w:rsid w:val="32EE71B8"/>
    <w:rsid w:val="36F079A3"/>
    <w:rsid w:val="371511B8"/>
    <w:rsid w:val="383D40B1"/>
    <w:rsid w:val="38685A26"/>
    <w:rsid w:val="38817960"/>
    <w:rsid w:val="394A5BAB"/>
    <w:rsid w:val="394C3269"/>
    <w:rsid w:val="3A6113D6"/>
    <w:rsid w:val="3AA47611"/>
    <w:rsid w:val="3BA1016D"/>
    <w:rsid w:val="3BCD5235"/>
    <w:rsid w:val="3BE05E51"/>
    <w:rsid w:val="3D7F307A"/>
    <w:rsid w:val="3E2033CE"/>
    <w:rsid w:val="3E907C2F"/>
    <w:rsid w:val="3F496BA9"/>
    <w:rsid w:val="404448BC"/>
    <w:rsid w:val="40C854ED"/>
    <w:rsid w:val="417A2C9C"/>
    <w:rsid w:val="427B36EE"/>
    <w:rsid w:val="44B30262"/>
    <w:rsid w:val="455A099B"/>
    <w:rsid w:val="45807B2D"/>
    <w:rsid w:val="45962698"/>
    <w:rsid w:val="45B553EB"/>
    <w:rsid w:val="46A6600E"/>
    <w:rsid w:val="475573AE"/>
    <w:rsid w:val="476B7238"/>
    <w:rsid w:val="48911D8A"/>
    <w:rsid w:val="48FB7853"/>
    <w:rsid w:val="4960549B"/>
    <w:rsid w:val="4AF75DD6"/>
    <w:rsid w:val="4B531CC0"/>
    <w:rsid w:val="4C561BFF"/>
    <w:rsid w:val="4C573A84"/>
    <w:rsid w:val="4CBB2F66"/>
    <w:rsid w:val="4CCC0113"/>
    <w:rsid w:val="4D425101"/>
    <w:rsid w:val="4D991C95"/>
    <w:rsid w:val="4DF951F0"/>
    <w:rsid w:val="4EAF1A9A"/>
    <w:rsid w:val="4F3E3A83"/>
    <w:rsid w:val="50812FC2"/>
    <w:rsid w:val="50D44BB1"/>
    <w:rsid w:val="51452D88"/>
    <w:rsid w:val="517F7502"/>
    <w:rsid w:val="52086ED1"/>
    <w:rsid w:val="523A2E65"/>
    <w:rsid w:val="52BB24FF"/>
    <w:rsid w:val="542C2760"/>
    <w:rsid w:val="544B2490"/>
    <w:rsid w:val="54537F6B"/>
    <w:rsid w:val="54A6749B"/>
    <w:rsid w:val="56EF4D14"/>
    <w:rsid w:val="571B1411"/>
    <w:rsid w:val="58816255"/>
    <w:rsid w:val="5B1C50BB"/>
    <w:rsid w:val="5B8B1199"/>
    <w:rsid w:val="5BFF18AD"/>
    <w:rsid w:val="5C745068"/>
    <w:rsid w:val="5C90632D"/>
    <w:rsid w:val="5E7128C8"/>
    <w:rsid w:val="5FEA0B84"/>
    <w:rsid w:val="60150994"/>
    <w:rsid w:val="60C41624"/>
    <w:rsid w:val="611539DF"/>
    <w:rsid w:val="623146A6"/>
    <w:rsid w:val="628D60ED"/>
    <w:rsid w:val="62AC6CA7"/>
    <w:rsid w:val="63AE1EC8"/>
    <w:rsid w:val="63CE5BCA"/>
    <w:rsid w:val="63FC2C34"/>
    <w:rsid w:val="64E829FE"/>
    <w:rsid w:val="66115C86"/>
    <w:rsid w:val="662E05FC"/>
    <w:rsid w:val="665C3E5E"/>
    <w:rsid w:val="67586A2E"/>
    <w:rsid w:val="67B74409"/>
    <w:rsid w:val="67D4620F"/>
    <w:rsid w:val="67DD2A4B"/>
    <w:rsid w:val="68AC7D53"/>
    <w:rsid w:val="692C3FBB"/>
    <w:rsid w:val="69984B6E"/>
    <w:rsid w:val="69EC7E4A"/>
    <w:rsid w:val="6A150B77"/>
    <w:rsid w:val="6A1D56B2"/>
    <w:rsid w:val="6B68349D"/>
    <w:rsid w:val="6C544E1A"/>
    <w:rsid w:val="6CBC2023"/>
    <w:rsid w:val="6D217B29"/>
    <w:rsid w:val="6D8E6C32"/>
    <w:rsid w:val="6DAD4F9F"/>
    <w:rsid w:val="6DBD3434"/>
    <w:rsid w:val="6E0F5022"/>
    <w:rsid w:val="6EFF182A"/>
    <w:rsid w:val="6F622DF1"/>
    <w:rsid w:val="6FC46CC1"/>
    <w:rsid w:val="701F58F4"/>
    <w:rsid w:val="71275A62"/>
    <w:rsid w:val="7130216F"/>
    <w:rsid w:val="714D6FE6"/>
    <w:rsid w:val="71A5623A"/>
    <w:rsid w:val="71D376CA"/>
    <w:rsid w:val="72251364"/>
    <w:rsid w:val="7265409A"/>
    <w:rsid w:val="730A3FCE"/>
    <w:rsid w:val="742B1498"/>
    <w:rsid w:val="745E6FF3"/>
    <w:rsid w:val="75013889"/>
    <w:rsid w:val="75D0341B"/>
    <w:rsid w:val="76C9196D"/>
    <w:rsid w:val="774E6946"/>
    <w:rsid w:val="77907B66"/>
    <w:rsid w:val="780628F1"/>
    <w:rsid w:val="799031F8"/>
    <w:rsid w:val="7AA77E76"/>
    <w:rsid w:val="7AB756AF"/>
    <w:rsid w:val="7B3C3BAE"/>
    <w:rsid w:val="7C136915"/>
    <w:rsid w:val="7C3074C7"/>
    <w:rsid w:val="7CA4107A"/>
    <w:rsid w:val="7D4A1E8A"/>
    <w:rsid w:val="7EC72D3C"/>
    <w:rsid w:val="7F3948E4"/>
    <w:rsid w:val="7FD0349B"/>
    <w:rsid w:val="BE7BA9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iPriority="99" w:name="table of authorities"/>
    <w:lsdException w:uiPriority="99"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99"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qFormat="1" w:unhideWhenUsed="0" w:uiPriority="0" w:semiHidden="0" w:name="HTML Acronym"/>
    <w:lsdException w:qFormat="1"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hd w:val="clear" w:color="auto" w:fill="FFFFFF"/>
      <w:tabs>
        <w:tab w:val="left" w:pos="426"/>
      </w:tabs>
      <w:adjustRightInd w:val="0"/>
      <w:snapToGrid w:val="0"/>
      <w:spacing w:line="360" w:lineRule="auto"/>
      <w:jc w:val="both"/>
    </w:pPr>
    <w:rPr>
      <w:rFonts w:ascii="宋体" w:hAnsi="Times New Roman" w:eastAsia="宋体" w:cs="宋体"/>
      <w:sz w:val="21"/>
      <w:szCs w:val="24"/>
      <w:lang w:val="en-US" w:eastAsia="zh-CN" w:bidi="ar-SA"/>
    </w:rPr>
  </w:style>
  <w:style w:type="paragraph" w:styleId="2">
    <w:name w:val="heading 1"/>
    <w:basedOn w:val="3"/>
    <w:next w:val="1"/>
    <w:qFormat/>
    <w:uiPriority w:val="0"/>
    <w:pPr>
      <w:keepNext w:val="0"/>
      <w:keepLines w:val="0"/>
      <w:tabs>
        <w:tab w:val="left" w:pos="0"/>
        <w:tab w:val="left" w:pos="426"/>
        <w:tab w:val="left" w:pos="1680"/>
      </w:tabs>
      <w:spacing w:before="340" w:after="330" w:line="300" w:lineRule="auto"/>
      <w:jc w:val="center"/>
      <w:outlineLvl w:val="0"/>
    </w:pPr>
    <w:rPr>
      <w:kern w:val="44"/>
      <w:szCs w:val="28"/>
    </w:rPr>
  </w:style>
  <w:style w:type="paragraph" w:styleId="5">
    <w:name w:val="heading 2"/>
    <w:basedOn w:val="3"/>
    <w:next w:val="4"/>
    <w:link w:val="107"/>
    <w:qFormat/>
    <w:uiPriority w:val="0"/>
    <w:pPr>
      <w:tabs>
        <w:tab w:val="left" w:pos="0"/>
        <w:tab w:val="left" w:pos="426"/>
        <w:tab w:val="left" w:pos="1680"/>
      </w:tabs>
      <w:textAlignment w:val="baseline"/>
      <w:outlineLvl w:val="1"/>
    </w:pPr>
    <w:rPr>
      <w:bCs w:val="0"/>
      <w:kern w:val="0"/>
      <w:szCs w:val="20"/>
    </w:rPr>
  </w:style>
  <w:style w:type="paragraph" w:styleId="3">
    <w:name w:val="heading 3"/>
    <w:basedOn w:val="4"/>
    <w:next w:val="1"/>
    <w:link w:val="106"/>
    <w:qFormat/>
    <w:uiPriority w:val="0"/>
    <w:pPr>
      <w:widowControl w:val="0"/>
      <w:shd w:val="clear" w:color="auto" w:fill="auto"/>
      <w:tabs>
        <w:tab w:val="left" w:pos="0"/>
        <w:tab w:val="left" w:pos="426"/>
        <w:tab w:val="left" w:pos="1680"/>
      </w:tabs>
      <w:adjustRightInd/>
      <w:snapToGrid/>
      <w:spacing w:before="260" w:after="260"/>
      <w:outlineLvl w:val="2"/>
    </w:pPr>
    <w:rPr>
      <w:szCs w:val="21"/>
    </w:rPr>
  </w:style>
  <w:style w:type="paragraph" w:styleId="4">
    <w:name w:val="heading 4"/>
    <w:basedOn w:val="1"/>
    <w:next w:val="1"/>
    <w:link w:val="108"/>
    <w:qFormat/>
    <w:uiPriority w:val="0"/>
    <w:pPr>
      <w:keepNext/>
      <w:keepLines/>
      <w:numPr>
        <w:ilvl w:val="3"/>
        <w:numId w:val="1"/>
      </w:numPr>
      <w:tabs>
        <w:tab w:val="left" w:pos="0"/>
      </w:tabs>
      <w:spacing w:before="280" w:after="290" w:line="376" w:lineRule="auto"/>
      <w:outlineLvl w:val="3"/>
    </w:pPr>
    <w:rPr>
      <w:rFonts w:ascii="Arial" w:hAnsi="Arial" w:eastAsia="黑体" w:cs="Times New Roman"/>
      <w:b/>
      <w:bCs/>
      <w:kern w:val="2"/>
      <w:sz w:val="28"/>
      <w:szCs w:val="28"/>
    </w:rPr>
  </w:style>
  <w:style w:type="paragraph" w:styleId="6">
    <w:name w:val="heading 5"/>
    <w:basedOn w:val="1"/>
    <w:next w:val="7"/>
    <w:link w:val="109"/>
    <w:qFormat/>
    <w:uiPriority w:val="0"/>
    <w:pPr>
      <w:keepNext/>
      <w:keepLines/>
      <w:numPr>
        <w:ilvl w:val="4"/>
        <w:numId w:val="1"/>
      </w:numPr>
      <w:spacing w:before="280" w:after="290" w:line="376" w:lineRule="auto"/>
      <w:jc w:val="center"/>
      <w:outlineLvl w:val="4"/>
    </w:pPr>
    <w:rPr>
      <w:rFonts w:ascii="Times New Roman" w:cs="Times New Roman"/>
      <w:b/>
      <w:kern w:val="2"/>
      <w:sz w:val="24"/>
      <w:szCs w:val="20"/>
    </w:rPr>
  </w:style>
  <w:style w:type="paragraph" w:styleId="8">
    <w:name w:val="heading 6"/>
    <w:basedOn w:val="1"/>
    <w:next w:val="7"/>
    <w:qFormat/>
    <w:uiPriority w:val="0"/>
    <w:pPr>
      <w:keepNext/>
      <w:keepLines/>
      <w:numPr>
        <w:ilvl w:val="5"/>
        <w:numId w:val="1"/>
      </w:numPr>
      <w:spacing w:before="240" w:after="64" w:line="319" w:lineRule="auto"/>
      <w:outlineLvl w:val="5"/>
    </w:pPr>
    <w:rPr>
      <w:rFonts w:ascii="Arial" w:hAnsi="Arial" w:eastAsia="黑体" w:cs="Times New Roman"/>
      <w:b/>
      <w:kern w:val="2"/>
      <w:sz w:val="24"/>
      <w:szCs w:val="20"/>
    </w:rPr>
  </w:style>
  <w:style w:type="paragraph" w:styleId="9">
    <w:name w:val="heading 7"/>
    <w:basedOn w:val="1"/>
    <w:next w:val="7"/>
    <w:link w:val="111"/>
    <w:qFormat/>
    <w:uiPriority w:val="0"/>
    <w:pPr>
      <w:keepNext/>
      <w:keepLines/>
      <w:numPr>
        <w:ilvl w:val="6"/>
        <w:numId w:val="1"/>
      </w:numPr>
      <w:spacing w:before="240" w:after="64" w:line="319" w:lineRule="auto"/>
      <w:outlineLvl w:val="6"/>
    </w:pPr>
    <w:rPr>
      <w:rFonts w:ascii="Times New Roman" w:cs="Times New Roman"/>
      <w:b/>
      <w:kern w:val="2"/>
      <w:sz w:val="24"/>
      <w:szCs w:val="20"/>
    </w:rPr>
  </w:style>
  <w:style w:type="paragraph" w:styleId="10">
    <w:name w:val="heading 8"/>
    <w:basedOn w:val="1"/>
    <w:next w:val="7"/>
    <w:link w:val="112"/>
    <w:qFormat/>
    <w:uiPriority w:val="0"/>
    <w:pPr>
      <w:keepNext/>
      <w:keepLines/>
      <w:numPr>
        <w:ilvl w:val="7"/>
        <w:numId w:val="1"/>
      </w:numPr>
      <w:spacing w:before="240" w:after="64" w:line="319" w:lineRule="auto"/>
      <w:outlineLvl w:val="7"/>
    </w:pPr>
    <w:rPr>
      <w:rFonts w:ascii="Arial" w:hAnsi="Arial" w:eastAsia="黑体" w:cs="Times New Roman"/>
      <w:kern w:val="2"/>
      <w:sz w:val="24"/>
      <w:szCs w:val="20"/>
    </w:rPr>
  </w:style>
  <w:style w:type="paragraph" w:styleId="11">
    <w:name w:val="heading 9"/>
    <w:basedOn w:val="1"/>
    <w:next w:val="7"/>
    <w:link w:val="113"/>
    <w:qFormat/>
    <w:uiPriority w:val="0"/>
    <w:pPr>
      <w:keepNext/>
      <w:keepLines/>
      <w:numPr>
        <w:ilvl w:val="8"/>
        <w:numId w:val="1"/>
      </w:numPr>
      <w:spacing w:before="240" w:after="64" w:line="319" w:lineRule="auto"/>
      <w:outlineLvl w:val="8"/>
    </w:pPr>
    <w:rPr>
      <w:rFonts w:ascii="Arial" w:hAnsi="Arial" w:eastAsia="黑体" w:cs="Times New Roman"/>
      <w:kern w:val="2"/>
      <w:szCs w:val="20"/>
    </w:rPr>
  </w:style>
  <w:style w:type="character" w:default="1" w:styleId="87">
    <w:name w:val="Default Paragraph Font"/>
    <w:semiHidden/>
    <w:unhideWhenUsed/>
    <w:qFormat/>
    <w:uiPriority w:val="1"/>
  </w:style>
  <w:style w:type="table" w:default="1" w:styleId="85">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110"/>
    <w:qFormat/>
    <w:uiPriority w:val="0"/>
    <w:pPr>
      <w:ind w:firstLine="420"/>
    </w:pPr>
    <w:rPr>
      <w:rFonts w:ascii="Times New Roman" w:cs="Times New Roman"/>
      <w:kern w:val="2"/>
      <w:szCs w:val="20"/>
    </w:rPr>
  </w:style>
  <w:style w:type="paragraph" w:styleId="12">
    <w:name w:val="List 3"/>
    <w:basedOn w:val="1"/>
    <w:qFormat/>
    <w:uiPriority w:val="0"/>
    <w:pPr>
      <w:widowControl w:val="0"/>
      <w:shd w:val="clear" w:color="auto" w:fill="auto"/>
      <w:tabs>
        <w:tab w:val="clear" w:pos="426"/>
      </w:tabs>
      <w:adjustRightInd/>
      <w:snapToGrid/>
      <w:spacing w:line="240" w:lineRule="auto"/>
      <w:ind w:left="600" w:leftChars="400" w:hanging="200" w:hangingChars="200"/>
    </w:pPr>
    <w:rPr>
      <w:rFonts w:ascii="Times New Roman" w:cs="Times New Roman"/>
      <w:kern w:val="2"/>
    </w:rPr>
  </w:style>
  <w:style w:type="paragraph" w:styleId="13">
    <w:name w:val="toc 7"/>
    <w:basedOn w:val="1"/>
    <w:next w:val="1"/>
    <w:qFormat/>
    <w:uiPriority w:val="0"/>
    <w:pPr>
      <w:ind w:left="1260"/>
      <w:jc w:val="left"/>
    </w:pPr>
    <w:rPr>
      <w:szCs w:val="21"/>
    </w:rPr>
  </w:style>
  <w:style w:type="paragraph" w:styleId="14">
    <w:name w:val="List Number 2"/>
    <w:basedOn w:val="1"/>
    <w:qFormat/>
    <w:uiPriority w:val="0"/>
    <w:pPr>
      <w:numPr>
        <w:ilvl w:val="0"/>
        <w:numId w:val="2"/>
      </w:numPr>
      <w:tabs>
        <w:tab w:val="left" w:pos="820"/>
      </w:tabs>
      <w:spacing w:afterLines="50"/>
    </w:pPr>
    <w:rPr>
      <w:sz w:val="24"/>
      <w:szCs w:val="20"/>
    </w:rPr>
  </w:style>
  <w:style w:type="paragraph" w:styleId="15">
    <w:name w:val="Note Heading"/>
    <w:basedOn w:val="1"/>
    <w:next w:val="1"/>
    <w:qFormat/>
    <w:uiPriority w:val="0"/>
    <w:pPr>
      <w:widowControl w:val="0"/>
      <w:shd w:val="clear" w:color="auto" w:fill="auto"/>
      <w:tabs>
        <w:tab w:val="clear" w:pos="426"/>
      </w:tabs>
      <w:adjustRightInd/>
      <w:snapToGrid/>
      <w:spacing w:line="240" w:lineRule="auto"/>
      <w:jc w:val="center"/>
    </w:pPr>
    <w:rPr>
      <w:rFonts w:ascii="Times New Roman" w:cs="Times New Roman"/>
      <w:kern w:val="2"/>
    </w:rPr>
  </w:style>
  <w:style w:type="paragraph" w:styleId="16">
    <w:name w:val="List Bullet 4"/>
    <w:basedOn w:val="1"/>
    <w:qFormat/>
    <w:uiPriority w:val="0"/>
    <w:pPr>
      <w:widowControl w:val="0"/>
      <w:numPr>
        <w:ilvl w:val="0"/>
        <w:numId w:val="3"/>
      </w:numPr>
      <w:shd w:val="clear" w:color="auto" w:fill="auto"/>
      <w:tabs>
        <w:tab w:val="clear" w:pos="426"/>
      </w:tabs>
      <w:adjustRightInd/>
      <w:snapToGrid/>
      <w:spacing w:line="240" w:lineRule="auto"/>
    </w:pPr>
    <w:rPr>
      <w:rFonts w:ascii="Times New Roman" w:cs="Times New Roman"/>
      <w:kern w:val="2"/>
    </w:rPr>
  </w:style>
  <w:style w:type="paragraph" w:styleId="17">
    <w:name w:val="index 8"/>
    <w:basedOn w:val="1"/>
    <w:next w:val="1"/>
    <w:qFormat/>
    <w:uiPriority w:val="0"/>
    <w:pPr>
      <w:widowControl w:val="0"/>
      <w:shd w:val="clear" w:color="auto" w:fill="auto"/>
      <w:tabs>
        <w:tab w:val="clear" w:pos="426"/>
      </w:tabs>
      <w:adjustRightInd/>
      <w:snapToGrid/>
      <w:spacing w:line="240" w:lineRule="auto"/>
      <w:ind w:left="1680" w:hanging="210"/>
      <w:jc w:val="left"/>
    </w:pPr>
    <w:rPr>
      <w:rFonts w:ascii="Times New Roman" w:cs="Times New Roman"/>
      <w:kern w:val="2"/>
      <w:sz w:val="20"/>
      <w:szCs w:val="20"/>
    </w:rPr>
  </w:style>
  <w:style w:type="paragraph" w:styleId="18">
    <w:name w:val="E-mail Signature"/>
    <w:basedOn w:val="1"/>
    <w:qFormat/>
    <w:uiPriority w:val="0"/>
    <w:pPr>
      <w:widowControl w:val="0"/>
      <w:shd w:val="clear" w:color="auto" w:fill="auto"/>
      <w:tabs>
        <w:tab w:val="clear" w:pos="426"/>
      </w:tabs>
      <w:adjustRightInd/>
      <w:snapToGrid/>
      <w:spacing w:line="240" w:lineRule="auto"/>
    </w:pPr>
    <w:rPr>
      <w:rFonts w:ascii="Times New Roman" w:cs="Times New Roman"/>
      <w:kern w:val="2"/>
    </w:rPr>
  </w:style>
  <w:style w:type="paragraph" w:styleId="19">
    <w:name w:val="List Number"/>
    <w:basedOn w:val="1"/>
    <w:qFormat/>
    <w:uiPriority w:val="0"/>
    <w:pPr>
      <w:widowControl w:val="0"/>
      <w:numPr>
        <w:ilvl w:val="0"/>
        <w:numId w:val="4"/>
      </w:numPr>
      <w:shd w:val="clear" w:color="auto" w:fill="auto"/>
      <w:tabs>
        <w:tab w:val="clear" w:pos="426"/>
      </w:tabs>
      <w:adjustRightInd/>
      <w:snapToGrid/>
      <w:spacing w:line="240" w:lineRule="auto"/>
    </w:pPr>
    <w:rPr>
      <w:rFonts w:ascii="Times New Roman" w:cs="Times New Roman"/>
      <w:kern w:val="2"/>
    </w:rPr>
  </w:style>
  <w:style w:type="paragraph" w:styleId="20">
    <w:name w:val="caption"/>
    <w:basedOn w:val="1"/>
    <w:next w:val="1"/>
    <w:qFormat/>
    <w:uiPriority w:val="0"/>
    <w:rPr>
      <w:rFonts w:ascii="Arial" w:hAnsi="Arial" w:eastAsia="黑体" w:cs="Arial"/>
      <w:sz w:val="20"/>
      <w:szCs w:val="20"/>
    </w:rPr>
  </w:style>
  <w:style w:type="paragraph" w:styleId="21">
    <w:name w:val="index 5"/>
    <w:basedOn w:val="1"/>
    <w:next w:val="1"/>
    <w:qFormat/>
    <w:uiPriority w:val="0"/>
    <w:pPr>
      <w:widowControl w:val="0"/>
      <w:shd w:val="clear" w:color="auto" w:fill="auto"/>
      <w:tabs>
        <w:tab w:val="clear" w:pos="426"/>
      </w:tabs>
      <w:adjustRightInd/>
      <w:snapToGrid/>
      <w:spacing w:line="240" w:lineRule="auto"/>
      <w:ind w:left="1050" w:hanging="210"/>
      <w:jc w:val="left"/>
    </w:pPr>
    <w:rPr>
      <w:rFonts w:ascii="Times New Roman" w:cs="Times New Roman"/>
      <w:kern w:val="2"/>
      <w:sz w:val="20"/>
      <w:szCs w:val="20"/>
    </w:rPr>
  </w:style>
  <w:style w:type="paragraph" w:styleId="22">
    <w:name w:val="List Bullet"/>
    <w:basedOn w:val="1"/>
    <w:qFormat/>
    <w:uiPriority w:val="0"/>
    <w:pPr>
      <w:tabs>
        <w:tab w:val="left" w:pos="360"/>
      </w:tabs>
      <w:ind w:left="200" w:hanging="200" w:hangingChars="200"/>
    </w:pPr>
    <w:rPr>
      <w:szCs w:val="20"/>
    </w:rPr>
  </w:style>
  <w:style w:type="paragraph" w:styleId="23">
    <w:name w:val="envelope address"/>
    <w:basedOn w:val="1"/>
    <w:qFormat/>
    <w:uiPriority w:val="0"/>
    <w:pPr>
      <w:framePr w:w="7920" w:h="1980" w:hRule="exact" w:hSpace="180" w:wrap="around" w:vAnchor="margin" w:hAnchor="page" w:xAlign="center" w:yAlign="bottom"/>
      <w:widowControl w:val="0"/>
      <w:shd w:val="clear" w:color="auto" w:fill="auto"/>
      <w:tabs>
        <w:tab w:val="clear" w:pos="426"/>
      </w:tabs>
      <w:adjustRightInd/>
      <w:spacing w:line="240" w:lineRule="auto"/>
      <w:ind w:left="1400" w:leftChars="1400"/>
    </w:pPr>
    <w:rPr>
      <w:rFonts w:ascii="Arial" w:hAnsi="Arial" w:cs="Arial"/>
      <w:kern w:val="2"/>
      <w:sz w:val="24"/>
    </w:rPr>
  </w:style>
  <w:style w:type="paragraph" w:styleId="24">
    <w:name w:val="Document Map"/>
    <w:basedOn w:val="1"/>
    <w:qFormat/>
    <w:uiPriority w:val="0"/>
    <w:pPr>
      <w:shd w:val="clear" w:color="auto" w:fill="000080"/>
    </w:pPr>
    <w:rPr>
      <w:rFonts w:ascii="Times New Roman" w:cs="Times New Roman"/>
      <w:kern w:val="2"/>
    </w:rPr>
  </w:style>
  <w:style w:type="paragraph" w:styleId="25">
    <w:name w:val="toa heading"/>
    <w:basedOn w:val="1"/>
    <w:next w:val="1"/>
    <w:qFormat/>
    <w:uiPriority w:val="0"/>
    <w:pPr>
      <w:spacing w:before="120"/>
    </w:pPr>
    <w:rPr>
      <w:rFonts w:ascii="Arial" w:hAnsi="Arial"/>
      <w:sz w:val="24"/>
      <w:szCs w:val="20"/>
    </w:rPr>
  </w:style>
  <w:style w:type="paragraph" w:styleId="26">
    <w:name w:val="annotation text"/>
    <w:basedOn w:val="1"/>
    <w:link w:val="114"/>
    <w:qFormat/>
    <w:uiPriority w:val="0"/>
    <w:pPr>
      <w:autoSpaceDE w:val="0"/>
      <w:autoSpaceDN w:val="0"/>
      <w:jc w:val="left"/>
      <w:textAlignment w:val="baseline"/>
    </w:pPr>
    <w:rPr>
      <w:rFonts w:cs="Times New Roman"/>
      <w:sz w:val="34"/>
      <w:szCs w:val="20"/>
    </w:rPr>
  </w:style>
  <w:style w:type="paragraph" w:styleId="27">
    <w:name w:val="index 6"/>
    <w:basedOn w:val="1"/>
    <w:next w:val="1"/>
    <w:qFormat/>
    <w:uiPriority w:val="0"/>
    <w:pPr>
      <w:widowControl w:val="0"/>
      <w:shd w:val="clear" w:color="auto" w:fill="auto"/>
      <w:tabs>
        <w:tab w:val="clear" w:pos="426"/>
      </w:tabs>
      <w:adjustRightInd/>
      <w:snapToGrid/>
      <w:spacing w:line="240" w:lineRule="auto"/>
      <w:ind w:left="1260" w:hanging="210"/>
      <w:jc w:val="left"/>
    </w:pPr>
    <w:rPr>
      <w:rFonts w:ascii="Times New Roman" w:cs="Times New Roman"/>
      <w:kern w:val="2"/>
      <w:sz w:val="20"/>
      <w:szCs w:val="20"/>
    </w:rPr>
  </w:style>
  <w:style w:type="paragraph" w:styleId="28">
    <w:name w:val="Salutation"/>
    <w:basedOn w:val="1"/>
    <w:next w:val="1"/>
    <w:qFormat/>
    <w:uiPriority w:val="0"/>
    <w:pPr>
      <w:widowControl w:val="0"/>
      <w:shd w:val="clear" w:color="auto" w:fill="auto"/>
      <w:tabs>
        <w:tab w:val="clear" w:pos="426"/>
      </w:tabs>
      <w:adjustRightInd/>
      <w:snapToGrid/>
      <w:spacing w:line="240" w:lineRule="auto"/>
    </w:pPr>
    <w:rPr>
      <w:rFonts w:ascii="Times New Roman" w:cs="Times New Roman"/>
      <w:kern w:val="2"/>
    </w:rPr>
  </w:style>
  <w:style w:type="paragraph" w:styleId="29">
    <w:name w:val="Body Text 3"/>
    <w:basedOn w:val="1"/>
    <w:link w:val="115"/>
    <w:qFormat/>
    <w:uiPriority w:val="0"/>
    <w:pPr>
      <w:spacing w:after="120"/>
    </w:pPr>
    <w:rPr>
      <w:rFonts w:ascii="Times New Roman" w:cs="Times New Roman"/>
      <w:kern w:val="2"/>
      <w:sz w:val="16"/>
      <w:szCs w:val="16"/>
    </w:rPr>
  </w:style>
  <w:style w:type="paragraph" w:styleId="30">
    <w:name w:val="Closing"/>
    <w:basedOn w:val="1"/>
    <w:qFormat/>
    <w:uiPriority w:val="0"/>
    <w:pPr>
      <w:widowControl w:val="0"/>
      <w:shd w:val="clear" w:color="auto" w:fill="auto"/>
      <w:tabs>
        <w:tab w:val="clear" w:pos="426"/>
      </w:tabs>
      <w:adjustRightInd/>
      <w:snapToGrid/>
      <w:spacing w:line="240" w:lineRule="auto"/>
      <w:ind w:left="2100" w:leftChars="2100"/>
    </w:pPr>
    <w:rPr>
      <w:rFonts w:ascii="Times New Roman" w:cs="Times New Roman"/>
      <w:kern w:val="2"/>
    </w:rPr>
  </w:style>
  <w:style w:type="paragraph" w:styleId="31">
    <w:name w:val="List Bullet 3"/>
    <w:basedOn w:val="1"/>
    <w:qFormat/>
    <w:uiPriority w:val="0"/>
    <w:pPr>
      <w:widowControl w:val="0"/>
      <w:numPr>
        <w:ilvl w:val="0"/>
        <w:numId w:val="5"/>
      </w:numPr>
      <w:shd w:val="clear" w:color="auto" w:fill="auto"/>
      <w:tabs>
        <w:tab w:val="clear" w:pos="426"/>
      </w:tabs>
      <w:adjustRightInd/>
      <w:snapToGrid/>
      <w:spacing w:line="240" w:lineRule="auto"/>
    </w:pPr>
    <w:rPr>
      <w:rFonts w:ascii="Times New Roman" w:cs="Times New Roman"/>
      <w:kern w:val="2"/>
    </w:rPr>
  </w:style>
  <w:style w:type="paragraph" w:styleId="32">
    <w:name w:val="Body Text"/>
    <w:basedOn w:val="1"/>
    <w:next w:val="1"/>
    <w:qFormat/>
    <w:uiPriority w:val="0"/>
    <w:rPr>
      <w:rFonts w:cs="Times New Roman"/>
      <w:b/>
      <w:bCs/>
      <w:sz w:val="24"/>
    </w:rPr>
  </w:style>
  <w:style w:type="paragraph" w:styleId="33">
    <w:name w:val="Body Text Indent"/>
    <w:basedOn w:val="1"/>
    <w:next w:val="34"/>
    <w:link w:val="116"/>
    <w:qFormat/>
    <w:uiPriority w:val="0"/>
    <w:pPr>
      <w:ind w:firstLine="200" w:firstLineChars="200"/>
    </w:pPr>
    <w:rPr>
      <w:rFonts w:ascii="Times New Roman" w:cs="Times New Roman"/>
      <w:kern w:val="2"/>
    </w:rPr>
  </w:style>
  <w:style w:type="paragraph" w:styleId="34">
    <w:name w:val="envelope return"/>
    <w:basedOn w:val="1"/>
    <w:qFormat/>
    <w:uiPriority w:val="0"/>
    <w:pPr>
      <w:widowControl w:val="0"/>
      <w:shd w:val="clear" w:color="auto" w:fill="auto"/>
      <w:tabs>
        <w:tab w:val="clear" w:pos="426"/>
      </w:tabs>
      <w:adjustRightInd/>
      <w:spacing w:line="240" w:lineRule="auto"/>
    </w:pPr>
    <w:rPr>
      <w:rFonts w:ascii="Arial" w:hAnsi="Arial" w:cs="Arial"/>
      <w:kern w:val="2"/>
    </w:rPr>
  </w:style>
  <w:style w:type="paragraph" w:styleId="35">
    <w:name w:val="List Number 3"/>
    <w:basedOn w:val="1"/>
    <w:qFormat/>
    <w:uiPriority w:val="0"/>
    <w:pPr>
      <w:widowControl w:val="0"/>
      <w:numPr>
        <w:ilvl w:val="0"/>
        <w:numId w:val="6"/>
      </w:numPr>
      <w:shd w:val="clear" w:color="auto" w:fill="auto"/>
      <w:tabs>
        <w:tab w:val="clear" w:pos="426"/>
      </w:tabs>
      <w:adjustRightInd/>
      <w:snapToGrid/>
      <w:spacing w:line="240" w:lineRule="auto"/>
    </w:pPr>
    <w:rPr>
      <w:rFonts w:ascii="Times New Roman" w:cs="Times New Roman"/>
      <w:kern w:val="2"/>
    </w:rPr>
  </w:style>
  <w:style w:type="paragraph" w:styleId="36">
    <w:name w:val="List 2"/>
    <w:basedOn w:val="1"/>
    <w:qFormat/>
    <w:uiPriority w:val="0"/>
    <w:pPr>
      <w:widowControl w:val="0"/>
      <w:shd w:val="clear" w:color="auto" w:fill="auto"/>
      <w:tabs>
        <w:tab w:val="clear" w:pos="426"/>
      </w:tabs>
      <w:adjustRightInd/>
      <w:snapToGrid/>
      <w:spacing w:line="240" w:lineRule="auto"/>
      <w:ind w:left="400" w:leftChars="200" w:hanging="200" w:hangingChars="200"/>
    </w:pPr>
    <w:rPr>
      <w:rFonts w:ascii="Times New Roman" w:cs="Times New Roman"/>
      <w:kern w:val="2"/>
    </w:rPr>
  </w:style>
  <w:style w:type="paragraph" w:styleId="37">
    <w:name w:val="List Continue"/>
    <w:basedOn w:val="1"/>
    <w:qFormat/>
    <w:uiPriority w:val="0"/>
    <w:pPr>
      <w:widowControl w:val="0"/>
      <w:shd w:val="clear" w:color="auto" w:fill="auto"/>
      <w:tabs>
        <w:tab w:val="clear" w:pos="426"/>
      </w:tabs>
      <w:adjustRightInd/>
      <w:snapToGrid/>
      <w:spacing w:after="120" w:line="240" w:lineRule="auto"/>
      <w:ind w:left="200" w:leftChars="200"/>
    </w:pPr>
    <w:rPr>
      <w:rFonts w:ascii="Times New Roman" w:cs="Times New Roman"/>
      <w:kern w:val="2"/>
    </w:rPr>
  </w:style>
  <w:style w:type="paragraph" w:styleId="38">
    <w:name w:val="Block Text"/>
    <w:basedOn w:val="1"/>
    <w:qFormat/>
    <w:uiPriority w:val="0"/>
    <w:pPr>
      <w:widowControl w:val="0"/>
      <w:shd w:val="clear" w:color="auto" w:fill="auto"/>
      <w:tabs>
        <w:tab w:val="clear" w:pos="426"/>
      </w:tabs>
      <w:adjustRightInd/>
      <w:snapToGrid/>
      <w:spacing w:after="120" w:line="240" w:lineRule="auto"/>
      <w:ind w:left="700" w:leftChars="700" w:right="700" w:rightChars="700"/>
    </w:pPr>
    <w:rPr>
      <w:rFonts w:ascii="Times New Roman" w:cs="Times New Roman"/>
      <w:kern w:val="2"/>
    </w:rPr>
  </w:style>
  <w:style w:type="paragraph" w:styleId="39">
    <w:name w:val="List Bullet 2"/>
    <w:basedOn w:val="1"/>
    <w:qFormat/>
    <w:uiPriority w:val="0"/>
    <w:pPr>
      <w:widowControl w:val="0"/>
      <w:numPr>
        <w:ilvl w:val="0"/>
        <w:numId w:val="7"/>
      </w:numPr>
      <w:shd w:val="clear" w:color="auto" w:fill="auto"/>
      <w:tabs>
        <w:tab w:val="clear" w:pos="426"/>
      </w:tabs>
      <w:adjustRightInd/>
      <w:snapToGrid/>
      <w:spacing w:line="240" w:lineRule="auto"/>
    </w:pPr>
    <w:rPr>
      <w:rFonts w:ascii="Times New Roman" w:cs="Times New Roman"/>
      <w:kern w:val="2"/>
    </w:rPr>
  </w:style>
  <w:style w:type="paragraph" w:styleId="40">
    <w:name w:val="HTML Address"/>
    <w:basedOn w:val="1"/>
    <w:qFormat/>
    <w:uiPriority w:val="0"/>
    <w:pPr>
      <w:widowControl w:val="0"/>
      <w:shd w:val="clear" w:color="auto" w:fill="auto"/>
      <w:tabs>
        <w:tab w:val="clear" w:pos="426"/>
      </w:tabs>
      <w:adjustRightInd/>
      <w:snapToGrid/>
      <w:spacing w:line="240" w:lineRule="auto"/>
    </w:pPr>
    <w:rPr>
      <w:rFonts w:ascii="Times New Roman" w:cs="Times New Roman"/>
      <w:i/>
      <w:iCs/>
      <w:kern w:val="2"/>
    </w:rPr>
  </w:style>
  <w:style w:type="paragraph" w:styleId="41">
    <w:name w:val="index 4"/>
    <w:basedOn w:val="1"/>
    <w:next w:val="1"/>
    <w:qFormat/>
    <w:uiPriority w:val="0"/>
    <w:pPr>
      <w:widowControl w:val="0"/>
      <w:shd w:val="clear" w:color="auto" w:fill="auto"/>
      <w:tabs>
        <w:tab w:val="clear" w:pos="426"/>
      </w:tabs>
      <w:adjustRightInd/>
      <w:snapToGrid/>
      <w:spacing w:line="240" w:lineRule="auto"/>
      <w:ind w:left="840" w:hanging="210"/>
      <w:jc w:val="left"/>
    </w:pPr>
    <w:rPr>
      <w:rFonts w:ascii="Times New Roman" w:cs="Times New Roman"/>
      <w:kern w:val="2"/>
      <w:sz w:val="20"/>
      <w:szCs w:val="20"/>
    </w:rPr>
  </w:style>
  <w:style w:type="paragraph" w:styleId="42">
    <w:name w:val="toc 5"/>
    <w:basedOn w:val="1"/>
    <w:next w:val="1"/>
    <w:qFormat/>
    <w:uiPriority w:val="0"/>
    <w:pPr>
      <w:ind w:left="840"/>
      <w:jc w:val="left"/>
    </w:pPr>
    <w:rPr>
      <w:szCs w:val="21"/>
    </w:rPr>
  </w:style>
  <w:style w:type="paragraph" w:styleId="43">
    <w:name w:val="toc 3"/>
    <w:basedOn w:val="1"/>
    <w:next w:val="1"/>
    <w:qFormat/>
    <w:uiPriority w:val="39"/>
    <w:pPr>
      <w:ind w:left="420"/>
      <w:jc w:val="left"/>
    </w:pPr>
    <w:rPr>
      <w:i/>
      <w:iCs/>
    </w:rPr>
  </w:style>
  <w:style w:type="paragraph" w:styleId="44">
    <w:name w:val="Plain Text"/>
    <w:basedOn w:val="1"/>
    <w:link w:val="579"/>
    <w:qFormat/>
    <w:uiPriority w:val="0"/>
    <w:rPr>
      <w:rFonts w:cs="Times New Roman"/>
      <w:kern w:val="2"/>
      <w:szCs w:val="20"/>
    </w:rPr>
  </w:style>
  <w:style w:type="paragraph" w:styleId="45">
    <w:name w:val="List Bullet 5"/>
    <w:basedOn w:val="1"/>
    <w:qFormat/>
    <w:uiPriority w:val="0"/>
    <w:pPr>
      <w:widowControl w:val="0"/>
      <w:numPr>
        <w:ilvl w:val="0"/>
        <w:numId w:val="8"/>
      </w:numPr>
      <w:shd w:val="clear" w:color="auto" w:fill="auto"/>
      <w:tabs>
        <w:tab w:val="clear" w:pos="426"/>
      </w:tabs>
      <w:adjustRightInd/>
      <w:snapToGrid/>
      <w:spacing w:line="240" w:lineRule="auto"/>
    </w:pPr>
    <w:rPr>
      <w:rFonts w:ascii="Times New Roman" w:cs="Times New Roman"/>
      <w:kern w:val="2"/>
    </w:rPr>
  </w:style>
  <w:style w:type="paragraph" w:styleId="46">
    <w:name w:val="List Number 4"/>
    <w:basedOn w:val="1"/>
    <w:qFormat/>
    <w:uiPriority w:val="0"/>
    <w:pPr>
      <w:widowControl w:val="0"/>
      <w:numPr>
        <w:ilvl w:val="0"/>
        <w:numId w:val="9"/>
      </w:numPr>
      <w:shd w:val="clear" w:color="auto" w:fill="auto"/>
      <w:tabs>
        <w:tab w:val="clear" w:pos="426"/>
      </w:tabs>
      <w:adjustRightInd/>
      <w:snapToGrid/>
      <w:spacing w:line="240" w:lineRule="auto"/>
    </w:pPr>
    <w:rPr>
      <w:rFonts w:ascii="Times New Roman" w:cs="Times New Roman"/>
      <w:kern w:val="2"/>
    </w:rPr>
  </w:style>
  <w:style w:type="paragraph" w:styleId="47">
    <w:name w:val="toc 8"/>
    <w:basedOn w:val="1"/>
    <w:next w:val="1"/>
    <w:qFormat/>
    <w:uiPriority w:val="0"/>
    <w:pPr>
      <w:ind w:left="1470"/>
      <w:jc w:val="left"/>
    </w:pPr>
    <w:rPr>
      <w:szCs w:val="21"/>
    </w:rPr>
  </w:style>
  <w:style w:type="paragraph" w:styleId="48">
    <w:name w:val="index 3"/>
    <w:basedOn w:val="1"/>
    <w:next w:val="1"/>
    <w:qFormat/>
    <w:uiPriority w:val="0"/>
    <w:pPr>
      <w:widowControl w:val="0"/>
      <w:shd w:val="clear" w:color="auto" w:fill="auto"/>
      <w:tabs>
        <w:tab w:val="clear" w:pos="426"/>
      </w:tabs>
      <w:adjustRightInd/>
      <w:snapToGrid/>
      <w:spacing w:line="240" w:lineRule="auto"/>
      <w:ind w:left="630" w:hanging="210"/>
      <w:jc w:val="left"/>
    </w:pPr>
    <w:rPr>
      <w:rFonts w:ascii="Times New Roman" w:cs="Times New Roman"/>
      <w:kern w:val="2"/>
      <w:sz w:val="20"/>
      <w:szCs w:val="20"/>
    </w:rPr>
  </w:style>
  <w:style w:type="paragraph" w:styleId="49">
    <w:name w:val="Date"/>
    <w:basedOn w:val="1"/>
    <w:next w:val="1"/>
    <w:qFormat/>
    <w:uiPriority w:val="0"/>
    <w:rPr>
      <w:rFonts w:cs="Times New Roman"/>
      <w:kern w:val="2"/>
      <w:sz w:val="32"/>
      <w:szCs w:val="20"/>
    </w:rPr>
  </w:style>
  <w:style w:type="paragraph" w:styleId="50">
    <w:name w:val="Body Text Indent 2"/>
    <w:basedOn w:val="1"/>
    <w:link w:val="117"/>
    <w:qFormat/>
    <w:uiPriority w:val="0"/>
    <w:pPr>
      <w:spacing w:beforeLines="50" w:afterLines="50" w:line="120" w:lineRule="auto"/>
      <w:ind w:firstLine="400" w:firstLineChars="400"/>
      <w:jc w:val="left"/>
    </w:pPr>
    <w:rPr>
      <w:rFonts w:cs="Times New Roman"/>
      <w:kern w:val="2"/>
    </w:rPr>
  </w:style>
  <w:style w:type="paragraph" w:styleId="51">
    <w:name w:val="endnote text"/>
    <w:basedOn w:val="1"/>
    <w:qFormat/>
    <w:uiPriority w:val="0"/>
    <w:pPr>
      <w:widowControl w:val="0"/>
      <w:shd w:val="clear" w:color="auto" w:fill="auto"/>
      <w:tabs>
        <w:tab w:val="clear" w:pos="426"/>
      </w:tabs>
      <w:adjustRightInd/>
      <w:spacing w:line="240" w:lineRule="auto"/>
      <w:jc w:val="left"/>
    </w:pPr>
    <w:rPr>
      <w:rFonts w:ascii="Times New Roman" w:cs="Times New Roman"/>
      <w:kern w:val="2"/>
    </w:rPr>
  </w:style>
  <w:style w:type="paragraph" w:styleId="52">
    <w:name w:val="List Continue 5"/>
    <w:basedOn w:val="1"/>
    <w:qFormat/>
    <w:uiPriority w:val="0"/>
    <w:pPr>
      <w:widowControl w:val="0"/>
      <w:shd w:val="clear" w:color="auto" w:fill="auto"/>
      <w:tabs>
        <w:tab w:val="clear" w:pos="426"/>
      </w:tabs>
      <w:adjustRightInd/>
      <w:snapToGrid/>
      <w:spacing w:after="120" w:line="240" w:lineRule="auto"/>
      <w:ind w:left="1000" w:leftChars="1000"/>
    </w:pPr>
    <w:rPr>
      <w:rFonts w:ascii="Times New Roman" w:cs="Times New Roman"/>
      <w:kern w:val="2"/>
    </w:rPr>
  </w:style>
  <w:style w:type="paragraph" w:styleId="53">
    <w:name w:val="Balloon Text"/>
    <w:basedOn w:val="1"/>
    <w:link w:val="118"/>
    <w:qFormat/>
    <w:uiPriority w:val="0"/>
    <w:rPr>
      <w:rFonts w:ascii="Times New Roman" w:cs="Times New Roman"/>
      <w:kern w:val="2"/>
      <w:sz w:val="18"/>
      <w:szCs w:val="18"/>
    </w:rPr>
  </w:style>
  <w:style w:type="paragraph" w:styleId="54">
    <w:name w:val="footer"/>
    <w:basedOn w:val="1"/>
    <w:link w:val="119"/>
    <w:qFormat/>
    <w:uiPriority w:val="0"/>
    <w:pPr>
      <w:tabs>
        <w:tab w:val="center" w:pos="4153"/>
        <w:tab w:val="right" w:pos="8306"/>
      </w:tabs>
      <w:jc w:val="left"/>
    </w:pPr>
    <w:rPr>
      <w:rFonts w:ascii="Times New Roman" w:cs="Times New Roman"/>
      <w:kern w:val="2"/>
      <w:sz w:val="18"/>
      <w:szCs w:val="18"/>
    </w:rPr>
  </w:style>
  <w:style w:type="paragraph" w:styleId="55">
    <w:name w:val="header"/>
    <w:basedOn w:val="1"/>
    <w:link w:val="120"/>
    <w:qFormat/>
    <w:uiPriority w:val="0"/>
    <w:pPr>
      <w:pBdr>
        <w:bottom w:val="single" w:color="auto" w:sz="6" w:space="1"/>
      </w:pBdr>
      <w:tabs>
        <w:tab w:val="center" w:pos="4153"/>
        <w:tab w:val="right" w:pos="8306"/>
      </w:tabs>
      <w:jc w:val="center"/>
    </w:pPr>
    <w:rPr>
      <w:rFonts w:ascii="Times New Roman" w:cs="Times New Roman"/>
      <w:kern w:val="2"/>
      <w:sz w:val="18"/>
      <w:szCs w:val="18"/>
    </w:rPr>
  </w:style>
  <w:style w:type="paragraph" w:styleId="56">
    <w:name w:val="Signature"/>
    <w:basedOn w:val="1"/>
    <w:qFormat/>
    <w:uiPriority w:val="0"/>
    <w:pPr>
      <w:widowControl w:val="0"/>
      <w:shd w:val="clear" w:color="auto" w:fill="auto"/>
      <w:tabs>
        <w:tab w:val="clear" w:pos="426"/>
      </w:tabs>
      <w:adjustRightInd/>
      <w:snapToGrid/>
      <w:spacing w:line="240" w:lineRule="auto"/>
      <w:ind w:left="2100" w:leftChars="2100"/>
    </w:pPr>
    <w:rPr>
      <w:rFonts w:ascii="Times New Roman" w:cs="Times New Roman"/>
      <w:kern w:val="2"/>
    </w:rPr>
  </w:style>
  <w:style w:type="paragraph" w:styleId="57">
    <w:name w:val="toc 1"/>
    <w:basedOn w:val="1"/>
    <w:next w:val="1"/>
    <w:qFormat/>
    <w:uiPriority w:val="39"/>
    <w:pPr>
      <w:tabs>
        <w:tab w:val="right" w:leader="dot" w:pos="8789"/>
      </w:tabs>
      <w:adjustRightInd/>
      <w:snapToGrid/>
      <w:spacing w:before="120" w:after="120"/>
      <w:jc w:val="left"/>
    </w:pPr>
    <w:rPr>
      <w:b/>
      <w:bCs/>
      <w:caps/>
      <w:sz w:val="28"/>
    </w:rPr>
  </w:style>
  <w:style w:type="paragraph" w:styleId="58">
    <w:name w:val="List Continue 4"/>
    <w:basedOn w:val="1"/>
    <w:qFormat/>
    <w:uiPriority w:val="0"/>
    <w:pPr>
      <w:widowControl w:val="0"/>
      <w:shd w:val="clear" w:color="auto" w:fill="auto"/>
      <w:tabs>
        <w:tab w:val="clear" w:pos="426"/>
      </w:tabs>
      <w:adjustRightInd/>
      <w:snapToGrid/>
      <w:spacing w:after="120" w:line="240" w:lineRule="auto"/>
      <w:ind w:left="800" w:leftChars="800"/>
    </w:pPr>
    <w:rPr>
      <w:rFonts w:ascii="Times New Roman" w:cs="Times New Roman"/>
      <w:kern w:val="2"/>
    </w:rPr>
  </w:style>
  <w:style w:type="paragraph" w:styleId="59">
    <w:name w:val="toc 4"/>
    <w:basedOn w:val="1"/>
    <w:next w:val="1"/>
    <w:qFormat/>
    <w:uiPriority w:val="0"/>
    <w:pPr>
      <w:ind w:left="630"/>
      <w:jc w:val="left"/>
    </w:pPr>
    <w:rPr>
      <w:szCs w:val="21"/>
    </w:rPr>
  </w:style>
  <w:style w:type="paragraph" w:styleId="60">
    <w:name w:val="index heading"/>
    <w:basedOn w:val="1"/>
    <w:next w:val="61"/>
    <w:qFormat/>
    <w:uiPriority w:val="0"/>
    <w:pPr>
      <w:widowControl w:val="0"/>
      <w:shd w:val="clear" w:color="auto" w:fill="auto"/>
      <w:tabs>
        <w:tab w:val="clear" w:pos="426"/>
      </w:tabs>
      <w:adjustRightInd/>
      <w:snapToGrid/>
      <w:spacing w:before="120" w:after="120" w:line="240" w:lineRule="auto"/>
      <w:jc w:val="left"/>
    </w:pPr>
    <w:rPr>
      <w:rFonts w:ascii="Times New Roman" w:cs="Times New Roman"/>
      <w:b/>
      <w:bCs/>
      <w:i/>
      <w:iCs/>
      <w:kern w:val="2"/>
      <w:sz w:val="20"/>
      <w:szCs w:val="20"/>
    </w:rPr>
  </w:style>
  <w:style w:type="paragraph" w:styleId="61">
    <w:name w:val="index 1"/>
    <w:basedOn w:val="1"/>
    <w:next w:val="1"/>
    <w:qFormat/>
    <w:uiPriority w:val="0"/>
    <w:rPr>
      <w:b/>
      <w:color w:val="0000FF"/>
      <w:sz w:val="24"/>
    </w:rPr>
  </w:style>
  <w:style w:type="paragraph" w:styleId="62">
    <w:name w:val="Subtitle"/>
    <w:basedOn w:val="1"/>
    <w:next w:val="1"/>
    <w:qFormat/>
    <w:uiPriority w:val="0"/>
    <w:pPr>
      <w:spacing w:before="240" w:after="60" w:line="312" w:lineRule="auto"/>
      <w:jc w:val="center"/>
      <w:outlineLvl w:val="1"/>
    </w:pPr>
    <w:rPr>
      <w:rFonts w:ascii="Cambria" w:hAnsi="Cambria" w:cs="Times New Roman"/>
      <w:b/>
      <w:bCs/>
      <w:kern w:val="28"/>
      <w:sz w:val="28"/>
      <w:szCs w:val="32"/>
    </w:rPr>
  </w:style>
  <w:style w:type="paragraph" w:styleId="63">
    <w:name w:val="List Number 5"/>
    <w:basedOn w:val="1"/>
    <w:qFormat/>
    <w:uiPriority w:val="0"/>
    <w:pPr>
      <w:widowControl w:val="0"/>
      <w:numPr>
        <w:ilvl w:val="0"/>
        <w:numId w:val="10"/>
      </w:numPr>
      <w:shd w:val="clear" w:color="auto" w:fill="auto"/>
      <w:tabs>
        <w:tab w:val="clear" w:pos="426"/>
      </w:tabs>
      <w:adjustRightInd/>
      <w:snapToGrid/>
      <w:spacing w:line="240" w:lineRule="auto"/>
    </w:pPr>
    <w:rPr>
      <w:rFonts w:ascii="Times New Roman" w:cs="Times New Roman"/>
      <w:kern w:val="2"/>
    </w:rPr>
  </w:style>
  <w:style w:type="paragraph" w:styleId="64">
    <w:name w:val="List"/>
    <w:basedOn w:val="1"/>
    <w:qFormat/>
    <w:uiPriority w:val="0"/>
    <w:pPr>
      <w:widowControl w:val="0"/>
      <w:shd w:val="clear" w:color="auto" w:fill="auto"/>
      <w:tabs>
        <w:tab w:val="clear" w:pos="426"/>
      </w:tabs>
      <w:adjustRightInd/>
      <w:snapToGrid/>
      <w:spacing w:line="240" w:lineRule="auto"/>
      <w:ind w:left="200" w:hanging="200" w:hangingChars="200"/>
    </w:pPr>
    <w:rPr>
      <w:rFonts w:ascii="Times New Roman" w:cs="Times New Roman"/>
      <w:kern w:val="2"/>
    </w:rPr>
  </w:style>
  <w:style w:type="paragraph" w:styleId="65">
    <w:name w:val="footnote text"/>
    <w:basedOn w:val="1"/>
    <w:link w:val="121"/>
    <w:qFormat/>
    <w:uiPriority w:val="0"/>
    <w:pPr>
      <w:widowControl w:val="0"/>
      <w:shd w:val="clear" w:color="auto" w:fill="auto"/>
      <w:tabs>
        <w:tab w:val="clear" w:pos="426"/>
      </w:tabs>
      <w:adjustRightInd/>
      <w:spacing w:line="240" w:lineRule="auto"/>
      <w:jc w:val="left"/>
    </w:pPr>
    <w:rPr>
      <w:rFonts w:ascii="Times New Roman" w:cs="Times New Roman"/>
      <w:kern w:val="2"/>
      <w:sz w:val="18"/>
    </w:rPr>
  </w:style>
  <w:style w:type="paragraph" w:styleId="66">
    <w:name w:val="toc 6"/>
    <w:basedOn w:val="1"/>
    <w:next w:val="1"/>
    <w:qFormat/>
    <w:uiPriority w:val="0"/>
    <w:pPr>
      <w:ind w:left="1050"/>
      <w:jc w:val="left"/>
    </w:pPr>
    <w:rPr>
      <w:szCs w:val="21"/>
    </w:rPr>
  </w:style>
  <w:style w:type="paragraph" w:styleId="67">
    <w:name w:val="List 5"/>
    <w:basedOn w:val="1"/>
    <w:qFormat/>
    <w:uiPriority w:val="0"/>
    <w:pPr>
      <w:widowControl w:val="0"/>
      <w:shd w:val="clear" w:color="auto" w:fill="auto"/>
      <w:tabs>
        <w:tab w:val="clear" w:pos="426"/>
      </w:tabs>
      <w:adjustRightInd/>
      <w:snapToGrid/>
      <w:spacing w:line="240" w:lineRule="auto"/>
      <w:ind w:left="1000" w:leftChars="800" w:hanging="200" w:hangingChars="200"/>
    </w:pPr>
    <w:rPr>
      <w:rFonts w:ascii="Times New Roman" w:cs="Times New Roman"/>
      <w:kern w:val="2"/>
    </w:rPr>
  </w:style>
  <w:style w:type="paragraph" w:styleId="68">
    <w:name w:val="Body Text Indent 3"/>
    <w:basedOn w:val="1"/>
    <w:link w:val="122"/>
    <w:qFormat/>
    <w:uiPriority w:val="0"/>
    <w:pPr>
      <w:ind w:firstLine="200" w:firstLineChars="200"/>
    </w:pPr>
    <w:rPr>
      <w:rFonts w:cs="Times New Roman"/>
      <w:b/>
      <w:bCs/>
      <w:kern w:val="2"/>
      <w:sz w:val="24"/>
    </w:rPr>
  </w:style>
  <w:style w:type="paragraph" w:styleId="69">
    <w:name w:val="index 7"/>
    <w:basedOn w:val="1"/>
    <w:next w:val="1"/>
    <w:qFormat/>
    <w:uiPriority w:val="0"/>
    <w:pPr>
      <w:widowControl w:val="0"/>
      <w:shd w:val="clear" w:color="auto" w:fill="auto"/>
      <w:tabs>
        <w:tab w:val="clear" w:pos="426"/>
      </w:tabs>
      <w:adjustRightInd/>
      <w:snapToGrid/>
      <w:spacing w:line="240" w:lineRule="auto"/>
      <w:ind w:left="1470" w:hanging="210"/>
      <w:jc w:val="left"/>
    </w:pPr>
    <w:rPr>
      <w:rFonts w:ascii="Times New Roman" w:cs="Times New Roman"/>
      <w:kern w:val="2"/>
      <w:sz w:val="20"/>
      <w:szCs w:val="20"/>
    </w:rPr>
  </w:style>
  <w:style w:type="paragraph" w:styleId="70">
    <w:name w:val="index 9"/>
    <w:basedOn w:val="1"/>
    <w:next w:val="1"/>
    <w:qFormat/>
    <w:uiPriority w:val="0"/>
    <w:pPr>
      <w:widowControl w:val="0"/>
      <w:shd w:val="clear" w:color="auto" w:fill="auto"/>
      <w:tabs>
        <w:tab w:val="clear" w:pos="426"/>
      </w:tabs>
      <w:adjustRightInd/>
      <w:snapToGrid/>
      <w:spacing w:line="240" w:lineRule="auto"/>
      <w:ind w:left="1890" w:hanging="210"/>
      <w:jc w:val="left"/>
    </w:pPr>
    <w:rPr>
      <w:rFonts w:ascii="Times New Roman" w:cs="Times New Roman"/>
      <w:kern w:val="2"/>
      <w:sz w:val="20"/>
      <w:szCs w:val="20"/>
    </w:rPr>
  </w:style>
  <w:style w:type="paragraph" w:styleId="71">
    <w:name w:val="toc 2"/>
    <w:basedOn w:val="1"/>
    <w:next w:val="1"/>
    <w:qFormat/>
    <w:uiPriority w:val="39"/>
    <w:pPr>
      <w:tabs>
        <w:tab w:val="right" w:leader="dot" w:pos="8789"/>
        <w:tab w:val="clear" w:pos="426"/>
      </w:tabs>
      <w:adjustRightInd/>
      <w:snapToGrid/>
      <w:spacing w:line="300" w:lineRule="auto"/>
      <w:ind w:left="50" w:leftChars="50"/>
    </w:pPr>
    <w:rPr>
      <w:smallCaps/>
      <w:sz w:val="28"/>
    </w:rPr>
  </w:style>
  <w:style w:type="paragraph" w:styleId="72">
    <w:name w:val="toc 9"/>
    <w:basedOn w:val="1"/>
    <w:next w:val="1"/>
    <w:qFormat/>
    <w:uiPriority w:val="0"/>
    <w:pPr>
      <w:ind w:left="1680"/>
      <w:jc w:val="left"/>
    </w:pPr>
    <w:rPr>
      <w:szCs w:val="21"/>
    </w:rPr>
  </w:style>
  <w:style w:type="paragraph" w:styleId="73">
    <w:name w:val="Body Text 2"/>
    <w:basedOn w:val="1"/>
    <w:link w:val="123"/>
    <w:qFormat/>
    <w:uiPriority w:val="0"/>
    <w:rPr>
      <w:rFonts w:ascii="Times New Roman" w:cs="Times New Roman"/>
      <w:kern w:val="2"/>
      <w:sz w:val="24"/>
    </w:rPr>
  </w:style>
  <w:style w:type="paragraph" w:styleId="74">
    <w:name w:val="List 4"/>
    <w:basedOn w:val="1"/>
    <w:qFormat/>
    <w:uiPriority w:val="0"/>
    <w:pPr>
      <w:widowControl w:val="0"/>
      <w:shd w:val="clear" w:color="auto" w:fill="auto"/>
      <w:tabs>
        <w:tab w:val="clear" w:pos="426"/>
      </w:tabs>
      <w:adjustRightInd/>
      <w:snapToGrid/>
      <w:spacing w:line="240" w:lineRule="auto"/>
      <w:ind w:left="800" w:leftChars="600" w:hanging="200" w:hangingChars="200"/>
    </w:pPr>
    <w:rPr>
      <w:rFonts w:ascii="Times New Roman" w:cs="Times New Roman"/>
      <w:kern w:val="2"/>
    </w:rPr>
  </w:style>
  <w:style w:type="paragraph" w:styleId="75">
    <w:name w:val="List Continue 2"/>
    <w:basedOn w:val="1"/>
    <w:qFormat/>
    <w:uiPriority w:val="0"/>
    <w:pPr>
      <w:widowControl w:val="0"/>
      <w:shd w:val="clear" w:color="auto" w:fill="auto"/>
      <w:tabs>
        <w:tab w:val="clear" w:pos="426"/>
      </w:tabs>
      <w:adjustRightInd/>
      <w:snapToGrid/>
      <w:spacing w:after="120" w:line="240" w:lineRule="auto"/>
      <w:ind w:left="400" w:leftChars="400"/>
    </w:pPr>
    <w:rPr>
      <w:rFonts w:ascii="Times New Roman" w:cs="Times New Roman"/>
      <w:kern w:val="2"/>
    </w:rPr>
  </w:style>
  <w:style w:type="paragraph" w:styleId="76">
    <w:name w:val="Message Header"/>
    <w:basedOn w:val="1"/>
    <w:qFormat/>
    <w:uiPriority w:val="0"/>
    <w:pPr>
      <w:widowControl w:val="0"/>
      <w:pBdr>
        <w:top w:val="single" w:color="auto" w:sz="6" w:space="1"/>
        <w:left w:val="single" w:color="auto" w:sz="6" w:space="1"/>
        <w:bottom w:val="single" w:color="auto" w:sz="6" w:space="1"/>
        <w:right w:val="single" w:color="auto" w:sz="6" w:space="1"/>
      </w:pBdr>
      <w:shd w:val="pct20" w:color="auto" w:fill="auto"/>
      <w:tabs>
        <w:tab w:val="clear" w:pos="426"/>
      </w:tabs>
      <w:adjustRightInd/>
      <w:snapToGrid/>
      <w:spacing w:line="240" w:lineRule="auto"/>
      <w:ind w:left="1000" w:leftChars="500" w:hanging="500" w:hangingChars="500"/>
    </w:pPr>
    <w:rPr>
      <w:rFonts w:ascii="Arial" w:hAnsi="Arial" w:cs="Times New Roman"/>
      <w:kern w:val="2"/>
      <w:sz w:val="24"/>
    </w:rPr>
  </w:style>
  <w:style w:type="paragraph" w:styleId="77">
    <w:name w:val="HTML Preformatted"/>
    <w:basedOn w:val="1"/>
    <w:link w:val="124"/>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Arial Unicode MS" w:cs="Times New Roman"/>
      <w:color w:val="000000"/>
      <w:sz w:val="20"/>
      <w:szCs w:val="20"/>
    </w:rPr>
  </w:style>
  <w:style w:type="paragraph" w:styleId="78">
    <w:name w:val="Normal (Web)"/>
    <w:basedOn w:val="1"/>
    <w:qFormat/>
    <w:uiPriority w:val="0"/>
    <w:rPr>
      <w:sz w:val="24"/>
    </w:rPr>
  </w:style>
  <w:style w:type="paragraph" w:styleId="79">
    <w:name w:val="List Continue 3"/>
    <w:basedOn w:val="1"/>
    <w:qFormat/>
    <w:uiPriority w:val="0"/>
    <w:pPr>
      <w:widowControl w:val="0"/>
      <w:shd w:val="clear" w:color="auto" w:fill="auto"/>
      <w:tabs>
        <w:tab w:val="clear" w:pos="426"/>
      </w:tabs>
      <w:adjustRightInd/>
      <w:snapToGrid/>
      <w:spacing w:after="120" w:line="240" w:lineRule="auto"/>
      <w:ind w:left="600" w:leftChars="600"/>
    </w:pPr>
    <w:rPr>
      <w:rFonts w:ascii="Times New Roman" w:cs="Times New Roman"/>
      <w:kern w:val="2"/>
    </w:rPr>
  </w:style>
  <w:style w:type="paragraph" w:styleId="80">
    <w:name w:val="index 2"/>
    <w:basedOn w:val="1"/>
    <w:next w:val="1"/>
    <w:qFormat/>
    <w:uiPriority w:val="0"/>
    <w:pPr>
      <w:widowControl w:val="0"/>
      <w:shd w:val="clear" w:color="auto" w:fill="auto"/>
      <w:tabs>
        <w:tab w:val="clear" w:pos="426"/>
      </w:tabs>
      <w:adjustRightInd/>
      <w:snapToGrid/>
      <w:spacing w:line="240" w:lineRule="auto"/>
      <w:ind w:left="420" w:hanging="210"/>
      <w:jc w:val="left"/>
    </w:pPr>
    <w:rPr>
      <w:rFonts w:ascii="Times New Roman" w:cs="Times New Roman"/>
      <w:kern w:val="2"/>
      <w:sz w:val="20"/>
      <w:szCs w:val="20"/>
    </w:rPr>
  </w:style>
  <w:style w:type="paragraph" w:styleId="81">
    <w:name w:val="Title"/>
    <w:basedOn w:val="1"/>
    <w:link w:val="125"/>
    <w:qFormat/>
    <w:uiPriority w:val="0"/>
    <w:pPr>
      <w:spacing w:before="240" w:after="60"/>
      <w:jc w:val="center"/>
      <w:outlineLvl w:val="0"/>
    </w:pPr>
    <w:rPr>
      <w:rFonts w:ascii="Arial" w:hAnsi="Arial" w:cs="Times New Roman"/>
      <w:b/>
      <w:bCs/>
      <w:kern w:val="2"/>
      <w:sz w:val="36"/>
      <w:szCs w:val="32"/>
    </w:rPr>
  </w:style>
  <w:style w:type="paragraph" w:styleId="82">
    <w:name w:val="annotation subject"/>
    <w:basedOn w:val="26"/>
    <w:next w:val="26"/>
    <w:link w:val="126"/>
    <w:qFormat/>
    <w:uiPriority w:val="0"/>
    <w:pPr>
      <w:autoSpaceDE/>
      <w:autoSpaceDN/>
      <w:adjustRightInd/>
      <w:textAlignment w:val="auto"/>
    </w:pPr>
    <w:rPr>
      <w:rFonts w:ascii="Times New Roman"/>
      <w:b/>
      <w:bCs/>
      <w:kern w:val="2"/>
      <w:sz w:val="21"/>
      <w:szCs w:val="24"/>
    </w:rPr>
  </w:style>
  <w:style w:type="paragraph" w:styleId="83">
    <w:name w:val="Body Text First Indent"/>
    <w:basedOn w:val="32"/>
    <w:qFormat/>
    <w:uiPriority w:val="0"/>
    <w:pPr>
      <w:widowControl w:val="0"/>
      <w:shd w:val="clear" w:color="auto" w:fill="auto"/>
      <w:tabs>
        <w:tab w:val="clear" w:pos="426"/>
      </w:tabs>
      <w:adjustRightInd/>
      <w:snapToGrid/>
      <w:spacing w:after="120" w:line="240" w:lineRule="auto"/>
      <w:ind w:firstLine="100" w:firstLineChars="100"/>
    </w:pPr>
    <w:rPr>
      <w:kern w:val="2"/>
      <w:sz w:val="21"/>
    </w:rPr>
  </w:style>
  <w:style w:type="paragraph" w:styleId="84">
    <w:name w:val="Body Text First Indent 2"/>
    <w:basedOn w:val="33"/>
    <w:next w:val="1"/>
    <w:qFormat/>
    <w:uiPriority w:val="99"/>
    <w:pPr>
      <w:widowControl w:val="0"/>
      <w:shd w:val="clear" w:color="auto" w:fill="auto"/>
      <w:tabs>
        <w:tab w:val="clear" w:pos="426"/>
      </w:tabs>
      <w:adjustRightInd/>
      <w:snapToGrid/>
      <w:spacing w:after="120" w:line="240" w:lineRule="auto"/>
      <w:ind w:left="200" w:leftChars="200"/>
    </w:pPr>
  </w:style>
  <w:style w:type="table" w:styleId="86">
    <w:name w:val="Table Grid"/>
    <w:basedOn w:val="8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8">
    <w:name w:val="Strong"/>
    <w:qFormat/>
    <w:uiPriority w:val="0"/>
    <w:rPr>
      <w:b/>
      <w:bCs/>
    </w:rPr>
  </w:style>
  <w:style w:type="character" w:styleId="89">
    <w:name w:val="endnote reference"/>
    <w:qFormat/>
    <w:uiPriority w:val="0"/>
    <w:rPr>
      <w:vertAlign w:val="superscript"/>
    </w:rPr>
  </w:style>
  <w:style w:type="character" w:styleId="90">
    <w:name w:val="page number"/>
    <w:qFormat/>
    <w:uiPriority w:val="0"/>
  </w:style>
  <w:style w:type="character" w:styleId="91">
    <w:name w:val="FollowedHyperlink"/>
    <w:qFormat/>
    <w:uiPriority w:val="99"/>
    <w:rPr>
      <w:color w:val="800080"/>
      <w:u w:val="single"/>
    </w:rPr>
  </w:style>
  <w:style w:type="character" w:styleId="92">
    <w:name w:val="Emphasis"/>
    <w:qFormat/>
    <w:uiPriority w:val="0"/>
    <w:rPr>
      <w:i/>
      <w:iCs/>
    </w:rPr>
  </w:style>
  <w:style w:type="character" w:styleId="93">
    <w:name w:val="line number"/>
    <w:qFormat/>
    <w:uiPriority w:val="0"/>
  </w:style>
  <w:style w:type="character" w:styleId="94">
    <w:name w:val="HTML Definition"/>
    <w:qFormat/>
    <w:uiPriority w:val="0"/>
    <w:rPr>
      <w:i/>
      <w:iCs/>
    </w:rPr>
  </w:style>
  <w:style w:type="character" w:styleId="95">
    <w:name w:val="HTML Typewriter"/>
    <w:qFormat/>
    <w:uiPriority w:val="0"/>
    <w:rPr>
      <w:rFonts w:ascii="Courier New" w:hAnsi="Courier New" w:cs="Courier New"/>
      <w:sz w:val="20"/>
      <w:szCs w:val="20"/>
      <w:lang w:bidi="ar-SA"/>
    </w:rPr>
  </w:style>
  <w:style w:type="character" w:styleId="96">
    <w:name w:val="HTML Acronym"/>
    <w:qFormat/>
    <w:uiPriority w:val="0"/>
  </w:style>
  <w:style w:type="character" w:styleId="97">
    <w:name w:val="HTML Variable"/>
    <w:qFormat/>
    <w:uiPriority w:val="0"/>
    <w:rPr>
      <w:i/>
      <w:iCs/>
    </w:rPr>
  </w:style>
  <w:style w:type="character" w:styleId="98">
    <w:name w:val="Hyperlink"/>
    <w:qFormat/>
    <w:uiPriority w:val="99"/>
    <w:rPr>
      <w:color w:val="0000FF"/>
      <w:u w:val="single"/>
    </w:rPr>
  </w:style>
  <w:style w:type="character" w:styleId="99">
    <w:name w:val="HTML Code"/>
    <w:qFormat/>
    <w:uiPriority w:val="0"/>
    <w:rPr>
      <w:rFonts w:ascii="Courier New" w:hAnsi="Courier New" w:cs="Courier New"/>
      <w:sz w:val="20"/>
      <w:szCs w:val="20"/>
      <w:lang w:bidi="ar-SA"/>
    </w:rPr>
  </w:style>
  <w:style w:type="character" w:styleId="100">
    <w:name w:val="annotation reference"/>
    <w:qFormat/>
    <w:uiPriority w:val="99"/>
    <w:rPr>
      <w:sz w:val="21"/>
      <w:szCs w:val="21"/>
    </w:rPr>
  </w:style>
  <w:style w:type="character" w:styleId="101">
    <w:name w:val="HTML Cite"/>
    <w:qFormat/>
    <w:uiPriority w:val="0"/>
    <w:rPr>
      <w:i/>
      <w:iCs/>
    </w:rPr>
  </w:style>
  <w:style w:type="character" w:styleId="102">
    <w:name w:val="footnote reference"/>
    <w:qFormat/>
    <w:uiPriority w:val="0"/>
    <w:rPr>
      <w:vertAlign w:val="superscript"/>
    </w:rPr>
  </w:style>
  <w:style w:type="character" w:styleId="103">
    <w:name w:val="HTML Keyboard"/>
    <w:qFormat/>
    <w:uiPriority w:val="0"/>
    <w:rPr>
      <w:rFonts w:ascii="Courier New" w:hAnsi="Courier New" w:cs="Courier New"/>
      <w:sz w:val="20"/>
      <w:szCs w:val="20"/>
      <w:lang w:bidi="ar-SA"/>
    </w:rPr>
  </w:style>
  <w:style w:type="character" w:styleId="104">
    <w:name w:val="HTML Sample"/>
    <w:qFormat/>
    <w:uiPriority w:val="0"/>
    <w:rPr>
      <w:rFonts w:ascii="Courier New" w:hAnsi="Courier New" w:cs="Courier New"/>
      <w:lang w:bidi="ar-SA"/>
    </w:rPr>
  </w:style>
  <w:style w:type="paragraph" w:customStyle="1" w:styleId="105">
    <w:name w:val="文档正文"/>
    <w:basedOn w:val="1"/>
    <w:qFormat/>
    <w:uiPriority w:val="99"/>
    <w:pPr>
      <w:spacing w:line="480" w:lineRule="atLeast"/>
      <w:ind w:firstLine="200" w:firstLineChars="200"/>
      <w:textAlignment w:val="baseline"/>
    </w:pPr>
    <w:rPr>
      <w:rFonts w:ascii="长城仿宋" w:hAnsi="长城仿宋"/>
      <w:szCs w:val="20"/>
    </w:rPr>
  </w:style>
  <w:style w:type="character" w:customStyle="1" w:styleId="106">
    <w:name w:val="标题 3 字符"/>
    <w:link w:val="3"/>
    <w:qFormat/>
    <w:uiPriority w:val="0"/>
    <w:rPr>
      <w:rFonts w:ascii="宋体" w:cs="宋体"/>
      <w:bCs/>
      <w:kern w:val="2"/>
      <w:sz w:val="21"/>
      <w:szCs w:val="21"/>
    </w:rPr>
  </w:style>
  <w:style w:type="character" w:customStyle="1" w:styleId="107">
    <w:name w:val="标题 2 字符"/>
    <w:link w:val="5"/>
    <w:qFormat/>
    <w:uiPriority w:val="0"/>
    <w:rPr>
      <w:rFonts w:ascii="宋体" w:cs="宋体"/>
      <w:sz w:val="21"/>
    </w:rPr>
  </w:style>
  <w:style w:type="character" w:customStyle="1" w:styleId="108">
    <w:name w:val="标题 4 字符"/>
    <w:link w:val="4"/>
    <w:qFormat/>
    <w:uiPriority w:val="0"/>
    <w:rPr>
      <w:rFonts w:ascii="Arial" w:hAnsi="Arial" w:eastAsia="黑体"/>
      <w:b/>
      <w:bCs/>
      <w:kern w:val="2"/>
      <w:sz w:val="28"/>
      <w:szCs w:val="28"/>
      <w:shd w:val="clear" w:color="auto" w:fill="FFFFFF"/>
    </w:rPr>
  </w:style>
  <w:style w:type="character" w:customStyle="1" w:styleId="109">
    <w:name w:val="标题 5 字符"/>
    <w:link w:val="6"/>
    <w:qFormat/>
    <w:uiPriority w:val="0"/>
    <w:rPr>
      <w:b/>
      <w:kern w:val="2"/>
      <w:sz w:val="24"/>
      <w:shd w:val="clear" w:color="auto" w:fill="FFFFFF"/>
    </w:rPr>
  </w:style>
  <w:style w:type="character" w:customStyle="1" w:styleId="110">
    <w:name w:val="正文缩进 字符"/>
    <w:link w:val="7"/>
    <w:qFormat/>
    <w:uiPriority w:val="0"/>
    <w:rPr>
      <w:kern w:val="2"/>
      <w:sz w:val="21"/>
      <w:shd w:val="clear" w:color="auto" w:fill="FFFFFF"/>
    </w:rPr>
  </w:style>
  <w:style w:type="character" w:customStyle="1" w:styleId="111">
    <w:name w:val="标题 7 字符"/>
    <w:link w:val="9"/>
    <w:qFormat/>
    <w:uiPriority w:val="0"/>
    <w:rPr>
      <w:b/>
      <w:kern w:val="2"/>
      <w:sz w:val="24"/>
      <w:shd w:val="clear" w:color="auto" w:fill="FFFFFF"/>
    </w:rPr>
  </w:style>
  <w:style w:type="character" w:customStyle="1" w:styleId="112">
    <w:name w:val="标题 8 字符"/>
    <w:link w:val="10"/>
    <w:qFormat/>
    <w:uiPriority w:val="0"/>
    <w:rPr>
      <w:rFonts w:ascii="Arial" w:hAnsi="Arial" w:eastAsia="黑体"/>
      <w:kern w:val="2"/>
      <w:sz w:val="24"/>
      <w:shd w:val="clear" w:color="auto" w:fill="FFFFFF"/>
    </w:rPr>
  </w:style>
  <w:style w:type="character" w:customStyle="1" w:styleId="113">
    <w:name w:val="标题 9 字符"/>
    <w:link w:val="11"/>
    <w:qFormat/>
    <w:uiPriority w:val="0"/>
    <w:rPr>
      <w:rFonts w:ascii="Arial" w:hAnsi="Arial" w:eastAsia="黑体"/>
      <w:kern w:val="2"/>
      <w:sz w:val="21"/>
      <w:shd w:val="clear" w:color="auto" w:fill="FFFFFF"/>
    </w:rPr>
  </w:style>
  <w:style w:type="character" w:customStyle="1" w:styleId="114">
    <w:name w:val="批注文字 字符1"/>
    <w:link w:val="26"/>
    <w:qFormat/>
    <w:uiPriority w:val="0"/>
    <w:rPr>
      <w:rFonts w:ascii="宋体"/>
      <w:sz w:val="34"/>
      <w:shd w:val="clear" w:color="auto" w:fill="FFFFFF"/>
    </w:rPr>
  </w:style>
  <w:style w:type="character" w:customStyle="1" w:styleId="115">
    <w:name w:val="正文文本 3 字符"/>
    <w:link w:val="29"/>
    <w:qFormat/>
    <w:uiPriority w:val="0"/>
    <w:rPr>
      <w:kern w:val="2"/>
      <w:sz w:val="16"/>
      <w:szCs w:val="16"/>
      <w:shd w:val="clear" w:color="auto" w:fill="FFFFFF"/>
    </w:rPr>
  </w:style>
  <w:style w:type="character" w:customStyle="1" w:styleId="116">
    <w:name w:val="正文文本缩进 字符"/>
    <w:link w:val="33"/>
    <w:qFormat/>
    <w:uiPriority w:val="0"/>
    <w:rPr>
      <w:kern w:val="2"/>
      <w:sz w:val="21"/>
      <w:szCs w:val="24"/>
      <w:shd w:val="clear" w:color="auto" w:fill="FFFFFF"/>
    </w:rPr>
  </w:style>
  <w:style w:type="character" w:customStyle="1" w:styleId="117">
    <w:name w:val="正文文本缩进 2 字符"/>
    <w:link w:val="50"/>
    <w:qFormat/>
    <w:uiPriority w:val="0"/>
    <w:rPr>
      <w:rFonts w:ascii="宋体"/>
      <w:kern w:val="2"/>
      <w:sz w:val="21"/>
      <w:szCs w:val="24"/>
      <w:shd w:val="clear" w:color="auto" w:fill="FFFFFF"/>
    </w:rPr>
  </w:style>
  <w:style w:type="character" w:customStyle="1" w:styleId="118">
    <w:name w:val="批注框文本 字符1"/>
    <w:link w:val="53"/>
    <w:qFormat/>
    <w:uiPriority w:val="0"/>
    <w:rPr>
      <w:kern w:val="2"/>
      <w:sz w:val="18"/>
      <w:szCs w:val="18"/>
      <w:shd w:val="clear" w:color="auto" w:fill="FFFFFF"/>
    </w:rPr>
  </w:style>
  <w:style w:type="character" w:customStyle="1" w:styleId="119">
    <w:name w:val="页脚 字符1"/>
    <w:link w:val="54"/>
    <w:qFormat/>
    <w:uiPriority w:val="0"/>
    <w:rPr>
      <w:kern w:val="2"/>
      <w:sz w:val="18"/>
      <w:szCs w:val="18"/>
      <w:shd w:val="clear" w:color="auto" w:fill="FFFFFF"/>
    </w:rPr>
  </w:style>
  <w:style w:type="character" w:customStyle="1" w:styleId="120">
    <w:name w:val="页眉 字符1"/>
    <w:link w:val="55"/>
    <w:qFormat/>
    <w:uiPriority w:val="0"/>
    <w:rPr>
      <w:kern w:val="2"/>
      <w:sz w:val="18"/>
      <w:szCs w:val="18"/>
      <w:shd w:val="clear" w:color="auto" w:fill="FFFFFF"/>
    </w:rPr>
  </w:style>
  <w:style w:type="character" w:customStyle="1" w:styleId="121">
    <w:name w:val="脚注文本 字符"/>
    <w:link w:val="65"/>
    <w:qFormat/>
    <w:uiPriority w:val="0"/>
    <w:rPr>
      <w:kern w:val="2"/>
      <w:sz w:val="18"/>
      <w:szCs w:val="24"/>
    </w:rPr>
  </w:style>
  <w:style w:type="character" w:customStyle="1" w:styleId="122">
    <w:name w:val="正文文本缩进 3 字符"/>
    <w:link w:val="68"/>
    <w:qFormat/>
    <w:uiPriority w:val="0"/>
    <w:rPr>
      <w:rFonts w:ascii="宋体"/>
      <w:b/>
      <w:bCs/>
      <w:kern w:val="2"/>
      <w:sz w:val="24"/>
      <w:szCs w:val="24"/>
      <w:shd w:val="clear" w:color="auto" w:fill="FFFFFF"/>
    </w:rPr>
  </w:style>
  <w:style w:type="character" w:customStyle="1" w:styleId="123">
    <w:name w:val="正文文本 2 字符"/>
    <w:link w:val="73"/>
    <w:qFormat/>
    <w:uiPriority w:val="0"/>
    <w:rPr>
      <w:kern w:val="2"/>
      <w:sz w:val="24"/>
      <w:szCs w:val="24"/>
      <w:shd w:val="clear" w:color="auto" w:fill="FFFFFF"/>
    </w:rPr>
  </w:style>
  <w:style w:type="character" w:customStyle="1" w:styleId="124">
    <w:name w:val="HTML 预设格式 字符"/>
    <w:link w:val="77"/>
    <w:qFormat/>
    <w:uiPriority w:val="99"/>
    <w:rPr>
      <w:rFonts w:ascii="Arial Unicode MS" w:eastAsia="Arial Unicode MS"/>
      <w:color w:val="000000"/>
      <w:shd w:val="clear" w:color="auto" w:fill="FFFFFF"/>
    </w:rPr>
  </w:style>
  <w:style w:type="character" w:customStyle="1" w:styleId="125">
    <w:name w:val="标题 字符"/>
    <w:link w:val="81"/>
    <w:qFormat/>
    <w:uiPriority w:val="0"/>
    <w:rPr>
      <w:rFonts w:ascii="Arial" w:hAnsi="Arial"/>
      <w:b/>
      <w:bCs/>
      <w:kern w:val="2"/>
      <w:sz w:val="36"/>
      <w:szCs w:val="32"/>
      <w:shd w:val="clear" w:color="auto" w:fill="FFFFFF"/>
    </w:rPr>
  </w:style>
  <w:style w:type="character" w:customStyle="1" w:styleId="126">
    <w:name w:val="批注主题 字符"/>
    <w:link w:val="82"/>
    <w:qFormat/>
    <w:uiPriority w:val="0"/>
    <w:rPr>
      <w:b/>
      <w:bCs/>
      <w:kern w:val="2"/>
      <w:sz w:val="21"/>
      <w:szCs w:val="24"/>
      <w:shd w:val="clear" w:color="auto" w:fill="FFFFFF"/>
    </w:rPr>
  </w:style>
  <w:style w:type="paragraph" w:customStyle="1" w:styleId="127">
    <w:name w:val="Char"/>
    <w:basedOn w:val="1"/>
    <w:qFormat/>
    <w:uiPriority w:val="0"/>
    <w:pPr>
      <w:spacing w:after="160" w:line="240" w:lineRule="exact"/>
      <w:jc w:val="left"/>
    </w:pPr>
    <w:rPr>
      <w:rFonts w:ascii="Verdana" w:hAnsi="Verdana" w:eastAsia="仿宋_GB2312"/>
      <w:sz w:val="24"/>
      <w:szCs w:val="20"/>
      <w:lang w:eastAsia="en-US"/>
    </w:rPr>
  </w:style>
  <w:style w:type="character" w:customStyle="1" w:styleId="128">
    <w:name w:val="标题 3 Char"/>
    <w:qFormat/>
    <w:uiPriority w:val="0"/>
    <w:rPr>
      <w:rFonts w:ascii="黑体" w:eastAsia="黑体"/>
      <w:bCs/>
      <w:sz w:val="30"/>
    </w:rPr>
  </w:style>
  <w:style w:type="paragraph" w:customStyle="1" w:styleId="129">
    <w:name w:val="样式41"/>
    <w:basedOn w:val="1"/>
    <w:qFormat/>
    <w:uiPriority w:val="0"/>
    <w:pPr>
      <w:tabs>
        <w:tab w:val="left" w:pos="945"/>
        <w:tab w:val="left" w:pos="2040"/>
      </w:tabs>
      <w:ind w:left="1000" w:leftChars="800" w:hanging="200" w:hangingChars="200"/>
    </w:pPr>
    <w:rPr>
      <w:b/>
      <w:color w:val="000000"/>
      <w:sz w:val="24"/>
      <w:szCs w:val="20"/>
    </w:rPr>
  </w:style>
  <w:style w:type="paragraph" w:customStyle="1" w:styleId="130">
    <w:name w:val="图"/>
    <w:basedOn w:val="1"/>
    <w:qFormat/>
    <w:uiPriority w:val="0"/>
    <w:pPr>
      <w:keepNext/>
      <w:spacing w:before="60" w:after="60" w:line="300" w:lineRule="auto"/>
      <w:jc w:val="center"/>
    </w:pPr>
    <w:rPr>
      <w:spacing w:val="20"/>
      <w:sz w:val="24"/>
      <w:szCs w:val="20"/>
    </w:rPr>
  </w:style>
  <w:style w:type="paragraph" w:customStyle="1" w:styleId="131">
    <w:name w:val="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132">
    <w:name w:val="Char1"/>
    <w:basedOn w:val="1"/>
    <w:qFormat/>
    <w:uiPriority w:val="0"/>
    <w:pPr>
      <w:spacing w:after="160" w:line="240" w:lineRule="exact"/>
      <w:jc w:val="left"/>
    </w:pPr>
    <w:rPr>
      <w:rFonts w:ascii="Verdana" w:hAnsi="Verdana" w:eastAsia="仿宋_GB2312"/>
      <w:sz w:val="24"/>
      <w:szCs w:val="20"/>
      <w:lang w:eastAsia="en-US"/>
    </w:rPr>
  </w:style>
  <w:style w:type="paragraph" w:customStyle="1" w:styleId="133">
    <w:name w:val="Char Char Char Char1"/>
    <w:basedOn w:val="1"/>
    <w:qFormat/>
    <w:uiPriority w:val="0"/>
    <w:pPr>
      <w:spacing w:after="160" w:line="240" w:lineRule="exact"/>
      <w:jc w:val="left"/>
    </w:pPr>
    <w:rPr>
      <w:rFonts w:ascii="Verdana" w:hAnsi="Verdana" w:eastAsia="仿宋_GB2312"/>
      <w:sz w:val="24"/>
      <w:szCs w:val="20"/>
      <w:lang w:eastAsia="en-US"/>
    </w:rPr>
  </w:style>
  <w:style w:type="paragraph" w:customStyle="1" w:styleId="134">
    <w:name w:val="Table Contents"/>
    <w:basedOn w:val="1"/>
    <w:qFormat/>
    <w:uiPriority w:val="0"/>
    <w:pPr>
      <w:suppressAutoHyphens/>
      <w:autoSpaceDE w:val="0"/>
      <w:spacing w:after="120"/>
      <w:jc w:val="left"/>
    </w:pPr>
    <w:rPr>
      <w:rFonts w:ascii="Helvetica" w:hAnsi="Helvetica"/>
      <w:kern w:val="2"/>
      <w:sz w:val="20"/>
      <w:szCs w:val="20"/>
    </w:rPr>
  </w:style>
  <w:style w:type="paragraph" w:customStyle="1" w:styleId="135">
    <w:name w:val="自定义正文"/>
    <w:basedOn w:val="1"/>
    <w:qFormat/>
    <w:uiPriority w:val="0"/>
    <w:pPr>
      <w:spacing w:afterLines="50"/>
      <w:ind w:left="600" w:leftChars="600"/>
    </w:pPr>
  </w:style>
  <w:style w:type="paragraph" w:customStyle="1" w:styleId="136">
    <w:name w:val="Char Char Char Char Char"/>
    <w:basedOn w:val="1"/>
    <w:qFormat/>
    <w:uiPriority w:val="0"/>
    <w:rPr>
      <w:rFonts w:ascii="Tahoma" w:hAnsi="Tahoma"/>
      <w:sz w:val="24"/>
      <w:szCs w:val="20"/>
    </w:rPr>
  </w:style>
  <w:style w:type="paragraph" w:customStyle="1" w:styleId="137">
    <w:name w:val="小标题 1"/>
    <w:basedOn w:val="1"/>
    <w:qFormat/>
    <w:uiPriority w:val="0"/>
    <w:pPr>
      <w:autoSpaceDE w:val="0"/>
      <w:autoSpaceDN w:val="0"/>
      <w:spacing w:line="360" w:lineRule="atLeast"/>
    </w:pPr>
    <w:rPr>
      <w:rFonts w:ascii="文鼎粗黑" w:eastAsia="文鼎粗黑"/>
      <w:sz w:val="22"/>
      <w:szCs w:val="20"/>
    </w:rPr>
  </w:style>
  <w:style w:type="paragraph" w:customStyle="1" w:styleId="138">
    <w:name w:val="Char Char"/>
    <w:basedOn w:val="1"/>
    <w:qFormat/>
    <w:uiPriority w:val="0"/>
    <w:rPr>
      <w:rFonts w:ascii="Tahoma" w:hAnsi="Tahoma"/>
      <w:sz w:val="24"/>
      <w:szCs w:val="20"/>
    </w:rPr>
  </w:style>
  <w:style w:type="paragraph" w:customStyle="1" w:styleId="139">
    <w:name w:val="È±Ê¡ÎÄ±¾"/>
    <w:basedOn w:val="1"/>
    <w:qFormat/>
    <w:uiPriority w:val="0"/>
    <w:pPr>
      <w:overflowPunct w:val="0"/>
      <w:autoSpaceDE w:val="0"/>
      <w:autoSpaceDN w:val="0"/>
      <w:jc w:val="left"/>
      <w:textAlignment w:val="baseline"/>
    </w:pPr>
    <w:rPr>
      <w:sz w:val="24"/>
      <w:szCs w:val="20"/>
    </w:rPr>
  </w:style>
  <w:style w:type="character" w:customStyle="1" w:styleId="140">
    <w:name w:val="apple-converted-space"/>
    <w:qFormat/>
    <w:uiPriority w:val="0"/>
  </w:style>
  <w:style w:type="paragraph" w:customStyle="1" w:styleId="141">
    <w:name w:val="TOC 标题1"/>
    <w:basedOn w:val="2"/>
    <w:next w:val="1"/>
    <w:qFormat/>
    <w:uiPriority w:val="0"/>
    <w:pPr>
      <w:spacing w:before="480" w:after="0" w:line="276" w:lineRule="auto"/>
      <w:jc w:val="left"/>
      <w:outlineLvl w:val="9"/>
    </w:pPr>
    <w:rPr>
      <w:rFonts w:ascii="Cambria" w:hAnsi="Cambria" w:eastAsia="宋体"/>
      <w:color w:val="365F91"/>
      <w:kern w:val="0"/>
    </w:rPr>
  </w:style>
  <w:style w:type="paragraph" w:customStyle="1" w:styleId="142">
    <w:name w:val="Char Char Char"/>
    <w:basedOn w:val="1"/>
    <w:qFormat/>
    <w:uiPriority w:val="0"/>
    <w:rPr>
      <w:rFonts w:ascii="Tahoma" w:hAnsi="Tahoma"/>
      <w:sz w:val="24"/>
      <w:szCs w:val="20"/>
    </w:rPr>
  </w:style>
  <w:style w:type="paragraph" w:customStyle="1" w:styleId="143">
    <w:name w:val="列出段落1"/>
    <w:basedOn w:val="1"/>
    <w:link w:val="144"/>
    <w:qFormat/>
    <w:uiPriority w:val="0"/>
    <w:pPr>
      <w:ind w:firstLine="200" w:firstLineChars="200"/>
    </w:pPr>
    <w:rPr>
      <w:rFonts w:ascii="Times New Roman" w:cs="Times New Roman"/>
      <w:kern w:val="2"/>
    </w:rPr>
  </w:style>
  <w:style w:type="character" w:customStyle="1" w:styleId="144">
    <w:name w:val="List Paragraph Char"/>
    <w:link w:val="143"/>
    <w:qFormat/>
    <w:locked/>
    <w:uiPriority w:val="0"/>
    <w:rPr>
      <w:kern w:val="2"/>
      <w:sz w:val="21"/>
      <w:szCs w:val="24"/>
      <w:shd w:val="clear" w:color="auto" w:fill="FFFFFF"/>
    </w:rPr>
  </w:style>
  <w:style w:type="paragraph" w:customStyle="1" w:styleId="145">
    <w:name w:val="Default"/>
    <w:qFormat/>
    <w:uiPriority w:val="0"/>
    <w:pPr>
      <w:widowControl w:val="0"/>
      <w:autoSpaceDE w:val="0"/>
      <w:autoSpaceDN w:val="0"/>
      <w:adjustRightInd w:val="0"/>
      <w:spacing w:line="360" w:lineRule="auto"/>
      <w:jc w:val="both"/>
    </w:pPr>
    <w:rPr>
      <w:rFonts w:ascii="宋体" w:hAnsi="Times New Roman" w:eastAsia="宋体" w:cs="Times New Roman"/>
      <w:color w:val="000000"/>
      <w:sz w:val="24"/>
      <w:szCs w:val="24"/>
      <w:lang w:val="en-US" w:eastAsia="zh-CN" w:bidi="ar-SA"/>
    </w:rPr>
  </w:style>
  <w:style w:type="paragraph" w:customStyle="1" w:styleId="146">
    <w:name w:val="主题"/>
    <w:basedOn w:val="1"/>
    <w:qFormat/>
    <w:uiPriority w:val="0"/>
  </w:style>
  <w:style w:type="paragraph" w:customStyle="1" w:styleId="147">
    <w:name w:val="默认段落字体 Para Char Char Char Char Char Char Char Char Char3 Char Char Char Char"/>
    <w:basedOn w:val="24"/>
    <w:qFormat/>
    <w:uiPriority w:val="0"/>
    <w:pPr>
      <w:spacing w:line="436" w:lineRule="exact"/>
      <w:ind w:left="357"/>
      <w:jc w:val="left"/>
      <w:outlineLvl w:val="3"/>
    </w:pPr>
    <w:rPr>
      <w:rFonts w:ascii="Tahoma" w:hAnsi="Tahoma"/>
      <w:b/>
      <w:sz w:val="24"/>
    </w:rPr>
  </w:style>
  <w:style w:type="paragraph" w:customStyle="1" w:styleId="148">
    <w:name w:val="目次、标准名称标题"/>
    <w:basedOn w:val="1"/>
    <w:next w:val="1"/>
    <w:qFormat/>
    <w:uiPriority w:val="0"/>
    <w:pPr>
      <w:shd w:val="clear" w:color="FFFFFF" w:fill="FFFFFF"/>
      <w:spacing w:before="640" w:after="560" w:line="460" w:lineRule="exact"/>
      <w:jc w:val="center"/>
      <w:outlineLvl w:val="0"/>
    </w:pPr>
    <w:rPr>
      <w:rFonts w:ascii="黑体" w:eastAsia="黑体"/>
      <w:sz w:val="32"/>
      <w:szCs w:val="20"/>
    </w:rPr>
  </w:style>
  <w:style w:type="paragraph" w:customStyle="1" w:styleId="149">
    <w:name w:val="表1黑体居中"/>
    <w:basedOn w:val="1"/>
    <w:qFormat/>
    <w:uiPriority w:val="0"/>
    <w:pPr>
      <w:ind w:firstLine="435"/>
      <w:jc w:val="center"/>
      <w:textAlignment w:val="baseline"/>
    </w:pPr>
    <w:rPr>
      <w:rFonts w:ascii="黑体" w:eastAsia="黑体"/>
      <w:szCs w:val="21"/>
    </w:rPr>
  </w:style>
  <w:style w:type="paragraph" w:customStyle="1" w:styleId="150">
    <w:name w:val="MaoC2"/>
    <w:basedOn w:val="1"/>
    <w:qFormat/>
    <w:uiPriority w:val="0"/>
    <w:pPr>
      <w:numPr>
        <w:ilvl w:val="1"/>
        <w:numId w:val="11"/>
      </w:numPr>
      <w:spacing w:line="480" w:lineRule="auto"/>
      <w:outlineLvl w:val="1"/>
    </w:pPr>
    <w:rPr>
      <w:rFonts w:ascii="黑体" w:eastAsia="黑体"/>
      <w:szCs w:val="20"/>
    </w:rPr>
  </w:style>
  <w:style w:type="paragraph" w:customStyle="1" w:styleId="151">
    <w:name w:val="图目录4"/>
    <w:basedOn w:val="1"/>
    <w:next w:val="1"/>
    <w:qFormat/>
    <w:uiPriority w:val="0"/>
    <w:pPr>
      <w:numPr>
        <w:ilvl w:val="0"/>
        <w:numId w:val="12"/>
      </w:numPr>
      <w:ind w:left="0" w:hanging="448"/>
      <w:jc w:val="center"/>
      <w:textAlignment w:val="baseline"/>
    </w:pPr>
    <w:rPr>
      <w:szCs w:val="20"/>
    </w:rPr>
  </w:style>
  <w:style w:type="paragraph" w:customStyle="1" w:styleId="152">
    <w:name w:val="段"/>
    <w:qFormat/>
    <w:uiPriority w:val="0"/>
    <w:pPr>
      <w:autoSpaceDE w:val="0"/>
      <w:autoSpaceDN w:val="0"/>
      <w:spacing w:line="360" w:lineRule="auto"/>
      <w:ind w:firstLine="200" w:firstLineChars="200"/>
      <w:jc w:val="both"/>
    </w:pPr>
    <w:rPr>
      <w:rFonts w:ascii="宋体" w:hAnsi="Times New Roman" w:eastAsia="宋体" w:cs="Times New Roman"/>
      <w:sz w:val="21"/>
      <w:lang w:val="en-US" w:eastAsia="zh-CN" w:bidi="ar-SA"/>
    </w:rPr>
  </w:style>
  <w:style w:type="paragraph" w:customStyle="1" w:styleId="153">
    <w:name w:val="样式1"/>
    <w:basedOn w:val="1"/>
    <w:qFormat/>
    <w:uiPriority w:val="0"/>
    <w:pPr>
      <w:keepNext/>
      <w:keepLines/>
      <w:numPr>
        <w:ilvl w:val="0"/>
        <w:numId w:val="13"/>
      </w:numPr>
      <w:spacing w:before="340" w:after="330"/>
      <w:outlineLvl w:val="0"/>
    </w:pPr>
    <w:rPr>
      <w:b/>
      <w:kern w:val="44"/>
      <w:sz w:val="44"/>
      <w:szCs w:val="20"/>
    </w:rPr>
  </w:style>
  <w:style w:type="paragraph" w:customStyle="1" w:styleId="154">
    <w:name w:val="参数内容"/>
    <w:basedOn w:val="143"/>
    <w:qFormat/>
    <w:uiPriority w:val="0"/>
    <w:pPr>
      <w:numPr>
        <w:ilvl w:val="0"/>
        <w:numId w:val="14"/>
      </w:numPr>
      <w:ind w:left="0" w:firstLine="0" w:firstLineChars="0"/>
    </w:pPr>
    <w:rPr>
      <w:szCs w:val="18"/>
    </w:rPr>
  </w:style>
  <w:style w:type="paragraph" w:customStyle="1" w:styleId="155">
    <w:name w:val="标准正文"/>
    <w:basedOn w:val="33"/>
    <w:qFormat/>
    <w:uiPriority w:val="0"/>
    <w:pPr>
      <w:spacing w:before="60" w:after="60"/>
      <w:ind w:firstLine="482" w:firstLineChars="0"/>
      <w:jc w:val="left"/>
    </w:pPr>
    <w:rPr>
      <w:rFonts w:ascii="宋体"/>
      <w:kern w:val="0"/>
      <w:sz w:val="24"/>
      <w:szCs w:val="20"/>
    </w:rPr>
  </w:style>
  <w:style w:type="paragraph" w:customStyle="1" w:styleId="156">
    <w:name w:val="下级参数内容"/>
    <w:basedOn w:val="143"/>
    <w:qFormat/>
    <w:uiPriority w:val="0"/>
    <w:pPr>
      <w:numPr>
        <w:ilvl w:val="0"/>
        <w:numId w:val="15"/>
      </w:numPr>
      <w:ind w:left="1134" w:firstLine="0" w:firstLineChars="0"/>
    </w:pPr>
    <w:rPr>
      <w:rFonts w:ascii="仿宋" w:hAnsi="仿宋"/>
    </w:rPr>
  </w:style>
  <w:style w:type="paragraph" w:customStyle="1" w:styleId="157">
    <w:name w:val="Char Char Char1"/>
    <w:basedOn w:val="1"/>
    <w:qFormat/>
    <w:uiPriority w:val="0"/>
    <w:rPr>
      <w:rFonts w:ascii="Tahoma" w:hAnsi="Tahoma"/>
      <w:sz w:val="24"/>
      <w:szCs w:val="20"/>
    </w:rPr>
  </w:style>
  <w:style w:type="paragraph" w:customStyle="1" w:styleId="158">
    <w:name w:val="Char Char10 Char Char"/>
    <w:basedOn w:val="24"/>
    <w:qFormat/>
    <w:uiPriority w:val="0"/>
    <w:rPr>
      <w:rFonts w:ascii="Tahoma" w:hAnsi="Tahoma"/>
      <w:sz w:val="24"/>
    </w:rPr>
  </w:style>
  <w:style w:type="paragraph" w:customStyle="1" w:styleId="159">
    <w:name w:val="_Style 95"/>
    <w:qFormat/>
    <w:uiPriority w:val="0"/>
    <w:pPr>
      <w:widowControl w:val="0"/>
      <w:spacing w:line="360" w:lineRule="auto"/>
      <w:jc w:val="both"/>
    </w:pPr>
    <w:rPr>
      <w:rFonts w:ascii="Times New Roman" w:hAnsi="Times New Roman" w:eastAsia="宋体" w:cs="Times New Roman"/>
      <w:kern w:val="2"/>
      <w:sz w:val="21"/>
      <w:szCs w:val="24"/>
      <w:lang w:val="en-US" w:eastAsia="zh-CN" w:bidi="ar-SA"/>
    </w:rPr>
  </w:style>
  <w:style w:type="paragraph" w:customStyle="1" w:styleId="160">
    <w:name w:val="font5"/>
    <w:basedOn w:val="1"/>
    <w:qFormat/>
    <w:uiPriority w:val="0"/>
    <w:pPr>
      <w:spacing w:before="100" w:beforeAutospacing="1" w:after="100" w:afterAutospacing="1"/>
      <w:jc w:val="left"/>
    </w:pPr>
    <w:rPr>
      <w:sz w:val="18"/>
      <w:szCs w:val="18"/>
    </w:rPr>
  </w:style>
  <w:style w:type="paragraph" w:customStyle="1" w:styleId="161">
    <w:name w:val="xl65"/>
    <w:basedOn w:val="1"/>
    <w:qFormat/>
    <w:uiPriority w:val="0"/>
    <w:pPr>
      <w:pBdr>
        <w:top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b/>
      <w:bCs/>
      <w:sz w:val="24"/>
    </w:rPr>
  </w:style>
  <w:style w:type="paragraph" w:customStyle="1" w:styleId="162">
    <w:name w:val="xl66"/>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63">
    <w:name w:val="xl67"/>
    <w:basedOn w:val="1"/>
    <w:qFormat/>
    <w:uiPriority w:val="0"/>
    <w:pPr>
      <w:pBdr>
        <w:bottom w:val="single" w:color="auto" w:sz="8" w:space="0"/>
        <w:right w:val="single" w:color="auto" w:sz="8" w:space="0"/>
      </w:pBdr>
      <w:shd w:val="clear" w:color="000000" w:fill="FFFFFF"/>
      <w:spacing w:before="100" w:beforeAutospacing="1" w:after="100" w:afterAutospacing="1"/>
      <w:jc w:val="center"/>
      <w:textAlignment w:val="center"/>
    </w:pPr>
    <w:rPr>
      <w:color w:val="000000"/>
      <w:sz w:val="24"/>
    </w:rPr>
  </w:style>
  <w:style w:type="paragraph" w:customStyle="1" w:styleId="164">
    <w:name w:val="xl68"/>
    <w:basedOn w:val="1"/>
    <w:qFormat/>
    <w:uiPriority w:val="0"/>
    <w:pPr>
      <w:pBdr>
        <w:top w:val="single" w:color="auto" w:sz="8" w:space="0"/>
        <w:left w:val="single" w:color="auto" w:sz="8" w:space="0"/>
        <w:bottom w:val="single" w:color="auto" w:sz="8" w:space="0"/>
        <w:right w:val="single" w:color="auto" w:sz="8" w:space="0"/>
      </w:pBdr>
      <w:shd w:val="clear" w:color="000000" w:fill="FFFFFF"/>
      <w:spacing w:before="100" w:beforeAutospacing="1" w:after="100" w:afterAutospacing="1"/>
      <w:jc w:val="left"/>
      <w:textAlignment w:val="center"/>
    </w:pPr>
    <w:rPr>
      <w:b/>
      <w:bCs/>
      <w:sz w:val="24"/>
    </w:rPr>
  </w:style>
  <w:style w:type="paragraph" w:customStyle="1" w:styleId="165">
    <w:name w:val="xl69"/>
    <w:basedOn w:val="1"/>
    <w:qFormat/>
    <w:uiPriority w:val="0"/>
    <w:pPr>
      <w:pBdr>
        <w:left w:val="single" w:color="auto" w:sz="8" w:space="0"/>
        <w:bottom w:val="single" w:color="auto" w:sz="8" w:space="0"/>
        <w:right w:val="single" w:color="auto" w:sz="8" w:space="0"/>
      </w:pBdr>
      <w:shd w:val="clear" w:color="000000" w:fill="FFFFFF"/>
      <w:spacing w:before="100" w:beforeAutospacing="1" w:after="100" w:afterAutospacing="1"/>
      <w:jc w:val="center"/>
      <w:textAlignment w:val="center"/>
    </w:pPr>
    <w:rPr>
      <w:sz w:val="24"/>
    </w:rPr>
  </w:style>
  <w:style w:type="paragraph" w:customStyle="1" w:styleId="166">
    <w:name w:val="样式 标题 3style3H3h33rd levelLevel 3 Headlevel_3PIM 33l3C..."/>
    <w:basedOn w:val="3"/>
    <w:qFormat/>
    <w:uiPriority w:val="0"/>
    <w:pPr>
      <w:tabs>
        <w:tab w:val="left" w:pos="851"/>
      </w:tabs>
      <w:spacing w:beforeLines="50" w:afterLines="50" w:line="415" w:lineRule="auto"/>
      <w:ind w:left="-2" w:leftChars="-2" w:right="220" w:firstLine="203" w:firstLineChars="203"/>
      <w:jc w:val="left"/>
    </w:pPr>
    <w:rPr>
      <w:rFonts w:ascii="Times New Roman"/>
      <w:bCs w:val="0"/>
      <w:color w:val="000000"/>
      <w:szCs w:val="20"/>
    </w:rPr>
  </w:style>
  <w:style w:type="paragraph" w:customStyle="1" w:styleId="167">
    <w:name w:val="样式2"/>
    <w:basedOn w:val="2"/>
    <w:qFormat/>
    <w:uiPriority w:val="0"/>
    <w:pPr>
      <w:keepNext/>
      <w:keepLines/>
      <w:spacing w:before="0" w:after="0" w:line="578" w:lineRule="auto"/>
      <w:ind w:left="1200"/>
      <w:jc w:val="both"/>
    </w:pPr>
    <w:rPr>
      <w:rFonts w:eastAsia="宋体"/>
      <w:szCs w:val="44"/>
    </w:rPr>
  </w:style>
  <w:style w:type="paragraph" w:customStyle="1" w:styleId="168">
    <w:name w:val="样式3"/>
    <w:basedOn w:val="1"/>
    <w:qFormat/>
    <w:uiPriority w:val="0"/>
    <w:pPr>
      <w:ind w:left="1620" w:hanging="420"/>
      <w:outlineLvl w:val="2"/>
    </w:pPr>
    <w:rPr>
      <w:b/>
    </w:rPr>
  </w:style>
  <w:style w:type="paragraph" w:customStyle="1" w:styleId="169">
    <w:name w:val="样式4"/>
    <w:basedOn w:val="143"/>
    <w:qFormat/>
    <w:uiPriority w:val="0"/>
    <w:pPr>
      <w:ind w:left="2040" w:firstLine="0" w:firstLineChars="0"/>
      <w:jc w:val="left"/>
      <w:outlineLvl w:val="3"/>
    </w:pPr>
    <w:rPr>
      <w:rFonts w:ascii="宋体"/>
    </w:rPr>
  </w:style>
  <w:style w:type="paragraph" w:customStyle="1" w:styleId="170">
    <w:name w:val="p0"/>
    <w:basedOn w:val="1"/>
    <w:qFormat/>
    <w:uiPriority w:val="0"/>
    <w:rPr>
      <w:rFonts w:ascii="Calibri" w:hAnsi="Calibri"/>
      <w:szCs w:val="21"/>
    </w:rPr>
  </w:style>
  <w:style w:type="paragraph" w:customStyle="1" w:styleId="171">
    <w:name w:val="图标题"/>
    <w:basedOn w:val="1"/>
    <w:qFormat/>
    <w:uiPriority w:val="0"/>
    <w:pPr>
      <w:jc w:val="center"/>
    </w:pPr>
    <w:rPr>
      <w:rFonts w:cs="Times New Roman"/>
      <w:kern w:val="2"/>
    </w:rPr>
  </w:style>
  <w:style w:type="paragraph" w:customStyle="1" w:styleId="172">
    <w:name w:val="表标题"/>
    <w:basedOn w:val="1"/>
    <w:qFormat/>
    <w:uiPriority w:val="0"/>
    <w:pPr>
      <w:jc w:val="center"/>
    </w:pPr>
    <w:rPr>
      <w:rFonts w:eastAsia="黑体"/>
      <w:b/>
    </w:rPr>
  </w:style>
  <w:style w:type="paragraph" w:customStyle="1" w:styleId="173">
    <w:name w:val="正文-1级标题-1"/>
    <w:basedOn w:val="1"/>
    <w:next w:val="1"/>
    <w:qFormat/>
    <w:uiPriority w:val="0"/>
    <w:pPr>
      <w:keepNext/>
      <w:tabs>
        <w:tab w:val="left" w:pos="420"/>
        <w:tab w:val="clear" w:pos="426"/>
      </w:tabs>
      <w:spacing w:beforeLines="30" w:afterLines="30"/>
    </w:pPr>
    <w:rPr>
      <w:b/>
      <w:sz w:val="24"/>
      <w:szCs w:val="28"/>
      <w:lang w:val="en-GB" w:eastAsia="en-GB"/>
    </w:rPr>
  </w:style>
  <w:style w:type="paragraph" w:customStyle="1" w:styleId="174">
    <w:name w:val="正文-1级列表-(1)"/>
    <w:basedOn w:val="1"/>
    <w:qFormat/>
    <w:uiPriority w:val="0"/>
    <w:pPr>
      <w:tabs>
        <w:tab w:val="left" w:pos="420"/>
        <w:tab w:val="clear" w:pos="426"/>
      </w:tabs>
      <w:ind w:left="800"/>
    </w:pPr>
    <w:rPr>
      <w:sz w:val="24"/>
      <w:lang w:val="en-GB" w:eastAsia="en-GB"/>
    </w:rPr>
  </w:style>
  <w:style w:type="paragraph" w:customStyle="1" w:styleId="175">
    <w:name w:val="样式 标题 1 + 段前: 0.5 行 段后: 0.5 行"/>
    <w:basedOn w:val="2"/>
    <w:qFormat/>
    <w:uiPriority w:val="0"/>
    <w:pPr>
      <w:keepNext/>
      <w:keepLines/>
      <w:numPr>
        <w:ilvl w:val="0"/>
        <w:numId w:val="16"/>
      </w:numPr>
      <w:spacing w:beforeLines="50" w:afterLines="50" w:line="578" w:lineRule="auto"/>
      <w:ind w:left="0" w:firstLine="0"/>
      <w:jc w:val="both"/>
    </w:pPr>
    <w:rPr>
      <w:rFonts w:ascii="Times New Roman" w:eastAsia="宋体"/>
      <w:sz w:val="44"/>
      <w:szCs w:val="20"/>
    </w:rPr>
  </w:style>
  <w:style w:type="paragraph" w:customStyle="1" w:styleId="176">
    <w:name w:val="样式 标题 4 + 段前: 0.5 行 段后: 0.5 行"/>
    <w:basedOn w:val="4"/>
    <w:qFormat/>
    <w:uiPriority w:val="0"/>
    <w:pPr>
      <w:spacing w:beforeLines="50" w:afterLines="50"/>
      <w:ind w:left="2240"/>
      <w:jc w:val="left"/>
    </w:pPr>
    <w:rPr>
      <w:rFonts w:ascii="Cambria" w:hAnsi="Cambria" w:eastAsia="宋体" w:cs="宋体"/>
      <w:sz w:val="24"/>
      <w:szCs w:val="20"/>
    </w:rPr>
  </w:style>
  <w:style w:type="paragraph" w:customStyle="1" w:styleId="177">
    <w:name w:val="样式 标题 4 + 段前: 0.5 行 段后: 0.5 行1"/>
    <w:basedOn w:val="4"/>
    <w:qFormat/>
    <w:uiPriority w:val="0"/>
    <w:pPr>
      <w:spacing w:beforeLines="50" w:afterLines="50"/>
      <w:ind w:left="-1" w:leftChars="-1" w:firstLine="233" w:firstLineChars="233"/>
      <w:jc w:val="left"/>
    </w:pPr>
    <w:rPr>
      <w:rFonts w:ascii="Cambria" w:hAnsi="Cambria" w:eastAsia="宋体" w:cs="宋体"/>
      <w:sz w:val="24"/>
      <w:szCs w:val="20"/>
    </w:rPr>
  </w:style>
  <w:style w:type="paragraph" w:customStyle="1" w:styleId="178">
    <w:name w:val="￥正文"/>
    <w:basedOn w:val="1"/>
    <w:qFormat/>
    <w:uiPriority w:val="0"/>
    <w:pPr>
      <w:ind w:firstLine="200" w:firstLineChars="200"/>
    </w:pPr>
    <w:rPr>
      <w:rFonts w:ascii="Calibri" w:hAnsi="Calibri" w:cs="Times New Roman"/>
      <w:kern w:val="2"/>
      <w:sz w:val="24"/>
      <w:szCs w:val="20"/>
    </w:rPr>
  </w:style>
  <w:style w:type="paragraph" w:customStyle="1" w:styleId="179">
    <w:name w:val="样式 标题 4h4heading 4h41heading 41h42heading 42h411heading ..."/>
    <w:basedOn w:val="4"/>
    <w:qFormat/>
    <w:uiPriority w:val="0"/>
    <w:pPr>
      <w:spacing w:beforeLines="50" w:afterLines="50"/>
      <w:ind w:left="2240" w:right="220"/>
      <w:jc w:val="left"/>
    </w:pPr>
    <w:rPr>
      <w:rFonts w:ascii="Cambria" w:hAnsi="Cambria" w:eastAsia="宋体" w:cs="宋体"/>
      <w:sz w:val="24"/>
      <w:szCs w:val="20"/>
    </w:rPr>
  </w:style>
  <w:style w:type="paragraph" w:customStyle="1" w:styleId="180">
    <w:name w:val="!项目ALT+P"/>
    <w:basedOn w:val="1"/>
    <w:qFormat/>
    <w:uiPriority w:val="0"/>
    <w:pPr>
      <w:numPr>
        <w:ilvl w:val="0"/>
        <w:numId w:val="17"/>
      </w:numPr>
      <w:tabs>
        <w:tab w:val="clear" w:pos="420"/>
      </w:tabs>
      <w:spacing w:line="320" w:lineRule="atLeast"/>
      <w:ind w:left="0" w:firstLine="0"/>
      <w:textAlignment w:val="baseline"/>
    </w:pPr>
    <w:rPr>
      <w:szCs w:val="21"/>
    </w:rPr>
  </w:style>
  <w:style w:type="paragraph" w:customStyle="1" w:styleId="181">
    <w:name w:val="样式 样式 (符号) 宋体 小四 行距: 1.5 倍行距 首行缩进:  1.5 字符 + 宋体 首行缩进:  2 字符"/>
    <w:basedOn w:val="1"/>
    <w:qFormat/>
    <w:uiPriority w:val="0"/>
    <w:pPr>
      <w:ind w:firstLine="200" w:firstLineChars="200"/>
    </w:pPr>
    <w:rPr>
      <w:sz w:val="24"/>
      <w:szCs w:val="20"/>
    </w:rPr>
  </w:style>
  <w:style w:type="paragraph" w:customStyle="1" w:styleId="182">
    <w:name w:val="正文内容"/>
    <w:basedOn w:val="1"/>
    <w:next w:val="24"/>
    <w:qFormat/>
    <w:uiPriority w:val="0"/>
    <w:rPr>
      <w:rFonts w:ascii="Times New Roman" w:cs="Times New Roman"/>
      <w:sz w:val="20"/>
    </w:rPr>
  </w:style>
  <w:style w:type="paragraph" w:customStyle="1" w:styleId="183">
    <w:name w:val="方案标题1"/>
    <w:basedOn w:val="81"/>
    <w:qFormat/>
    <w:uiPriority w:val="0"/>
    <w:pPr>
      <w:numPr>
        <w:ilvl w:val="0"/>
        <w:numId w:val="18"/>
      </w:numPr>
      <w:spacing w:beforeLines="50" w:afterLines="50"/>
      <w:ind w:firstLine="200" w:firstLineChars="200"/>
      <w:jc w:val="both"/>
    </w:pPr>
    <w:rPr>
      <w:color w:val="000000"/>
    </w:rPr>
  </w:style>
  <w:style w:type="paragraph" w:customStyle="1" w:styleId="184">
    <w:name w:val="方案标题2"/>
    <w:basedOn w:val="81"/>
    <w:qFormat/>
    <w:uiPriority w:val="0"/>
    <w:pPr>
      <w:numPr>
        <w:ilvl w:val="1"/>
        <w:numId w:val="18"/>
      </w:numPr>
      <w:spacing w:beforeLines="50" w:afterLines="50"/>
      <w:ind w:firstLine="200" w:firstLineChars="200"/>
      <w:jc w:val="left"/>
      <w:outlineLvl w:val="1"/>
    </w:pPr>
    <w:rPr>
      <w:rFonts w:eastAsia="仿宋_GB2312"/>
      <w:color w:val="000000"/>
      <w:sz w:val="30"/>
      <w:szCs w:val="30"/>
    </w:rPr>
  </w:style>
  <w:style w:type="paragraph" w:customStyle="1" w:styleId="185">
    <w:name w:val="方案标题3"/>
    <w:basedOn w:val="81"/>
    <w:qFormat/>
    <w:uiPriority w:val="0"/>
    <w:pPr>
      <w:numPr>
        <w:ilvl w:val="2"/>
        <w:numId w:val="18"/>
      </w:numPr>
      <w:spacing w:beforeLines="50" w:afterLines="50" w:line="440" w:lineRule="exact"/>
      <w:ind w:firstLine="200" w:firstLineChars="200"/>
      <w:jc w:val="left"/>
      <w:outlineLvl w:val="2"/>
    </w:pPr>
    <w:rPr>
      <w:rFonts w:ascii="黑体" w:eastAsia="黑体"/>
      <w:color w:val="000000"/>
      <w:sz w:val="28"/>
      <w:szCs w:val="24"/>
    </w:rPr>
  </w:style>
  <w:style w:type="paragraph" w:customStyle="1" w:styleId="186">
    <w:name w:val="正文Land"/>
    <w:basedOn w:val="1"/>
    <w:qFormat/>
    <w:uiPriority w:val="0"/>
    <w:pPr>
      <w:spacing w:beforeLines="20" w:afterLines="50"/>
      <w:ind w:firstLine="200" w:firstLineChars="200"/>
    </w:pPr>
    <w:rPr>
      <w:color w:val="000000"/>
      <w:sz w:val="24"/>
    </w:rPr>
  </w:style>
  <w:style w:type="paragraph" w:customStyle="1" w:styleId="187">
    <w:name w:val="样式5"/>
    <w:basedOn w:val="1"/>
    <w:qFormat/>
    <w:uiPriority w:val="0"/>
    <w:pPr>
      <w:numPr>
        <w:ilvl w:val="0"/>
        <w:numId w:val="19"/>
      </w:numPr>
      <w:spacing w:beforeLines="50" w:afterLines="50"/>
      <w:ind w:left="0" w:firstLine="0"/>
    </w:pPr>
    <w:rPr>
      <w:rFonts w:eastAsia="仿宋_GB2312"/>
      <w:color w:val="000000"/>
      <w:sz w:val="24"/>
    </w:rPr>
  </w:style>
  <w:style w:type="paragraph" w:customStyle="1" w:styleId="188">
    <w:name w:val="font6"/>
    <w:basedOn w:val="1"/>
    <w:qFormat/>
    <w:uiPriority w:val="0"/>
    <w:pPr>
      <w:spacing w:beforeAutospacing="1" w:afterAutospacing="1"/>
      <w:jc w:val="left"/>
    </w:pPr>
    <w:rPr>
      <w:sz w:val="18"/>
      <w:szCs w:val="18"/>
    </w:rPr>
  </w:style>
  <w:style w:type="paragraph" w:customStyle="1" w:styleId="189">
    <w:name w:val="xl64"/>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190">
    <w:name w:val="xl70"/>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b/>
      <w:bCs/>
      <w:color w:val="000000"/>
      <w:sz w:val="24"/>
    </w:rPr>
  </w:style>
  <w:style w:type="paragraph" w:customStyle="1" w:styleId="191">
    <w:name w:val="xl71"/>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92">
    <w:name w:val="xl72"/>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textAlignment w:val="center"/>
    </w:pPr>
    <w:rPr>
      <w:color w:val="000000"/>
      <w:sz w:val="24"/>
    </w:rPr>
  </w:style>
  <w:style w:type="paragraph" w:customStyle="1" w:styleId="193">
    <w:name w:val="xl73"/>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textAlignment w:val="center"/>
    </w:pPr>
    <w:rPr>
      <w:color w:val="000000"/>
      <w:sz w:val="24"/>
    </w:rPr>
  </w:style>
  <w:style w:type="paragraph" w:customStyle="1" w:styleId="194">
    <w:name w:val="xl74"/>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center"/>
    </w:pPr>
    <w:rPr>
      <w:color w:val="000000"/>
      <w:sz w:val="24"/>
    </w:rPr>
  </w:style>
  <w:style w:type="paragraph" w:customStyle="1" w:styleId="195">
    <w:name w:val="xl75"/>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b/>
      <w:bCs/>
      <w:color w:val="000000"/>
      <w:sz w:val="24"/>
    </w:rPr>
  </w:style>
  <w:style w:type="paragraph" w:customStyle="1" w:styleId="196">
    <w:name w:val="xl76"/>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center"/>
      <w:textAlignment w:val="center"/>
    </w:pPr>
    <w:rPr>
      <w:color w:val="000000"/>
      <w:sz w:val="24"/>
    </w:rPr>
  </w:style>
  <w:style w:type="paragraph" w:customStyle="1" w:styleId="197">
    <w:name w:val="xl77"/>
    <w:basedOn w:val="1"/>
    <w:qFormat/>
    <w:uiPriority w:val="0"/>
    <w:pPr>
      <w:pBdr>
        <w:top w:val="single" w:color="auto" w:sz="4" w:space="0"/>
        <w:left w:val="single" w:color="auto" w:sz="4" w:space="0"/>
        <w:bottom w:val="single" w:color="auto" w:sz="4" w:space="0"/>
        <w:right w:val="single" w:color="auto" w:sz="4" w:space="0"/>
      </w:pBdr>
      <w:shd w:val="clear" w:color="000000" w:fill="F2F2F2"/>
      <w:spacing w:beforeAutospacing="1" w:afterAutospacing="1"/>
      <w:jc w:val="left"/>
      <w:textAlignment w:val="center"/>
    </w:pPr>
    <w:rPr>
      <w:color w:val="000000"/>
      <w:sz w:val="24"/>
    </w:rPr>
  </w:style>
  <w:style w:type="paragraph" w:customStyle="1" w:styleId="198">
    <w:name w:val="xl78"/>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b/>
      <w:bCs/>
      <w:color w:val="000000"/>
      <w:sz w:val="24"/>
    </w:rPr>
  </w:style>
  <w:style w:type="paragraph" w:customStyle="1" w:styleId="199">
    <w:name w:val="xl79"/>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200">
    <w:name w:val="xl80"/>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left"/>
      <w:textAlignment w:val="center"/>
    </w:pPr>
    <w:rPr>
      <w:color w:val="000000"/>
      <w:sz w:val="24"/>
    </w:rPr>
  </w:style>
  <w:style w:type="paragraph" w:customStyle="1" w:styleId="201">
    <w:name w:val="xl81"/>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textAlignment w:val="center"/>
    </w:pPr>
    <w:rPr>
      <w:color w:val="000000"/>
      <w:sz w:val="24"/>
    </w:rPr>
  </w:style>
  <w:style w:type="paragraph" w:customStyle="1" w:styleId="202">
    <w:name w:val="xl82"/>
    <w:basedOn w:val="1"/>
    <w:qFormat/>
    <w:uiPriority w:val="0"/>
    <w:pPr>
      <w:pBdr>
        <w:top w:val="single" w:color="auto" w:sz="4" w:space="0"/>
        <w:left w:val="single" w:color="auto" w:sz="4" w:space="0"/>
        <w:bottom w:val="single" w:color="auto" w:sz="4" w:space="0"/>
        <w:right w:val="single" w:color="auto" w:sz="4" w:space="0"/>
      </w:pBdr>
      <w:shd w:val="clear" w:color="000000" w:fill="E4DFEC"/>
      <w:spacing w:beforeAutospacing="1" w:afterAutospacing="1"/>
      <w:jc w:val="center"/>
    </w:pPr>
    <w:rPr>
      <w:color w:val="000000"/>
      <w:sz w:val="24"/>
    </w:rPr>
  </w:style>
  <w:style w:type="paragraph" w:customStyle="1" w:styleId="203">
    <w:name w:val="xl83"/>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b/>
      <w:bCs/>
      <w:color w:val="000000"/>
      <w:sz w:val="24"/>
    </w:rPr>
  </w:style>
  <w:style w:type="paragraph" w:customStyle="1" w:styleId="204">
    <w:name w:val="xl84"/>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205">
    <w:name w:val="xl85"/>
    <w:basedOn w:val="1"/>
    <w:qFormat/>
    <w:uiPriority w:val="0"/>
    <w:pPr>
      <w:pBdr>
        <w:top w:val="single" w:color="auto" w:sz="4" w:space="0"/>
        <w:left w:val="single" w:color="auto" w:sz="4" w:space="0"/>
        <w:bottom w:val="single" w:color="auto" w:sz="4" w:space="0"/>
        <w:right w:val="single" w:color="auto" w:sz="4" w:space="0"/>
      </w:pBdr>
      <w:shd w:val="clear" w:color="000000" w:fill="D9D9D9"/>
      <w:spacing w:beforeAutospacing="1" w:afterAutospacing="1"/>
      <w:jc w:val="left"/>
    </w:pPr>
    <w:rPr>
      <w:color w:val="000000"/>
      <w:sz w:val="24"/>
    </w:rPr>
  </w:style>
  <w:style w:type="paragraph" w:customStyle="1" w:styleId="206">
    <w:name w:val="xl86"/>
    <w:basedOn w:val="1"/>
    <w:qFormat/>
    <w:uiPriority w:val="0"/>
    <w:pPr>
      <w:pBdr>
        <w:top w:val="single" w:color="auto" w:sz="4" w:space="0"/>
        <w:left w:val="single" w:color="auto" w:sz="4" w:space="0"/>
        <w:bottom w:val="single" w:color="auto" w:sz="4" w:space="0"/>
        <w:right w:val="single" w:color="auto" w:sz="4" w:space="0"/>
      </w:pBdr>
      <w:shd w:val="clear" w:color="000000" w:fill="DCE6F1"/>
      <w:spacing w:beforeAutospacing="1" w:afterAutospacing="1"/>
      <w:jc w:val="left"/>
    </w:pPr>
    <w:rPr>
      <w:color w:val="000000"/>
      <w:sz w:val="24"/>
    </w:rPr>
  </w:style>
  <w:style w:type="paragraph" w:customStyle="1" w:styleId="207">
    <w:name w:val="xl87"/>
    <w:basedOn w:val="1"/>
    <w:qFormat/>
    <w:uiPriority w:val="0"/>
    <w:pPr>
      <w:spacing w:beforeAutospacing="1" w:afterAutospacing="1"/>
      <w:jc w:val="left"/>
    </w:pPr>
    <w:rPr>
      <w:sz w:val="24"/>
    </w:rPr>
  </w:style>
  <w:style w:type="paragraph" w:customStyle="1" w:styleId="208">
    <w:name w:val="xl8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b/>
      <w:bCs/>
      <w:color w:val="000000"/>
      <w:sz w:val="24"/>
    </w:rPr>
  </w:style>
  <w:style w:type="paragraph" w:customStyle="1" w:styleId="209">
    <w:name w:val="xl89"/>
    <w:basedOn w:val="1"/>
    <w:qFormat/>
    <w:uiPriority w:val="0"/>
    <w:pPr>
      <w:pBdr>
        <w:top w:val="single" w:color="auto" w:sz="4" w:space="0"/>
        <w:left w:val="single" w:color="auto" w:sz="4" w:space="0"/>
        <w:bottom w:val="single" w:color="auto" w:sz="4" w:space="0"/>
        <w:right w:val="single" w:color="auto" w:sz="4" w:space="0"/>
      </w:pBdr>
      <w:shd w:val="clear" w:color="000000" w:fill="CCFFFF"/>
      <w:spacing w:beforeAutospacing="1" w:afterAutospacing="1"/>
      <w:jc w:val="center"/>
      <w:textAlignment w:val="center"/>
    </w:pPr>
    <w:rPr>
      <w:b/>
      <w:bCs/>
      <w:color w:val="000000"/>
      <w:sz w:val="24"/>
    </w:rPr>
  </w:style>
  <w:style w:type="paragraph" w:customStyle="1" w:styleId="210">
    <w:name w:val="Bulleted Items--Level 2"/>
    <w:basedOn w:val="1"/>
    <w:qFormat/>
    <w:uiPriority w:val="0"/>
    <w:pPr>
      <w:numPr>
        <w:ilvl w:val="0"/>
        <w:numId w:val="20"/>
      </w:numPr>
      <w:tabs>
        <w:tab w:val="left" w:pos="1771"/>
        <w:tab w:val="left" w:pos="2520"/>
        <w:tab w:val="clear" w:pos="360"/>
      </w:tabs>
      <w:spacing w:line="280" w:lineRule="exact"/>
      <w:ind w:left="2520" w:firstLine="0"/>
    </w:pPr>
    <w:rPr>
      <w:color w:val="000000"/>
      <w:sz w:val="22"/>
      <w:szCs w:val="20"/>
      <w:lang w:eastAsia="en-US"/>
    </w:rPr>
  </w:style>
  <w:style w:type="paragraph" w:customStyle="1" w:styleId="211">
    <w:name w:val="xl9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2"/>
      <w:szCs w:val="22"/>
    </w:rPr>
  </w:style>
  <w:style w:type="paragraph" w:customStyle="1" w:styleId="212">
    <w:name w:val="xl91"/>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000000"/>
      <w:sz w:val="22"/>
      <w:szCs w:val="22"/>
    </w:rPr>
  </w:style>
  <w:style w:type="paragraph" w:customStyle="1" w:styleId="213">
    <w:name w:val="xl9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sz w:val="20"/>
      <w:szCs w:val="20"/>
    </w:rPr>
  </w:style>
  <w:style w:type="paragraph" w:customStyle="1" w:styleId="214">
    <w:name w:val="xl9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215">
    <w:name w:val="xl9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216">
    <w:name w:val="xl95"/>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sz w:val="22"/>
      <w:szCs w:val="22"/>
    </w:rPr>
  </w:style>
  <w:style w:type="paragraph" w:customStyle="1" w:styleId="217">
    <w:name w:val="xl96"/>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sz w:val="22"/>
      <w:szCs w:val="22"/>
    </w:rPr>
  </w:style>
  <w:style w:type="paragraph" w:customStyle="1" w:styleId="218">
    <w:name w:val="xl9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sz w:val="22"/>
      <w:szCs w:val="22"/>
    </w:rPr>
  </w:style>
  <w:style w:type="paragraph" w:customStyle="1" w:styleId="219">
    <w:name w:val="xl98"/>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sz w:val="22"/>
      <w:szCs w:val="22"/>
    </w:rPr>
  </w:style>
  <w:style w:type="paragraph" w:customStyle="1" w:styleId="220">
    <w:name w:val="xl9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sz w:val="22"/>
      <w:szCs w:val="22"/>
    </w:rPr>
  </w:style>
  <w:style w:type="paragraph" w:customStyle="1" w:styleId="221">
    <w:name w:val="xl10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left"/>
      <w:textAlignment w:val="center"/>
    </w:pPr>
    <w:rPr>
      <w:rFonts w:ascii="仿宋_GB2312" w:eastAsia="仿宋_GB2312"/>
      <w:color w:val="FF0000"/>
      <w:sz w:val="22"/>
      <w:szCs w:val="22"/>
    </w:rPr>
  </w:style>
  <w:style w:type="paragraph" w:customStyle="1" w:styleId="222">
    <w:name w:val="xl101"/>
    <w:basedOn w:val="1"/>
    <w:qFormat/>
    <w:uiPriority w:val="0"/>
    <w:pPr>
      <w:spacing w:beforeAutospacing="1" w:afterAutospacing="1"/>
      <w:jc w:val="left"/>
      <w:textAlignment w:val="center"/>
    </w:pPr>
    <w:rPr>
      <w:color w:val="FF0000"/>
      <w:sz w:val="20"/>
      <w:szCs w:val="20"/>
    </w:rPr>
  </w:style>
  <w:style w:type="paragraph" w:customStyle="1" w:styleId="223">
    <w:name w:val="xl10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Autospacing="1" w:afterAutospacing="1"/>
      <w:jc w:val="left"/>
      <w:textAlignment w:val="center"/>
    </w:pPr>
    <w:rPr>
      <w:rFonts w:ascii="仿宋_GB2312" w:eastAsia="仿宋_GB2312"/>
      <w:color w:val="FF0000"/>
      <w:sz w:val="22"/>
      <w:szCs w:val="22"/>
    </w:rPr>
  </w:style>
  <w:style w:type="paragraph" w:customStyle="1" w:styleId="224">
    <w:name w:val="xl103"/>
    <w:basedOn w:val="1"/>
    <w:qFormat/>
    <w:uiPriority w:val="0"/>
    <w:pPr>
      <w:spacing w:beforeAutospacing="1" w:afterAutospacing="1"/>
      <w:jc w:val="left"/>
      <w:textAlignment w:val="center"/>
    </w:pPr>
    <w:rPr>
      <w:color w:val="FF0000"/>
      <w:sz w:val="22"/>
      <w:szCs w:val="22"/>
    </w:rPr>
  </w:style>
  <w:style w:type="paragraph" w:customStyle="1" w:styleId="225">
    <w:name w:val="xl104"/>
    <w:basedOn w:val="1"/>
    <w:qFormat/>
    <w:uiPriority w:val="0"/>
    <w:pPr>
      <w:spacing w:beforeAutospacing="1" w:afterAutospacing="1"/>
      <w:jc w:val="center"/>
    </w:pPr>
    <w:rPr>
      <w:sz w:val="24"/>
    </w:rPr>
  </w:style>
  <w:style w:type="paragraph" w:customStyle="1" w:styleId="226">
    <w:name w:val="xl10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b/>
      <w:bCs/>
      <w:sz w:val="18"/>
      <w:szCs w:val="18"/>
    </w:rPr>
  </w:style>
  <w:style w:type="paragraph" w:customStyle="1" w:styleId="227">
    <w:name w:val="xl10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sz w:val="22"/>
      <w:szCs w:val="22"/>
    </w:rPr>
  </w:style>
  <w:style w:type="paragraph" w:customStyle="1" w:styleId="228">
    <w:name w:val="xl107"/>
    <w:basedOn w:val="1"/>
    <w:qFormat/>
    <w:uiPriority w:val="0"/>
    <w:pPr>
      <w:pBdr>
        <w:top w:val="single" w:color="auto" w:sz="4" w:space="0"/>
        <w:left w:val="single" w:color="auto" w:sz="4" w:space="0"/>
        <w:bottom w:val="single" w:color="auto" w:sz="4" w:space="0"/>
        <w:right w:val="single" w:color="auto" w:sz="4" w:space="0"/>
      </w:pBdr>
      <w:shd w:val="clear" w:color="000000" w:fill="FFFF00"/>
      <w:spacing w:beforeAutospacing="1" w:afterAutospacing="1"/>
      <w:jc w:val="center"/>
      <w:textAlignment w:val="center"/>
    </w:pPr>
    <w:rPr>
      <w:rFonts w:ascii="Courier New" w:hAnsi="Courier New" w:cs="Courier New"/>
      <w:sz w:val="22"/>
      <w:szCs w:val="22"/>
    </w:rPr>
  </w:style>
  <w:style w:type="paragraph" w:customStyle="1" w:styleId="229">
    <w:name w:val="xl10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Courier New" w:hAnsi="Courier New" w:cs="Courier New"/>
      <w:sz w:val="22"/>
      <w:szCs w:val="22"/>
    </w:rPr>
  </w:style>
  <w:style w:type="paragraph" w:customStyle="1" w:styleId="230">
    <w:name w:val="xl10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Courier New" w:hAnsi="Courier New" w:cs="Courier New"/>
      <w:color w:val="FF0000"/>
      <w:sz w:val="22"/>
      <w:szCs w:val="22"/>
    </w:rPr>
  </w:style>
  <w:style w:type="paragraph" w:customStyle="1" w:styleId="231">
    <w:name w:val="xl11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000000"/>
      <w:sz w:val="22"/>
      <w:szCs w:val="22"/>
    </w:rPr>
  </w:style>
  <w:style w:type="paragraph" w:customStyle="1" w:styleId="232">
    <w:name w:val="xl111"/>
    <w:basedOn w:val="1"/>
    <w:qFormat/>
    <w:uiPriority w:val="0"/>
    <w:pPr>
      <w:pBdr>
        <w:top w:val="single" w:color="auto" w:sz="4" w:space="0"/>
        <w:left w:val="single" w:color="auto" w:sz="4" w:space="0"/>
        <w:bottom w:val="single" w:color="auto" w:sz="4" w:space="0"/>
        <w:right w:val="single" w:color="auto" w:sz="4" w:space="0"/>
      </w:pBdr>
      <w:shd w:val="clear" w:color="000000" w:fill="99CC00"/>
      <w:spacing w:beforeAutospacing="1" w:afterAutospacing="1"/>
      <w:jc w:val="center"/>
      <w:textAlignment w:val="center"/>
    </w:pPr>
    <w:rPr>
      <w:rFonts w:ascii="仿宋_GB2312" w:eastAsia="仿宋_GB2312"/>
      <w:sz w:val="22"/>
      <w:szCs w:val="22"/>
    </w:rPr>
  </w:style>
  <w:style w:type="paragraph" w:customStyle="1" w:styleId="233">
    <w:name w:val="xl11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234">
    <w:name w:val="xl113"/>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0"/>
      <w:szCs w:val="20"/>
    </w:rPr>
  </w:style>
  <w:style w:type="paragraph" w:customStyle="1" w:styleId="235">
    <w:name w:val="xl114"/>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sz w:val="22"/>
      <w:szCs w:val="22"/>
    </w:rPr>
  </w:style>
  <w:style w:type="paragraph" w:customStyle="1" w:styleId="236">
    <w:name w:val="xl11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237">
    <w:name w:val="xl116"/>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color w:val="FF0000"/>
      <w:sz w:val="22"/>
      <w:szCs w:val="22"/>
    </w:rPr>
  </w:style>
  <w:style w:type="paragraph" w:customStyle="1" w:styleId="238">
    <w:name w:val="xl117"/>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仿宋_GB2312" w:eastAsia="仿宋_GB2312"/>
      <w:color w:val="FF0000"/>
      <w:sz w:val="22"/>
      <w:szCs w:val="22"/>
    </w:rPr>
  </w:style>
  <w:style w:type="paragraph" w:customStyle="1" w:styleId="239">
    <w:name w:val="xl11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0"/>
      <w:szCs w:val="20"/>
    </w:rPr>
  </w:style>
  <w:style w:type="paragraph" w:customStyle="1" w:styleId="240">
    <w:name w:val="xl119"/>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241">
    <w:name w:val="xl12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2"/>
      <w:szCs w:val="22"/>
    </w:rPr>
  </w:style>
  <w:style w:type="paragraph" w:customStyle="1" w:styleId="242">
    <w:name w:val="xl121"/>
    <w:basedOn w:val="1"/>
    <w:qFormat/>
    <w:uiPriority w:val="0"/>
    <w:pPr>
      <w:pBdr>
        <w:top w:val="single" w:color="auto" w:sz="4" w:space="0"/>
        <w:left w:val="single" w:color="auto" w:sz="4" w:space="0"/>
        <w:bottom w:val="single" w:color="auto" w:sz="4" w:space="0"/>
        <w:right w:val="single" w:color="auto" w:sz="4" w:space="0"/>
      </w:pBdr>
      <w:shd w:val="clear" w:color="000000" w:fill="FF99CC"/>
      <w:spacing w:beforeAutospacing="1" w:afterAutospacing="1"/>
      <w:jc w:val="center"/>
      <w:textAlignment w:val="center"/>
    </w:pPr>
    <w:rPr>
      <w:rFonts w:ascii="Courier New" w:hAnsi="Courier New" w:cs="Courier New"/>
      <w:sz w:val="22"/>
      <w:szCs w:val="22"/>
    </w:rPr>
  </w:style>
  <w:style w:type="paragraph" w:customStyle="1" w:styleId="243">
    <w:name w:val="xl122"/>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rFonts w:ascii="仿宋_GB2312" w:eastAsia="仿宋_GB2312"/>
      <w:sz w:val="22"/>
      <w:szCs w:val="22"/>
    </w:rPr>
  </w:style>
  <w:style w:type="paragraph" w:customStyle="1" w:styleId="244">
    <w:name w:val="xl123"/>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245">
    <w:name w:val="xl124"/>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pPr>
    <w:rPr>
      <w:rFonts w:ascii="仿宋_GB2312" w:eastAsia="仿宋_GB2312"/>
      <w:sz w:val="24"/>
    </w:rPr>
  </w:style>
  <w:style w:type="paragraph" w:customStyle="1" w:styleId="246">
    <w:name w:val="xl125"/>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247">
    <w:name w:val="xl126"/>
    <w:basedOn w:val="1"/>
    <w:qFormat/>
    <w:uiPriority w:val="0"/>
    <w:pPr>
      <w:pBdr>
        <w:top w:val="single" w:color="auto" w:sz="4" w:space="0"/>
        <w:left w:val="single" w:color="auto" w:sz="4" w:space="0"/>
        <w:bottom w:val="single" w:color="auto" w:sz="4" w:space="0"/>
        <w:right w:val="single" w:color="auto" w:sz="4" w:space="0"/>
      </w:pBdr>
      <w:shd w:val="clear" w:color="000000" w:fill="FF6600"/>
      <w:spacing w:beforeAutospacing="1" w:afterAutospacing="1"/>
      <w:jc w:val="center"/>
      <w:textAlignment w:val="center"/>
    </w:pPr>
    <w:rPr>
      <w:rFonts w:ascii="仿宋_GB2312" w:eastAsia="仿宋_GB2312"/>
      <w:sz w:val="22"/>
      <w:szCs w:val="22"/>
    </w:rPr>
  </w:style>
  <w:style w:type="paragraph" w:customStyle="1" w:styleId="248">
    <w:name w:val="xl127"/>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sz w:val="22"/>
      <w:szCs w:val="22"/>
    </w:rPr>
  </w:style>
  <w:style w:type="paragraph" w:customStyle="1" w:styleId="249">
    <w:name w:val="xl128"/>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sz w:val="22"/>
      <w:szCs w:val="22"/>
    </w:rPr>
  </w:style>
  <w:style w:type="paragraph" w:customStyle="1" w:styleId="250">
    <w:name w:val="xl129"/>
    <w:basedOn w:val="1"/>
    <w:qFormat/>
    <w:uiPriority w:val="0"/>
    <w:pPr>
      <w:pBdr>
        <w:top w:val="single" w:color="auto" w:sz="4" w:space="0"/>
        <w:left w:val="single" w:color="auto" w:sz="4" w:space="0"/>
        <w:bottom w:val="single" w:color="auto" w:sz="4" w:space="0"/>
        <w:right w:val="single" w:color="auto" w:sz="4" w:space="0"/>
      </w:pBdr>
      <w:shd w:val="clear" w:color="000000" w:fill="3366FF"/>
      <w:spacing w:beforeAutospacing="1" w:afterAutospacing="1"/>
      <w:jc w:val="center"/>
      <w:textAlignment w:val="center"/>
    </w:pPr>
    <w:rPr>
      <w:rFonts w:ascii="仿宋_GB2312" w:eastAsia="仿宋_GB2312"/>
      <w:color w:val="FF0000"/>
      <w:sz w:val="22"/>
      <w:szCs w:val="22"/>
    </w:rPr>
  </w:style>
  <w:style w:type="paragraph" w:customStyle="1" w:styleId="251">
    <w:name w:val="xl130"/>
    <w:basedOn w:val="1"/>
    <w:qFormat/>
    <w:uiPriority w:val="0"/>
    <w:pPr>
      <w:pBdr>
        <w:top w:val="single" w:color="auto" w:sz="4" w:space="0"/>
        <w:left w:val="single" w:color="auto" w:sz="4" w:space="0"/>
        <w:bottom w:val="single" w:color="auto" w:sz="4" w:space="0"/>
        <w:right w:val="single" w:color="auto" w:sz="4" w:space="0"/>
      </w:pBdr>
      <w:spacing w:beforeAutospacing="1" w:afterAutospacing="1"/>
      <w:jc w:val="center"/>
      <w:textAlignment w:val="center"/>
    </w:pPr>
    <w:rPr>
      <w:color w:val="FF0000"/>
      <w:sz w:val="22"/>
      <w:szCs w:val="22"/>
    </w:rPr>
  </w:style>
  <w:style w:type="paragraph" w:customStyle="1" w:styleId="252">
    <w:name w:val="xl131"/>
    <w:basedOn w:val="1"/>
    <w:qFormat/>
    <w:uiPriority w:val="0"/>
    <w:pPr>
      <w:pBdr>
        <w:top w:val="single" w:color="auto" w:sz="4" w:space="0"/>
        <w:left w:val="single" w:color="auto" w:sz="4" w:space="0"/>
        <w:bottom w:val="single" w:color="auto" w:sz="4" w:space="0"/>
      </w:pBdr>
      <w:spacing w:beforeAutospacing="1" w:afterAutospacing="1"/>
      <w:jc w:val="center"/>
      <w:textAlignment w:val="center"/>
    </w:pPr>
    <w:rPr>
      <w:rFonts w:ascii="黑体" w:eastAsia="黑体"/>
      <w:b/>
      <w:bCs/>
      <w:sz w:val="28"/>
      <w:szCs w:val="28"/>
    </w:rPr>
  </w:style>
  <w:style w:type="paragraph" w:customStyle="1" w:styleId="253">
    <w:name w:val="xl132"/>
    <w:basedOn w:val="1"/>
    <w:qFormat/>
    <w:uiPriority w:val="0"/>
    <w:pPr>
      <w:pBdr>
        <w:top w:val="single" w:color="auto" w:sz="4" w:space="0"/>
        <w:bottom w:val="single" w:color="auto" w:sz="4" w:space="0"/>
      </w:pBdr>
      <w:spacing w:beforeAutospacing="1" w:afterAutospacing="1"/>
      <w:jc w:val="center"/>
      <w:textAlignment w:val="center"/>
    </w:pPr>
    <w:rPr>
      <w:rFonts w:ascii="黑体" w:eastAsia="黑体"/>
      <w:b/>
      <w:bCs/>
      <w:sz w:val="28"/>
      <w:szCs w:val="28"/>
    </w:rPr>
  </w:style>
  <w:style w:type="paragraph" w:customStyle="1" w:styleId="254">
    <w:name w:val="xl133"/>
    <w:basedOn w:val="1"/>
    <w:qFormat/>
    <w:uiPriority w:val="0"/>
    <w:pPr>
      <w:pBdr>
        <w:top w:val="single" w:color="auto" w:sz="4" w:space="0"/>
        <w:bottom w:val="single" w:color="auto" w:sz="4" w:space="0"/>
        <w:right w:val="single" w:color="auto" w:sz="4" w:space="0"/>
      </w:pBdr>
      <w:spacing w:beforeAutospacing="1" w:afterAutospacing="1"/>
      <w:jc w:val="center"/>
      <w:textAlignment w:val="center"/>
    </w:pPr>
    <w:rPr>
      <w:rFonts w:ascii="黑体" w:eastAsia="黑体"/>
      <w:b/>
      <w:bCs/>
      <w:sz w:val="28"/>
      <w:szCs w:val="28"/>
    </w:rPr>
  </w:style>
  <w:style w:type="paragraph" w:customStyle="1" w:styleId="255">
    <w:name w:val="样式 首行缩进:  0 字符"/>
    <w:basedOn w:val="1"/>
    <w:qFormat/>
    <w:uiPriority w:val="0"/>
    <w:pPr>
      <w:ind w:firstLine="200" w:firstLineChars="200"/>
    </w:pPr>
    <w:rPr>
      <w:sz w:val="24"/>
      <w:szCs w:val="20"/>
    </w:rPr>
  </w:style>
  <w:style w:type="paragraph" w:customStyle="1" w:styleId="256">
    <w:name w:val="5"/>
    <w:basedOn w:val="1"/>
    <w:qFormat/>
    <w:uiPriority w:val="0"/>
    <w:pPr>
      <w:ind w:firstLine="200" w:firstLineChars="200"/>
      <w:jc w:val="left"/>
    </w:pPr>
    <w:rPr>
      <w:sz w:val="24"/>
    </w:rPr>
  </w:style>
  <w:style w:type="paragraph" w:customStyle="1" w:styleId="257">
    <w:name w:val="正文1"/>
    <w:link w:val="258"/>
    <w:qFormat/>
    <w:uiPriority w:val="0"/>
    <w:pPr>
      <w:widowControl w:val="0"/>
      <w:adjustRightInd w:val="0"/>
      <w:spacing w:line="312" w:lineRule="atLeast"/>
      <w:jc w:val="both"/>
      <w:textAlignment w:val="baseline"/>
    </w:pPr>
    <w:rPr>
      <w:rFonts w:ascii="宋体" w:hAnsi="Times New Roman" w:eastAsia="宋体" w:cs="Times New Roman"/>
      <w:sz w:val="28"/>
      <w:lang w:val="en-US" w:eastAsia="zh-CN" w:bidi="ar-SA"/>
    </w:rPr>
  </w:style>
  <w:style w:type="character" w:customStyle="1" w:styleId="258">
    <w:name w:val="正文1 Char Char"/>
    <w:link w:val="257"/>
    <w:qFormat/>
    <w:uiPriority w:val="0"/>
    <w:rPr>
      <w:rFonts w:ascii="宋体"/>
      <w:sz w:val="28"/>
      <w:lang w:bidi="ar-SA"/>
    </w:rPr>
  </w:style>
  <w:style w:type="paragraph" w:customStyle="1" w:styleId="259">
    <w:name w:val="附件标题"/>
    <w:basedOn w:val="1"/>
    <w:qFormat/>
    <w:uiPriority w:val="0"/>
    <w:pPr>
      <w:ind w:firstLine="200" w:firstLineChars="200"/>
      <w:jc w:val="center"/>
    </w:pPr>
    <w:rPr>
      <w:rFonts w:ascii="Arial" w:hAnsi="Arial" w:eastAsia="黑体"/>
      <w:sz w:val="24"/>
    </w:rPr>
  </w:style>
  <w:style w:type="paragraph" w:customStyle="1" w:styleId="260">
    <w:name w:val="附件(1)"/>
    <w:basedOn w:val="1"/>
    <w:qFormat/>
    <w:uiPriority w:val="0"/>
    <w:pPr>
      <w:numPr>
        <w:ilvl w:val="0"/>
        <w:numId w:val="21"/>
      </w:numPr>
      <w:ind w:left="0" w:firstLine="200" w:firstLineChars="200"/>
    </w:pPr>
    <w:rPr>
      <w:sz w:val="24"/>
    </w:rPr>
  </w:style>
  <w:style w:type="paragraph" w:customStyle="1" w:styleId="261">
    <w:name w:val="附件1."/>
    <w:basedOn w:val="2"/>
    <w:qFormat/>
    <w:uiPriority w:val="0"/>
    <w:pPr>
      <w:tabs>
        <w:tab w:val="left" w:pos="360"/>
        <w:tab w:val="left" w:pos="420"/>
        <w:tab w:val="clear" w:pos="426"/>
      </w:tabs>
      <w:spacing w:before="0" w:after="0" w:line="360" w:lineRule="auto"/>
      <w:ind w:left="567" w:hanging="567"/>
      <w:jc w:val="both"/>
    </w:pPr>
    <w:rPr>
      <w:rFonts w:ascii="Times New Roman" w:eastAsia="宋体"/>
      <w:sz w:val="24"/>
      <w:szCs w:val="44"/>
    </w:rPr>
  </w:style>
  <w:style w:type="paragraph" w:customStyle="1" w:styleId="262">
    <w:name w:val="附件圈"/>
    <w:basedOn w:val="260"/>
    <w:qFormat/>
    <w:uiPriority w:val="0"/>
    <w:pPr>
      <w:numPr>
        <w:numId w:val="0"/>
      </w:numPr>
      <w:tabs>
        <w:tab w:val="left" w:pos="420"/>
        <w:tab w:val="clear" w:pos="426"/>
      </w:tabs>
      <w:ind w:firstLine="200" w:firstLineChars="200"/>
    </w:pPr>
  </w:style>
  <w:style w:type="paragraph" w:customStyle="1" w:styleId="263">
    <w:name w:val="样式 标题 2H2Heading 2 HiddenHeading 2 CCBSheading 22nd levelh..."/>
    <w:basedOn w:val="5"/>
    <w:qFormat/>
    <w:uiPriority w:val="0"/>
    <w:pPr>
      <w:snapToGrid w:val="0"/>
      <w:spacing w:before="120" w:after="120"/>
      <w:ind w:left="576" w:hanging="576"/>
      <w:jc w:val="left"/>
      <w:textAlignment w:val="auto"/>
    </w:pPr>
    <w:rPr>
      <w:bCs/>
      <w:kern w:val="2"/>
      <w:szCs w:val="28"/>
    </w:rPr>
  </w:style>
  <w:style w:type="paragraph" w:customStyle="1" w:styleId="264">
    <w:name w:val="样式 标题 2H2Heading 2 HiddenHeading 2 CCBSheading 22nd levelh...1"/>
    <w:basedOn w:val="5"/>
    <w:qFormat/>
    <w:uiPriority w:val="0"/>
    <w:pPr>
      <w:snapToGrid w:val="0"/>
      <w:spacing w:before="240" w:after="240"/>
      <w:ind w:left="576" w:hanging="576"/>
      <w:jc w:val="left"/>
      <w:textAlignment w:val="auto"/>
    </w:pPr>
    <w:rPr>
      <w:bCs/>
      <w:kern w:val="2"/>
      <w:szCs w:val="28"/>
    </w:rPr>
  </w:style>
  <w:style w:type="paragraph" w:customStyle="1" w:styleId="265">
    <w:name w:val="CM51"/>
    <w:basedOn w:val="145"/>
    <w:next w:val="145"/>
    <w:qFormat/>
    <w:uiPriority w:val="0"/>
    <w:pPr>
      <w:spacing w:after="103"/>
    </w:pPr>
    <w:rPr>
      <w:rFonts w:ascii="黑体" w:eastAsia="黑体"/>
      <w:color w:val="auto"/>
    </w:rPr>
  </w:style>
  <w:style w:type="paragraph" w:customStyle="1" w:styleId="266">
    <w:name w:val="pan"/>
    <w:basedOn w:val="143"/>
    <w:qFormat/>
    <w:uiPriority w:val="0"/>
    <w:pPr>
      <w:numPr>
        <w:ilvl w:val="0"/>
        <w:numId w:val="22"/>
      </w:numPr>
      <w:tabs>
        <w:tab w:val="left" w:pos="840"/>
      </w:tabs>
      <w:ind w:left="840" w:hanging="420" w:firstLineChars="0"/>
      <w:outlineLvl w:val="0"/>
    </w:pPr>
    <w:rPr>
      <w:rFonts w:ascii="黑体" w:eastAsia="黑体"/>
      <w:sz w:val="32"/>
      <w:szCs w:val="32"/>
    </w:rPr>
  </w:style>
  <w:style w:type="paragraph" w:customStyle="1" w:styleId="267">
    <w:name w:val="pan2"/>
    <w:basedOn w:val="143"/>
    <w:qFormat/>
    <w:uiPriority w:val="0"/>
    <w:pPr>
      <w:numPr>
        <w:ilvl w:val="1"/>
        <w:numId w:val="22"/>
      </w:numPr>
      <w:tabs>
        <w:tab w:val="left" w:pos="840"/>
      </w:tabs>
      <w:ind w:left="840" w:hanging="420" w:firstLineChars="0"/>
      <w:outlineLvl w:val="1"/>
    </w:pPr>
    <w:rPr>
      <w:rFonts w:ascii="黑体" w:eastAsia="黑体"/>
      <w:sz w:val="30"/>
      <w:szCs w:val="30"/>
    </w:rPr>
  </w:style>
  <w:style w:type="paragraph" w:customStyle="1" w:styleId="268">
    <w:name w:val="pan3"/>
    <w:basedOn w:val="143"/>
    <w:qFormat/>
    <w:uiPriority w:val="0"/>
    <w:pPr>
      <w:numPr>
        <w:ilvl w:val="2"/>
        <w:numId w:val="22"/>
      </w:numPr>
      <w:tabs>
        <w:tab w:val="left" w:pos="1260"/>
      </w:tabs>
      <w:ind w:left="1260" w:hanging="420" w:firstLineChars="0"/>
      <w:outlineLvl w:val="2"/>
    </w:pPr>
    <w:rPr>
      <w:rFonts w:ascii="黑体" w:eastAsia="黑体"/>
      <w:sz w:val="28"/>
      <w:szCs w:val="28"/>
    </w:rPr>
  </w:style>
  <w:style w:type="paragraph" w:customStyle="1" w:styleId="269">
    <w:name w:val="pan4"/>
    <w:basedOn w:val="143"/>
    <w:qFormat/>
    <w:uiPriority w:val="0"/>
    <w:pPr>
      <w:numPr>
        <w:ilvl w:val="3"/>
        <w:numId w:val="22"/>
      </w:numPr>
      <w:tabs>
        <w:tab w:val="left" w:pos="1680"/>
      </w:tabs>
      <w:ind w:left="1680" w:hanging="420" w:firstLineChars="0"/>
      <w:outlineLvl w:val="3"/>
    </w:pPr>
    <w:rPr>
      <w:rFonts w:ascii="黑体" w:eastAsia="黑体"/>
      <w:sz w:val="28"/>
      <w:szCs w:val="28"/>
    </w:rPr>
  </w:style>
  <w:style w:type="paragraph" w:customStyle="1" w:styleId="270">
    <w:name w:val="pan5"/>
    <w:basedOn w:val="143"/>
    <w:qFormat/>
    <w:uiPriority w:val="0"/>
    <w:pPr>
      <w:numPr>
        <w:ilvl w:val="4"/>
        <w:numId w:val="22"/>
      </w:numPr>
      <w:tabs>
        <w:tab w:val="left" w:pos="1008"/>
      </w:tabs>
      <w:ind w:left="1008" w:hanging="1008" w:firstLineChars="0"/>
      <w:outlineLvl w:val="4"/>
    </w:pPr>
    <w:rPr>
      <w:rFonts w:ascii="黑体" w:eastAsia="黑体"/>
      <w:sz w:val="24"/>
    </w:rPr>
  </w:style>
  <w:style w:type="paragraph" w:customStyle="1" w:styleId="271">
    <w:name w:val="一级标题"/>
    <w:basedOn w:val="143"/>
    <w:qFormat/>
    <w:uiPriority w:val="0"/>
    <w:pPr>
      <w:numPr>
        <w:ilvl w:val="0"/>
        <w:numId w:val="23"/>
      </w:numPr>
      <w:spacing w:line="720" w:lineRule="auto"/>
      <w:ind w:firstLineChars="0"/>
      <w:jc w:val="center"/>
      <w:outlineLvl w:val="0"/>
    </w:pPr>
    <w:rPr>
      <w:rFonts w:ascii="黑体" w:eastAsia="黑体"/>
      <w:sz w:val="44"/>
      <w:szCs w:val="44"/>
    </w:rPr>
  </w:style>
  <w:style w:type="paragraph" w:customStyle="1" w:styleId="272">
    <w:name w:val="二级标题"/>
    <w:basedOn w:val="143"/>
    <w:qFormat/>
    <w:uiPriority w:val="0"/>
    <w:pPr>
      <w:numPr>
        <w:ilvl w:val="1"/>
        <w:numId w:val="23"/>
      </w:numPr>
      <w:spacing w:line="720" w:lineRule="auto"/>
      <w:ind w:firstLineChars="0"/>
      <w:outlineLvl w:val="1"/>
    </w:pPr>
    <w:rPr>
      <w:rFonts w:ascii="黑体" w:eastAsia="黑体"/>
      <w:sz w:val="36"/>
      <w:szCs w:val="36"/>
    </w:rPr>
  </w:style>
  <w:style w:type="paragraph" w:customStyle="1" w:styleId="273">
    <w:name w:val="三级标题"/>
    <w:basedOn w:val="143"/>
    <w:qFormat/>
    <w:uiPriority w:val="0"/>
    <w:pPr>
      <w:numPr>
        <w:ilvl w:val="2"/>
        <w:numId w:val="23"/>
      </w:numPr>
      <w:spacing w:line="720" w:lineRule="auto"/>
      <w:ind w:firstLineChars="0"/>
      <w:outlineLvl w:val="2"/>
    </w:pPr>
    <w:rPr>
      <w:rFonts w:ascii="黑体" w:eastAsia="黑体"/>
      <w:sz w:val="32"/>
      <w:szCs w:val="32"/>
    </w:rPr>
  </w:style>
  <w:style w:type="paragraph" w:customStyle="1" w:styleId="274">
    <w:name w:val="四级标题"/>
    <w:basedOn w:val="143"/>
    <w:qFormat/>
    <w:uiPriority w:val="0"/>
    <w:pPr>
      <w:numPr>
        <w:ilvl w:val="3"/>
        <w:numId w:val="23"/>
      </w:numPr>
      <w:spacing w:line="720" w:lineRule="auto"/>
      <w:ind w:firstLineChars="0"/>
      <w:outlineLvl w:val="3"/>
    </w:pPr>
    <w:rPr>
      <w:rFonts w:ascii="黑体" w:eastAsia="黑体"/>
      <w:sz w:val="30"/>
      <w:szCs w:val="30"/>
    </w:rPr>
  </w:style>
  <w:style w:type="paragraph" w:customStyle="1" w:styleId="275">
    <w:name w:val="五级标题"/>
    <w:basedOn w:val="143"/>
    <w:qFormat/>
    <w:uiPriority w:val="0"/>
    <w:pPr>
      <w:numPr>
        <w:ilvl w:val="4"/>
        <w:numId w:val="23"/>
      </w:numPr>
      <w:spacing w:line="720" w:lineRule="auto"/>
      <w:ind w:firstLineChars="0"/>
      <w:outlineLvl w:val="4"/>
    </w:pPr>
    <w:rPr>
      <w:rFonts w:ascii="黑体" w:eastAsia="黑体"/>
      <w:sz w:val="28"/>
      <w:szCs w:val="28"/>
    </w:rPr>
  </w:style>
  <w:style w:type="paragraph" w:customStyle="1" w:styleId="276">
    <w:name w:val="图片"/>
    <w:basedOn w:val="1"/>
    <w:qFormat/>
    <w:uiPriority w:val="0"/>
    <w:pPr>
      <w:ind w:firstLine="200" w:firstLineChars="200"/>
      <w:jc w:val="center"/>
    </w:pPr>
    <w:rPr>
      <w:rFonts w:cs="Times New Roman"/>
      <w:kern w:val="2"/>
      <w:sz w:val="24"/>
    </w:rPr>
  </w:style>
  <w:style w:type="paragraph" w:customStyle="1" w:styleId="277">
    <w:name w:val="图片注释"/>
    <w:basedOn w:val="1"/>
    <w:qFormat/>
    <w:uiPriority w:val="0"/>
    <w:pPr>
      <w:spacing w:afterLines="25"/>
      <w:ind w:firstLine="200" w:firstLineChars="200"/>
      <w:jc w:val="center"/>
    </w:pPr>
    <w:rPr>
      <w:rFonts w:cs="Times New Roman"/>
      <w:kern w:val="2"/>
      <w:sz w:val="24"/>
      <w:u w:val="single"/>
    </w:rPr>
  </w:style>
  <w:style w:type="paragraph" w:customStyle="1" w:styleId="278">
    <w:name w:val="段内层标"/>
    <w:basedOn w:val="182"/>
    <w:qFormat/>
    <w:uiPriority w:val="0"/>
    <w:pPr>
      <w:numPr>
        <w:ilvl w:val="0"/>
        <w:numId w:val="24"/>
      </w:numPr>
      <w:spacing w:beforeLines="25" w:afterLines="25"/>
      <w:ind w:left="0" w:firstLine="200" w:firstLineChars="200"/>
    </w:pPr>
    <w:rPr>
      <w:rFonts w:ascii="宋体"/>
      <w:b/>
      <w:kern w:val="2"/>
      <w:sz w:val="28"/>
      <w:szCs w:val="28"/>
    </w:rPr>
  </w:style>
  <w:style w:type="paragraph" w:customStyle="1" w:styleId="279">
    <w:name w:val="方案设计1级标题"/>
    <w:basedOn w:val="143"/>
    <w:qFormat/>
    <w:uiPriority w:val="0"/>
    <w:pPr>
      <w:tabs>
        <w:tab w:val="left" w:pos="840"/>
      </w:tabs>
      <w:ind w:left="840" w:firstLine="0" w:firstLineChars="0"/>
      <w:jc w:val="center"/>
      <w:outlineLvl w:val="0"/>
    </w:pPr>
    <w:rPr>
      <w:rFonts w:ascii="黑体" w:eastAsia="黑体"/>
      <w:sz w:val="44"/>
      <w:szCs w:val="44"/>
    </w:rPr>
  </w:style>
  <w:style w:type="paragraph" w:customStyle="1" w:styleId="280">
    <w:name w:val="方案设计2级标题"/>
    <w:basedOn w:val="143"/>
    <w:qFormat/>
    <w:uiPriority w:val="0"/>
    <w:pPr>
      <w:numPr>
        <w:ilvl w:val="1"/>
        <w:numId w:val="25"/>
      </w:numPr>
      <w:ind w:firstLine="0" w:firstLineChars="0"/>
      <w:outlineLvl w:val="1"/>
    </w:pPr>
    <w:rPr>
      <w:rFonts w:ascii="黑体" w:eastAsia="黑体"/>
      <w:sz w:val="32"/>
      <w:szCs w:val="32"/>
    </w:rPr>
  </w:style>
  <w:style w:type="paragraph" w:customStyle="1" w:styleId="281">
    <w:name w:val="标题3"/>
    <w:basedOn w:val="143"/>
    <w:qFormat/>
    <w:uiPriority w:val="0"/>
    <w:pPr>
      <w:numPr>
        <w:ilvl w:val="2"/>
        <w:numId w:val="25"/>
      </w:numPr>
      <w:ind w:firstLine="0" w:firstLineChars="0"/>
      <w:outlineLvl w:val="2"/>
    </w:pPr>
    <w:rPr>
      <w:rFonts w:ascii="黑体" w:eastAsia="黑体"/>
      <w:sz w:val="28"/>
      <w:szCs w:val="28"/>
    </w:rPr>
  </w:style>
  <w:style w:type="paragraph" w:customStyle="1" w:styleId="282">
    <w:name w:val="标题5"/>
    <w:basedOn w:val="143"/>
    <w:qFormat/>
    <w:uiPriority w:val="0"/>
    <w:pPr>
      <w:tabs>
        <w:tab w:val="left" w:pos="2038"/>
      </w:tabs>
      <w:ind w:left="2038" w:hanging="420" w:firstLineChars="0"/>
      <w:jc w:val="left"/>
      <w:outlineLvl w:val="4"/>
    </w:pPr>
    <w:rPr>
      <w:rFonts w:ascii="黑体" w:eastAsia="黑体"/>
      <w:sz w:val="28"/>
      <w:szCs w:val="28"/>
    </w:rPr>
  </w:style>
  <w:style w:type="paragraph" w:customStyle="1" w:styleId="283">
    <w:name w:val="正文标题"/>
    <w:basedOn w:val="1"/>
    <w:qFormat/>
    <w:uiPriority w:val="0"/>
    <w:pPr>
      <w:numPr>
        <w:ilvl w:val="0"/>
        <w:numId w:val="25"/>
      </w:numPr>
      <w:ind w:left="0" w:firstLine="200" w:firstLineChars="200"/>
    </w:pPr>
    <w:rPr>
      <w:rFonts w:ascii="Calibri" w:hAnsi="Calibri" w:cs="Times New Roman"/>
      <w:b/>
      <w:kern w:val="2"/>
      <w:sz w:val="28"/>
      <w:szCs w:val="28"/>
    </w:rPr>
  </w:style>
  <w:style w:type="paragraph" w:customStyle="1" w:styleId="284">
    <w:name w:val="样式 Verdana 四号 首行缩进:  2 字符"/>
    <w:basedOn w:val="1"/>
    <w:qFormat/>
    <w:uiPriority w:val="0"/>
    <w:pPr>
      <w:ind w:firstLine="200" w:firstLineChars="200"/>
      <w:jc w:val="left"/>
    </w:pPr>
    <w:rPr>
      <w:rFonts w:ascii="Verdana" w:hAnsi="Verdana"/>
      <w:sz w:val="24"/>
      <w:szCs w:val="20"/>
    </w:rPr>
  </w:style>
  <w:style w:type="paragraph" w:customStyle="1" w:styleId="285">
    <w:name w:val="层标"/>
    <w:basedOn w:val="182"/>
    <w:qFormat/>
    <w:uiPriority w:val="0"/>
    <w:pPr>
      <w:numPr>
        <w:ilvl w:val="0"/>
        <w:numId w:val="26"/>
      </w:numPr>
      <w:spacing w:beforeLines="25" w:afterLines="25"/>
      <w:ind w:left="0" w:firstLine="0"/>
    </w:pPr>
    <w:rPr>
      <w:rFonts w:ascii="宋体"/>
      <w:b/>
      <w:kern w:val="2"/>
      <w:sz w:val="28"/>
      <w:szCs w:val="28"/>
    </w:rPr>
  </w:style>
  <w:style w:type="paragraph" w:styleId="286">
    <w:name w:val="Quote"/>
    <w:basedOn w:val="1"/>
    <w:next w:val="1"/>
    <w:qFormat/>
    <w:uiPriority w:val="0"/>
    <w:pPr>
      <w:jc w:val="center"/>
    </w:pPr>
    <w:rPr>
      <w:rFonts w:ascii="Times New Roman" w:cs="Times New Roman"/>
      <w:iCs/>
      <w:color w:val="000000"/>
      <w:kern w:val="2"/>
      <w:sz w:val="24"/>
    </w:rPr>
  </w:style>
  <w:style w:type="character" w:customStyle="1" w:styleId="287">
    <w:name w:val="明显参考1"/>
    <w:qFormat/>
    <w:uiPriority w:val="0"/>
    <w:rPr>
      <w:rFonts w:eastAsia="宋体"/>
      <w:bCs/>
      <w:smallCaps/>
      <w:color w:val="000000"/>
      <w:spacing w:val="5"/>
      <w:sz w:val="24"/>
      <w:u w:val="single"/>
    </w:rPr>
  </w:style>
  <w:style w:type="paragraph" w:customStyle="1" w:styleId="288">
    <w:name w:val="段落强调"/>
    <w:basedOn w:val="1"/>
    <w:qFormat/>
    <w:uiPriority w:val="0"/>
    <w:pPr>
      <w:numPr>
        <w:ilvl w:val="0"/>
        <w:numId w:val="27"/>
      </w:numPr>
      <w:ind w:left="0" w:firstLine="420"/>
    </w:pPr>
    <w:rPr>
      <w:rFonts w:ascii="Times New Roman" w:cs="Times New Roman"/>
      <w:b/>
      <w:kern w:val="2"/>
      <w:sz w:val="24"/>
    </w:rPr>
  </w:style>
  <w:style w:type="character" w:customStyle="1" w:styleId="289">
    <w:name w:val="书籍标题1"/>
    <w:qFormat/>
    <w:uiPriority w:val="0"/>
    <w:rPr>
      <w:b/>
      <w:bCs/>
      <w:smallCaps/>
      <w:spacing w:val="5"/>
    </w:rPr>
  </w:style>
  <w:style w:type="paragraph" w:customStyle="1" w:styleId="290">
    <w:name w:val="段内主题"/>
    <w:basedOn w:val="1"/>
    <w:qFormat/>
    <w:uiPriority w:val="0"/>
    <w:pPr>
      <w:numPr>
        <w:ilvl w:val="1"/>
        <w:numId w:val="28"/>
      </w:numPr>
      <w:ind w:firstLine="0"/>
    </w:pPr>
    <w:rPr>
      <w:rFonts w:cs="Times New Roman"/>
      <w:b/>
      <w:kern w:val="2"/>
      <w:sz w:val="24"/>
    </w:rPr>
  </w:style>
  <w:style w:type="paragraph" w:customStyle="1" w:styleId="291">
    <w:name w:val="图片注释新"/>
    <w:basedOn w:val="277"/>
    <w:qFormat/>
    <w:uiPriority w:val="0"/>
    <w:pPr>
      <w:spacing w:afterLines="0"/>
      <w:ind w:firstLine="0" w:firstLineChars="0"/>
    </w:pPr>
  </w:style>
  <w:style w:type="paragraph" w:customStyle="1" w:styleId="292">
    <w:name w:val="正文（缩进）"/>
    <w:basedOn w:val="1"/>
    <w:qFormat/>
    <w:uiPriority w:val="0"/>
    <w:pPr>
      <w:spacing w:beforeLines="50" w:afterLines="50"/>
      <w:ind w:firstLine="200" w:firstLineChars="200"/>
    </w:pPr>
    <w:rPr>
      <w:rFonts w:ascii="Times New Roman" w:cs="Times New Roman"/>
      <w:sz w:val="24"/>
    </w:rPr>
  </w:style>
  <w:style w:type="character" w:customStyle="1" w:styleId="293">
    <w:name w:val="Char Char4"/>
    <w:qFormat/>
    <w:uiPriority w:val="0"/>
    <w:rPr>
      <w:rFonts w:eastAsia="宋体"/>
      <w:b/>
      <w:kern w:val="2"/>
      <w:sz w:val="24"/>
      <w:lang w:val="en-US" w:eastAsia="zh-CN" w:bidi="ar-SA"/>
    </w:rPr>
  </w:style>
  <w:style w:type="paragraph" w:customStyle="1" w:styleId="294">
    <w:name w:val="Char5 Char Char Char Char Char Char"/>
    <w:basedOn w:val="1"/>
    <w:qFormat/>
    <w:uiPriority w:val="0"/>
    <w:pPr>
      <w:spacing w:after="160" w:line="240" w:lineRule="exact"/>
      <w:jc w:val="left"/>
    </w:pPr>
    <w:rPr>
      <w:rFonts w:ascii="Verdana" w:hAnsi="Verdana" w:eastAsia="仿宋_GB2312"/>
      <w:sz w:val="24"/>
      <w:szCs w:val="20"/>
      <w:lang w:eastAsia="en-US"/>
    </w:rPr>
  </w:style>
  <w:style w:type="paragraph" w:customStyle="1" w:styleId="295">
    <w:name w:val="pa-2"/>
    <w:basedOn w:val="1"/>
    <w:qFormat/>
    <w:uiPriority w:val="0"/>
    <w:pPr>
      <w:spacing w:before="100" w:beforeAutospacing="1" w:after="100" w:afterAutospacing="1"/>
      <w:jc w:val="left"/>
    </w:pPr>
    <w:rPr>
      <w:sz w:val="24"/>
    </w:rPr>
  </w:style>
  <w:style w:type="paragraph" w:customStyle="1" w:styleId="296">
    <w:name w:val="方案正文段落"/>
    <w:basedOn w:val="1"/>
    <w:qFormat/>
    <w:uiPriority w:val="0"/>
    <w:pPr>
      <w:ind w:firstLine="200" w:firstLineChars="200"/>
    </w:pPr>
    <w:rPr>
      <w:rFonts w:ascii="Times New Roman" w:cs="Times New Roman"/>
      <w:kern w:val="2"/>
      <w:szCs w:val="20"/>
    </w:rPr>
  </w:style>
  <w:style w:type="paragraph" w:customStyle="1" w:styleId="297">
    <w:name w:val="修订1"/>
    <w:qFormat/>
    <w:uiPriority w:val="0"/>
    <w:pPr>
      <w:spacing w:line="360" w:lineRule="auto"/>
      <w:jc w:val="both"/>
    </w:pPr>
    <w:rPr>
      <w:rFonts w:ascii="Times New Roman" w:hAnsi="Times New Roman" w:eastAsia="宋体" w:cs="Times New Roman"/>
      <w:kern w:val="2"/>
      <w:sz w:val="21"/>
      <w:szCs w:val="24"/>
      <w:lang w:val="en-US" w:eastAsia="zh-CN" w:bidi="ar-SA"/>
    </w:rPr>
  </w:style>
  <w:style w:type="paragraph" w:customStyle="1" w:styleId="298">
    <w:name w:val="模板正文"/>
    <w:basedOn w:val="1"/>
    <w:qFormat/>
    <w:uiPriority w:val="0"/>
    <w:pPr>
      <w:widowControl w:val="0"/>
      <w:shd w:val="clear" w:color="auto" w:fill="auto"/>
      <w:tabs>
        <w:tab w:val="clear" w:pos="426"/>
      </w:tabs>
      <w:wordWrap w:val="0"/>
      <w:adjustRightInd/>
      <w:snapToGrid/>
      <w:spacing w:beforeLines="50"/>
      <w:ind w:firstLine="200" w:firstLineChars="200"/>
    </w:pPr>
    <w:rPr>
      <w:rFonts w:ascii="Times New Roman" w:eastAsia="仿宋_GB2312" w:cs="Times New Roman"/>
      <w:sz w:val="28"/>
      <w:szCs w:val="21"/>
    </w:rPr>
  </w:style>
  <w:style w:type="paragraph" w:styleId="299">
    <w:name w:val="List Paragraph"/>
    <w:basedOn w:val="1"/>
    <w:link w:val="300"/>
    <w:qFormat/>
    <w:uiPriority w:val="99"/>
    <w:pPr>
      <w:widowControl w:val="0"/>
      <w:shd w:val="clear" w:color="auto" w:fill="auto"/>
      <w:tabs>
        <w:tab w:val="clear" w:pos="426"/>
      </w:tabs>
      <w:adjustRightInd/>
      <w:snapToGrid/>
      <w:ind w:firstLine="200" w:firstLineChars="200"/>
    </w:pPr>
    <w:rPr>
      <w:rFonts w:ascii="Times New Roman" w:cs="Times New Roman"/>
      <w:kern w:val="2"/>
      <w:sz w:val="24"/>
    </w:rPr>
  </w:style>
  <w:style w:type="character" w:customStyle="1" w:styleId="300">
    <w:name w:val="列表段落 字符"/>
    <w:link w:val="299"/>
    <w:qFormat/>
    <w:uiPriority w:val="0"/>
    <w:rPr>
      <w:kern w:val="2"/>
      <w:sz w:val="24"/>
      <w:szCs w:val="24"/>
    </w:rPr>
  </w:style>
  <w:style w:type="paragraph" w:customStyle="1" w:styleId="301">
    <w:name w:val="普通段落"/>
    <w:qFormat/>
    <w:uiPriority w:val="0"/>
    <w:pPr>
      <w:widowControl w:val="0"/>
      <w:adjustRightInd w:val="0"/>
      <w:spacing w:line="360" w:lineRule="auto"/>
      <w:ind w:firstLine="425"/>
      <w:jc w:val="both"/>
      <w:textAlignment w:val="baseline"/>
    </w:pPr>
    <w:rPr>
      <w:rFonts w:ascii="Times New Roman" w:hAnsi="Times New Roman" w:eastAsia="宋体" w:cs="Times New Roman"/>
      <w:sz w:val="24"/>
      <w:lang w:val="en-US" w:eastAsia="zh-CN" w:bidi="ar-SA"/>
    </w:rPr>
  </w:style>
  <w:style w:type="paragraph" w:customStyle="1" w:styleId="302">
    <w:name w:val="表格正文"/>
    <w:basedOn w:val="1"/>
    <w:qFormat/>
    <w:uiPriority w:val="0"/>
    <w:pPr>
      <w:widowControl w:val="0"/>
      <w:shd w:val="clear" w:color="auto" w:fill="auto"/>
      <w:tabs>
        <w:tab w:val="clear" w:pos="426"/>
      </w:tabs>
      <w:adjustRightInd/>
      <w:snapToGrid/>
      <w:ind w:firstLine="200" w:firstLineChars="200"/>
    </w:pPr>
    <w:rPr>
      <w:rFonts w:ascii="Arial" w:hAnsi="Arial" w:eastAsia="仿宋_GB2312" w:cs="Times New Roman"/>
      <w:kern w:val="2"/>
      <w:sz w:val="24"/>
      <w:szCs w:val="22"/>
    </w:rPr>
  </w:style>
  <w:style w:type="paragraph" w:customStyle="1" w:styleId="303">
    <w:name w:val="USE 1"/>
    <w:basedOn w:val="1"/>
    <w:qFormat/>
    <w:uiPriority w:val="0"/>
    <w:pPr>
      <w:widowControl w:val="0"/>
      <w:shd w:val="clear" w:color="auto" w:fill="auto"/>
      <w:tabs>
        <w:tab w:val="clear" w:pos="426"/>
      </w:tabs>
      <w:adjustRightInd/>
      <w:snapToGrid/>
      <w:spacing w:line="200" w:lineRule="atLeast"/>
    </w:pPr>
    <w:rPr>
      <w:rFonts w:cs="Times New Roman"/>
      <w:b/>
      <w:kern w:val="2"/>
      <w:sz w:val="24"/>
      <w:szCs w:val="28"/>
    </w:rPr>
  </w:style>
  <w:style w:type="character" w:customStyle="1" w:styleId="304">
    <w:name w:val="标题 1 字符1"/>
    <w:qFormat/>
    <w:uiPriority w:val="0"/>
    <w:rPr>
      <w:rFonts w:ascii="Times New Roman" w:hAnsi="Times New Roman" w:eastAsia="宋体" w:cs="Times New Roman"/>
      <w:b/>
      <w:kern w:val="44"/>
      <w:sz w:val="44"/>
      <w:szCs w:val="20"/>
      <w:lang w:bidi="ar-SA"/>
    </w:rPr>
  </w:style>
  <w:style w:type="paragraph" w:customStyle="1" w:styleId="305">
    <w:name w:val="翟 正文"/>
    <w:basedOn w:val="1"/>
    <w:qFormat/>
    <w:uiPriority w:val="0"/>
    <w:pPr>
      <w:widowControl w:val="0"/>
      <w:shd w:val="clear" w:color="auto" w:fill="auto"/>
      <w:tabs>
        <w:tab w:val="clear" w:pos="426"/>
      </w:tabs>
      <w:adjustRightInd/>
      <w:snapToGrid/>
      <w:spacing w:line="480" w:lineRule="exact"/>
      <w:ind w:firstLine="200" w:firstLineChars="200"/>
    </w:pPr>
    <w:rPr>
      <w:rFonts w:cs="Times New Roman"/>
      <w:snapToGrid w:val="0"/>
      <w:color w:val="000000"/>
      <w:sz w:val="28"/>
      <w:szCs w:val="28"/>
    </w:rPr>
  </w:style>
  <w:style w:type="paragraph" w:customStyle="1" w:styleId="306">
    <w:name w:val="倪芳"/>
    <w:basedOn w:val="1"/>
    <w:qFormat/>
    <w:uiPriority w:val="0"/>
    <w:pPr>
      <w:widowControl w:val="0"/>
      <w:shd w:val="clear" w:color="auto" w:fill="auto"/>
      <w:tabs>
        <w:tab w:val="clear" w:pos="426"/>
      </w:tabs>
      <w:adjustRightInd/>
      <w:snapToGrid/>
      <w:spacing w:beforeLines="25" w:afterLines="15" w:line="400" w:lineRule="exact"/>
    </w:pPr>
    <w:rPr>
      <w:rFonts w:cs="Courier New"/>
      <w:kern w:val="2"/>
      <w:sz w:val="24"/>
      <w:szCs w:val="21"/>
    </w:rPr>
  </w:style>
  <w:style w:type="paragraph" w:customStyle="1" w:styleId="307">
    <w:name w:val="font0"/>
    <w:basedOn w:val="1"/>
    <w:qFormat/>
    <w:uiPriority w:val="0"/>
    <w:pPr>
      <w:shd w:val="clear" w:color="auto" w:fill="auto"/>
      <w:tabs>
        <w:tab w:val="clear" w:pos="426"/>
      </w:tabs>
      <w:adjustRightInd/>
      <w:snapToGrid/>
      <w:spacing w:before="100" w:beforeAutospacing="1" w:after="100" w:afterAutospacing="1" w:line="240" w:lineRule="auto"/>
      <w:jc w:val="left"/>
    </w:pPr>
    <w:rPr>
      <w:rFonts w:ascii="Arial" w:hAnsi="Arial" w:cs="Arial"/>
      <w:sz w:val="20"/>
      <w:szCs w:val="20"/>
    </w:rPr>
  </w:style>
  <w:style w:type="paragraph" w:customStyle="1" w:styleId="308">
    <w:name w:val="font7"/>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cs="Times New Roman"/>
      <w:sz w:val="20"/>
      <w:szCs w:val="20"/>
    </w:rPr>
  </w:style>
  <w:style w:type="paragraph" w:customStyle="1" w:styleId="309">
    <w:name w:val="font8"/>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cs="Times New Roman"/>
      <w:sz w:val="18"/>
      <w:szCs w:val="18"/>
    </w:rPr>
  </w:style>
  <w:style w:type="paragraph" w:customStyle="1" w:styleId="310">
    <w:name w:val="font9"/>
    <w:basedOn w:val="1"/>
    <w:qFormat/>
    <w:uiPriority w:val="0"/>
    <w:pPr>
      <w:shd w:val="clear" w:color="auto" w:fill="auto"/>
      <w:tabs>
        <w:tab w:val="clear" w:pos="426"/>
      </w:tabs>
      <w:adjustRightInd/>
      <w:snapToGrid/>
      <w:spacing w:before="100" w:beforeAutospacing="1" w:after="100" w:afterAutospacing="1" w:line="240" w:lineRule="auto"/>
      <w:jc w:val="left"/>
    </w:pPr>
    <w:rPr>
      <w:b/>
      <w:bCs/>
      <w:sz w:val="20"/>
      <w:szCs w:val="20"/>
    </w:rPr>
  </w:style>
  <w:style w:type="paragraph" w:customStyle="1" w:styleId="311">
    <w:name w:val="font10"/>
    <w:basedOn w:val="1"/>
    <w:qFormat/>
    <w:uiPriority w:val="0"/>
    <w:pPr>
      <w:shd w:val="clear" w:color="auto" w:fill="auto"/>
      <w:tabs>
        <w:tab w:val="clear" w:pos="426"/>
      </w:tabs>
      <w:adjustRightInd/>
      <w:snapToGrid/>
      <w:spacing w:before="100" w:beforeAutospacing="1" w:after="100" w:afterAutospacing="1" w:line="240" w:lineRule="auto"/>
      <w:jc w:val="left"/>
    </w:pPr>
    <w:rPr>
      <w:rFonts w:ascii="Calibri" w:hAnsi="Calibri"/>
      <w:sz w:val="20"/>
      <w:szCs w:val="20"/>
    </w:rPr>
  </w:style>
  <w:style w:type="paragraph" w:customStyle="1" w:styleId="312">
    <w:name w:val="xl22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13">
    <w:name w:val="xl22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14">
    <w:name w:val="xl22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15">
    <w:name w:val="xl22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b/>
      <w:bCs/>
      <w:sz w:val="24"/>
    </w:rPr>
  </w:style>
  <w:style w:type="paragraph" w:customStyle="1" w:styleId="316">
    <w:name w:val="xl228"/>
    <w:basedOn w:val="1"/>
    <w:qFormat/>
    <w:uiPriority w:val="0"/>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17">
    <w:name w:val="xl229"/>
    <w:basedOn w:val="1"/>
    <w:qFormat/>
    <w:uiPriority w:val="0"/>
    <w:pPr>
      <w:pBdr>
        <w:left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18">
    <w:name w:val="xl23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319">
    <w:name w:val="xl23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320">
    <w:name w:val="xl23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color w:val="000000"/>
      <w:sz w:val="24"/>
    </w:rPr>
  </w:style>
  <w:style w:type="paragraph" w:customStyle="1" w:styleId="321">
    <w:name w:val="xl23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22">
    <w:name w:val="xl23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23">
    <w:name w:val="xl23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24">
    <w:name w:val="xl23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25">
    <w:name w:val="xl23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26">
    <w:name w:val="xl23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27">
    <w:name w:val="xl23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28">
    <w:name w:val="xl24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29">
    <w:name w:val="xl24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textAlignment w:val="center"/>
    </w:pPr>
    <w:rPr>
      <w:sz w:val="24"/>
    </w:rPr>
  </w:style>
  <w:style w:type="paragraph" w:customStyle="1" w:styleId="330">
    <w:name w:val="xl24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31">
    <w:name w:val="xl24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32">
    <w:name w:val="xl24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33">
    <w:name w:val="xl24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34">
    <w:name w:val="xl24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35">
    <w:name w:val="xl24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36">
    <w:name w:val="xl24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37">
    <w:name w:val="xl24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38">
    <w:name w:val="xl25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39">
    <w:name w:val="xl251"/>
    <w:basedOn w:val="1"/>
    <w:qFormat/>
    <w:uiPriority w:val="0"/>
    <w:pPr>
      <w:shd w:val="clear" w:color="auto" w:fill="auto"/>
      <w:tabs>
        <w:tab w:val="clear" w:pos="426"/>
      </w:tabs>
      <w:adjustRightInd/>
      <w:snapToGrid/>
      <w:spacing w:before="100" w:beforeAutospacing="1" w:after="100" w:afterAutospacing="1" w:line="240" w:lineRule="auto"/>
      <w:jc w:val="center"/>
      <w:textAlignment w:val="center"/>
    </w:pPr>
    <w:rPr>
      <w:sz w:val="24"/>
    </w:rPr>
  </w:style>
  <w:style w:type="paragraph" w:customStyle="1" w:styleId="340">
    <w:name w:val="xl25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textAlignment w:val="center"/>
    </w:pPr>
    <w:rPr>
      <w:rFonts w:ascii="Calibri" w:hAnsi="Calibri"/>
      <w:sz w:val="24"/>
    </w:rPr>
  </w:style>
  <w:style w:type="paragraph" w:customStyle="1" w:styleId="341">
    <w:name w:val="xl25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42">
    <w:name w:val="xl25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color w:val="000000"/>
      <w:sz w:val="24"/>
    </w:rPr>
  </w:style>
  <w:style w:type="paragraph" w:customStyle="1" w:styleId="343">
    <w:name w:val="xl25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44">
    <w:name w:val="xl25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45">
    <w:name w:val="xl25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46">
    <w:name w:val="xl25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47">
    <w:name w:val="xl25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48">
    <w:name w:val="xl26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49">
    <w:name w:val="xl26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0">
    <w:name w:val="xl26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1">
    <w:name w:val="xl26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2">
    <w:name w:val="xl26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3">
    <w:name w:val="xl26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4">
    <w:name w:val="xl26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5">
    <w:name w:val="xl26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6">
    <w:name w:val="xl268"/>
    <w:basedOn w:val="1"/>
    <w:qFormat/>
    <w:uiPriority w:val="0"/>
    <w:pPr>
      <w:shd w:val="clear" w:color="auto" w:fill="auto"/>
      <w:tabs>
        <w:tab w:val="clear" w:pos="426"/>
      </w:tabs>
      <w:adjustRightInd/>
      <w:snapToGrid/>
      <w:spacing w:before="100" w:beforeAutospacing="1" w:after="100" w:afterAutospacing="1" w:line="240" w:lineRule="auto"/>
      <w:jc w:val="left"/>
      <w:textAlignment w:val="center"/>
    </w:pPr>
    <w:rPr>
      <w:sz w:val="24"/>
    </w:rPr>
  </w:style>
  <w:style w:type="paragraph" w:customStyle="1" w:styleId="357">
    <w:name w:val="xl269"/>
    <w:basedOn w:val="1"/>
    <w:qFormat/>
    <w:uiPriority w:val="0"/>
    <w:pPr>
      <w:pBdr>
        <w:bottom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sz w:val="40"/>
      <w:szCs w:val="40"/>
    </w:rPr>
  </w:style>
  <w:style w:type="character" w:customStyle="1" w:styleId="358">
    <w:name w:val="正文文本 Char"/>
    <w:qFormat/>
    <w:uiPriority w:val="0"/>
    <w:rPr>
      <w:rFonts w:ascii="宋体"/>
      <w:kern w:val="10"/>
      <w:sz w:val="21"/>
    </w:rPr>
  </w:style>
  <w:style w:type="paragraph" w:customStyle="1" w:styleId="359">
    <w:name w:val="Char Char Char Char Char Char Char"/>
    <w:basedOn w:val="1"/>
    <w:qFormat/>
    <w:uiPriority w:val="0"/>
    <w:pPr>
      <w:widowControl w:val="0"/>
      <w:shd w:val="clear" w:color="auto" w:fill="auto"/>
      <w:tabs>
        <w:tab w:val="clear" w:pos="426"/>
      </w:tabs>
      <w:adjustRightInd/>
      <w:snapToGrid/>
      <w:spacing w:line="240" w:lineRule="auto"/>
    </w:pPr>
    <w:rPr>
      <w:rFonts w:ascii="仿宋_GB2312" w:eastAsia="仿宋_GB2312" w:cs="Times New Roman"/>
      <w:b/>
      <w:kern w:val="2"/>
      <w:sz w:val="32"/>
      <w:szCs w:val="32"/>
    </w:rPr>
  </w:style>
  <w:style w:type="paragraph" w:customStyle="1" w:styleId="360">
    <w:name w:val="正文样式"/>
    <w:basedOn w:val="33"/>
    <w:qFormat/>
    <w:uiPriority w:val="0"/>
    <w:pPr>
      <w:widowControl w:val="0"/>
      <w:shd w:val="clear" w:color="auto" w:fill="auto"/>
      <w:tabs>
        <w:tab w:val="clear" w:pos="426"/>
      </w:tabs>
      <w:adjustRightInd/>
      <w:snapToGrid/>
      <w:jc w:val="left"/>
    </w:pPr>
    <w:rPr>
      <w:rFonts w:ascii="宋体" w:cs="宋体"/>
      <w:szCs w:val="20"/>
    </w:rPr>
  </w:style>
  <w:style w:type="paragraph" w:customStyle="1" w:styleId="361">
    <w:name w:val="样式 USE 1 + 行距: 单倍行距"/>
    <w:basedOn w:val="1"/>
    <w:qFormat/>
    <w:uiPriority w:val="0"/>
    <w:pPr>
      <w:widowControl w:val="0"/>
      <w:numPr>
        <w:ilvl w:val="0"/>
        <w:numId w:val="29"/>
      </w:numPr>
      <w:shd w:val="clear" w:color="auto" w:fill="auto"/>
      <w:tabs>
        <w:tab w:val="clear" w:pos="426"/>
      </w:tabs>
      <w:adjustRightInd/>
      <w:snapToGrid/>
      <w:spacing w:line="180" w:lineRule="atLeast"/>
      <w:jc w:val="left"/>
    </w:pPr>
    <w:rPr>
      <w:b/>
      <w:bCs/>
      <w:kern w:val="2"/>
      <w:sz w:val="24"/>
      <w:szCs w:val="20"/>
    </w:rPr>
  </w:style>
  <w:style w:type="paragraph" w:customStyle="1" w:styleId="362">
    <w:name w:val="USE 2"/>
    <w:basedOn w:val="1"/>
    <w:qFormat/>
    <w:uiPriority w:val="0"/>
    <w:pPr>
      <w:widowControl w:val="0"/>
      <w:numPr>
        <w:ilvl w:val="1"/>
        <w:numId w:val="29"/>
      </w:numPr>
      <w:shd w:val="clear" w:color="auto" w:fill="auto"/>
      <w:tabs>
        <w:tab w:val="clear" w:pos="426"/>
      </w:tabs>
      <w:adjustRightInd/>
      <w:snapToGrid/>
      <w:jc w:val="left"/>
    </w:pPr>
    <w:rPr>
      <w:rFonts w:cs="Times New Roman"/>
      <w:kern w:val="2"/>
      <w:sz w:val="24"/>
      <w:szCs w:val="20"/>
    </w:rPr>
  </w:style>
  <w:style w:type="paragraph" w:customStyle="1" w:styleId="363">
    <w:name w:val="USE 3"/>
    <w:basedOn w:val="1"/>
    <w:qFormat/>
    <w:uiPriority w:val="0"/>
    <w:pPr>
      <w:widowControl w:val="0"/>
      <w:numPr>
        <w:ilvl w:val="2"/>
        <w:numId w:val="29"/>
      </w:numPr>
      <w:shd w:val="clear" w:color="auto" w:fill="auto"/>
      <w:tabs>
        <w:tab w:val="clear" w:pos="426"/>
      </w:tabs>
      <w:adjustRightInd/>
      <w:snapToGrid/>
      <w:jc w:val="left"/>
    </w:pPr>
    <w:rPr>
      <w:rFonts w:cs="Times New Roman"/>
      <w:kern w:val="2"/>
      <w:sz w:val="24"/>
      <w:szCs w:val="20"/>
    </w:rPr>
  </w:style>
  <w:style w:type="paragraph" w:customStyle="1" w:styleId="364">
    <w:name w:val="USE 4"/>
    <w:basedOn w:val="1"/>
    <w:qFormat/>
    <w:uiPriority w:val="0"/>
    <w:pPr>
      <w:widowControl w:val="0"/>
      <w:numPr>
        <w:ilvl w:val="3"/>
        <w:numId w:val="29"/>
      </w:numPr>
      <w:shd w:val="clear" w:color="auto" w:fill="auto"/>
      <w:tabs>
        <w:tab w:val="clear" w:pos="426"/>
      </w:tabs>
      <w:adjustRightInd/>
      <w:snapToGrid/>
      <w:jc w:val="left"/>
    </w:pPr>
    <w:rPr>
      <w:rFonts w:cs="Times New Roman"/>
      <w:kern w:val="2"/>
      <w:sz w:val="24"/>
      <w:szCs w:val="20"/>
    </w:rPr>
  </w:style>
  <w:style w:type="paragraph" w:customStyle="1" w:styleId="365">
    <w:name w:val="USE 5"/>
    <w:basedOn w:val="1"/>
    <w:qFormat/>
    <w:uiPriority w:val="0"/>
    <w:pPr>
      <w:widowControl w:val="0"/>
      <w:numPr>
        <w:ilvl w:val="4"/>
        <w:numId w:val="29"/>
      </w:numPr>
      <w:shd w:val="clear" w:color="auto" w:fill="auto"/>
      <w:tabs>
        <w:tab w:val="clear" w:pos="426"/>
      </w:tabs>
      <w:adjustRightInd/>
      <w:snapToGrid/>
      <w:jc w:val="left"/>
    </w:pPr>
    <w:rPr>
      <w:rFonts w:cs="Times New Roman"/>
      <w:kern w:val="2"/>
      <w:sz w:val="24"/>
    </w:rPr>
  </w:style>
  <w:style w:type="paragraph" w:customStyle="1" w:styleId="366">
    <w:name w:val="样式 (西文) 宋体 行距: 1.5 倍行距"/>
    <w:basedOn w:val="1"/>
    <w:qFormat/>
    <w:uiPriority w:val="0"/>
    <w:pPr>
      <w:widowControl w:val="0"/>
      <w:shd w:val="clear" w:color="auto" w:fill="auto"/>
      <w:tabs>
        <w:tab w:val="clear" w:pos="426"/>
      </w:tabs>
      <w:adjustRightInd/>
      <w:snapToGrid/>
    </w:pPr>
    <w:rPr>
      <w:kern w:val="2"/>
      <w:szCs w:val="20"/>
    </w:rPr>
  </w:style>
  <w:style w:type="character" w:customStyle="1" w:styleId="367">
    <w:name w:val="font10pt"/>
    <w:qFormat/>
    <w:uiPriority w:val="0"/>
  </w:style>
  <w:style w:type="character" w:customStyle="1" w:styleId="368">
    <w:name w:val="ss1"/>
    <w:qFormat/>
    <w:uiPriority w:val="0"/>
    <w:rPr>
      <w:rFonts w:ascii="ˎ̥" w:hAnsi="ˎ̥"/>
      <w:color w:val="000000"/>
      <w:sz w:val="18"/>
      <w:szCs w:val="18"/>
      <w:u w:val="none"/>
    </w:rPr>
  </w:style>
  <w:style w:type="character" w:customStyle="1" w:styleId="369">
    <w:name w:val="unnamed211"/>
    <w:qFormat/>
    <w:uiPriority w:val="0"/>
    <w:rPr>
      <w:sz w:val="23"/>
      <w:szCs w:val="23"/>
    </w:rPr>
  </w:style>
  <w:style w:type="character" w:customStyle="1" w:styleId="370">
    <w:name w:val="f142"/>
    <w:qFormat/>
    <w:uiPriority w:val="0"/>
    <w:rPr>
      <w:sz w:val="21"/>
      <w:szCs w:val="21"/>
    </w:rPr>
  </w:style>
  <w:style w:type="character" w:customStyle="1" w:styleId="371">
    <w:name w:val="f14b1"/>
    <w:qFormat/>
    <w:uiPriority w:val="0"/>
    <w:rPr>
      <w:b/>
      <w:bCs/>
      <w:sz w:val="21"/>
      <w:szCs w:val="21"/>
    </w:rPr>
  </w:style>
  <w:style w:type="paragraph" w:customStyle="1" w:styleId="372">
    <w:name w:val="ggbody"/>
    <w:basedOn w:val="1"/>
    <w:qFormat/>
    <w:uiPriority w:val="0"/>
    <w:pPr>
      <w:shd w:val="clear" w:color="auto" w:fill="auto"/>
      <w:tabs>
        <w:tab w:val="clear" w:pos="426"/>
      </w:tabs>
      <w:adjustRightInd/>
      <w:snapToGrid/>
      <w:spacing w:before="100" w:beforeAutospacing="1" w:after="100" w:afterAutospacing="1" w:line="330" w:lineRule="atLeast"/>
      <w:jc w:val="left"/>
    </w:pPr>
    <w:rPr>
      <w:sz w:val="23"/>
      <w:szCs w:val="23"/>
    </w:rPr>
  </w:style>
  <w:style w:type="paragraph" w:customStyle="1" w:styleId="373">
    <w:name w:val="ggtitle"/>
    <w:basedOn w:val="1"/>
    <w:qFormat/>
    <w:uiPriority w:val="0"/>
    <w:pPr>
      <w:shd w:val="clear" w:color="auto" w:fill="auto"/>
      <w:tabs>
        <w:tab w:val="clear" w:pos="426"/>
      </w:tabs>
      <w:adjustRightInd/>
      <w:snapToGrid/>
      <w:spacing w:before="100" w:beforeAutospacing="1" w:after="100" w:afterAutospacing="1" w:line="330" w:lineRule="atLeast"/>
      <w:jc w:val="left"/>
    </w:pPr>
    <w:rPr>
      <w:sz w:val="23"/>
      <w:szCs w:val="23"/>
    </w:rPr>
  </w:style>
  <w:style w:type="character" w:customStyle="1" w:styleId="374">
    <w:name w:val="ggwenhao"/>
    <w:qFormat/>
    <w:uiPriority w:val="0"/>
  </w:style>
  <w:style w:type="character" w:customStyle="1" w:styleId="375">
    <w:name w:val="text1"/>
    <w:qFormat/>
    <w:uiPriority w:val="0"/>
  </w:style>
  <w:style w:type="character" w:customStyle="1" w:styleId="376">
    <w:name w:val="style3"/>
    <w:qFormat/>
    <w:uiPriority w:val="0"/>
  </w:style>
  <w:style w:type="paragraph" w:customStyle="1" w:styleId="377">
    <w:name w:val="目录"/>
    <w:basedOn w:val="1"/>
    <w:qFormat/>
    <w:uiPriority w:val="0"/>
    <w:pPr>
      <w:shd w:val="clear" w:color="auto" w:fill="auto"/>
      <w:tabs>
        <w:tab w:val="clear" w:pos="426"/>
      </w:tabs>
      <w:adjustRightInd/>
      <w:snapToGrid/>
      <w:spacing w:line="240" w:lineRule="auto"/>
      <w:jc w:val="center"/>
    </w:pPr>
    <w:rPr>
      <w:rFonts w:cs="Times New Roman"/>
      <w:b/>
      <w:sz w:val="36"/>
      <w:szCs w:val="20"/>
    </w:rPr>
  </w:style>
  <w:style w:type="character" w:customStyle="1" w:styleId="378">
    <w:name w:val="tpc_content1"/>
    <w:qFormat/>
    <w:uiPriority w:val="0"/>
    <w:rPr>
      <w:sz w:val="20"/>
      <w:szCs w:val="20"/>
    </w:rPr>
  </w:style>
  <w:style w:type="paragraph" w:customStyle="1" w:styleId="379">
    <w:name w:val="Char1 Char Char Char"/>
    <w:basedOn w:val="1"/>
    <w:qFormat/>
    <w:uiPriority w:val="0"/>
    <w:pPr>
      <w:widowControl w:val="0"/>
      <w:shd w:val="clear" w:color="auto" w:fill="auto"/>
      <w:tabs>
        <w:tab w:val="clear" w:pos="426"/>
      </w:tabs>
      <w:adjustRightInd/>
      <w:snapToGrid/>
      <w:spacing w:line="240" w:lineRule="auto"/>
    </w:pPr>
    <w:rPr>
      <w:rFonts w:ascii="Times New Roman" w:eastAsia="仿宋_GB2312" w:cs="Times New Roman"/>
      <w:kern w:val="2"/>
      <w:sz w:val="28"/>
    </w:rPr>
  </w:style>
  <w:style w:type="paragraph" w:customStyle="1" w:styleId="380">
    <w:name w:val="p9"/>
    <w:basedOn w:val="1"/>
    <w:qFormat/>
    <w:uiPriority w:val="0"/>
    <w:pPr>
      <w:shd w:val="clear" w:color="auto" w:fill="auto"/>
      <w:tabs>
        <w:tab w:val="clear" w:pos="426"/>
      </w:tabs>
      <w:adjustRightInd/>
      <w:snapToGrid/>
      <w:spacing w:before="100" w:beforeAutospacing="1" w:after="100" w:afterAutospacing="1" w:line="240" w:lineRule="auto"/>
      <w:jc w:val="left"/>
    </w:pPr>
    <w:rPr>
      <w:rFonts w:ascii="Times New Roman" w:eastAsia="Arial Unicode MS" w:cs="Arial Unicode MS"/>
      <w:color w:val="000000"/>
      <w:sz w:val="18"/>
      <w:szCs w:val="18"/>
    </w:rPr>
  </w:style>
  <w:style w:type="paragraph" w:customStyle="1" w:styleId="381">
    <w:name w:val="xl3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rFonts w:ascii="Times New Roman" w:eastAsia="Arial Unicode MS" w:cs="Times New Roman"/>
      <w:sz w:val="24"/>
    </w:rPr>
  </w:style>
  <w:style w:type="paragraph" w:customStyle="1" w:styleId="382">
    <w:name w:val="2册标题2"/>
    <w:basedOn w:val="1"/>
    <w:next w:val="1"/>
    <w:qFormat/>
    <w:uiPriority w:val="0"/>
    <w:pPr>
      <w:shd w:val="clear" w:color="auto" w:fill="auto"/>
      <w:tabs>
        <w:tab w:val="clear" w:pos="426"/>
      </w:tabs>
      <w:adjustRightInd/>
      <w:snapToGrid/>
      <w:spacing w:beforeLines="50" w:afterLines="50" w:line="300" w:lineRule="auto"/>
      <w:jc w:val="left"/>
      <w:outlineLvl w:val="1"/>
    </w:pPr>
    <w:rPr>
      <w:rFonts w:ascii="Arial" w:hAnsi="Arial" w:eastAsia="黑体" w:cs="Times New Roman"/>
      <w:sz w:val="30"/>
      <w:szCs w:val="30"/>
      <w:lang w:eastAsia="en-US" w:bidi="en-US"/>
    </w:rPr>
  </w:style>
  <w:style w:type="paragraph" w:customStyle="1" w:styleId="383">
    <w:name w:val="TOC 标题2"/>
    <w:basedOn w:val="2"/>
    <w:next w:val="1"/>
    <w:qFormat/>
    <w:uiPriority w:val="0"/>
    <w:pPr>
      <w:keepNext/>
      <w:keepLines/>
      <w:tabs>
        <w:tab w:val="clear" w:pos="426"/>
      </w:tabs>
      <w:spacing w:before="480" w:after="0" w:line="276" w:lineRule="auto"/>
      <w:jc w:val="left"/>
      <w:outlineLvl w:val="9"/>
    </w:pPr>
    <w:rPr>
      <w:rFonts w:ascii="Cambria" w:hAnsi="Cambria" w:eastAsia="宋体"/>
      <w:color w:val="365F91"/>
      <w:kern w:val="0"/>
    </w:rPr>
  </w:style>
  <w:style w:type="paragraph" w:customStyle="1" w:styleId="384">
    <w:name w:val="Char Char Char Char Char Char Char1"/>
    <w:basedOn w:val="1"/>
    <w:qFormat/>
    <w:uiPriority w:val="0"/>
    <w:pPr>
      <w:widowControl w:val="0"/>
      <w:shd w:val="clear" w:color="auto" w:fill="auto"/>
      <w:tabs>
        <w:tab w:val="center" w:leader="middleDot" w:pos="9240"/>
        <w:tab w:val="center" w:pos="9520"/>
        <w:tab w:val="clear" w:pos="426"/>
      </w:tabs>
      <w:adjustRightInd/>
      <w:snapToGrid/>
      <w:spacing w:line="240" w:lineRule="auto"/>
    </w:pPr>
    <w:rPr>
      <w:rFonts w:ascii="Times New Roman" w:eastAsia="仿宋_GB2312" w:cs="Times New Roman"/>
      <w:kern w:val="2"/>
      <w:sz w:val="24"/>
    </w:rPr>
  </w:style>
  <w:style w:type="paragraph" w:customStyle="1" w:styleId="385">
    <w:name w:val="表1"/>
    <w:basedOn w:val="1"/>
    <w:qFormat/>
    <w:uiPriority w:val="0"/>
    <w:pPr>
      <w:widowControl w:val="0"/>
      <w:shd w:val="clear" w:color="auto" w:fill="auto"/>
      <w:tabs>
        <w:tab w:val="clear" w:pos="426"/>
      </w:tabs>
      <w:adjustRightInd/>
      <w:snapToGrid/>
      <w:spacing w:line="240" w:lineRule="auto"/>
    </w:pPr>
    <w:rPr>
      <w:rFonts w:ascii="Times New Roman" w:cs="Times New Roman"/>
      <w:kern w:val="2"/>
      <w:sz w:val="24"/>
      <w:szCs w:val="20"/>
    </w:rPr>
  </w:style>
  <w:style w:type="character" w:customStyle="1" w:styleId="386">
    <w:name w:val="138v1"/>
    <w:qFormat/>
    <w:uiPriority w:val="0"/>
  </w:style>
  <w:style w:type="character" w:customStyle="1" w:styleId="387">
    <w:name w:val="正文缩进 Char1"/>
    <w:qFormat/>
    <w:uiPriority w:val="0"/>
    <w:rPr>
      <w:kern w:val="2"/>
      <w:sz w:val="21"/>
    </w:rPr>
  </w:style>
  <w:style w:type="paragraph" w:customStyle="1" w:styleId="388">
    <w:name w:val="Default Text"/>
    <w:basedOn w:val="1"/>
    <w:qFormat/>
    <w:uiPriority w:val="0"/>
    <w:pPr>
      <w:widowControl w:val="0"/>
      <w:shd w:val="clear" w:color="auto" w:fill="auto"/>
      <w:tabs>
        <w:tab w:val="clear" w:pos="426"/>
      </w:tabs>
      <w:autoSpaceDE w:val="0"/>
      <w:autoSpaceDN w:val="0"/>
      <w:snapToGrid/>
      <w:spacing w:line="240" w:lineRule="auto"/>
      <w:jc w:val="left"/>
    </w:pPr>
    <w:rPr>
      <w:rFonts w:ascii="Times New Roman" w:cs="Times New Roman"/>
      <w:sz w:val="24"/>
    </w:rPr>
  </w:style>
  <w:style w:type="paragraph" w:customStyle="1" w:styleId="389">
    <w:name w:val="缺省文本"/>
    <w:basedOn w:val="1"/>
    <w:qFormat/>
    <w:uiPriority w:val="0"/>
    <w:pPr>
      <w:widowControl w:val="0"/>
      <w:shd w:val="clear" w:color="auto" w:fill="auto"/>
      <w:tabs>
        <w:tab w:val="clear" w:pos="426"/>
      </w:tabs>
      <w:autoSpaceDE w:val="0"/>
      <w:autoSpaceDN w:val="0"/>
      <w:snapToGrid/>
      <w:spacing w:line="240" w:lineRule="auto"/>
      <w:jc w:val="left"/>
    </w:pPr>
    <w:rPr>
      <w:rFonts w:ascii="Times New Roman" w:cs="Times New Roman"/>
      <w:sz w:val="24"/>
    </w:rPr>
  </w:style>
  <w:style w:type="paragraph" w:customStyle="1" w:styleId="390">
    <w:name w:val="_Style 38"/>
    <w:basedOn w:val="1"/>
    <w:qFormat/>
    <w:uiPriority w:val="0"/>
    <w:pPr>
      <w:widowControl w:val="0"/>
      <w:shd w:val="clear" w:color="auto" w:fill="auto"/>
      <w:tabs>
        <w:tab w:val="clear" w:pos="426"/>
      </w:tabs>
      <w:adjustRightInd/>
      <w:snapToGrid/>
      <w:spacing w:line="240" w:lineRule="auto"/>
    </w:pPr>
    <w:rPr>
      <w:rFonts w:ascii="Times New Roman" w:cs="Times New Roman"/>
      <w:kern w:val="2"/>
    </w:rPr>
  </w:style>
  <w:style w:type="paragraph" w:customStyle="1" w:styleId="391">
    <w:name w:val="标题1"/>
    <w:basedOn w:val="2"/>
    <w:qFormat/>
    <w:uiPriority w:val="0"/>
    <w:pPr>
      <w:keepNext/>
      <w:keepLines/>
      <w:numPr>
        <w:ilvl w:val="0"/>
        <w:numId w:val="30"/>
      </w:numPr>
      <w:tabs>
        <w:tab w:val="clear" w:pos="426"/>
      </w:tabs>
      <w:spacing w:before="400" w:after="400" w:line="240" w:lineRule="auto"/>
      <w:jc w:val="both"/>
    </w:pPr>
    <w:rPr>
      <w:rFonts w:ascii="Times New Roman"/>
      <w:sz w:val="30"/>
      <w:szCs w:val="24"/>
    </w:rPr>
  </w:style>
  <w:style w:type="paragraph" w:customStyle="1" w:styleId="392">
    <w:name w:val="附录"/>
    <w:basedOn w:val="20"/>
    <w:next w:val="1"/>
    <w:qFormat/>
    <w:uiPriority w:val="0"/>
    <w:pPr>
      <w:widowControl w:val="0"/>
      <w:shd w:val="clear" w:color="auto" w:fill="auto"/>
      <w:tabs>
        <w:tab w:val="clear" w:pos="426"/>
      </w:tabs>
      <w:adjustRightInd/>
      <w:snapToGrid/>
      <w:spacing w:before="152" w:after="160" w:line="240" w:lineRule="auto"/>
    </w:pPr>
    <w:rPr>
      <w:kern w:val="2"/>
    </w:rPr>
  </w:style>
  <w:style w:type="paragraph" w:customStyle="1" w:styleId="393">
    <w:name w:val="表格注释"/>
    <w:basedOn w:val="1"/>
    <w:qFormat/>
    <w:uiPriority w:val="0"/>
    <w:pPr>
      <w:widowControl w:val="0"/>
      <w:shd w:val="clear" w:color="auto" w:fill="auto"/>
      <w:tabs>
        <w:tab w:val="clear" w:pos="426"/>
      </w:tabs>
      <w:adjustRightInd/>
      <w:snapToGrid/>
      <w:spacing w:line="300" w:lineRule="exact"/>
      <w:ind w:firstLine="200" w:firstLineChars="200"/>
      <w:jc w:val="left"/>
    </w:pPr>
    <w:rPr>
      <w:rFonts w:ascii="Times New Roman" w:eastAsia="楷体_GB2312"/>
      <w:szCs w:val="21"/>
    </w:rPr>
  </w:style>
  <w:style w:type="paragraph" w:customStyle="1" w:styleId="394">
    <w:name w:val="样式 题注 + 行距: 固定值 23 磅"/>
    <w:basedOn w:val="20"/>
    <w:qFormat/>
    <w:uiPriority w:val="0"/>
    <w:pPr>
      <w:widowControl w:val="0"/>
      <w:shd w:val="clear" w:color="auto" w:fill="auto"/>
      <w:tabs>
        <w:tab w:val="clear" w:pos="426"/>
      </w:tabs>
      <w:adjustRightInd/>
      <w:snapToGrid/>
      <w:spacing w:after="300" w:line="460" w:lineRule="exact"/>
      <w:jc w:val="center"/>
    </w:pPr>
    <w:rPr>
      <w:rFonts w:eastAsia="宋体" w:cs="宋体"/>
      <w:kern w:val="2"/>
      <w:sz w:val="21"/>
      <w:szCs w:val="24"/>
    </w:rPr>
  </w:style>
  <w:style w:type="character" w:customStyle="1" w:styleId="395">
    <w:name w:val="普通文字1 Char Char"/>
    <w:qFormat/>
    <w:uiPriority w:val="0"/>
    <w:rPr>
      <w:rFonts w:ascii="宋体" w:eastAsia="宋体" w:cs="Courier New"/>
      <w:kern w:val="2"/>
      <w:sz w:val="21"/>
      <w:szCs w:val="21"/>
      <w:lang w:val="en-US" w:eastAsia="zh-CN" w:bidi="ar-SA"/>
    </w:rPr>
  </w:style>
  <w:style w:type="paragraph" w:customStyle="1" w:styleId="396">
    <w:name w:val="--规划正文"/>
    <w:basedOn w:val="1"/>
    <w:qFormat/>
    <w:uiPriority w:val="0"/>
    <w:pPr>
      <w:widowControl w:val="0"/>
      <w:shd w:val="clear" w:color="auto" w:fill="auto"/>
      <w:tabs>
        <w:tab w:val="clear" w:pos="426"/>
      </w:tabs>
      <w:adjustRightInd/>
      <w:snapToGrid/>
      <w:ind w:firstLine="200" w:firstLineChars="200"/>
    </w:pPr>
    <w:rPr>
      <w:rFonts w:ascii="Times New Roman" w:cs="Times New Roman"/>
      <w:kern w:val="2"/>
      <w:szCs w:val="20"/>
    </w:rPr>
  </w:style>
  <w:style w:type="paragraph" w:customStyle="1" w:styleId="397">
    <w:name w:val="xl25"/>
    <w:basedOn w:val="1"/>
    <w:qFormat/>
    <w:uiPriority w:val="0"/>
    <w:pPr>
      <w:pBdr>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520" w:lineRule="exact"/>
      <w:jc w:val="center"/>
      <w:textAlignment w:val="center"/>
    </w:pPr>
    <w:rPr>
      <w:rFonts w:cs="Times New Roman"/>
      <w:sz w:val="24"/>
      <w:szCs w:val="20"/>
    </w:rPr>
  </w:style>
  <w:style w:type="paragraph" w:customStyle="1" w:styleId="398">
    <w:name w:val="cqq2"/>
    <w:basedOn w:val="1"/>
    <w:qFormat/>
    <w:uiPriority w:val="0"/>
    <w:pPr>
      <w:widowControl w:val="0"/>
      <w:shd w:val="clear" w:color="auto" w:fill="auto"/>
      <w:tabs>
        <w:tab w:val="clear" w:pos="426"/>
      </w:tabs>
      <w:adjustRightInd/>
      <w:snapToGrid/>
      <w:spacing w:line="520" w:lineRule="exact"/>
    </w:pPr>
    <w:rPr>
      <w:rFonts w:ascii="仿宋_GB2312" w:eastAsia="仿宋_GB2312" w:cs="Times New Roman"/>
      <w:b/>
      <w:kern w:val="2"/>
      <w:sz w:val="28"/>
      <w:szCs w:val="20"/>
    </w:rPr>
  </w:style>
  <w:style w:type="character" w:customStyle="1" w:styleId="399">
    <w:name w:val="纯文本 Char1"/>
    <w:qFormat/>
    <w:uiPriority w:val="0"/>
    <w:rPr>
      <w:rFonts w:ascii="宋体" w:cs="Courier New"/>
      <w:kern w:val="2"/>
      <w:sz w:val="21"/>
      <w:szCs w:val="21"/>
      <w:lang w:bidi="ar-SA"/>
    </w:rPr>
  </w:style>
  <w:style w:type="character" w:customStyle="1" w:styleId="400">
    <w:name w:val="日期 Char1"/>
    <w:qFormat/>
    <w:uiPriority w:val="0"/>
    <w:rPr>
      <w:kern w:val="2"/>
      <w:sz w:val="21"/>
      <w:szCs w:val="24"/>
    </w:rPr>
  </w:style>
  <w:style w:type="character" w:customStyle="1" w:styleId="401">
    <w:name w:val="文档结构图 Char1"/>
    <w:qFormat/>
    <w:uiPriority w:val="0"/>
    <w:rPr>
      <w:rFonts w:ascii="宋体"/>
      <w:kern w:val="2"/>
      <w:sz w:val="18"/>
      <w:szCs w:val="18"/>
    </w:rPr>
  </w:style>
  <w:style w:type="character" w:customStyle="1" w:styleId="402">
    <w:name w:val="正文文本缩进 Char1"/>
    <w:qFormat/>
    <w:uiPriority w:val="0"/>
    <w:rPr>
      <w:kern w:val="2"/>
      <w:sz w:val="21"/>
      <w:szCs w:val="24"/>
    </w:rPr>
  </w:style>
  <w:style w:type="character" w:customStyle="1" w:styleId="403">
    <w:name w:val="正文文本缩进 3 Char1"/>
    <w:qFormat/>
    <w:uiPriority w:val="0"/>
    <w:rPr>
      <w:kern w:val="2"/>
      <w:sz w:val="16"/>
      <w:szCs w:val="16"/>
    </w:rPr>
  </w:style>
  <w:style w:type="character" w:customStyle="1" w:styleId="404">
    <w:name w:val="副标题 Char1"/>
    <w:qFormat/>
    <w:uiPriority w:val="0"/>
    <w:rPr>
      <w:rFonts w:ascii="Cambria" w:hAnsi="Cambria" w:cs="Times New Roman"/>
      <w:b/>
      <w:bCs/>
      <w:kern w:val="28"/>
      <w:sz w:val="32"/>
      <w:szCs w:val="32"/>
      <w:lang w:bidi="ar-SA"/>
    </w:rPr>
  </w:style>
  <w:style w:type="character" w:customStyle="1" w:styleId="405">
    <w:name w:val="页脚 Char1"/>
    <w:qFormat/>
    <w:uiPriority w:val="0"/>
    <w:rPr>
      <w:kern w:val="2"/>
      <w:sz w:val="18"/>
      <w:szCs w:val="18"/>
    </w:rPr>
  </w:style>
  <w:style w:type="paragraph" w:customStyle="1" w:styleId="406">
    <w:name w:val="Char Char Char1 Char Char Char1 Char Char Char Char Char Char1 Char Char Char1 Char"/>
    <w:basedOn w:val="1"/>
    <w:qFormat/>
    <w:uiPriority w:val="0"/>
    <w:pPr>
      <w:widowControl w:val="0"/>
      <w:shd w:val="clear" w:color="auto" w:fill="auto"/>
      <w:tabs>
        <w:tab w:val="clear" w:pos="426"/>
      </w:tabs>
      <w:adjustRightInd/>
      <w:snapToGrid/>
      <w:spacing w:line="240" w:lineRule="auto"/>
    </w:pPr>
    <w:rPr>
      <w:rFonts w:ascii="Times New Roman" w:cs="Times New Roman"/>
      <w:kern w:val="2"/>
      <w:szCs w:val="20"/>
    </w:rPr>
  </w:style>
  <w:style w:type="paragraph" w:customStyle="1" w:styleId="407">
    <w:name w:val="1"/>
    <w:basedOn w:val="1"/>
    <w:qFormat/>
    <w:uiPriority w:val="0"/>
    <w:pPr>
      <w:tabs>
        <w:tab w:val="clear" w:pos="426"/>
      </w:tabs>
      <w:adjustRightInd/>
      <w:snapToGrid/>
      <w:spacing w:before="280" w:after="290" w:line="376" w:lineRule="auto"/>
      <w:ind w:left="420" w:hanging="420"/>
      <w:jc w:val="left"/>
      <w:outlineLvl w:val="2"/>
    </w:pPr>
    <w:rPr>
      <w:rFonts w:cs="Times New Roman"/>
      <w:b/>
      <w:sz w:val="24"/>
    </w:rPr>
  </w:style>
  <w:style w:type="character" w:customStyle="1" w:styleId="408">
    <w:name w:val="标题 1 Char"/>
    <w:qFormat/>
    <w:uiPriority w:val="0"/>
    <w:rPr>
      <w:rFonts w:ascii="宋体" w:hAnsi="宋体" w:eastAsia="黑体" w:cs="Times New Roman"/>
      <w:b/>
      <w:bCs/>
      <w:kern w:val="44"/>
      <w:sz w:val="28"/>
      <w:szCs w:val="28"/>
      <w:shd w:val="clear" w:color="auto" w:fill="FFFFFF"/>
      <w:lang w:bidi="ar-SA"/>
    </w:rPr>
  </w:style>
  <w:style w:type="paragraph" w:customStyle="1" w:styleId="409">
    <w:name w:val="样式 1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10">
    <w:name w:val="修订2"/>
    <w:qFormat/>
    <w:uiPriority w:val="0"/>
    <w:rPr>
      <w:rFonts w:ascii="宋体" w:hAnsi="Times New Roman" w:eastAsia="宋体" w:cs="宋体"/>
      <w:sz w:val="21"/>
      <w:szCs w:val="24"/>
      <w:lang w:val="en-US" w:eastAsia="zh-CN" w:bidi="ar-SA"/>
    </w:rPr>
  </w:style>
  <w:style w:type="paragraph" w:customStyle="1" w:styleId="411">
    <w:name w:val="样式 10 磅"/>
    <w:qFormat/>
    <w:uiPriority w:val="0"/>
    <w:pPr>
      <w:shd w:val="clear" w:color="auto" w:fill="FFFFFF"/>
      <w:tabs>
        <w:tab w:val="left" w:pos="426"/>
      </w:tabs>
      <w:adjustRightInd w:val="0"/>
      <w:snapToGrid w:val="0"/>
      <w:spacing w:line="360" w:lineRule="auto"/>
      <w:jc w:val="both"/>
    </w:pPr>
    <w:rPr>
      <w:rFonts w:ascii="宋体" w:hAnsi="Times New Roman" w:eastAsia="宋体" w:cs="宋体"/>
      <w:sz w:val="21"/>
      <w:szCs w:val="24"/>
      <w:lang w:val="en-US" w:eastAsia="zh-CN" w:bidi="ar-SA"/>
    </w:rPr>
  </w:style>
  <w:style w:type="paragraph" w:customStyle="1" w:styleId="412">
    <w:name w:val="_Style 386"/>
    <w:basedOn w:val="1"/>
    <w:next w:val="1"/>
    <w:link w:val="413"/>
    <w:qFormat/>
    <w:uiPriority w:val="0"/>
    <w:pPr>
      <w:widowControl w:val="0"/>
      <w:shd w:val="clear" w:color="auto" w:fill="auto"/>
      <w:tabs>
        <w:tab w:val="clear" w:pos="426"/>
      </w:tabs>
      <w:adjustRightInd/>
      <w:snapToGrid/>
      <w:spacing w:line="240" w:lineRule="auto"/>
      <w:ind w:left="840"/>
      <w:jc w:val="left"/>
    </w:pPr>
    <w:rPr>
      <w:rFonts w:cs="Times New Roman"/>
      <w:kern w:val="2"/>
    </w:rPr>
  </w:style>
  <w:style w:type="character" w:customStyle="1" w:styleId="413">
    <w:name w:val="正文首行缩进 Char"/>
    <w:link w:val="412"/>
    <w:qFormat/>
    <w:uiPriority w:val="0"/>
    <w:rPr>
      <w:rFonts w:ascii="宋体"/>
      <w:kern w:val="2"/>
      <w:sz w:val="21"/>
      <w:szCs w:val="24"/>
    </w:rPr>
  </w:style>
  <w:style w:type="character" w:customStyle="1" w:styleId="414">
    <w:name w:val="unnamed4"/>
    <w:qFormat/>
    <w:uiPriority w:val="0"/>
  </w:style>
  <w:style w:type="character" w:customStyle="1" w:styleId="415">
    <w:name w:val="样式 小五"/>
    <w:qFormat/>
    <w:uiPriority w:val="0"/>
    <w:rPr>
      <w:rFonts w:eastAsia="仿宋_GB2312"/>
      <w:sz w:val="18"/>
    </w:rPr>
  </w:style>
  <w:style w:type="character" w:customStyle="1" w:styleId="416">
    <w:name w:val="标题 3 Char1"/>
    <w:qFormat/>
    <w:uiPriority w:val="0"/>
    <w:rPr>
      <w:rFonts w:eastAsia="宋体"/>
      <w:b/>
      <w:bCs/>
      <w:kern w:val="2"/>
      <w:sz w:val="32"/>
      <w:szCs w:val="32"/>
      <w:lang w:val="en-US" w:eastAsia="zh-CN" w:bidi="ar-SA"/>
    </w:rPr>
  </w:style>
  <w:style w:type="character" w:customStyle="1" w:styleId="417">
    <w:name w:val="标题 3 Char Char"/>
    <w:qFormat/>
    <w:uiPriority w:val="0"/>
    <w:rPr>
      <w:rFonts w:ascii="黑体" w:eastAsia="黑体"/>
      <w:bCs/>
      <w:sz w:val="30"/>
    </w:rPr>
  </w:style>
  <w:style w:type="paragraph" w:customStyle="1" w:styleId="418">
    <w:name w:val="正文缩入"/>
    <w:basedOn w:val="1"/>
    <w:qFormat/>
    <w:uiPriority w:val="0"/>
    <w:pPr>
      <w:widowControl w:val="0"/>
      <w:shd w:val="clear" w:color="auto" w:fill="auto"/>
      <w:tabs>
        <w:tab w:val="clear" w:pos="426"/>
      </w:tabs>
      <w:adjustRightInd/>
      <w:snapToGrid/>
      <w:spacing w:after="120" w:line="240" w:lineRule="auto"/>
      <w:ind w:firstLine="504"/>
    </w:pPr>
    <w:rPr>
      <w:rFonts w:ascii="Times New Roman" w:eastAsia="Times New Roman" w:cs="Times New Roman"/>
      <w:kern w:val="2"/>
      <w:sz w:val="24"/>
    </w:rPr>
  </w:style>
  <w:style w:type="paragraph" w:customStyle="1" w:styleId="419">
    <w:name w:val="Char Char Char Char Char Char Char Char"/>
    <w:basedOn w:val="1"/>
    <w:next w:val="1"/>
    <w:qFormat/>
    <w:uiPriority w:val="0"/>
    <w:pPr>
      <w:shd w:val="clear" w:color="auto" w:fill="auto"/>
      <w:tabs>
        <w:tab w:val="clear" w:pos="426"/>
      </w:tabs>
      <w:adjustRightInd/>
      <w:snapToGrid/>
      <w:spacing w:after="160" w:line="240" w:lineRule="exact"/>
      <w:jc w:val="left"/>
    </w:pPr>
    <w:rPr>
      <w:rFonts w:ascii="Verdana" w:hAnsi="Verdana" w:cs="Times New Roman"/>
      <w:sz w:val="20"/>
      <w:szCs w:val="20"/>
      <w:lang w:eastAsia="en-US"/>
    </w:rPr>
  </w:style>
  <w:style w:type="paragraph" w:customStyle="1" w:styleId="420">
    <w:name w:val="题注5"/>
    <w:basedOn w:val="1"/>
    <w:next w:val="20"/>
    <w:qFormat/>
    <w:uiPriority w:val="0"/>
    <w:pPr>
      <w:widowControl w:val="0"/>
      <w:shd w:val="clear" w:color="auto" w:fill="auto"/>
      <w:tabs>
        <w:tab w:val="clear" w:pos="426"/>
      </w:tabs>
      <w:adjustRightInd/>
      <w:snapToGrid/>
      <w:spacing w:line="240" w:lineRule="auto"/>
      <w:jc w:val="center"/>
    </w:pPr>
    <w:rPr>
      <w:rFonts w:ascii="Times New Roman" w:cs="Times New Roman"/>
      <w:b/>
      <w:color w:val="000000"/>
      <w:kern w:val="2"/>
      <w:sz w:val="24"/>
      <w:szCs w:val="21"/>
    </w:rPr>
  </w:style>
  <w:style w:type="paragraph" w:customStyle="1" w:styleId="421">
    <w:name w:val="正文缩进1"/>
    <w:basedOn w:val="1"/>
    <w:qFormat/>
    <w:uiPriority w:val="0"/>
    <w:pPr>
      <w:widowControl w:val="0"/>
      <w:shd w:val="clear" w:color="auto" w:fill="auto"/>
      <w:tabs>
        <w:tab w:val="clear" w:pos="426"/>
      </w:tabs>
      <w:adjustRightInd/>
      <w:snapToGrid/>
      <w:spacing w:line="240" w:lineRule="auto"/>
      <w:ind w:firstLine="200" w:firstLineChars="200"/>
    </w:pPr>
    <w:rPr>
      <w:rFonts w:ascii="Times New Roman" w:cs="Times New Roman"/>
      <w:sz w:val="20"/>
    </w:rPr>
  </w:style>
  <w:style w:type="paragraph" w:customStyle="1" w:styleId="422">
    <w:name w:val="表格文字"/>
    <w:basedOn w:val="1"/>
    <w:qFormat/>
    <w:uiPriority w:val="0"/>
    <w:pPr>
      <w:widowControl w:val="0"/>
      <w:shd w:val="clear" w:color="auto" w:fill="auto"/>
      <w:tabs>
        <w:tab w:val="clear" w:pos="426"/>
      </w:tabs>
      <w:adjustRightInd/>
      <w:snapToGrid/>
      <w:spacing w:before="25" w:after="25" w:line="240" w:lineRule="auto"/>
      <w:jc w:val="left"/>
    </w:pPr>
    <w:rPr>
      <w:rFonts w:ascii="Times New Roman" w:cs="Times New Roman"/>
      <w:bCs/>
      <w:spacing w:val="10"/>
      <w:sz w:val="24"/>
      <w:szCs w:val="20"/>
    </w:rPr>
  </w:style>
  <w:style w:type="paragraph" w:customStyle="1" w:styleId="423">
    <w:name w:val="样式 普通(网站) + 小五"/>
    <w:basedOn w:val="78"/>
    <w:link w:val="424"/>
    <w:qFormat/>
    <w:uiPriority w:val="0"/>
    <w:pPr>
      <w:shd w:val="clear" w:color="auto" w:fill="auto"/>
      <w:tabs>
        <w:tab w:val="clear" w:pos="426"/>
      </w:tabs>
      <w:adjustRightInd/>
      <w:snapToGrid/>
      <w:spacing w:line="240" w:lineRule="exact"/>
      <w:jc w:val="left"/>
    </w:pPr>
    <w:rPr>
      <w:rFonts w:ascii="Arial Unicode MS" w:hAnsi="Arial Unicode MS" w:eastAsia="仿宋_GB2312" w:cs="Times New Roman"/>
      <w:sz w:val="18"/>
    </w:rPr>
  </w:style>
  <w:style w:type="character" w:customStyle="1" w:styleId="424">
    <w:name w:val="样式 普通(网站) + 小五 Char"/>
    <w:link w:val="423"/>
    <w:qFormat/>
    <w:uiPriority w:val="0"/>
    <w:rPr>
      <w:rFonts w:ascii="Arial Unicode MS" w:hAnsi="Arial Unicode MS" w:eastAsia="仿宋_GB2312"/>
      <w:sz w:val="18"/>
      <w:szCs w:val="24"/>
    </w:rPr>
  </w:style>
  <w:style w:type="paragraph" w:customStyle="1" w:styleId="425">
    <w:name w:val="题注4"/>
    <w:basedOn w:val="1"/>
    <w:next w:val="20"/>
    <w:qFormat/>
    <w:uiPriority w:val="0"/>
    <w:pPr>
      <w:widowControl w:val="0"/>
      <w:shd w:val="clear" w:color="auto" w:fill="auto"/>
      <w:tabs>
        <w:tab w:val="clear" w:pos="426"/>
      </w:tabs>
      <w:adjustRightInd/>
      <w:snapToGrid/>
      <w:spacing w:line="240" w:lineRule="auto"/>
      <w:ind w:left="-62" w:leftChars="-64" w:right="-50" w:rightChars="-50" w:hanging="2"/>
      <w:jc w:val="center"/>
    </w:pPr>
    <w:rPr>
      <w:rFonts w:ascii="Times New Roman" w:cs="Times New Roman"/>
      <w:b/>
      <w:color w:val="FF0000"/>
      <w:kern w:val="2"/>
      <w:szCs w:val="21"/>
      <w:lang w:val="en-GB" w:eastAsia="en-GB"/>
    </w:rPr>
  </w:style>
  <w:style w:type="paragraph" w:customStyle="1" w:styleId="426">
    <w:name w:val="Char Char Char Char Char Char Char Char Char1 Char Char Char Char Char Char Char Char Char Char Char Char Char"/>
    <w:basedOn w:val="2"/>
    <w:qFormat/>
    <w:uiPriority w:val="0"/>
    <w:pPr>
      <w:keepNext/>
      <w:keepLines/>
      <w:widowControl/>
      <w:tabs>
        <w:tab w:val="left" w:pos="4032"/>
        <w:tab w:val="clear" w:pos="426"/>
      </w:tabs>
      <w:snapToGrid w:val="0"/>
      <w:spacing w:before="240" w:after="240" w:line="348" w:lineRule="auto"/>
      <w:ind w:left="907" w:hanging="907"/>
      <w:jc w:val="left"/>
    </w:pPr>
    <w:rPr>
      <w:rFonts w:ascii="华文细黑" w:hAnsi="华文细黑" w:eastAsia="宋体"/>
      <w:kern w:val="0"/>
      <w:szCs w:val="44"/>
    </w:rPr>
  </w:style>
  <w:style w:type="paragraph" w:customStyle="1" w:styleId="427">
    <w:name w:val="纯文本1"/>
    <w:basedOn w:val="1"/>
    <w:link w:val="428"/>
    <w:qFormat/>
    <w:uiPriority w:val="0"/>
    <w:pPr>
      <w:widowControl w:val="0"/>
      <w:shd w:val="clear" w:color="auto" w:fill="auto"/>
      <w:tabs>
        <w:tab w:val="clear" w:pos="426"/>
      </w:tabs>
      <w:adjustRightInd/>
      <w:snapToGrid/>
      <w:spacing w:line="240" w:lineRule="auto"/>
    </w:pPr>
    <w:rPr>
      <w:rFonts w:cs="Times New Roman"/>
      <w:sz w:val="20"/>
      <w:szCs w:val="21"/>
    </w:rPr>
  </w:style>
  <w:style w:type="character" w:customStyle="1" w:styleId="428">
    <w:name w:val="纯文本 Char"/>
    <w:link w:val="427"/>
    <w:qFormat/>
    <w:uiPriority w:val="0"/>
    <w:rPr>
      <w:rFonts w:ascii="宋体"/>
      <w:szCs w:val="21"/>
    </w:rPr>
  </w:style>
  <w:style w:type="paragraph" w:customStyle="1" w:styleId="429">
    <w:name w:val="保留正文"/>
    <w:basedOn w:val="32"/>
    <w:qFormat/>
    <w:uiPriority w:val="0"/>
    <w:pPr>
      <w:keepNext/>
      <w:widowControl w:val="0"/>
      <w:shd w:val="clear" w:color="auto" w:fill="auto"/>
      <w:tabs>
        <w:tab w:val="clear" w:pos="426"/>
      </w:tabs>
      <w:adjustRightInd/>
      <w:snapToGrid/>
      <w:spacing w:after="160" w:line="240" w:lineRule="auto"/>
    </w:pPr>
    <w:rPr>
      <w:rFonts w:ascii="Times New Roman"/>
      <w:b w:val="0"/>
      <w:bCs w:val="0"/>
      <w:kern w:val="2"/>
      <w:sz w:val="21"/>
    </w:rPr>
  </w:style>
  <w:style w:type="paragraph" w:customStyle="1" w:styleId="430">
    <w:name w:val="Char Char2"/>
    <w:basedOn w:val="1"/>
    <w:qFormat/>
    <w:uiPriority w:val="0"/>
    <w:pPr>
      <w:widowControl w:val="0"/>
      <w:shd w:val="clear" w:color="auto" w:fill="auto"/>
      <w:tabs>
        <w:tab w:val="clear" w:pos="426"/>
      </w:tabs>
      <w:adjustRightInd/>
      <w:snapToGrid/>
      <w:spacing w:line="240" w:lineRule="auto"/>
    </w:pPr>
    <w:rPr>
      <w:rFonts w:cs="Times New Roman"/>
      <w:b/>
      <w:kern w:val="2"/>
      <w:sz w:val="28"/>
      <w:szCs w:val="28"/>
    </w:rPr>
  </w:style>
  <w:style w:type="paragraph" w:customStyle="1" w:styleId="431">
    <w:name w:val="文档结构图1"/>
    <w:basedOn w:val="1"/>
    <w:link w:val="432"/>
    <w:qFormat/>
    <w:uiPriority w:val="0"/>
    <w:pPr>
      <w:widowControl w:val="0"/>
      <w:shd w:val="clear" w:color="auto" w:fill="auto"/>
      <w:tabs>
        <w:tab w:val="clear" w:pos="426"/>
      </w:tabs>
      <w:adjustRightInd/>
      <w:snapToGrid/>
      <w:spacing w:line="240" w:lineRule="auto"/>
    </w:pPr>
    <w:rPr>
      <w:rFonts w:cs="Times New Roman"/>
      <w:sz w:val="18"/>
      <w:szCs w:val="18"/>
    </w:rPr>
  </w:style>
  <w:style w:type="character" w:customStyle="1" w:styleId="432">
    <w:name w:val="文档结构图 Char"/>
    <w:link w:val="431"/>
    <w:qFormat/>
    <w:uiPriority w:val="0"/>
    <w:rPr>
      <w:rFonts w:ascii="宋体"/>
      <w:sz w:val="18"/>
      <w:szCs w:val="18"/>
    </w:rPr>
  </w:style>
  <w:style w:type="paragraph" w:customStyle="1" w:styleId="433">
    <w:name w:val="填表"/>
    <w:qFormat/>
    <w:uiPriority w:val="0"/>
    <w:rPr>
      <w:rFonts w:ascii="Times New Roman" w:hAnsi="Times New Roman" w:eastAsia="宋体" w:cs="Times New Roman"/>
      <w:kern w:val="2"/>
      <w:sz w:val="18"/>
      <w:szCs w:val="21"/>
      <w:lang w:val="en-US" w:eastAsia="zh-CN" w:bidi="ar-SA"/>
    </w:rPr>
  </w:style>
  <w:style w:type="paragraph" w:customStyle="1" w:styleId="434">
    <w:name w:val="Char Char Char Char Char Char Char Char Char Char"/>
    <w:basedOn w:val="1"/>
    <w:qFormat/>
    <w:uiPriority w:val="0"/>
    <w:pPr>
      <w:shd w:val="clear" w:color="auto" w:fill="auto"/>
      <w:tabs>
        <w:tab w:val="clear" w:pos="426"/>
      </w:tabs>
      <w:adjustRightInd/>
      <w:snapToGrid/>
      <w:spacing w:after="160" w:line="240" w:lineRule="exact"/>
      <w:jc w:val="left"/>
    </w:pPr>
    <w:rPr>
      <w:rFonts w:ascii="Arial" w:hAnsi="Arial" w:cs="Times New Roman"/>
      <w:kern w:val="2"/>
    </w:rPr>
  </w:style>
  <w:style w:type="paragraph" w:customStyle="1" w:styleId="435">
    <w:name w:val="默认段落字体 Para Char Char Char Char"/>
    <w:basedOn w:val="1"/>
    <w:qFormat/>
    <w:uiPriority w:val="0"/>
    <w:pPr>
      <w:widowControl w:val="0"/>
      <w:shd w:val="clear" w:color="auto" w:fill="auto"/>
      <w:tabs>
        <w:tab w:val="clear" w:pos="426"/>
      </w:tabs>
      <w:adjustRightInd/>
      <w:spacing w:line="240" w:lineRule="auto"/>
    </w:pPr>
    <w:rPr>
      <w:rFonts w:ascii="华文细黑" w:hAnsi="华文细黑" w:cs="Times New Roman"/>
      <w:b/>
      <w:bCs/>
      <w:kern w:val="2"/>
      <w:sz w:val="28"/>
      <w:szCs w:val="44"/>
    </w:rPr>
  </w:style>
  <w:style w:type="paragraph" w:customStyle="1" w:styleId="436">
    <w:name w:val="d_post_content"/>
    <w:basedOn w:val="1"/>
    <w:qFormat/>
    <w:uiPriority w:val="0"/>
    <w:pPr>
      <w:shd w:val="clear" w:color="auto" w:fill="auto"/>
      <w:tabs>
        <w:tab w:val="clear" w:pos="426"/>
      </w:tabs>
      <w:wordWrap w:val="0"/>
      <w:adjustRightInd/>
      <w:snapToGrid/>
      <w:spacing w:before="100" w:beforeAutospacing="1" w:after="100" w:afterAutospacing="1" w:line="360" w:lineRule="atLeast"/>
      <w:jc w:val="left"/>
    </w:pPr>
    <w:rPr>
      <w:rFonts w:hAnsi="宋体"/>
      <w:szCs w:val="21"/>
    </w:rPr>
  </w:style>
  <w:style w:type="paragraph" w:customStyle="1" w:styleId="437">
    <w:name w:val="文件正文"/>
    <w:basedOn w:val="1"/>
    <w:link w:val="438"/>
    <w:qFormat/>
    <w:uiPriority w:val="0"/>
    <w:pPr>
      <w:widowControl w:val="0"/>
      <w:shd w:val="clear" w:color="auto" w:fill="auto"/>
      <w:tabs>
        <w:tab w:val="clear" w:pos="426"/>
      </w:tabs>
      <w:adjustRightInd/>
      <w:snapToGrid/>
      <w:ind w:firstLine="480" w:firstLineChars="200"/>
    </w:pPr>
    <w:rPr>
      <w:rFonts w:ascii="Times New Roman" w:eastAsia="仿宋_GB2312" w:cs="Times New Roman"/>
      <w:kern w:val="2"/>
      <w:sz w:val="24"/>
      <w:szCs w:val="20"/>
    </w:rPr>
  </w:style>
  <w:style w:type="character" w:customStyle="1" w:styleId="438">
    <w:name w:val="文件正文 Char Char"/>
    <w:link w:val="437"/>
    <w:qFormat/>
    <w:uiPriority w:val="0"/>
    <w:rPr>
      <w:rFonts w:eastAsia="仿宋_GB2312"/>
      <w:kern w:val="2"/>
      <w:sz w:val="24"/>
    </w:rPr>
  </w:style>
  <w:style w:type="paragraph" w:customStyle="1" w:styleId="439">
    <w:name w:val="Char Char2 Char"/>
    <w:basedOn w:val="1"/>
    <w:qFormat/>
    <w:uiPriority w:val="0"/>
    <w:pPr>
      <w:widowControl w:val="0"/>
      <w:shd w:val="clear" w:color="auto" w:fill="auto"/>
      <w:tabs>
        <w:tab w:val="clear" w:pos="426"/>
      </w:tabs>
      <w:adjustRightInd/>
      <w:snapToGrid/>
      <w:spacing w:line="240" w:lineRule="auto"/>
    </w:pPr>
    <w:rPr>
      <w:rFonts w:hAnsi="宋体" w:cs="Times New Roman"/>
      <w:b/>
      <w:kern w:val="2"/>
      <w:sz w:val="28"/>
      <w:szCs w:val="28"/>
    </w:rPr>
  </w:style>
  <w:style w:type="character" w:customStyle="1" w:styleId="440">
    <w:name w:val="c lh15"/>
    <w:qFormat/>
    <w:uiPriority w:val="0"/>
  </w:style>
  <w:style w:type="character" w:customStyle="1" w:styleId="441">
    <w:name w:val="px14"/>
    <w:qFormat/>
    <w:uiPriority w:val="0"/>
  </w:style>
  <w:style w:type="character" w:customStyle="1" w:styleId="442">
    <w:name w:val="标题2"/>
    <w:qFormat/>
    <w:uiPriority w:val="0"/>
  </w:style>
  <w:style w:type="paragraph" w:customStyle="1" w:styleId="443">
    <w:name w:val="2册标题3"/>
    <w:basedOn w:val="1"/>
    <w:next w:val="1"/>
    <w:qFormat/>
    <w:uiPriority w:val="0"/>
    <w:pPr>
      <w:widowControl w:val="0"/>
      <w:shd w:val="clear" w:color="auto" w:fill="auto"/>
      <w:tabs>
        <w:tab w:val="clear" w:pos="426"/>
      </w:tabs>
      <w:adjustRightInd/>
      <w:snapToGrid/>
      <w:spacing w:beforeLines="50" w:afterLines="50" w:line="240" w:lineRule="auto"/>
      <w:ind w:left="100" w:leftChars="100"/>
      <w:outlineLvl w:val="2"/>
    </w:pPr>
    <w:rPr>
      <w:rFonts w:ascii="Arial" w:hAnsi="Arial" w:eastAsia="黑体" w:cs="Times New Roman"/>
      <w:kern w:val="2"/>
      <w:sz w:val="28"/>
      <w:szCs w:val="20"/>
    </w:rPr>
  </w:style>
  <w:style w:type="paragraph" w:customStyle="1" w:styleId="444">
    <w:name w:val="2册标题5"/>
    <w:basedOn w:val="445"/>
    <w:next w:val="1"/>
    <w:qFormat/>
    <w:uiPriority w:val="0"/>
    <w:pPr>
      <w:ind w:left="720" w:leftChars="300"/>
      <w:outlineLvl w:val="4"/>
    </w:pPr>
    <w:rPr>
      <w:rFonts w:eastAsia="楷体_GB2312"/>
      <w:b/>
    </w:rPr>
  </w:style>
  <w:style w:type="paragraph" w:customStyle="1" w:styleId="445">
    <w:name w:val="2册标题4"/>
    <w:basedOn w:val="1"/>
    <w:next w:val="1"/>
    <w:qFormat/>
    <w:uiPriority w:val="0"/>
    <w:pPr>
      <w:widowControl w:val="0"/>
      <w:shd w:val="clear" w:color="auto" w:fill="auto"/>
      <w:tabs>
        <w:tab w:val="clear" w:pos="426"/>
      </w:tabs>
      <w:adjustRightInd/>
      <w:snapToGrid/>
      <w:spacing w:beforeLines="50" w:afterLines="50" w:line="240" w:lineRule="auto"/>
      <w:ind w:left="480" w:leftChars="200"/>
      <w:outlineLvl w:val="3"/>
    </w:pPr>
    <w:rPr>
      <w:rFonts w:ascii="Arial" w:hAnsi="Arial" w:eastAsia="黑体" w:cs="Times New Roman"/>
      <w:kern w:val="2"/>
      <w:sz w:val="24"/>
      <w:szCs w:val="20"/>
    </w:rPr>
  </w:style>
  <w:style w:type="paragraph" w:customStyle="1" w:styleId="446">
    <w:name w:val="xl44"/>
    <w:basedOn w:val="1"/>
    <w:qFormat/>
    <w:uiPriority w:val="0"/>
    <w:pPr>
      <w:pBdr>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pPr>
    <w:rPr>
      <w:rFonts w:hint="eastAsia" w:ascii="黑体" w:hAnsi="宋体" w:eastAsia="黑体" w:cs="Times New Roman"/>
      <w:sz w:val="26"/>
      <w:szCs w:val="20"/>
    </w:rPr>
  </w:style>
  <w:style w:type="paragraph" w:customStyle="1" w:styleId="447">
    <w:name w:val="xl3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448">
    <w:name w:val="表图名"/>
    <w:basedOn w:val="1"/>
    <w:qFormat/>
    <w:uiPriority w:val="0"/>
    <w:pPr>
      <w:widowControl w:val="0"/>
      <w:shd w:val="clear" w:color="auto" w:fill="auto"/>
      <w:tabs>
        <w:tab w:val="clear" w:pos="426"/>
      </w:tabs>
      <w:adjustRightInd/>
      <w:snapToGrid/>
    </w:pPr>
    <w:rPr>
      <w:rFonts w:ascii="Arial" w:hAnsi="Arial" w:cs="Times New Roman"/>
      <w:kern w:val="2"/>
      <w:sz w:val="24"/>
      <w:szCs w:val="20"/>
    </w:rPr>
  </w:style>
  <w:style w:type="paragraph" w:customStyle="1" w:styleId="449">
    <w:name w:val="xl40"/>
    <w:basedOn w:val="1"/>
    <w:qFormat/>
    <w:uiPriority w:val="0"/>
    <w:pPr>
      <w:pBdr>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450">
    <w:name w:val="第12册用标题"/>
    <w:basedOn w:val="1"/>
    <w:next w:val="1"/>
    <w:qFormat/>
    <w:uiPriority w:val="0"/>
    <w:pPr>
      <w:widowControl w:val="0"/>
      <w:shd w:val="clear" w:color="auto" w:fill="auto"/>
      <w:tabs>
        <w:tab w:val="clear" w:pos="426"/>
      </w:tabs>
      <w:adjustRightInd/>
      <w:snapToGrid/>
      <w:spacing w:beforeLines="50" w:afterLines="50" w:line="240" w:lineRule="auto"/>
      <w:jc w:val="center"/>
      <w:outlineLvl w:val="0"/>
    </w:pPr>
    <w:rPr>
      <w:rFonts w:ascii="Arial" w:hAnsi="Arial" w:eastAsia="黑体" w:cs="Times New Roman"/>
      <w:kern w:val="2"/>
      <w:sz w:val="44"/>
      <w:szCs w:val="20"/>
    </w:rPr>
  </w:style>
  <w:style w:type="paragraph" w:customStyle="1" w:styleId="451">
    <w:name w:val="xl2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pPr>
    <w:rPr>
      <w:rFonts w:hAnsi="宋体" w:cs="Times New Roman"/>
      <w:sz w:val="20"/>
      <w:szCs w:val="20"/>
    </w:rPr>
  </w:style>
  <w:style w:type="paragraph" w:customStyle="1" w:styleId="452">
    <w:name w:val="xl4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453">
    <w:name w:val="xl29"/>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454">
    <w:name w:val="qw"/>
    <w:qFormat/>
    <w:uiPriority w:val="0"/>
    <w:pPr>
      <w:widowControl w:val="0"/>
      <w:adjustRightInd w:val="0"/>
      <w:spacing w:line="312" w:lineRule="atLeast"/>
      <w:jc w:val="both"/>
      <w:textAlignment w:val="baseline"/>
    </w:pPr>
    <w:rPr>
      <w:rFonts w:ascii="宋体" w:hAnsi="Times New Roman" w:eastAsia="宋体" w:cs="Times New Roman"/>
      <w:sz w:val="24"/>
      <w:lang w:val="en-US" w:eastAsia="zh-CN" w:bidi="ar-SA"/>
    </w:rPr>
  </w:style>
  <w:style w:type="paragraph" w:customStyle="1" w:styleId="455">
    <w:name w:val="样式 ˎ̥ 左 首行缩进:  2 字符"/>
    <w:basedOn w:val="1"/>
    <w:qFormat/>
    <w:uiPriority w:val="0"/>
    <w:pPr>
      <w:widowControl w:val="0"/>
      <w:shd w:val="clear" w:color="auto" w:fill="auto"/>
      <w:tabs>
        <w:tab w:val="clear" w:pos="426"/>
      </w:tabs>
      <w:adjustRightInd/>
      <w:snapToGrid/>
      <w:ind w:firstLine="480" w:firstLineChars="200"/>
      <w:jc w:val="left"/>
    </w:pPr>
    <w:rPr>
      <w:rFonts w:ascii="ˎ̥" w:hAnsi="ˎ̥" w:cs="Times New Roman"/>
      <w:sz w:val="24"/>
      <w:szCs w:val="20"/>
    </w:rPr>
  </w:style>
  <w:style w:type="paragraph" w:customStyle="1" w:styleId="456">
    <w:name w:val="xl42"/>
    <w:basedOn w:val="1"/>
    <w:qFormat/>
    <w:uiPriority w:val="0"/>
    <w:pPr>
      <w:pBdr>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pPr>
    <w:rPr>
      <w:rFonts w:hAnsi="宋体" w:cs="Times New Roman"/>
      <w:sz w:val="20"/>
      <w:szCs w:val="20"/>
    </w:rPr>
  </w:style>
  <w:style w:type="paragraph" w:customStyle="1" w:styleId="457">
    <w:name w:val="12册标题"/>
    <w:basedOn w:val="1"/>
    <w:next w:val="1"/>
    <w:qFormat/>
    <w:uiPriority w:val="0"/>
    <w:pPr>
      <w:widowControl w:val="0"/>
      <w:shd w:val="clear" w:color="auto" w:fill="auto"/>
      <w:tabs>
        <w:tab w:val="clear" w:pos="426"/>
      </w:tabs>
      <w:adjustRightInd/>
      <w:snapToGrid/>
      <w:spacing w:beforeLines="50" w:afterLines="50" w:line="240" w:lineRule="auto"/>
      <w:jc w:val="center"/>
      <w:outlineLvl w:val="0"/>
    </w:pPr>
    <w:rPr>
      <w:rFonts w:ascii="Arial" w:hAnsi="Arial" w:eastAsia="黑体" w:cs="Times New Roman"/>
      <w:kern w:val="2"/>
      <w:sz w:val="44"/>
      <w:szCs w:val="20"/>
    </w:rPr>
  </w:style>
  <w:style w:type="paragraph" w:customStyle="1" w:styleId="458">
    <w:name w:val="xl39"/>
    <w:basedOn w:val="1"/>
    <w:qFormat/>
    <w:uiPriority w:val="0"/>
    <w:pPr>
      <w:pBdr>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459">
    <w:name w:val="xl4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pPr>
    <w:rPr>
      <w:rFonts w:hint="eastAsia" w:ascii="黑体" w:hAnsi="宋体" w:eastAsia="黑体" w:cs="Times New Roman"/>
      <w:sz w:val="26"/>
      <w:szCs w:val="20"/>
    </w:rPr>
  </w:style>
  <w:style w:type="paragraph" w:customStyle="1" w:styleId="460">
    <w:name w:val="LED标题1"/>
    <w:basedOn w:val="1"/>
    <w:next w:val="1"/>
    <w:qFormat/>
    <w:uiPriority w:val="0"/>
    <w:pPr>
      <w:widowControl w:val="0"/>
      <w:shd w:val="clear" w:color="auto" w:fill="auto"/>
      <w:tabs>
        <w:tab w:val="clear" w:pos="426"/>
      </w:tabs>
      <w:adjustRightInd/>
      <w:snapToGrid/>
      <w:spacing w:beforeLines="50" w:afterLines="50" w:line="240" w:lineRule="auto"/>
      <w:ind w:firstLine="320" w:firstLineChars="100"/>
      <w:jc w:val="center"/>
      <w:outlineLvl w:val="0"/>
    </w:pPr>
    <w:rPr>
      <w:rFonts w:ascii="Arial" w:hAnsi="Arial" w:eastAsia="黑体" w:cs="Times New Roman"/>
      <w:color w:val="FF0000"/>
      <w:kern w:val="2"/>
      <w:sz w:val="32"/>
      <w:szCs w:val="20"/>
    </w:rPr>
  </w:style>
  <w:style w:type="paragraph" w:customStyle="1" w:styleId="461">
    <w:name w:val="xl30"/>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462">
    <w:name w:val="2册标题1"/>
    <w:basedOn w:val="1"/>
    <w:next w:val="1"/>
    <w:qFormat/>
    <w:uiPriority w:val="0"/>
    <w:pPr>
      <w:widowControl w:val="0"/>
      <w:shd w:val="clear" w:color="auto" w:fill="auto"/>
      <w:tabs>
        <w:tab w:val="clear" w:pos="426"/>
      </w:tabs>
      <w:adjustRightInd/>
      <w:snapToGrid/>
      <w:spacing w:beforeLines="50" w:afterLines="50" w:line="240" w:lineRule="auto"/>
      <w:jc w:val="center"/>
      <w:outlineLvl w:val="0"/>
    </w:pPr>
    <w:rPr>
      <w:rFonts w:ascii="Arial" w:hAnsi="Arial" w:eastAsia="黑体" w:cs="Times New Roman"/>
      <w:kern w:val="2"/>
      <w:sz w:val="32"/>
      <w:szCs w:val="20"/>
    </w:rPr>
  </w:style>
  <w:style w:type="paragraph" w:customStyle="1" w:styleId="463">
    <w:name w:val="xl37"/>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pPr>
    <w:rPr>
      <w:rFonts w:ascii="Verdana" w:hAnsi="Verdana" w:cs="Times New Roman"/>
      <w:sz w:val="24"/>
      <w:szCs w:val="20"/>
    </w:rPr>
  </w:style>
  <w:style w:type="paragraph" w:customStyle="1" w:styleId="464">
    <w:name w:val="xl4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pPr>
    <w:rPr>
      <w:rFonts w:hAnsi="宋体" w:cs="Times New Roman"/>
      <w:sz w:val="20"/>
      <w:szCs w:val="20"/>
    </w:rPr>
  </w:style>
  <w:style w:type="paragraph" w:customStyle="1" w:styleId="465">
    <w:name w:val="xl4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466">
    <w:name w:val="1册标题3"/>
    <w:basedOn w:val="1"/>
    <w:next w:val="1"/>
    <w:qFormat/>
    <w:uiPriority w:val="0"/>
    <w:pPr>
      <w:keepNext/>
      <w:keepLines/>
      <w:widowControl w:val="0"/>
      <w:shd w:val="clear" w:color="auto" w:fill="auto"/>
      <w:tabs>
        <w:tab w:val="clear" w:pos="426"/>
      </w:tabs>
      <w:snapToGrid/>
      <w:spacing w:beforeLines="50" w:afterLines="50" w:line="240" w:lineRule="auto"/>
      <w:textAlignment w:val="baseline"/>
      <w:outlineLvl w:val="2"/>
    </w:pPr>
    <w:rPr>
      <w:rFonts w:hAnsi="宋体" w:cs="Times New Roman"/>
      <w:b/>
      <w:sz w:val="24"/>
      <w:szCs w:val="20"/>
    </w:rPr>
  </w:style>
  <w:style w:type="paragraph" w:customStyle="1" w:styleId="467">
    <w:name w:val="xl31"/>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468">
    <w:name w:val="xl2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pPr>
    <w:rPr>
      <w:rFonts w:hAnsi="宋体" w:cs="Times New Roman"/>
      <w:sz w:val="18"/>
      <w:szCs w:val="20"/>
    </w:rPr>
  </w:style>
  <w:style w:type="paragraph" w:customStyle="1" w:styleId="469">
    <w:name w:val="xl38"/>
    <w:basedOn w:val="1"/>
    <w:qFormat/>
    <w:uiPriority w:val="0"/>
    <w:pPr>
      <w:pBdr>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pPr>
    <w:rPr>
      <w:rFonts w:hAnsi="宋体" w:cs="Times New Roman"/>
      <w:sz w:val="24"/>
      <w:szCs w:val="20"/>
    </w:rPr>
  </w:style>
  <w:style w:type="paragraph" w:customStyle="1" w:styleId="470">
    <w:name w:val="xl36"/>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pPr>
    <w:rPr>
      <w:rFonts w:hint="eastAsia" w:ascii="仿宋_GB2312" w:hAnsi="宋体" w:eastAsia="仿宋_GB2312" w:cs="Times New Roman"/>
      <w:sz w:val="20"/>
      <w:szCs w:val="20"/>
    </w:rPr>
  </w:style>
  <w:style w:type="paragraph" w:customStyle="1" w:styleId="471">
    <w:name w:val="xl3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center"/>
    </w:pPr>
    <w:rPr>
      <w:rFonts w:hint="eastAsia" w:ascii="仿宋_GB2312" w:hAnsi="宋体" w:eastAsia="仿宋_GB2312" w:cs="Times New Roman"/>
      <w:sz w:val="24"/>
      <w:szCs w:val="20"/>
    </w:rPr>
  </w:style>
  <w:style w:type="paragraph" w:customStyle="1" w:styleId="472">
    <w:name w:val="Char2 Char Char Char Char Char Char"/>
    <w:basedOn w:val="1"/>
    <w:qFormat/>
    <w:uiPriority w:val="0"/>
    <w:pPr>
      <w:widowControl w:val="0"/>
      <w:shd w:val="clear" w:color="auto" w:fill="auto"/>
      <w:tabs>
        <w:tab w:val="clear" w:pos="426"/>
      </w:tabs>
      <w:snapToGrid/>
    </w:pPr>
    <w:rPr>
      <w:rFonts w:ascii="Times New Roman" w:cs="Times New Roman"/>
      <w:sz w:val="24"/>
      <w:szCs w:val="20"/>
    </w:rPr>
  </w:style>
  <w:style w:type="paragraph" w:customStyle="1" w:styleId="473">
    <w:name w:val="1册标题1"/>
    <w:basedOn w:val="1"/>
    <w:next w:val="1"/>
    <w:qFormat/>
    <w:uiPriority w:val="0"/>
    <w:pPr>
      <w:widowControl w:val="0"/>
      <w:shd w:val="clear" w:color="auto" w:fill="auto"/>
      <w:tabs>
        <w:tab w:val="clear" w:pos="426"/>
      </w:tabs>
      <w:adjustRightInd/>
      <w:snapToGrid/>
      <w:spacing w:beforeLines="50" w:afterLines="50" w:line="240" w:lineRule="auto"/>
      <w:jc w:val="center"/>
      <w:outlineLvl w:val="0"/>
    </w:pPr>
    <w:rPr>
      <w:rFonts w:hAnsi="宋体" w:cs="Times New Roman"/>
      <w:b/>
      <w:kern w:val="2"/>
      <w:sz w:val="36"/>
      <w:szCs w:val="20"/>
    </w:rPr>
  </w:style>
  <w:style w:type="paragraph" w:customStyle="1" w:styleId="474">
    <w:name w:val="xl33"/>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475">
    <w:name w:val="xl2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pPr>
    <w:rPr>
      <w:rFonts w:hAnsi="宋体" w:cs="Times New Roman"/>
      <w:sz w:val="24"/>
      <w:szCs w:val="20"/>
    </w:rPr>
  </w:style>
  <w:style w:type="paragraph" w:customStyle="1" w:styleId="476">
    <w:name w:val="1册标题2"/>
    <w:basedOn w:val="5"/>
    <w:next w:val="1"/>
    <w:qFormat/>
    <w:uiPriority w:val="0"/>
    <w:pPr>
      <w:keepNext w:val="0"/>
      <w:keepLines w:val="0"/>
      <w:tabs>
        <w:tab w:val="clear" w:pos="426"/>
      </w:tabs>
      <w:spacing w:before="0" w:after="0" w:line="312" w:lineRule="auto"/>
      <w:jc w:val="center"/>
      <w:textAlignment w:val="auto"/>
      <w:outlineLvl w:val="9"/>
    </w:pPr>
    <w:rPr>
      <w:rFonts w:hAnsi="宋体"/>
      <w:kern w:val="2"/>
      <w:sz w:val="32"/>
    </w:rPr>
  </w:style>
  <w:style w:type="paragraph" w:customStyle="1" w:styleId="477">
    <w:name w:val="文字"/>
    <w:basedOn w:val="1"/>
    <w:qFormat/>
    <w:uiPriority w:val="0"/>
    <w:pPr>
      <w:widowControl w:val="0"/>
      <w:shd w:val="clear" w:color="auto" w:fill="auto"/>
      <w:tabs>
        <w:tab w:val="left" w:pos="8520"/>
        <w:tab w:val="clear" w:pos="426"/>
      </w:tabs>
      <w:adjustRightInd/>
      <w:snapToGrid/>
      <w:spacing w:line="312" w:lineRule="auto"/>
      <w:ind w:right="-210" w:firstLine="556"/>
    </w:pPr>
    <w:rPr>
      <w:rFonts w:cs="Times New Roman"/>
      <w:kern w:val="2"/>
      <w:sz w:val="28"/>
      <w:szCs w:val="20"/>
    </w:rPr>
  </w:style>
  <w:style w:type="paragraph" w:customStyle="1" w:styleId="478">
    <w:name w:val="正文 2"/>
    <w:basedOn w:val="1"/>
    <w:qFormat/>
    <w:uiPriority w:val="0"/>
    <w:pPr>
      <w:widowControl w:val="0"/>
      <w:shd w:val="clear" w:color="auto" w:fill="auto"/>
      <w:tabs>
        <w:tab w:val="clear" w:pos="426"/>
      </w:tabs>
      <w:autoSpaceDE w:val="0"/>
      <w:autoSpaceDN w:val="0"/>
      <w:spacing w:before="80" w:after="40"/>
      <w:ind w:left="1134"/>
      <w:jc w:val="left"/>
    </w:pPr>
    <w:rPr>
      <w:rFonts w:ascii="Times New Roman" w:cs="Times New Roman"/>
      <w:sz w:val="24"/>
      <w:szCs w:val="20"/>
    </w:rPr>
  </w:style>
  <w:style w:type="character" w:customStyle="1" w:styleId="479">
    <w:name w:val="h9point1"/>
    <w:qFormat/>
    <w:uiPriority w:val="0"/>
    <w:rPr>
      <w:rFonts w:hint="eastAsia" w:ascii="宋体" w:hAnsi="宋体" w:eastAsia="宋体"/>
      <w:spacing w:val="360"/>
      <w:sz w:val="18"/>
      <w:szCs w:val="18"/>
    </w:rPr>
  </w:style>
  <w:style w:type="paragraph" w:customStyle="1" w:styleId="480">
    <w:name w:val="contentlabel"/>
    <w:basedOn w:val="1"/>
    <w:qFormat/>
    <w:uiPriority w:val="0"/>
    <w:pPr>
      <w:shd w:val="clear" w:color="auto" w:fill="auto"/>
      <w:tabs>
        <w:tab w:val="clear" w:pos="426"/>
      </w:tabs>
      <w:adjustRightInd/>
      <w:snapToGrid/>
      <w:spacing w:before="32" w:after="100" w:afterAutospacing="1" w:line="240" w:lineRule="auto"/>
      <w:ind w:left="96"/>
      <w:jc w:val="left"/>
    </w:pPr>
    <w:rPr>
      <w:rFonts w:hAnsi="宋体"/>
      <w:color w:val="336666"/>
      <w:sz w:val="19"/>
      <w:szCs w:val="19"/>
    </w:rPr>
  </w:style>
  <w:style w:type="paragraph" w:customStyle="1" w:styleId="481">
    <w:name w:val="Char Char1 Char Char Char Char Char Char Char Char Char Char Char Char Char Char Char"/>
    <w:basedOn w:val="1"/>
    <w:qFormat/>
    <w:uiPriority w:val="0"/>
    <w:pPr>
      <w:shd w:val="clear" w:color="auto" w:fill="auto"/>
      <w:tabs>
        <w:tab w:val="clear" w:pos="426"/>
      </w:tabs>
      <w:adjustRightInd/>
      <w:snapToGrid/>
      <w:spacing w:after="160" w:line="240" w:lineRule="exact"/>
      <w:jc w:val="left"/>
    </w:pPr>
    <w:rPr>
      <w:rFonts w:ascii="Verdana" w:hAnsi="Verdana" w:cs="Verdana"/>
      <w:sz w:val="20"/>
      <w:szCs w:val="20"/>
      <w:lang w:eastAsia="en-US"/>
    </w:rPr>
  </w:style>
  <w:style w:type="paragraph" w:customStyle="1" w:styleId="482">
    <w:name w:val="33"/>
    <w:basedOn w:val="1"/>
    <w:next w:val="43"/>
    <w:link w:val="483"/>
    <w:qFormat/>
    <w:uiPriority w:val="0"/>
    <w:pPr>
      <w:widowControl w:val="0"/>
      <w:shd w:val="clear" w:color="auto" w:fill="auto"/>
      <w:tabs>
        <w:tab w:val="clear" w:pos="426"/>
      </w:tabs>
      <w:adjustRightInd/>
      <w:snapToGrid/>
      <w:spacing w:before="120" w:after="120" w:line="500" w:lineRule="exact"/>
      <w:ind w:firstLine="551" w:firstLineChars="196"/>
    </w:pPr>
    <w:rPr>
      <w:rFonts w:ascii="幼圆" w:eastAsia="幼圆" w:cs="Times New Roman"/>
      <w:b/>
      <w:bCs/>
      <w:kern w:val="2"/>
      <w:sz w:val="28"/>
      <w:szCs w:val="28"/>
    </w:rPr>
  </w:style>
  <w:style w:type="character" w:customStyle="1" w:styleId="483">
    <w:name w:val="33 Char"/>
    <w:link w:val="482"/>
    <w:qFormat/>
    <w:uiPriority w:val="0"/>
    <w:rPr>
      <w:rFonts w:ascii="幼圆" w:eastAsia="幼圆"/>
      <w:b/>
      <w:bCs/>
      <w:kern w:val="2"/>
      <w:sz w:val="28"/>
      <w:szCs w:val="28"/>
    </w:rPr>
  </w:style>
  <w:style w:type="paragraph" w:customStyle="1" w:styleId="484">
    <w:name w:val="样式 样式 首行缩进:  2 字符 + 首行缩进:  2 字符"/>
    <w:basedOn w:val="485"/>
    <w:qFormat/>
    <w:uiPriority w:val="0"/>
    <w:pPr>
      <w:ind w:firstLine="560"/>
    </w:pPr>
    <w:rPr>
      <w:sz w:val="24"/>
    </w:rPr>
  </w:style>
  <w:style w:type="paragraph" w:customStyle="1" w:styleId="485">
    <w:name w:val="样式 首行缩进:  2 字符"/>
    <w:basedOn w:val="1"/>
    <w:qFormat/>
    <w:uiPriority w:val="0"/>
    <w:pPr>
      <w:widowControl w:val="0"/>
      <w:shd w:val="clear" w:color="auto" w:fill="auto"/>
      <w:tabs>
        <w:tab w:val="clear" w:pos="426"/>
      </w:tabs>
      <w:adjustRightInd/>
      <w:snapToGrid/>
      <w:spacing w:line="300" w:lineRule="auto"/>
      <w:ind w:firstLine="200" w:firstLineChars="200"/>
    </w:pPr>
    <w:rPr>
      <w:rFonts w:ascii="Times New Roman"/>
      <w:kern w:val="2"/>
      <w:sz w:val="28"/>
      <w:szCs w:val="20"/>
    </w:rPr>
  </w:style>
  <w:style w:type="paragraph" w:customStyle="1" w:styleId="486">
    <w:name w:val="xl47"/>
    <w:basedOn w:val="1"/>
    <w:qFormat/>
    <w:uiPriority w:val="0"/>
    <w:pPr>
      <w:pBdr>
        <w:top w:val="single" w:color="auto" w:sz="4" w:space="0"/>
        <w:left w:val="single" w:color="auto" w:sz="4" w:space="0"/>
        <w:bottom w:val="single" w:color="auto" w:sz="4" w:space="0"/>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487">
    <w:name w:val="xl48"/>
    <w:basedOn w:val="1"/>
    <w:qFormat/>
    <w:uiPriority w:val="0"/>
    <w:pPr>
      <w:pBdr>
        <w:top w:val="single" w:color="auto" w:sz="4" w:space="0"/>
        <w:bottom w:val="single" w:color="auto" w:sz="4" w:space="0"/>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488">
    <w:name w:val="xl49"/>
    <w:basedOn w:val="1"/>
    <w:qFormat/>
    <w:uiPriority w:val="0"/>
    <w:pPr>
      <w:pBdr>
        <w:top w:val="single" w:color="auto" w:sz="4" w:space="0"/>
        <w:bottom w:val="single" w:color="auto" w:sz="4" w:space="0"/>
        <w:right w:val="single" w:color="auto" w:sz="4" w:space="0"/>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489">
    <w:name w:val="xl50"/>
    <w:basedOn w:val="1"/>
    <w:qFormat/>
    <w:uiPriority w:val="0"/>
    <w:pPr>
      <w:pBdr>
        <w:top w:val="single" w:color="auto" w:sz="4" w:space="0"/>
        <w:left w:val="single" w:color="auto" w:sz="4" w:space="0"/>
        <w:bottom w:val="single" w:color="auto" w:sz="4" w:space="0"/>
        <w:right w:val="single" w:color="auto" w:sz="4" w:space="0"/>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490">
    <w:name w:val="xl51"/>
    <w:basedOn w:val="1"/>
    <w:qFormat/>
    <w:uiPriority w:val="0"/>
    <w:pPr>
      <w:pBdr>
        <w:top w:val="single" w:color="auto" w:sz="4" w:space="0"/>
        <w:left w:val="single" w:color="auto" w:sz="4" w:space="0"/>
        <w:bottom w:val="single" w:color="auto" w:sz="4" w:space="0"/>
        <w:right w:val="single" w:color="auto" w:sz="4" w:space="0"/>
      </w:pBdr>
      <w:shd w:val="clear" w:color="auto" w:fill="C0C0C0"/>
      <w:tabs>
        <w:tab w:val="clear" w:pos="426"/>
      </w:tabs>
      <w:adjustRightInd/>
      <w:snapToGrid/>
      <w:spacing w:before="100" w:beforeAutospacing="1" w:after="100" w:afterAutospacing="1" w:line="240" w:lineRule="auto"/>
      <w:jc w:val="center"/>
    </w:pPr>
    <w:rPr>
      <w:rFonts w:hAnsi="宋体"/>
      <w:b/>
      <w:bCs/>
      <w:sz w:val="18"/>
      <w:szCs w:val="18"/>
    </w:rPr>
  </w:style>
  <w:style w:type="paragraph" w:customStyle="1" w:styleId="491">
    <w:name w:val="xl52"/>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right"/>
    </w:pPr>
    <w:rPr>
      <w:rFonts w:hAnsi="宋体"/>
      <w:sz w:val="18"/>
      <w:szCs w:val="18"/>
    </w:rPr>
  </w:style>
  <w:style w:type="paragraph" w:customStyle="1" w:styleId="492">
    <w:name w:val="xl53"/>
    <w:basedOn w:val="1"/>
    <w:qFormat/>
    <w:uiPriority w:val="0"/>
    <w:pPr>
      <w:pBdr>
        <w:top w:val="single" w:color="auto" w:sz="4" w:space="0"/>
        <w:left w:val="single" w:color="auto" w:sz="4" w:space="0"/>
        <w:bottom w:val="single" w:color="auto" w:sz="4" w:space="0"/>
        <w:right w:val="single" w:color="auto" w:sz="4" w:space="0"/>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493">
    <w:name w:val="xl54"/>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pPr>
    <w:rPr>
      <w:rFonts w:hAnsi="宋体"/>
      <w:sz w:val="20"/>
      <w:szCs w:val="20"/>
    </w:rPr>
  </w:style>
  <w:style w:type="paragraph" w:customStyle="1" w:styleId="494">
    <w:name w:val="xl55"/>
    <w:basedOn w:val="1"/>
    <w:qFormat/>
    <w:uiPriority w:val="0"/>
    <w:pPr>
      <w:pBdr>
        <w:top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pPr>
    <w:rPr>
      <w:rFonts w:hAnsi="宋体"/>
      <w:sz w:val="20"/>
      <w:szCs w:val="20"/>
    </w:rPr>
  </w:style>
  <w:style w:type="paragraph" w:customStyle="1" w:styleId="495">
    <w:name w:val="xl56"/>
    <w:basedOn w:val="1"/>
    <w:qFormat/>
    <w:uiPriority w:val="0"/>
    <w:pPr>
      <w:pBdr>
        <w:top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496">
    <w:name w:val="xl57"/>
    <w:basedOn w:val="1"/>
    <w:qFormat/>
    <w:uiPriority w:val="0"/>
    <w:pPr>
      <w:pBdr>
        <w:top w:val="single" w:color="auto" w:sz="4" w:space="0"/>
        <w:left w:val="single" w:color="auto" w:sz="4" w:space="0"/>
        <w:bottom w:val="single" w:color="auto" w:sz="4" w:space="0"/>
        <w:right w:val="single" w:color="auto" w:sz="4" w:space="0"/>
      </w:pBdr>
      <w:shd w:val="clear" w:color="auto" w:fill="C0C0C0"/>
      <w:tabs>
        <w:tab w:val="clear" w:pos="426"/>
      </w:tabs>
      <w:adjustRightInd/>
      <w:snapToGrid/>
      <w:spacing w:before="100" w:beforeAutospacing="1" w:after="100" w:afterAutospacing="1" w:line="240" w:lineRule="auto"/>
      <w:jc w:val="right"/>
    </w:pPr>
    <w:rPr>
      <w:rFonts w:hAnsi="宋体"/>
      <w:b/>
      <w:bCs/>
      <w:sz w:val="18"/>
      <w:szCs w:val="18"/>
    </w:rPr>
  </w:style>
  <w:style w:type="paragraph" w:customStyle="1" w:styleId="497">
    <w:name w:val="xl58"/>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right"/>
    </w:pPr>
    <w:rPr>
      <w:rFonts w:hAnsi="宋体"/>
      <w:b/>
      <w:bCs/>
      <w:sz w:val="18"/>
      <w:szCs w:val="18"/>
    </w:rPr>
  </w:style>
  <w:style w:type="paragraph" w:customStyle="1" w:styleId="498">
    <w:name w:val="xl59"/>
    <w:basedOn w:val="1"/>
    <w:qFormat/>
    <w:uiPriority w:val="0"/>
    <w:pPr>
      <w:pBdr>
        <w:top w:val="single" w:color="auto" w:sz="4" w:space="0"/>
        <w:left w:val="single" w:color="auto" w:sz="4" w:space="0"/>
        <w:bottom w:val="single" w:color="auto" w:sz="4" w:space="0"/>
        <w:right w:val="single" w:color="auto" w:sz="4" w:space="0"/>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499">
    <w:name w:val="xl60"/>
    <w:basedOn w:val="1"/>
    <w:qFormat/>
    <w:uiPriority w:val="0"/>
    <w:pPr>
      <w:pBdr>
        <w:top w:val="single" w:color="auto" w:sz="4" w:space="0"/>
        <w:left w:val="single" w:color="auto" w:sz="4" w:space="0"/>
        <w:bottom w:val="single" w:color="auto" w:sz="4" w:space="0"/>
      </w:pBdr>
      <w:shd w:val="clear" w:color="auto" w:fill="C0C0C0"/>
      <w:tabs>
        <w:tab w:val="clear" w:pos="426"/>
      </w:tabs>
      <w:adjustRightInd/>
      <w:snapToGrid/>
      <w:spacing w:before="100" w:beforeAutospacing="1" w:after="100" w:afterAutospacing="1" w:line="240" w:lineRule="auto"/>
      <w:jc w:val="left"/>
    </w:pPr>
    <w:rPr>
      <w:rFonts w:hAnsi="宋体"/>
      <w:b/>
      <w:bCs/>
      <w:sz w:val="18"/>
      <w:szCs w:val="18"/>
    </w:rPr>
  </w:style>
  <w:style w:type="paragraph" w:customStyle="1" w:styleId="500">
    <w:name w:val="xl61"/>
    <w:basedOn w:val="1"/>
    <w:qFormat/>
    <w:uiPriority w:val="0"/>
    <w:pPr>
      <w:pBdr>
        <w:top w:val="single" w:color="auto" w:sz="4" w:space="0"/>
        <w:left w:val="single" w:color="auto" w:sz="4" w:space="0"/>
        <w:bottom w:val="single" w:color="auto" w:sz="4" w:space="0"/>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501">
    <w:name w:val="xl62"/>
    <w:basedOn w:val="1"/>
    <w:qFormat/>
    <w:uiPriority w:val="0"/>
    <w:pPr>
      <w:pBdr>
        <w:top w:val="single" w:color="auto" w:sz="4" w:space="0"/>
        <w:bottom w:val="single" w:color="auto" w:sz="4" w:space="0"/>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502">
    <w:name w:val="xl63"/>
    <w:basedOn w:val="1"/>
    <w:qFormat/>
    <w:uiPriority w:val="0"/>
    <w:pPr>
      <w:pBdr>
        <w:top w:val="single" w:color="auto" w:sz="4" w:space="0"/>
        <w:bottom w:val="single" w:color="auto" w:sz="4" w:space="0"/>
        <w:right w:val="single" w:color="auto" w:sz="4" w:space="0"/>
      </w:pBdr>
      <w:shd w:val="clear" w:color="auto" w:fill="C0C0C0"/>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503">
    <w:name w:val="样式 段后: 0.25 行"/>
    <w:basedOn w:val="1"/>
    <w:qFormat/>
    <w:uiPriority w:val="0"/>
    <w:pPr>
      <w:widowControl w:val="0"/>
      <w:shd w:val="clear" w:color="auto" w:fill="auto"/>
      <w:tabs>
        <w:tab w:val="clear" w:pos="426"/>
      </w:tabs>
      <w:adjustRightInd/>
      <w:snapToGrid/>
      <w:spacing w:afterLines="25" w:line="300" w:lineRule="auto"/>
      <w:ind w:firstLine="420" w:firstLineChars="200"/>
    </w:pPr>
    <w:rPr>
      <w:rFonts w:ascii="Arial" w:hAnsi="Arial"/>
      <w:kern w:val="2"/>
      <w:szCs w:val="20"/>
    </w:rPr>
  </w:style>
  <w:style w:type="paragraph" w:customStyle="1" w:styleId="504">
    <w:name w:val="默认段落字体 Para Char Char Char Char Char Char Char Char Char Char"/>
    <w:basedOn w:val="1"/>
    <w:qFormat/>
    <w:uiPriority w:val="0"/>
    <w:pPr>
      <w:widowControl w:val="0"/>
      <w:shd w:val="clear" w:color="auto" w:fill="auto"/>
      <w:tabs>
        <w:tab w:val="clear" w:pos="426"/>
      </w:tabs>
      <w:adjustRightInd/>
      <w:snapToGrid/>
      <w:spacing w:line="240" w:lineRule="auto"/>
    </w:pPr>
    <w:rPr>
      <w:rFonts w:ascii="Tahoma" w:hAnsi="Tahoma" w:cs="Times New Roman"/>
      <w:kern w:val="2"/>
      <w:sz w:val="24"/>
      <w:szCs w:val="20"/>
    </w:rPr>
  </w:style>
  <w:style w:type="paragraph" w:customStyle="1" w:styleId="505">
    <w:name w:val="默认段落字体 Para Char Char Char Char Char Char Char"/>
    <w:basedOn w:val="1"/>
    <w:qFormat/>
    <w:uiPriority w:val="0"/>
    <w:pPr>
      <w:widowControl w:val="0"/>
      <w:shd w:val="clear" w:color="auto" w:fill="auto"/>
      <w:tabs>
        <w:tab w:val="clear" w:pos="426"/>
      </w:tabs>
      <w:adjustRightInd/>
      <w:snapToGrid/>
      <w:spacing w:line="240" w:lineRule="auto"/>
    </w:pPr>
    <w:rPr>
      <w:rFonts w:ascii="Tahoma" w:hAnsi="Tahoma" w:cs="Times New Roman"/>
      <w:kern w:val="2"/>
      <w:sz w:val="24"/>
      <w:szCs w:val="20"/>
    </w:rPr>
  </w:style>
  <w:style w:type="character" w:customStyle="1" w:styleId="506">
    <w:name w:val="H6 Char"/>
    <w:qFormat/>
    <w:uiPriority w:val="0"/>
    <w:rPr>
      <w:rFonts w:ascii="Arial" w:hAnsi="Arial" w:eastAsia="黑体"/>
      <w:b/>
      <w:kern w:val="2"/>
      <w:sz w:val="24"/>
    </w:rPr>
  </w:style>
  <w:style w:type="character" w:customStyle="1" w:styleId="507">
    <w:name w:val="L7 Char Char"/>
    <w:qFormat/>
    <w:uiPriority w:val="0"/>
    <w:rPr>
      <w:b/>
      <w:kern w:val="2"/>
      <w:sz w:val="24"/>
    </w:rPr>
  </w:style>
  <w:style w:type="character" w:customStyle="1" w:styleId="508">
    <w:name w:val="Char Char17"/>
    <w:qFormat/>
    <w:uiPriority w:val="0"/>
    <w:rPr>
      <w:rFonts w:ascii="Arial" w:hAnsi="Arial" w:eastAsia="黑体"/>
      <w:kern w:val="2"/>
      <w:sz w:val="24"/>
    </w:rPr>
  </w:style>
  <w:style w:type="character" w:customStyle="1" w:styleId="509">
    <w:name w:val="Char Char16"/>
    <w:qFormat/>
    <w:uiPriority w:val="0"/>
    <w:rPr>
      <w:rFonts w:ascii="Arial" w:hAnsi="Arial" w:eastAsia="黑体"/>
      <w:kern w:val="2"/>
      <w:sz w:val="21"/>
    </w:rPr>
  </w:style>
  <w:style w:type="character" w:customStyle="1" w:styleId="510">
    <w:name w:val="HTML 预设格式 Char1"/>
    <w:semiHidden/>
    <w:qFormat/>
    <w:uiPriority w:val="0"/>
    <w:rPr>
      <w:rFonts w:ascii="Courier New" w:hAnsi="Courier New" w:cs="Courier New"/>
      <w:kern w:val="2"/>
    </w:rPr>
  </w:style>
  <w:style w:type="character" w:customStyle="1" w:styleId="511">
    <w:name w:val="Char Char14"/>
    <w:qFormat/>
    <w:uiPriority w:val="0"/>
    <w:rPr>
      <w:rFonts w:ascii="华康简标题宋" w:eastAsia="华康简标题宋"/>
      <w:kern w:val="2"/>
      <w:sz w:val="52"/>
    </w:rPr>
  </w:style>
  <w:style w:type="character" w:customStyle="1" w:styleId="512">
    <w:name w:val="h Char"/>
    <w:qFormat/>
    <w:uiPriority w:val="0"/>
    <w:rPr>
      <w:rFonts w:ascii="宋体"/>
      <w:sz w:val="18"/>
    </w:rPr>
  </w:style>
  <w:style w:type="paragraph" w:customStyle="1" w:styleId="513">
    <w:name w:val="正式"/>
    <w:basedOn w:val="1"/>
    <w:qFormat/>
    <w:uiPriority w:val="0"/>
    <w:pPr>
      <w:widowControl w:val="0"/>
      <w:shd w:val="clear" w:color="auto" w:fill="auto"/>
      <w:tabs>
        <w:tab w:val="clear" w:pos="426"/>
      </w:tabs>
      <w:adjustRightInd/>
      <w:snapToGrid/>
      <w:ind w:firstLine="560"/>
    </w:pPr>
    <w:rPr>
      <w:rFonts w:hAnsi="宋体" w:cs="Times New Roman"/>
      <w:kern w:val="2"/>
      <w:sz w:val="28"/>
    </w:rPr>
  </w:style>
  <w:style w:type="paragraph" w:customStyle="1" w:styleId="514">
    <w:name w:val="样式 样式 (西文) 宋体 四号 行距: 1.5 倍行距 + 首行缩进:  2 字符"/>
    <w:basedOn w:val="1"/>
    <w:qFormat/>
    <w:uiPriority w:val="0"/>
    <w:pPr>
      <w:widowControl w:val="0"/>
      <w:shd w:val="clear" w:color="auto" w:fill="auto"/>
      <w:tabs>
        <w:tab w:val="clear" w:pos="426"/>
      </w:tabs>
      <w:adjustRightInd/>
      <w:snapToGrid/>
      <w:ind w:firstLine="560" w:firstLineChars="200"/>
    </w:pPr>
    <w:rPr>
      <w:rFonts w:hAnsi="宋体"/>
      <w:kern w:val="2"/>
      <w:sz w:val="28"/>
      <w:szCs w:val="20"/>
    </w:rPr>
  </w:style>
  <w:style w:type="character" w:customStyle="1" w:styleId="515">
    <w:name w:val="文件正文 Char Char Char"/>
    <w:qFormat/>
    <w:uiPriority w:val="0"/>
    <w:rPr>
      <w:rFonts w:eastAsia="仿宋_GB2312"/>
      <w:kern w:val="2"/>
      <w:sz w:val="24"/>
    </w:rPr>
  </w:style>
  <w:style w:type="character" w:customStyle="1" w:styleId="516">
    <w:name w:val="33 Char Char"/>
    <w:qFormat/>
    <w:uiPriority w:val="0"/>
    <w:rPr>
      <w:rFonts w:ascii="幼圆" w:eastAsia="幼圆"/>
      <w:b/>
      <w:bCs/>
      <w:sz w:val="28"/>
      <w:szCs w:val="28"/>
    </w:rPr>
  </w:style>
  <w:style w:type="character" w:customStyle="1" w:styleId="517">
    <w:name w:val="表格 Char Char"/>
    <w:link w:val="518"/>
    <w:qFormat/>
    <w:uiPriority w:val="0"/>
    <w:rPr>
      <w:rFonts w:ascii="宋体" w:hAnsi="宋体"/>
    </w:rPr>
  </w:style>
  <w:style w:type="paragraph" w:customStyle="1" w:styleId="518">
    <w:name w:val="表格"/>
    <w:basedOn w:val="1"/>
    <w:link w:val="517"/>
    <w:qFormat/>
    <w:uiPriority w:val="0"/>
    <w:pPr>
      <w:widowControl w:val="0"/>
      <w:shd w:val="clear" w:color="auto" w:fill="auto"/>
      <w:tabs>
        <w:tab w:val="clear" w:pos="426"/>
      </w:tabs>
      <w:adjustRightInd/>
      <w:spacing w:line="240" w:lineRule="auto"/>
      <w:ind w:firstLine="38"/>
      <w:jc w:val="center"/>
    </w:pPr>
    <w:rPr>
      <w:rFonts w:hAnsi="宋体" w:cs="Times New Roman"/>
      <w:sz w:val="20"/>
      <w:szCs w:val="20"/>
    </w:rPr>
  </w:style>
  <w:style w:type="character" w:customStyle="1" w:styleId="519">
    <w:name w:val="批注文字 Char1"/>
    <w:qFormat/>
    <w:uiPriority w:val="99"/>
    <w:rPr>
      <w:rFonts w:ascii="Times New Roman" w:hAnsi="Times New Roman" w:eastAsia="宋体" w:cs="Times New Roman"/>
      <w:szCs w:val="24"/>
    </w:rPr>
  </w:style>
  <w:style w:type="character" w:customStyle="1" w:styleId="520">
    <w:name w:val="批注主题 Char1"/>
    <w:semiHidden/>
    <w:qFormat/>
    <w:uiPriority w:val="0"/>
    <w:rPr>
      <w:rFonts w:ascii="Times New Roman" w:hAnsi="Times New Roman" w:eastAsia="宋体" w:cs="Times New Roman"/>
      <w:b/>
      <w:bCs/>
      <w:szCs w:val="24"/>
    </w:rPr>
  </w:style>
  <w:style w:type="character" w:customStyle="1" w:styleId="521">
    <w:name w:val="脚注文本 Char1"/>
    <w:semiHidden/>
    <w:qFormat/>
    <w:uiPriority w:val="0"/>
    <w:rPr>
      <w:rFonts w:ascii="Times New Roman" w:hAnsi="Times New Roman" w:eastAsia="宋体" w:cs="Times New Roman"/>
      <w:sz w:val="18"/>
      <w:szCs w:val="18"/>
    </w:rPr>
  </w:style>
  <w:style w:type="character" w:customStyle="1" w:styleId="522">
    <w:name w:val="普通文字1 Char Char1"/>
    <w:qFormat/>
    <w:uiPriority w:val="0"/>
    <w:rPr>
      <w:rFonts w:ascii="宋体" w:hAnsi="Courier New"/>
      <w:kern w:val="2"/>
      <w:sz w:val="21"/>
    </w:rPr>
  </w:style>
  <w:style w:type="character" w:customStyle="1" w:styleId="523">
    <w:name w:val="标题 Char1"/>
    <w:qFormat/>
    <w:uiPriority w:val="0"/>
    <w:rPr>
      <w:rFonts w:ascii="Cambria" w:hAnsi="Cambria" w:eastAsia="宋体" w:cs="Times New Roman"/>
      <w:b/>
      <w:bCs/>
      <w:sz w:val="32"/>
      <w:szCs w:val="32"/>
    </w:rPr>
  </w:style>
  <w:style w:type="paragraph" w:customStyle="1" w:styleId="524">
    <w:name w:val="列表内容"/>
    <w:basedOn w:val="1"/>
    <w:next w:val="1"/>
    <w:qFormat/>
    <w:uiPriority w:val="0"/>
    <w:pPr>
      <w:shd w:val="clear" w:color="auto" w:fill="auto"/>
      <w:tabs>
        <w:tab w:val="left" w:pos="907"/>
        <w:tab w:val="left" w:pos="1271"/>
        <w:tab w:val="clear" w:pos="426"/>
      </w:tabs>
      <w:adjustRightInd/>
      <w:snapToGrid/>
      <w:spacing w:line="240" w:lineRule="auto"/>
      <w:ind w:left="907" w:hanging="907"/>
      <w:jc w:val="left"/>
    </w:pPr>
    <w:rPr>
      <w:rFonts w:ascii="Times New Roman" w:cs="Times New Roman"/>
      <w:sz w:val="18"/>
    </w:rPr>
  </w:style>
  <w:style w:type="paragraph" w:customStyle="1" w:styleId="525">
    <w:name w:val="p16"/>
    <w:basedOn w:val="1"/>
    <w:qFormat/>
    <w:uiPriority w:val="99"/>
    <w:pPr>
      <w:shd w:val="clear" w:color="auto" w:fill="auto"/>
      <w:tabs>
        <w:tab w:val="clear" w:pos="426"/>
      </w:tabs>
      <w:adjustRightInd/>
      <w:snapToGrid/>
      <w:spacing w:line="240" w:lineRule="auto"/>
      <w:ind w:firstLine="420"/>
    </w:pPr>
    <w:rPr>
      <w:rFonts w:ascii="Arial Unicode MS" w:hAnsi="Arial Unicode MS" w:eastAsia="Arial Unicode MS" w:cs="Arial Unicode MS"/>
      <w:sz w:val="32"/>
      <w:szCs w:val="32"/>
    </w:rPr>
  </w:style>
  <w:style w:type="character" w:customStyle="1" w:styleId="526">
    <w:name w:val="15"/>
    <w:qFormat/>
    <w:uiPriority w:val="0"/>
    <w:rPr>
      <w:rFonts w:hint="default" w:ascii="Times New Roman" w:hAnsi="Times New Roman" w:cs="Times New Roman"/>
      <w:color w:val="0000FF"/>
      <w:u w:val="single"/>
    </w:rPr>
  </w:style>
  <w:style w:type="paragraph" w:customStyle="1" w:styleId="527">
    <w:name w:val="p15"/>
    <w:basedOn w:val="1"/>
    <w:qFormat/>
    <w:uiPriority w:val="0"/>
    <w:pPr>
      <w:shd w:val="clear" w:color="auto" w:fill="auto"/>
      <w:tabs>
        <w:tab w:val="clear" w:pos="426"/>
      </w:tabs>
      <w:adjustRightInd/>
      <w:spacing w:line="240" w:lineRule="auto"/>
      <w:ind w:left="420" w:hanging="420"/>
    </w:pPr>
    <w:rPr>
      <w:rFonts w:hAnsi="宋体"/>
      <w:szCs w:val="21"/>
    </w:rPr>
  </w:style>
  <w:style w:type="paragraph" w:customStyle="1" w:styleId="528">
    <w:name w:val="xl23"/>
    <w:basedOn w:val="1"/>
    <w:qFormat/>
    <w:uiPriority w:val="0"/>
    <w:pPr>
      <w:shd w:val="clear" w:color="auto" w:fill="auto"/>
      <w:tabs>
        <w:tab w:val="clear" w:pos="426"/>
      </w:tabs>
      <w:adjustRightInd/>
      <w:snapToGrid/>
      <w:spacing w:before="100" w:beforeAutospacing="1" w:after="100" w:afterAutospacing="1"/>
      <w:textAlignment w:val="top"/>
    </w:pPr>
    <w:rPr>
      <w:rFonts w:ascii="Times New Roman" w:cs="Times New Roman"/>
      <w:sz w:val="24"/>
    </w:rPr>
  </w:style>
  <w:style w:type="paragraph" w:customStyle="1" w:styleId="529">
    <w:name w:val="正文_3"/>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30">
    <w:name w:val="样式1_0"/>
    <w:basedOn w:val="529"/>
    <w:qFormat/>
    <w:uiPriority w:val="0"/>
    <w:pPr>
      <w:numPr>
        <w:ilvl w:val="0"/>
        <w:numId w:val="31"/>
      </w:numPr>
    </w:pPr>
    <w:rPr>
      <w:rFonts w:ascii="宋体" w:hAnsi="宋体"/>
      <w:szCs w:val="21"/>
    </w:rPr>
  </w:style>
  <w:style w:type="paragraph" w:customStyle="1" w:styleId="531">
    <w:name w:val="正文缩进_0"/>
    <w:basedOn w:val="529"/>
    <w:qFormat/>
    <w:uiPriority w:val="0"/>
    <w:pPr>
      <w:ind w:firstLine="420"/>
    </w:pPr>
  </w:style>
  <w:style w:type="paragraph" w:customStyle="1" w:styleId="532">
    <w:name w:val="标题 2_1"/>
    <w:basedOn w:val="529"/>
    <w:next w:val="529"/>
    <w:qFormat/>
    <w:uiPriority w:val="0"/>
    <w:pPr>
      <w:keepNext/>
      <w:keepLines/>
      <w:spacing w:before="260" w:after="260" w:line="412" w:lineRule="auto"/>
      <w:outlineLvl w:val="1"/>
    </w:pPr>
    <w:rPr>
      <w:rFonts w:ascii="Arial" w:hAnsi="Arial" w:eastAsia="黑体"/>
      <w:b/>
      <w:sz w:val="32"/>
    </w:rPr>
  </w:style>
  <w:style w:type="paragraph" w:customStyle="1" w:styleId="533">
    <w:name w:val="纯文本_1"/>
    <w:basedOn w:val="529"/>
    <w:qFormat/>
    <w:uiPriority w:val="0"/>
    <w:rPr>
      <w:rFonts w:ascii="宋体"/>
      <w:szCs w:val="21"/>
    </w:rPr>
  </w:style>
  <w:style w:type="paragraph" w:customStyle="1" w:styleId="534">
    <w:name w:val="普通(网站)_0"/>
    <w:basedOn w:val="529"/>
    <w:qFormat/>
    <w:uiPriority w:val="0"/>
    <w:pPr>
      <w:widowControl/>
      <w:spacing w:before="100" w:beforeAutospacing="1" w:after="100" w:afterAutospacing="1"/>
      <w:jc w:val="left"/>
    </w:pPr>
    <w:rPr>
      <w:rFonts w:ascii="宋体"/>
      <w:kern w:val="0"/>
      <w:sz w:val="24"/>
      <w:szCs w:val="24"/>
      <w:lang w:eastAsia="en-US"/>
    </w:rPr>
  </w:style>
  <w:style w:type="character" w:customStyle="1" w:styleId="535">
    <w:name w:val="Char Char15"/>
    <w:qFormat/>
    <w:uiPriority w:val="0"/>
    <w:rPr>
      <w:rFonts w:ascii="宋体" w:hAnsi="宋体"/>
      <w:sz w:val="24"/>
    </w:rPr>
  </w:style>
  <w:style w:type="character" w:customStyle="1" w:styleId="536">
    <w:name w:val="Char Char13"/>
    <w:qFormat/>
    <w:uiPriority w:val="0"/>
    <w:rPr>
      <w:rFonts w:ascii="宋体" w:hAnsi="宋体"/>
      <w:b/>
      <w:kern w:val="2"/>
      <w:sz w:val="21"/>
    </w:rPr>
  </w:style>
  <w:style w:type="character" w:customStyle="1" w:styleId="537">
    <w:name w:val="Char Char10"/>
    <w:qFormat/>
    <w:uiPriority w:val="0"/>
    <w:rPr>
      <w:rFonts w:ascii="宋体"/>
      <w:sz w:val="28"/>
    </w:rPr>
  </w:style>
  <w:style w:type="character" w:customStyle="1" w:styleId="538">
    <w:name w:val="正文缩进2格 Char"/>
    <w:link w:val="539"/>
    <w:qFormat/>
    <w:uiPriority w:val="0"/>
    <w:rPr>
      <w:rFonts w:ascii="仿宋_GB2312" w:hAnsi="宋体" w:eastAsia="仿宋_GB2312"/>
      <w:kern w:val="2"/>
      <w:sz w:val="31"/>
    </w:rPr>
  </w:style>
  <w:style w:type="paragraph" w:customStyle="1" w:styleId="539">
    <w:name w:val="正文缩进2格"/>
    <w:basedOn w:val="1"/>
    <w:link w:val="538"/>
    <w:qFormat/>
    <w:uiPriority w:val="0"/>
    <w:pPr>
      <w:widowControl w:val="0"/>
      <w:shd w:val="clear" w:color="auto" w:fill="auto"/>
      <w:tabs>
        <w:tab w:val="clear" w:pos="426"/>
      </w:tabs>
      <w:adjustRightInd/>
      <w:snapToGrid/>
      <w:spacing w:line="600" w:lineRule="exact"/>
      <w:ind w:firstLine="639" w:firstLineChars="206"/>
    </w:pPr>
    <w:rPr>
      <w:rFonts w:ascii="仿宋_GB2312" w:hAnsi="宋体" w:eastAsia="仿宋_GB2312" w:cs="Times New Roman"/>
      <w:kern w:val="2"/>
      <w:sz w:val="31"/>
      <w:szCs w:val="20"/>
    </w:rPr>
  </w:style>
  <w:style w:type="character" w:customStyle="1" w:styleId="540">
    <w:name w:val="style5"/>
    <w:qFormat/>
    <w:uiPriority w:val="0"/>
  </w:style>
  <w:style w:type="character" w:customStyle="1" w:styleId="541">
    <w:name w:val="样式 标题 3 + 小四 Char"/>
    <w:qFormat/>
    <w:uiPriority w:val="0"/>
    <w:rPr>
      <w:rFonts w:ascii="宋体" w:hAnsi="宋体" w:eastAsia="宋体" w:cs="Arial"/>
      <w:b/>
      <w:bCs/>
      <w:smallCaps/>
      <w:kern w:val="2"/>
      <w:sz w:val="24"/>
      <w:szCs w:val="24"/>
      <w:lang w:val="en-US" w:eastAsia="zh-CN" w:bidi="ar-SA"/>
    </w:rPr>
  </w:style>
  <w:style w:type="paragraph" w:customStyle="1" w:styleId="542">
    <w:name w:val="font514155"/>
    <w:basedOn w:val="1"/>
    <w:qFormat/>
    <w:uiPriority w:val="0"/>
    <w:pPr>
      <w:shd w:val="clear" w:color="auto" w:fill="auto"/>
      <w:tabs>
        <w:tab w:val="clear" w:pos="426"/>
      </w:tabs>
      <w:adjustRightInd/>
      <w:snapToGrid/>
      <w:spacing w:before="100" w:beforeAutospacing="1" w:after="100" w:afterAutospacing="1" w:line="240" w:lineRule="auto"/>
      <w:jc w:val="left"/>
    </w:pPr>
    <w:rPr>
      <w:rFonts w:hAnsi="宋体"/>
      <w:sz w:val="18"/>
      <w:szCs w:val="18"/>
    </w:rPr>
  </w:style>
  <w:style w:type="paragraph" w:customStyle="1" w:styleId="543">
    <w:name w:val="xl7314155"/>
    <w:basedOn w:val="1"/>
    <w:qFormat/>
    <w:uiPriority w:val="0"/>
    <w:pPr>
      <w:pBdr>
        <w:top w:val="single" w:color="auto" w:sz="4" w:space="0"/>
        <w:left w:val="single" w:color="auto" w:sz="4" w:space="0"/>
        <w:bottom w:val="single" w:color="auto" w:sz="4" w:space="0"/>
        <w:right w:val="single" w:color="auto" w:sz="4" w:space="0"/>
      </w:pBdr>
      <w:shd w:val="clear" w:color="auto" w:fill="auto"/>
      <w:tabs>
        <w:tab w:val="clear" w:pos="426"/>
      </w:tabs>
      <w:adjustRightInd/>
      <w:snapToGrid/>
      <w:spacing w:before="100" w:beforeAutospacing="1" w:after="100" w:afterAutospacing="1" w:line="240" w:lineRule="auto"/>
      <w:jc w:val="left"/>
      <w:textAlignment w:val="center"/>
    </w:pPr>
    <w:rPr>
      <w:rFonts w:hAnsi="宋体"/>
      <w:sz w:val="20"/>
      <w:szCs w:val="20"/>
    </w:rPr>
  </w:style>
  <w:style w:type="character" w:customStyle="1" w:styleId="544">
    <w:name w:val="标题 1.1 Char1"/>
    <w:qFormat/>
    <w:uiPriority w:val="0"/>
    <w:rPr>
      <w:rFonts w:ascii="Arial" w:hAnsi="Arial" w:eastAsia="黑体"/>
      <w:b/>
      <w:bCs/>
      <w:kern w:val="2"/>
      <w:sz w:val="32"/>
      <w:szCs w:val="32"/>
      <w:lang w:val="en-US" w:eastAsia="zh-CN" w:bidi="ar-SA"/>
    </w:rPr>
  </w:style>
  <w:style w:type="paragraph" w:customStyle="1" w:styleId="545">
    <w:name w:val="TOC 标题3"/>
    <w:basedOn w:val="2"/>
    <w:next w:val="1"/>
    <w:qFormat/>
    <w:uiPriority w:val="0"/>
    <w:pPr>
      <w:keepNext/>
      <w:keepLines/>
      <w:widowControl/>
      <w:tabs>
        <w:tab w:val="clear" w:pos="426"/>
      </w:tabs>
      <w:spacing w:before="480" w:after="0" w:line="276" w:lineRule="auto"/>
      <w:jc w:val="left"/>
      <w:outlineLvl w:val="9"/>
    </w:pPr>
    <w:rPr>
      <w:rFonts w:ascii="Cambria" w:hAnsi="Cambria" w:eastAsia="宋体"/>
      <w:color w:val="365F91"/>
      <w:kern w:val="0"/>
    </w:rPr>
  </w:style>
  <w:style w:type="character" w:customStyle="1" w:styleId="546">
    <w:name w:val="标题 3.1 Char"/>
    <w:link w:val="547"/>
    <w:qFormat/>
    <w:uiPriority w:val="0"/>
    <w:rPr>
      <w:rFonts w:ascii="宋体" w:hAnsi="宋体"/>
      <w:b/>
      <w:color w:val="FF0000"/>
      <w:kern w:val="2"/>
      <w:sz w:val="32"/>
    </w:rPr>
  </w:style>
  <w:style w:type="paragraph" w:customStyle="1" w:styleId="547">
    <w:name w:val="标题 3.1"/>
    <w:basedOn w:val="3"/>
    <w:link w:val="546"/>
    <w:qFormat/>
    <w:uiPriority w:val="0"/>
    <w:pPr>
      <w:tabs>
        <w:tab w:val="left" w:pos="1440"/>
        <w:tab w:val="left" w:pos="1620"/>
      </w:tabs>
      <w:spacing w:line="600" w:lineRule="exact"/>
    </w:pPr>
    <w:rPr>
      <w:rFonts w:hAnsi="宋体"/>
      <w:bCs w:val="0"/>
      <w:color w:val="FF0000"/>
      <w:sz w:val="32"/>
      <w:szCs w:val="20"/>
    </w:rPr>
  </w:style>
  <w:style w:type="character" w:customStyle="1" w:styleId="548">
    <w:name w:val="文件正文 Char"/>
    <w:qFormat/>
    <w:uiPriority w:val="0"/>
    <w:rPr>
      <w:rFonts w:eastAsia="仿宋_GB2312"/>
      <w:kern w:val="2"/>
      <w:sz w:val="24"/>
    </w:rPr>
  </w:style>
  <w:style w:type="paragraph" w:customStyle="1" w:styleId="549">
    <w:name w:val="Char Char1"/>
    <w:basedOn w:val="1"/>
    <w:qFormat/>
    <w:uiPriority w:val="0"/>
    <w:pPr>
      <w:shd w:val="clear" w:color="auto" w:fill="auto"/>
      <w:tabs>
        <w:tab w:val="clear" w:pos="426"/>
      </w:tabs>
      <w:adjustRightInd/>
      <w:snapToGrid/>
      <w:spacing w:after="160" w:line="240" w:lineRule="exact"/>
      <w:jc w:val="left"/>
    </w:pPr>
    <w:rPr>
      <w:rFonts w:ascii="Arial" w:hAnsi="Arial" w:cs="Times New Roman"/>
      <w:sz w:val="20"/>
      <w:szCs w:val="20"/>
      <w:lang w:val="nl-NL" w:eastAsia="en-GB"/>
    </w:rPr>
  </w:style>
  <w:style w:type="paragraph" w:customStyle="1" w:styleId="550">
    <w:name w:val="Char Char Char Char Char Char1 Char"/>
    <w:basedOn w:val="1"/>
    <w:qFormat/>
    <w:uiPriority w:val="0"/>
    <w:pPr>
      <w:shd w:val="clear" w:color="auto" w:fill="auto"/>
      <w:tabs>
        <w:tab w:val="clear" w:pos="426"/>
      </w:tabs>
      <w:adjustRightInd/>
      <w:snapToGrid/>
      <w:spacing w:after="160" w:line="240" w:lineRule="exact"/>
      <w:jc w:val="left"/>
    </w:pPr>
    <w:rPr>
      <w:rFonts w:ascii="Verdana" w:hAnsi="Verdana" w:cs="Times New Roman"/>
      <w:szCs w:val="20"/>
      <w:lang w:eastAsia="en-US"/>
    </w:rPr>
  </w:style>
  <w:style w:type="character" w:customStyle="1" w:styleId="551">
    <w:name w:val="正文1 Char"/>
    <w:qFormat/>
    <w:uiPriority w:val="0"/>
    <w:rPr>
      <w:rFonts w:ascii="宋体" w:hAnsi="宋体" w:cs="宋体"/>
      <w:sz w:val="21"/>
    </w:rPr>
  </w:style>
  <w:style w:type="character" w:customStyle="1" w:styleId="552">
    <w:name w:val="标题 2 Char Char Char Char"/>
    <w:qFormat/>
    <w:uiPriority w:val="0"/>
    <w:rPr>
      <w:rFonts w:ascii="Arial" w:hAnsi="Arial" w:eastAsia="黑体"/>
      <w:b/>
      <w:bCs/>
      <w:kern w:val="2"/>
      <w:sz w:val="32"/>
      <w:szCs w:val="32"/>
      <w:lang w:val="en-US" w:eastAsia="zh-CN" w:bidi="ar-SA"/>
    </w:rPr>
  </w:style>
  <w:style w:type="paragraph" w:customStyle="1" w:styleId="553">
    <w:name w:val="表中文字"/>
    <w:basedOn w:val="1"/>
    <w:qFormat/>
    <w:uiPriority w:val="0"/>
    <w:pPr>
      <w:shd w:val="clear" w:color="auto" w:fill="auto"/>
      <w:tabs>
        <w:tab w:val="clear" w:pos="426"/>
      </w:tabs>
      <w:adjustRightInd/>
      <w:snapToGrid/>
      <w:spacing w:line="240" w:lineRule="auto"/>
    </w:pPr>
    <w:rPr>
      <w:rFonts w:ascii="Arial" w:hAnsi="Arial" w:cs="Times New Roman"/>
      <w:kern w:val="2"/>
      <w:szCs w:val="20"/>
    </w:rPr>
  </w:style>
  <w:style w:type="character" w:customStyle="1" w:styleId="554">
    <w:name w:val="批注文字 字符"/>
    <w:qFormat/>
    <w:uiPriority w:val="0"/>
    <w:rPr>
      <w:rFonts w:eastAsia="宋体"/>
      <w:szCs w:val="24"/>
    </w:rPr>
  </w:style>
  <w:style w:type="character" w:customStyle="1" w:styleId="555">
    <w:name w:val="批注框文本 字符"/>
    <w:qFormat/>
    <w:uiPriority w:val="0"/>
    <w:rPr>
      <w:rFonts w:ascii="Times New Roman" w:hAnsi="Times New Roman" w:eastAsia="宋体" w:cs="Times New Roman"/>
      <w:sz w:val="18"/>
      <w:szCs w:val="18"/>
    </w:rPr>
  </w:style>
  <w:style w:type="character" w:customStyle="1" w:styleId="556">
    <w:name w:val="页眉 字符"/>
    <w:qFormat/>
    <w:uiPriority w:val="0"/>
    <w:rPr>
      <w:rFonts w:ascii="Times New Roman" w:hAnsi="Times New Roman" w:eastAsia="宋体" w:cs="Times New Roman"/>
      <w:sz w:val="18"/>
      <w:szCs w:val="18"/>
    </w:rPr>
  </w:style>
  <w:style w:type="character" w:customStyle="1" w:styleId="557">
    <w:name w:val="页脚 字符"/>
    <w:qFormat/>
    <w:uiPriority w:val="99"/>
    <w:rPr>
      <w:rFonts w:ascii="Times New Roman" w:hAnsi="Times New Roman" w:eastAsia="宋体" w:cs="Times New Roman"/>
      <w:sz w:val="18"/>
      <w:szCs w:val="18"/>
    </w:rPr>
  </w:style>
  <w:style w:type="paragraph" w:customStyle="1" w:styleId="558">
    <w:name w:val="样式 7 10 磅"/>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59">
    <w:name w:val="Text Char"/>
    <w:link w:val="560"/>
    <w:qFormat/>
    <w:uiPriority w:val="0"/>
    <w:rPr>
      <w:rFonts w:ascii="Calibri" w:hAnsi="Calibri" w:eastAsia="微软雅黑 Light"/>
      <w:kern w:val="2"/>
      <w:sz w:val="24"/>
      <w:szCs w:val="28"/>
    </w:rPr>
  </w:style>
  <w:style w:type="paragraph" w:customStyle="1" w:styleId="560">
    <w:name w:val="Text"/>
    <w:basedOn w:val="1"/>
    <w:link w:val="559"/>
    <w:qFormat/>
    <w:uiPriority w:val="0"/>
    <w:pPr>
      <w:widowControl w:val="0"/>
      <w:shd w:val="clear" w:color="auto" w:fill="auto"/>
      <w:tabs>
        <w:tab w:val="clear" w:pos="426"/>
      </w:tabs>
      <w:spacing w:line="240" w:lineRule="auto"/>
      <w:ind w:firstLine="200" w:firstLineChars="200"/>
    </w:pPr>
    <w:rPr>
      <w:rFonts w:ascii="Calibri" w:hAnsi="Calibri" w:eastAsia="微软雅黑 Light" w:cs="Times New Roman"/>
      <w:kern w:val="2"/>
      <w:sz w:val="24"/>
      <w:szCs w:val="28"/>
    </w:rPr>
  </w:style>
  <w:style w:type="paragraph" w:customStyle="1" w:styleId="561">
    <w:name w:val="列表段落1"/>
    <w:basedOn w:val="1"/>
    <w:qFormat/>
    <w:uiPriority w:val="0"/>
    <w:pPr>
      <w:widowControl w:val="0"/>
      <w:shd w:val="clear" w:color="auto" w:fill="auto"/>
      <w:tabs>
        <w:tab w:val="clear" w:pos="426"/>
      </w:tabs>
      <w:adjustRightInd/>
      <w:snapToGrid/>
      <w:spacing w:line="240" w:lineRule="auto"/>
      <w:ind w:firstLine="200" w:firstLineChars="200"/>
    </w:pPr>
    <w:rPr>
      <w:rFonts w:ascii="Calibri" w:hAnsi="Calibri" w:cs="Times New Roman"/>
      <w:sz w:val="24"/>
    </w:rPr>
  </w:style>
  <w:style w:type="paragraph" w:customStyle="1" w:styleId="562">
    <w:name w:val="样式 正文缩进表正文正文非缩进特点段1四号正文不缩进标题4??????????ALT+Z水上软件特点 ...4"/>
    <w:basedOn w:val="7"/>
    <w:qFormat/>
    <w:uiPriority w:val="0"/>
    <w:pPr>
      <w:widowControl w:val="0"/>
      <w:shd w:val="clear" w:color="auto" w:fill="auto"/>
      <w:tabs>
        <w:tab w:val="clear" w:pos="426"/>
      </w:tabs>
      <w:adjustRightInd/>
      <w:snapToGrid/>
      <w:ind w:firstLine="200" w:firstLineChars="200"/>
    </w:pPr>
    <w:rPr>
      <w:rFonts w:cs="宋体"/>
      <w:color w:val="000000"/>
    </w:rPr>
  </w:style>
  <w:style w:type="paragraph" w:customStyle="1" w:styleId="563">
    <w:name w:val="正文！！！"/>
    <w:basedOn w:val="1"/>
    <w:qFormat/>
    <w:uiPriority w:val="0"/>
    <w:pPr>
      <w:widowControl w:val="0"/>
      <w:shd w:val="clear" w:color="auto" w:fill="auto"/>
      <w:tabs>
        <w:tab w:val="clear" w:pos="426"/>
      </w:tabs>
      <w:adjustRightInd/>
      <w:snapToGrid/>
      <w:ind w:firstLine="420" w:firstLineChars="200"/>
    </w:pPr>
    <w:rPr>
      <w:rFonts w:ascii="Arial" w:hAnsi="Arial" w:eastAsia="微软雅黑"/>
      <w:kern w:val="2"/>
      <w:sz w:val="24"/>
      <w:szCs w:val="20"/>
    </w:rPr>
  </w:style>
  <w:style w:type="paragraph" w:customStyle="1" w:styleId="564">
    <w:name w:val="样式 正文缩进表正文正文非缩进特点段1四号正文不缩进标题4??????????ALT+Z水上软件特点 ..."/>
    <w:basedOn w:val="7"/>
    <w:qFormat/>
    <w:uiPriority w:val="0"/>
    <w:pPr>
      <w:widowControl w:val="0"/>
      <w:shd w:val="clear" w:color="auto" w:fill="auto"/>
      <w:tabs>
        <w:tab w:val="clear" w:pos="426"/>
      </w:tabs>
      <w:adjustRightInd/>
      <w:snapToGrid/>
      <w:ind w:firstLine="200" w:firstLineChars="200"/>
    </w:pPr>
    <w:rPr>
      <w:rFonts w:cs="宋体"/>
    </w:rPr>
  </w:style>
  <w:style w:type="table" w:customStyle="1" w:styleId="565">
    <w:name w:val="网格型1"/>
    <w:basedOn w:val="85"/>
    <w:qFormat/>
    <w:uiPriority w:val="0"/>
    <w:rPr>
      <w:rFonts w:ascii="Calibri" w:hAnsi="Calibri"/>
      <w:sz w:val="24"/>
      <w:szCs w:val="24"/>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566">
    <w:name w:val="_Style 565"/>
    <w:unhideWhenUsed/>
    <w:qFormat/>
    <w:uiPriority w:val="99"/>
    <w:rPr>
      <w:rFonts w:ascii="宋体" w:hAnsi="Times New Roman" w:eastAsia="宋体" w:cs="宋体"/>
      <w:sz w:val="21"/>
      <w:szCs w:val="24"/>
      <w:lang w:val="en-US" w:eastAsia="zh-CN" w:bidi="ar-SA"/>
    </w:rPr>
  </w:style>
  <w:style w:type="character" w:customStyle="1" w:styleId="567">
    <w:name w:val="_Style 566"/>
    <w:unhideWhenUsed/>
    <w:qFormat/>
    <w:uiPriority w:val="99"/>
    <w:rPr>
      <w:color w:val="605E5C"/>
      <w:shd w:val="clear" w:color="auto" w:fill="E1DFDD"/>
    </w:rPr>
  </w:style>
  <w:style w:type="paragraph" w:customStyle="1" w:styleId="568">
    <w:name w:val="修订3"/>
    <w:hidden/>
    <w:semiHidden/>
    <w:qFormat/>
    <w:uiPriority w:val="99"/>
    <w:rPr>
      <w:rFonts w:ascii="宋体" w:hAnsi="Times New Roman" w:eastAsia="宋体" w:cs="宋体"/>
      <w:sz w:val="21"/>
      <w:szCs w:val="24"/>
      <w:lang w:val="en-US" w:eastAsia="zh-CN" w:bidi="ar-SA"/>
    </w:rPr>
  </w:style>
  <w:style w:type="paragraph" w:customStyle="1" w:styleId="569">
    <w:name w:val="修订4"/>
    <w:hidden/>
    <w:semiHidden/>
    <w:qFormat/>
    <w:uiPriority w:val="99"/>
    <w:rPr>
      <w:rFonts w:ascii="宋体" w:hAnsi="Times New Roman" w:eastAsia="宋体" w:cs="宋体"/>
      <w:sz w:val="21"/>
      <w:szCs w:val="24"/>
      <w:lang w:val="en-US" w:eastAsia="zh-CN" w:bidi="ar-SA"/>
    </w:rPr>
  </w:style>
  <w:style w:type="paragraph" w:customStyle="1" w:styleId="570">
    <w:name w:val="彩色列表 - 强调文字颜色 111"/>
    <w:basedOn w:val="1"/>
    <w:qFormat/>
    <w:uiPriority w:val="0"/>
    <w:pPr>
      <w:widowControl w:val="0"/>
      <w:shd w:val="clear" w:color="auto" w:fill="auto"/>
      <w:tabs>
        <w:tab w:val="clear" w:pos="426"/>
      </w:tabs>
      <w:adjustRightInd/>
      <w:snapToGrid/>
      <w:spacing w:line="240" w:lineRule="auto"/>
      <w:ind w:firstLine="420" w:firstLineChars="200"/>
    </w:pPr>
    <w:rPr>
      <w:rFonts w:ascii="Times New Roman" w:eastAsia="仿宋体" w:cs="Times New Roman"/>
      <w:kern w:val="2"/>
      <w:sz w:val="32"/>
      <w:szCs w:val="32"/>
    </w:rPr>
  </w:style>
  <w:style w:type="character" w:customStyle="1" w:styleId="571">
    <w:name w:val="未处理的提及1"/>
    <w:basedOn w:val="87"/>
    <w:semiHidden/>
    <w:unhideWhenUsed/>
    <w:qFormat/>
    <w:uiPriority w:val="99"/>
    <w:rPr>
      <w:color w:val="605E5C"/>
      <w:shd w:val="clear" w:color="auto" w:fill="E1DFDD"/>
    </w:rPr>
  </w:style>
  <w:style w:type="paragraph" w:customStyle="1" w:styleId="572">
    <w:name w:val="修订5"/>
    <w:hidden/>
    <w:semiHidden/>
    <w:qFormat/>
    <w:uiPriority w:val="99"/>
    <w:rPr>
      <w:rFonts w:ascii="宋体" w:hAnsi="Times New Roman" w:eastAsia="宋体" w:cs="宋体"/>
      <w:sz w:val="21"/>
      <w:szCs w:val="24"/>
      <w:lang w:val="en-US" w:eastAsia="zh-CN" w:bidi="ar-SA"/>
    </w:rPr>
  </w:style>
  <w:style w:type="character" w:customStyle="1" w:styleId="573">
    <w:name w:val="未处理的提及2"/>
    <w:basedOn w:val="87"/>
    <w:semiHidden/>
    <w:unhideWhenUsed/>
    <w:qFormat/>
    <w:uiPriority w:val="99"/>
    <w:rPr>
      <w:color w:val="605E5C"/>
      <w:shd w:val="clear" w:color="auto" w:fill="E1DFDD"/>
    </w:rPr>
  </w:style>
  <w:style w:type="paragraph" w:customStyle="1" w:styleId="574">
    <w:name w:val="修订6"/>
    <w:hidden/>
    <w:semiHidden/>
    <w:qFormat/>
    <w:uiPriority w:val="99"/>
    <w:rPr>
      <w:rFonts w:ascii="宋体" w:hAnsi="Times New Roman" w:eastAsia="宋体" w:cs="宋体"/>
      <w:sz w:val="21"/>
      <w:szCs w:val="24"/>
      <w:lang w:val="en-US" w:eastAsia="zh-CN" w:bidi="ar-SA"/>
    </w:rPr>
  </w:style>
  <w:style w:type="paragraph" w:customStyle="1" w:styleId="575">
    <w:name w:val="Table Paragraph"/>
    <w:basedOn w:val="1"/>
    <w:qFormat/>
    <w:uiPriority w:val="1"/>
    <w:pPr>
      <w:widowControl w:val="0"/>
      <w:shd w:val="clear" w:color="auto" w:fill="auto"/>
      <w:tabs>
        <w:tab w:val="clear" w:pos="426"/>
      </w:tabs>
      <w:autoSpaceDE w:val="0"/>
      <w:autoSpaceDN w:val="0"/>
      <w:snapToGrid/>
      <w:spacing w:line="240" w:lineRule="auto"/>
      <w:jc w:val="left"/>
    </w:pPr>
    <w:rPr>
      <w:rFonts w:ascii="Times New Roman" w:cs="Times New Roman" w:eastAsiaTheme="minorEastAsia"/>
      <w:sz w:val="24"/>
    </w:rPr>
  </w:style>
  <w:style w:type="character" w:customStyle="1" w:styleId="576">
    <w:name w:val="未处理的提及3"/>
    <w:basedOn w:val="87"/>
    <w:semiHidden/>
    <w:unhideWhenUsed/>
    <w:qFormat/>
    <w:uiPriority w:val="99"/>
    <w:rPr>
      <w:color w:val="605E5C"/>
      <w:shd w:val="clear" w:color="auto" w:fill="E1DFDD"/>
    </w:rPr>
  </w:style>
  <w:style w:type="paragraph" w:customStyle="1" w:styleId="577">
    <w:name w:val="修订7"/>
    <w:hidden/>
    <w:unhideWhenUsed/>
    <w:qFormat/>
    <w:uiPriority w:val="99"/>
    <w:rPr>
      <w:rFonts w:ascii="宋体" w:hAnsi="Times New Roman" w:eastAsia="宋体" w:cs="宋体"/>
      <w:sz w:val="21"/>
      <w:szCs w:val="24"/>
      <w:lang w:val="en-US" w:eastAsia="zh-CN" w:bidi="ar-SA"/>
    </w:rPr>
  </w:style>
  <w:style w:type="paragraph" w:customStyle="1" w:styleId="578">
    <w:name w:val="修订8"/>
    <w:hidden/>
    <w:unhideWhenUsed/>
    <w:qFormat/>
    <w:uiPriority w:val="99"/>
    <w:rPr>
      <w:rFonts w:ascii="宋体" w:hAnsi="Times New Roman" w:eastAsia="宋体" w:cs="宋体"/>
      <w:sz w:val="21"/>
      <w:szCs w:val="24"/>
      <w:lang w:val="en-US" w:eastAsia="zh-CN" w:bidi="ar-SA"/>
    </w:rPr>
  </w:style>
  <w:style w:type="character" w:customStyle="1" w:styleId="579">
    <w:name w:val="纯文本 字符"/>
    <w:basedOn w:val="87"/>
    <w:link w:val="44"/>
    <w:qFormat/>
    <w:uiPriority w:val="0"/>
    <w:rPr>
      <w:rFonts w:ascii="宋体"/>
      <w:kern w:val="2"/>
      <w:sz w:val="21"/>
      <w:shd w:val="clear" w:color="auto" w:fill="FFFFFF"/>
    </w:rPr>
  </w:style>
  <w:style w:type="character" w:customStyle="1" w:styleId="580">
    <w:name w:val="16"/>
    <w:basedOn w:val="87"/>
    <w:qFormat/>
    <w:uiPriority w:val="0"/>
    <w:rPr>
      <w:rFonts w:hint="eastAsia" w:ascii="宋体" w:hAnsi="宋体" w:eastAsia="宋体" w:cs="宋体"/>
      <w:color w:val="000000"/>
      <w:sz w:val="21"/>
      <w:szCs w:val="21"/>
    </w:rPr>
  </w:style>
  <w:style w:type="paragraph" w:customStyle="1" w:styleId="581">
    <w:name w:val="修订9"/>
    <w:hidden/>
    <w:unhideWhenUsed/>
    <w:qFormat/>
    <w:uiPriority w:val="99"/>
    <w:rPr>
      <w:rFonts w:ascii="宋体" w:hAnsi="Times New Roman" w:eastAsia="宋体" w:cs="宋体"/>
      <w:sz w:val="21"/>
      <w:szCs w:val="24"/>
      <w:lang w:val="en-US" w:eastAsia="zh-CN" w:bidi="ar-SA"/>
    </w:rPr>
  </w:style>
  <w:style w:type="paragraph" w:customStyle="1" w:styleId="582">
    <w:name w:val="修订10"/>
    <w:hidden/>
    <w:unhideWhenUsed/>
    <w:qFormat/>
    <w:uiPriority w:val="99"/>
    <w:rPr>
      <w:rFonts w:ascii="宋体" w:hAnsi="Times New Roman" w:eastAsia="宋体" w:cs="宋体"/>
      <w:sz w:val="21"/>
      <w:szCs w:val="24"/>
      <w:lang w:val="en-US" w:eastAsia="zh-CN" w:bidi="ar-SA"/>
    </w:rPr>
  </w:style>
  <w:style w:type="paragraph" w:customStyle="1" w:styleId="583">
    <w:name w:val="修订11"/>
    <w:hidden/>
    <w:unhideWhenUsed/>
    <w:qFormat/>
    <w:uiPriority w:val="99"/>
    <w:rPr>
      <w:rFonts w:ascii="宋体" w:hAnsi="Times New Roman" w:eastAsia="宋体" w:cs="宋体"/>
      <w:sz w:val="21"/>
      <w:szCs w:val="24"/>
      <w:lang w:val="en-US" w:eastAsia="zh-CN" w:bidi="ar-SA"/>
    </w:rPr>
  </w:style>
  <w:style w:type="paragraph" w:customStyle="1" w:styleId="584">
    <w:name w:val="列出段落"/>
    <w:basedOn w:val="1"/>
    <w:autoRedefine/>
    <w:qFormat/>
    <w:uiPriority w:val="99"/>
    <w:pPr>
      <w:widowControl w:val="0"/>
      <w:shd w:val="clear" w:color="auto" w:fill="auto"/>
      <w:tabs>
        <w:tab w:val="clear" w:pos="426"/>
      </w:tabs>
      <w:adjustRightInd/>
      <w:snapToGrid/>
      <w:spacing w:line="240" w:lineRule="auto"/>
      <w:ind w:firstLine="420" w:firstLineChars="200"/>
    </w:pPr>
    <w:rPr>
      <w:rFonts w:ascii="Times New Roman" w:eastAsia="仿宋体" w:cs="Times New Roman"/>
      <w:kern w:val="2"/>
      <w:sz w:val="32"/>
    </w:rPr>
  </w:style>
  <w:style w:type="paragraph" w:customStyle="1" w:styleId="585">
    <w:name w:val="BodyText"/>
    <w:basedOn w:val="1"/>
    <w:autoRedefine/>
    <w:qFormat/>
    <w:uiPriority w:val="0"/>
    <w:pPr>
      <w:widowControl w:val="0"/>
      <w:shd w:val="clear" w:color="auto" w:fill="auto"/>
      <w:tabs>
        <w:tab w:val="clear" w:pos="426"/>
      </w:tabs>
      <w:adjustRightInd/>
      <w:snapToGrid/>
    </w:pPr>
    <w:rPr>
      <w:rFonts w:ascii="Times New Roman" w:eastAsia="仿宋体" w:cs="Times New Roman"/>
      <w:b/>
      <w:sz w:val="24"/>
    </w:rPr>
  </w:style>
  <w:style w:type="paragraph" w:customStyle="1" w:styleId="586">
    <w:name w:val="修订12"/>
    <w:hidden/>
    <w:unhideWhenUsed/>
    <w:qFormat/>
    <w:uiPriority w:val="99"/>
    <w:rPr>
      <w:rFonts w:ascii="宋体" w:hAnsi="Times New Roman" w:eastAsia="宋体" w:cs="宋体"/>
      <w:sz w:val="21"/>
      <w:szCs w:val="24"/>
      <w:lang w:val="en-US" w:eastAsia="zh-CN" w:bidi="ar-SA"/>
    </w:rPr>
  </w:style>
  <w:style w:type="paragraph" w:customStyle="1" w:styleId="587">
    <w:name w:val="样式 4 10 磅2"/>
    <w:qFormat/>
    <w:uiPriority w:val="0"/>
    <w:pPr>
      <w:widowControl w:val="0"/>
      <w:jc w:val="both"/>
    </w:pPr>
    <w:rPr>
      <w:rFonts w:ascii="等线" w:hAnsi="Times New Roman"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footer" Target="foot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72</Pages>
  <Words>9841</Words>
  <Characters>10597</Characters>
  <Lines>371</Lines>
  <Paragraphs>104</Paragraphs>
  <TotalTime>2</TotalTime>
  <ScaleCrop>false</ScaleCrop>
  <LinksUpToDate>false</LinksUpToDate>
  <CharactersWithSpaces>10771</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2022-07-29T16:11:00Z</dcterms:created>
  <dc:creator>thsware</dc:creator>
  <cp:lastModifiedBy>F11</cp:lastModifiedBy>
  <cp:lastPrinted>2023-03-28T10:09:00Z</cp:lastPrinted>
  <dcterms:modified xsi:type="dcterms:W3CDTF">2025-02-14T02:50:11Z</dcterms:modified>
  <dc:title>招  标　文　件</dc:title>
  <cp:revision>211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44B3B37E576F430C87F4CFB91A0011A1_13</vt:lpwstr>
  </property>
  <property fmtid="{D5CDD505-2E9C-101B-9397-08002B2CF9AE}" pid="4" name="KSOTemplateDocerSaveRecord">
    <vt:lpwstr>eyJoZGlkIjoiNmQ4NzIwNzA4ZTJjN2M2YzAzODJmMmZmNWFlZjU1OTAifQ==</vt:lpwstr>
  </property>
</Properties>
</file>