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rFonts w:hint="eastAsia"/>
        </w:rPr>
      </w:pPr>
    </w:p>
    <w:p>
      <w:pPr>
        <w:tabs>
          <w:tab w:val="clear" w:pos="426"/>
        </w:tabs>
        <w:rPr>
          <w:rFonts w:hint="eastAsia"/>
        </w:rPr>
      </w:pPr>
    </w:p>
    <w:p>
      <w:pPr>
        <w:tabs>
          <w:tab w:val="clear" w:pos="426"/>
        </w:tabs>
        <w:jc w:val="right"/>
        <w:rPr>
          <w:rFonts w:hint="eastAsia"/>
          <w:b/>
          <w:u w:val="single"/>
        </w:rPr>
      </w:pPr>
      <w:r>
        <w:rPr>
          <w:rFonts w:hint="eastAsia"/>
        </w:rPr>
        <w:t xml:space="preserve">                                                     项目编号：</w:t>
      </w:r>
      <w:r>
        <w:rPr>
          <w:rFonts w:hint="eastAsia"/>
          <w:b/>
          <w:u w:val="single"/>
        </w:rPr>
        <w:t>SSZX2024-384</w:t>
      </w: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r>
        <w:rPr>
          <w:rFonts w:hint="eastAsia" w:cs="Times New Roman"/>
          <w:spacing w:val="26"/>
          <w:kern w:val="2"/>
          <w:sz w:val="72"/>
          <w:szCs w:val="20"/>
        </w:rPr>
        <w:t>招标文件</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u w:val="single"/>
        </w:rPr>
      </w:pPr>
      <w:r>
        <w:rPr>
          <w:rFonts w:hint="eastAsia" w:cs="Times New Roman"/>
          <w:kern w:val="2"/>
          <w:sz w:val="30"/>
          <w:szCs w:val="20"/>
        </w:rPr>
        <w:t>项目名称：</w:t>
      </w:r>
      <w:r>
        <w:rPr>
          <w:rFonts w:hint="eastAsia" w:cs="Times New Roman"/>
          <w:kern w:val="2"/>
          <w:sz w:val="30"/>
          <w:szCs w:val="20"/>
          <w:u w:val="single"/>
        </w:rPr>
        <w:t>深圳海关动植物检验检疫技术中心“普通PCR仪”设备采购项目</w:t>
      </w: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深圳海关动植物检验检疫技术中心</w:t>
      </w:r>
    </w:p>
    <w:p>
      <w:pPr>
        <w:widowControl w:val="0"/>
        <w:shd w:val="clear" w:color="auto" w:fill="auto"/>
        <w:tabs>
          <w:tab w:val="clear" w:pos="426"/>
        </w:tabs>
        <w:adjustRightInd/>
        <w:snapToGrid/>
        <w:spacing w:line="300" w:lineRule="auto"/>
        <w:ind w:left="1500"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rFonts w:hint="eastAsia"/>
          <w:sz w:val="32"/>
          <w:szCs w:val="32"/>
        </w:rPr>
      </w:pPr>
      <w:r>
        <w:br w:type="page"/>
      </w:r>
      <w:r>
        <w:rPr>
          <w:rFonts w:hint="eastAsia"/>
          <w:b/>
          <w:sz w:val="32"/>
          <w:szCs w:val="32"/>
        </w:rPr>
        <w:t>目      录</w:t>
      </w:r>
    </w:p>
    <w:p>
      <w:pPr>
        <w:pStyle w:val="71"/>
        <w:tabs>
          <w:tab w:val="right" w:leader="dot" w:pos="8788"/>
          <w:tab w:val="clear" w:pos="8789"/>
        </w:tabs>
        <w:spacing w:line="240" w:lineRule="auto"/>
        <w:ind w:left="0" w:leftChars="0" w:firstLine="0" w:firstLineChars="0"/>
        <w:rPr>
          <w:rFonts w:hint="eastAsia" w:ascii="黑体" w:hAnsi="黑体" w:eastAsia="黑体" w:cs="黑体"/>
          <w:b/>
          <w:bCs/>
          <w:i w:val="0"/>
          <w:iCs w:val="0"/>
          <w:sz w:val="20"/>
          <w:szCs w:val="20"/>
        </w:rPr>
      </w:pP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TOC \o "1-3" \h \z \u </w:instrText>
      </w:r>
      <w:r>
        <w:rPr>
          <w:rFonts w:hint="eastAsia" w:ascii="宋体" w:hAnsi="宋体" w:eastAsia="宋体" w:cs="宋体"/>
          <w:i w:val="0"/>
          <w:iCs w:val="0"/>
          <w:sz w:val="21"/>
          <w:szCs w:val="21"/>
        </w:rPr>
        <w:fldChar w:fldCharType="separate"/>
      </w:r>
      <w:r>
        <w:rPr>
          <w:rFonts w:hint="eastAsia" w:ascii="黑体" w:hAnsi="黑体" w:eastAsia="黑体" w:cs="黑体"/>
          <w:b/>
          <w:bCs/>
          <w:i w:val="0"/>
          <w:iCs w:val="0"/>
          <w:sz w:val="20"/>
          <w:szCs w:val="20"/>
        </w:rPr>
        <w:fldChar w:fldCharType="begin"/>
      </w:r>
      <w:r>
        <w:rPr>
          <w:rFonts w:hint="eastAsia" w:ascii="黑体" w:hAnsi="黑体" w:eastAsia="黑体" w:cs="黑体"/>
          <w:b/>
          <w:bCs/>
          <w:i w:val="0"/>
          <w:iCs w:val="0"/>
          <w:sz w:val="20"/>
          <w:szCs w:val="20"/>
        </w:rPr>
        <w:instrText xml:space="preserve"> HYPERLINK \l _Toc8105 </w:instrText>
      </w:r>
      <w:r>
        <w:rPr>
          <w:rFonts w:hint="eastAsia" w:ascii="黑体" w:hAnsi="黑体" w:eastAsia="黑体" w:cs="黑体"/>
          <w:b/>
          <w:bCs/>
          <w:i w:val="0"/>
          <w:iCs w:val="0"/>
          <w:sz w:val="20"/>
          <w:szCs w:val="20"/>
        </w:rPr>
        <w:fldChar w:fldCharType="separate"/>
      </w:r>
      <w:r>
        <w:rPr>
          <w:rFonts w:hint="eastAsia" w:ascii="黑体" w:hAnsi="黑体" w:eastAsia="黑体" w:cs="黑体"/>
          <w:b/>
          <w:bCs/>
          <w:i w:val="0"/>
          <w:iCs w:val="0"/>
          <w:sz w:val="20"/>
          <w:szCs w:val="20"/>
        </w:rPr>
        <w:t>项目关键信息</w:t>
      </w:r>
      <w:r>
        <w:rPr>
          <w:rFonts w:hint="eastAsia" w:ascii="黑体" w:hAnsi="黑体" w:eastAsia="黑体" w:cs="黑体"/>
          <w:b/>
          <w:bCs/>
          <w:i w:val="0"/>
          <w:iCs w:val="0"/>
          <w:sz w:val="20"/>
          <w:szCs w:val="20"/>
        </w:rPr>
        <w:tab/>
      </w:r>
      <w:r>
        <w:rPr>
          <w:rFonts w:hint="eastAsia" w:ascii="黑体" w:hAnsi="黑体" w:eastAsia="黑体" w:cs="黑体"/>
          <w:b/>
          <w:bCs/>
          <w:i w:val="0"/>
          <w:iCs w:val="0"/>
          <w:sz w:val="20"/>
          <w:szCs w:val="20"/>
        </w:rPr>
        <w:fldChar w:fldCharType="begin"/>
      </w:r>
      <w:r>
        <w:rPr>
          <w:rFonts w:hint="eastAsia" w:ascii="黑体" w:hAnsi="黑体" w:eastAsia="黑体" w:cs="黑体"/>
          <w:b/>
          <w:bCs/>
          <w:i w:val="0"/>
          <w:iCs w:val="0"/>
          <w:sz w:val="20"/>
          <w:szCs w:val="20"/>
        </w:rPr>
        <w:instrText xml:space="preserve"> PAGEREF _Toc8105 \h </w:instrText>
      </w:r>
      <w:r>
        <w:rPr>
          <w:rFonts w:hint="eastAsia" w:ascii="黑体" w:hAnsi="黑体" w:eastAsia="黑体" w:cs="黑体"/>
          <w:b/>
          <w:bCs/>
          <w:i w:val="0"/>
          <w:iCs w:val="0"/>
          <w:sz w:val="20"/>
          <w:szCs w:val="20"/>
        </w:rPr>
        <w:fldChar w:fldCharType="separate"/>
      </w:r>
      <w:r>
        <w:rPr>
          <w:rFonts w:hint="eastAsia" w:ascii="黑体" w:hAnsi="黑体" w:eastAsia="黑体" w:cs="黑体"/>
          <w:b/>
          <w:bCs/>
          <w:i w:val="0"/>
          <w:iCs w:val="0"/>
          <w:sz w:val="20"/>
          <w:szCs w:val="20"/>
        </w:rPr>
        <w:t>1</w:t>
      </w:r>
      <w:r>
        <w:rPr>
          <w:rFonts w:hint="eastAsia" w:ascii="黑体" w:hAnsi="黑体" w:eastAsia="黑体" w:cs="黑体"/>
          <w:b/>
          <w:bCs/>
          <w:i w:val="0"/>
          <w:iCs w:val="0"/>
          <w:sz w:val="20"/>
          <w:szCs w:val="20"/>
        </w:rPr>
        <w:fldChar w:fldCharType="end"/>
      </w:r>
      <w:r>
        <w:rPr>
          <w:rFonts w:hint="eastAsia" w:ascii="黑体" w:hAnsi="黑体" w:eastAsia="黑体" w:cs="黑体"/>
          <w:b/>
          <w:bCs/>
          <w:i w:val="0"/>
          <w:iCs w:val="0"/>
          <w:sz w:val="20"/>
          <w:szCs w:val="20"/>
        </w:rPr>
        <w:fldChar w:fldCharType="end"/>
      </w:r>
    </w:p>
    <w:p>
      <w:pPr>
        <w:pStyle w:val="57"/>
        <w:tabs>
          <w:tab w:val="right" w:leader="dot" w:pos="8788"/>
          <w:tab w:val="clear" w:pos="426"/>
          <w:tab w:val="clear" w:pos="8789"/>
        </w:tabs>
        <w:spacing w:line="240" w:lineRule="auto"/>
        <w:rPr>
          <w:rFonts w:hint="eastAsia" w:ascii="黑体" w:hAnsi="黑体" w:eastAsia="黑体" w:cs="黑体"/>
          <w:b/>
          <w:bCs/>
          <w:i w:val="0"/>
          <w:iCs w:val="0"/>
          <w:sz w:val="20"/>
          <w:szCs w:val="20"/>
        </w:rPr>
      </w:pPr>
      <w:r>
        <w:rPr>
          <w:rFonts w:hint="eastAsia" w:ascii="黑体" w:hAnsi="黑体" w:eastAsia="黑体" w:cs="黑体"/>
          <w:b/>
          <w:bCs/>
          <w:i w:val="0"/>
          <w:iCs w:val="0"/>
          <w:smallCaps/>
          <w:sz w:val="20"/>
          <w:szCs w:val="20"/>
        </w:rPr>
        <w:fldChar w:fldCharType="begin"/>
      </w:r>
      <w:r>
        <w:rPr>
          <w:rFonts w:hint="eastAsia" w:ascii="黑体" w:hAnsi="黑体" w:eastAsia="黑体" w:cs="黑体"/>
          <w:b/>
          <w:bCs/>
          <w:i w:val="0"/>
          <w:iCs w:val="0"/>
          <w:smallCaps/>
          <w:sz w:val="20"/>
          <w:szCs w:val="20"/>
        </w:rPr>
        <w:instrText xml:space="preserve"> HYPERLINK \l _Toc26776 </w:instrText>
      </w:r>
      <w:r>
        <w:rPr>
          <w:rFonts w:hint="eastAsia" w:ascii="黑体" w:hAnsi="黑体" w:eastAsia="黑体" w:cs="黑体"/>
          <w:b/>
          <w:bCs/>
          <w:i w:val="0"/>
          <w:iCs w:val="0"/>
          <w:smallCaps/>
          <w:sz w:val="20"/>
          <w:szCs w:val="20"/>
        </w:rPr>
        <w:fldChar w:fldCharType="separate"/>
      </w:r>
      <w:r>
        <w:rPr>
          <w:rFonts w:hint="eastAsia" w:ascii="黑体" w:hAnsi="黑体" w:eastAsia="黑体" w:cs="黑体"/>
          <w:b/>
          <w:bCs/>
          <w:i w:val="0"/>
          <w:iCs w:val="0"/>
          <w:sz w:val="20"/>
          <w:szCs w:val="20"/>
        </w:rPr>
        <w:t>招标文件第一册（专用部分）</w:t>
      </w:r>
      <w:r>
        <w:rPr>
          <w:rFonts w:hint="eastAsia" w:ascii="黑体" w:hAnsi="黑体" w:eastAsia="黑体" w:cs="黑体"/>
          <w:b/>
          <w:bCs/>
          <w:i w:val="0"/>
          <w:iCs w:val="0"/>
          <w:sz w:val="20"/>
          <w:szCs w:val="20"/>
        </w:rPr>
        <w:tab/>
      </w:r>
      <w:r>
        <w:rPr>
          <w:rFonts w:hint="eastAsia" w:ascii="黑体" w:hAnsi="黑体" w:eastAsia="黑体" w:cs="黑体"/>
          <w:b/>
          <w:bCs/>
          <w:i w:val="0"/>
          <w:iCs w:val="0"/>
          <w:sz w:val="20"/>
          <w:szCs w:val="20"/>
        </w:rPr>
        <w:fldChar w:fldCharType="begin"/>
      </w:r>
      <w:r>
        <w:rPr>
          <w:rFonts w:hint="eastAsia" w:ascii="黑体" w:hAnsi="黑体" w:eastAsia="黑体" w:cs="黑体"/>
          <w:b/>
          <w:bCs/>
          <w:i w:val="0"/>
          <w:iCs w:val="0"/>
          <w:sz w:val="20"/>
          <w:szCs w:val="20"/>
        </w:rPr>
        <w:instrText xml:space="preserve"> PAGEREF _Toc26776 \h </w:instrText>
      </w:r>
      <w:r>
        <w:rPr>
          <w:rFonts w:hint="eastAsia" w:ascii="黑体" w:hAnsi="黑体" w:eastAsia="黑体" w:cs="黑体"/>
          <w:b/>
          <w:bCs/>
          <w:i w:val="0"/>
          <w:iCs w:val="0"/>
          <w:sz w:val="20"/>
          <w:szCs w:val="20"/>
        </w:rPr>
        <w:fldChar w:fldCharType="separate"/>
      </w:r>
      <w:r>
        <w:rPr>
          <w:rFonts w:hint="eastAsia" w:ascii="黑体" w:hAnsi="黑体" w:eastAsia="黑体" w:cs="黑体"/>
          <w:b/>
          <w:bCs/>
          <w:i w:val="0"/>
          <w:iCs w:val="0"/>
          <w:sz w:val="20"/>
          <w:szCs w:val="20"/>
        </w:rPr>
        <w:t>3</w:t>
      </w:r>
      <w:r>
        <w:rPr>
          <w:rFonts w:hint="eastAsia" w:ascii="黑体" w:hAnsi="黑体" w:eastAsia="黑体" w:cs="黑体"/>
          <w:b/>
          <w:bCs/>
          <w:i w:val="0"/>
          <w:iCs w:val="0"/>
          <w:sz w:val="20"/>
          <w:szCs w:val="20"/>
        </w:rPr>
        <w:fldChar w:fldCharType="end"/>
      </w:r>
      <w:r>
        <w:rPr>
          <w:rFonts w:hint="eastAsia" w:ascii="黑体" w:hAnsi="黑体" w:eastAsia="黑体" w:cs="黑体"/>
          <w:b/>
          <w:bCs/>
          <w:i w:val="0"/>
          <w:iCs w:val="0"/>
          <w:smallCaps/>
          <w:sz w:val="20"/>
          <w:szCs w:val="20"/>
        </w:rPr>
        <w:fldChar w:fldCharType="end"/>
      </w:r>
    </w:p>
    <w:p>
      <w:pPr>
        <w:pStyle w:val="71"/>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mallCaps/>
          <w:sz w:val="20"/>
          <w:szCs w:val="20"/>
        </w:rPr>
        <w:fldChar w:fldCharType="begin"/>
      </w:r>
      <w:r>
        <w:rPr>
          <w:rFonts w:hint="eastAsia" w:ascii="宋体" w:hAnsi="宋体" w:eastAsia="宋体" w:cs="宋体"/>
          <w:b/>
          <w:bCs/>
          <w:i w:val="0"/>
          <w:iCs w:val="0"/>
          <w:smallCaps/>
          <w:sz w:val="20"/>
          <w:szCs w:val="20"/>
        </w:rPr>
        <w:instrText xml:space="preserve"> HYPERLINK \l _Toc16741 </w:instrText>
      </w:r>
      <w:r>
        <w:rPr>
          <w:rFonts w:hint="eastAsia" w:ascii="宋体" w:hAnsi="宋体" w:eastAsia="宋体" w:cs="宋体"/>
          <w:b/>
          <w:bCs/>
          <w:i w:val="0"/>
          <w:iCs w:val="0"/>
          <w:smallCaps/>
          <w:sz w:val="20"/>
          <w:szCs w:val="20"/>
        </w:rPr>
        <w:fldChar w:fldCharType="separate"/>
      </w:r>
      <w:r>
        <w:rPr>
          <w:rFonts w:hint="eastAsia" w:ascii="宋体" w:hAnsi="宋体" w:eastAsia="宋体" w:cs="宋体"/>
          <w:b/>
          <w:bCs/>
          <w:i w:val="0"/>
          <w:iCs w:val="0"/>
          <w:sz w:val="20"/>
          <w:szCs w:val="20"/>
        </w:rPr>
        <w:t>第一章 投标邀请</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_Toc16741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3</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mallCaps/>
          <w:sz w:val="20"/>
          <w:szCs w:val="20"/>
        </w:rPr>
        <w:fldChar w:fldCharType="end"/>
      </w:r>
    </w:p>
    <w:p>
      <w:pPr>
        <w:pStyle w:val="71"/>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mallCaps/>
          <w:sz w:val="20"/>
          <w:szCs w:val="20"/>
        </w:rPr>
        <w:fldChar w:fldCharType="begin"/>
      </w:r>
      <w:r>
        <w:rPr>
          <w:rFonts w:hint="eastAsia" w:ascii="宋体" w:hAnsi="宋体" w:eastAsia="宋体" w:cs="宋体"/>
          <w:b/>
          <w:bCs/>
          <w:i w:val="0"/>
          <w:iCs w:val="0"/>
          <w:smallCaps/>
          <w:sz w:val="20"/>
          <w:szCs w:val="20"/>
        </w:rPr>
        <w:instrText xml:space="preserve"> HYPERLINK \l _Toc15078 </w:instrText>
      </w:r>
      <w:r>
        <w:rPr>
          <w:rFonts w:hint="eastAsia" w:ascii="宋体" w:hAnsi="宋体" w:eastAsia="宋体" w:cs="宋体"/>
          <w:b/>
          <w:bCs/>
          <w:i w:val="0"/>
          <w:iCs w:val="0"/>
          <w:smallCaps/>
          <w:sz w:val="20"/>
          <w:szCs w:val="20"/>
        </w:rPr>
        <w:fldChar w:fldCharType="separate"/>
      </w:r>
      <w:r>
        <w:rPr>
          <w:rFonts w:hint="eastAsia" w:ascii="宋体" w:hAnsi="宋体" w:eastAsia="宋体" w:cs="宋体"/>
          <w:b/>
          <w:bCs/>
          <w:i w:val="0"/>
          <w:iCs w:val="0"/>
          <w:sz w:val="20"/>
          <w:szCs w:val="20"/>
        </w:rPr>
        <w:t>第二章 项目需求</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_Toc15078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7</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mallCaps/>
          <w:sz w:val="20"/>
          <w:szCs w:val="20"/>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_Toc9882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一、 货物清单一览表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_Toc9882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_Toc28424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二、 实质性响应条款</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_Toc28424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_Toc30350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三、 技术要求</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_Toc30350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_Toc29497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四、 商务要求</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_Toc29497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8</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_Toc25206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第三章 定价方式、合同类型和风险管理措施</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_Toc25206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10</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_Toc18482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一、 定价方式</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_Toc18482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10</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_Toc4887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二、 合同类型</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_Toc4887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10</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_Toc15057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三、 风险管理措施</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_Toc15057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10</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_Toc29781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w:t>
      </w:r>
      <w:r>
        <w:rPr>
          <w:rFonts w:hint="eastAsia" w:cs="宋体"/>
          <w:b/>
          <w:bCs/>
          <w:i w:val="0"/>
          <w:iCs w:val="0"/>
          <w:sz w:val="20"/>
          <w:szCs w:val="20"/>
          <w:lang w:val="en-US" w:eastAsia="zh-CN"/>
        </w:rPr>
        <w:t>四</w:t>
      </w:r>
      <w:r>
        <w:rPr>
          <w:rFonts w:hint="eastAsia" w:ascii="宋体" w:hAnsi="宋体" w:eastAsia="宋体" w:cs="宋体"/>
          <w:b/>
          <w:bCs/>
          <w:i w:val="0"/>
          <w:iCs w:val="0"/>
          <w:sz w:val="20"/>
          <w:szCs w:val="20"/>
        </w:rPr>
        <w:t>章 资格审查和评标方法</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_Toc29781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11</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71"/>
        <w:tabs>
          <w:tab w:val="right" w:leader="dot" w:pos="8788"/>
          <w:tab w:val="clear" w:pos="8789"/>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_Toc6111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前附表（一）资格审查表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_Toc6111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11</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71"/>
        <w:tabs>
          <w:tab w:val="right" w:leader="dot" w:pos="8788"/>
          <w:tab w:val="clear" w:pos="8789"/>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_Toc22123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前附表（二）符合性审查表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_Toc22123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12</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71"/>
        <w:tabs>
          <w:tab w:val="right" w:leader="dot" w:pos="8788"/>
          <w:tab w:val="clear" w:pos="8789"/>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_Toc4862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前附表（三）综合评分法评分因素和权重分值表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_Toc4862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13</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71"/>
        <w:tabs>
          <w:tab w:val="right" w:leader="dot" w:pos="8788"/>
          <w:tab w:val="clear" w:pos="8789"/>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_Toc22935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前附表（四）</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_Toc22935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16</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_Toc8707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1.资格审查</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_Toc8707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16</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_Toc135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2.评标方法</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_Toc135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16</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_Toc22613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3.符合性审查</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_Toc22613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17</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_Toc26312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4.比较与评价</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_Toc26312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17</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_Toc27140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5.编写评标报告</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_Toc27140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17</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_Toc17409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6.评标委员会对招标失败的论证意见</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_Toc17409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18</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_Toc31913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w:t>
      </w:r>
      <w:r>
        <w:rPr>
          <w:rFonts w:hint="eastAsia" w:cs="宋体"/>
          <w:b/>
          <w:bCs/>
          <w:i w:val="0"/>
          <w:iCs w:val="0"/>
          <w:sz w:val="20"/>
          <w:szCs w:val="20"/>
          <w:lang w:val="en-US" w:eastAsia="zh-CN"/>
        </w:rPr>
        <w:t>五</w:t>
      </w:r>
      <w:r>
        <w:rPr>
          <w:rFonts w:hint="eastAsia" w:ascii="宋体" w:hAnsi="宋体" w:eastAsia="宋体" w:cs="宋体"/>
          <w:b/>
          <w:bCs/>
          <w:i w:val="0"/>
          <w:iCs w:val="0"/>
          <w:sz w:val="20"/>
          <w:szCs w:val="20"/>
        </w:rPr>
        <w:t>章 合同文本</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_Toc31913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19</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71"/>
        <w:tabs>
          <w:tab w:val="right" w:leader="dot" w:pos="8788"/>
          <w:tab w:val="clear" w:pos="8789"/>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_Toc27079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附件1：分项报价表、设备配置清单和技术偏离</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_Toc27079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30</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71"/>
        <w:tabs>
          <w:tab w:val="right" w:leader="dot" w:pos="8788"/>
          <w:tab w:val="clear" w:pos="8789"/>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_Toc23642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附件2：培训方案</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_Toc23642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31</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71"/>
        <w:tabs>
          <w:tab w:val="right" w:leader="dot" w:pos="8788"/>
          <w:tab w:val="clear" w:pos="8789"/>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_Toc6473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附件3：技术支持及售后服务方案第五章 投标资料表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_Toc6473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32</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_Toc31913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w:t>
      </w:r>
      <w:r>
        <w:rPr>
          <w:rFonts w:hint="eastAsia" w:cs="宋体"/>
          <w:b/>
          <w:bCs/>
          <w:i w:val="0"/>
          <w:iCs w:val="0"/>
          <w:sz w:val="20"/>
          <w:szCs w:val="20"/>
          <w:lang w:val="en-US" w:eastAsia="zh-CN"/>
        </w:rPr>
        <w:t>六</w:t>
      </w:r>
      <w:r>
        <w:rPr>
          <w:rFonts w:hint="eastAsia" w:ascii="宋体" w:hAnsi="宋体" w:eastAsia="宋体" w:cs="宋体"/>
          <w:b/>
          <w:bCs/>
          <w:i w:val="0"/>
          <w:iCs w:val="0"/>
          <w:sz w:val="20"/>
          <w:szCs w:val="20"/>
        </w:rPr>
        <w:t>章 合同文本</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_Toc31913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19</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_Toc7479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w:t>
      </w:r>
      <w:r>
        <w:rPr>
          <w:rFonts w:hint="eastAsia" w:cs="宋体"/>
          <w:b/>
          <w:bCs/>
          <w:i w:val="0"/>
          <w:iCs w:val="0"/>
          <w:sz w:val="20"/>
          <w:szCs w:val="20"/>
          <w:lang w:val="en-US" w:eastAsia="zh-CN"/>
        </w:rPr>
        <w:t>七</w:t>
      </w:r>
      <w:r>
        <w:rPr>
          <w:rFonts w:hint="eastAsia" w:ascii="宋体" w:hAnsi="宋体" w:eastAsia="宋体" w:cs="宋体"/>
          <w:b/>
          <w:bCs/>
          <w:i w:val="0"/>
          <w:iCs w:val="0"/>
          <w:sz w:val="20"/>
          <w:szCs w:val="20"/>
        </w:rPr>
        <w:t>章 投标文件格式</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_Toc7479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34</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_Toc14120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投标文件编制说明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_Toc14120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34</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_Toc13912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格式1：投标函</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_Toc13912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40</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_Toc22320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格式2：法定代表人（单位负责人）证明书</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_Toc22320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41</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_Toc18721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格式3：授权委托书</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_Toc18721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42</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_Toc9942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格式4：资格条款偏离表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_Toc9942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43</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_Toc8265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格式5：法人或者其他组织的营业执照等证明文件</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_Toc8265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45</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_Toc13478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格式6：投标人资格声明函</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_Toc13478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46</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_Toc3102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格式7：开标一览表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_Toc3102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48</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_Toc17405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格式8：投标分项报价表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_Toc17405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49</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_Toc11711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格式9：技术规格偏离表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_Toc11711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50</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_Toc6088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格式10：技术保障措施</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_Toc6088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51</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_Toc4463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格式11：售后服务方案</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_Toc4463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51</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_Toc13351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格式12：商务条款偏离表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_Toc13351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52</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_Toc14376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格式13：投标人综合概况简表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_Toc14376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53</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_Toc22042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格式14：企业类型声明函</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_Toc22042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54</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_Toc29461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格式15：残疾人福利性单位声明函</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_Toc29461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57</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_Toc6565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格式16：同类项目业绩情况</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_Toc6565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58</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43"/>
        <w:tabs>
          <w:tab w:val="right" w:leader="dot" w:pos="8788"/>
          <w:tab w:val="clear" w:pos="426"/>
        </w:tabs>
        <w:spacing w:line="240" w:lineRule="auto"/>
        <w:rPr>
          <w:rFonts w:hint="eastAsia" w:ascii="宋体" w:hAnsi="宋体" w:eastAsia="宋体" w:cs="宋体"/>
          <w:i w:val="0"/>
          <w:iCs w:val="0"/>
          <w:sz w:val="21"/>
          <w:szCs w:val="21"/>
        </w:rPr>
      </w:pPr>
      <w:r>
        <w:rPr>
          <w:rFonts w:hint="eastAsia" w:ascii="宋体" w:hAnsi="宋体" w:eastAsia="宋体" w:cs="宋体"/>
          <w:i w:val="0"/>
          <w:iCs w:val="0"/>
          <w:smallCaps/>
          <w:sz w:val="21"/>
          <w:szCs w:val="21"/>
        </w:rPr>
        <w:fldChar w:fldCharType="begin"/>
      </w:r>
      <w:r>
        <w:rPr>
          <w:rFonts w:hint="eastAsia" w:ascii="宋体" w:hAnsi="宋体" w:eastAsia="宋体" w:cs="宋体"/>
          <w:i w:val="0"/>
          <w:iCs w:val="0"/>
          <w:smallCaps/>
          <w:sz w:val="21"/>
          <w:szCs w:val="21"/>
        </w:rPr>
        <w:instrText xml:space="preserve"> HYPERLINK \l _Toc18338 </w:instrText>
      </w:r>
      <w:r>
        <w:rPr>
          <w:rFonts w:hint="eastAsia" w:ascii="宋体" w:hAnsi="宋体" w:eastAsia="宋体" w:cs="宋体"/>
          <w:i w:val="0"/>
          <w:iCs w:val="0"/>
          <w:smallCaps/>
          <w:sz w:val="21"/>
          <w:szCs w:val="21"/>
        </w:rPr>
        <w:fldChar w:fldCharType="separate"/>
      </w:r>
      <w:r>
        <w:rPr>
          <w:rFonts w:hint="eastAsia" w:ascii="宋体" w:hAnsi="宋体" w:eastAsia="宋体" w:cs="宋体"/>
          <w:i w:val="0"/>
          <w:iCs w:val="0"/>
          <w:sz w:val="21"/>
          <w:szCs w:val="21"/>
        </w:rPr>
        <w:t>格式17：相关认证情况</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_Toc18338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59</w:t>
      </w:r>
      <w:r>
        <w:rPr>
          <w:rFonts w:hint="eastAsia" w:ascii="宋体" w:hAnsi="宋体" w:eastAsia="宋体" w:cs="宋体"/>
          <w:i w:val="0"/>
          <w:iCs w:val="0"/>
          <w:sz w:val="21"/>
          <w:szCs w:val="21"/>
        </w:rPr>
        <w:fldChar w:fldCharType="end"/>
      </w:r>
      <w:r>
        <w:rPr>
          <w:rFonts w:hint="eastAsia" w:ascii="宋体" w:hAnsi="宋体" w:eastAsia="宋体" w:cs="宋体"/>
          <w:i w:val="0"/>
          <w:iCs w:val="0"/>
          <w:smallCaps/>
          <w:sz w:val="21"/>
          <w:szCs w:val="21"/>
        </w:rPr>
        <w:fldChar w:fldCharType="end"/>
      </w:r>
    </w:p>
    <w:p>
      <w:pPr>
        <w:pStyle w:val="57"/>
        <w:shd w:val="clear" w:color="auto" w:fill="FFFFFF"/>
        <w:tabs>
          <w:tab w:val="right" w:leader="dot" w:pos="8788"/>
          <w:tab w:val="clear" w:pos="426"/>
          <w:tab w:val="clear" w:pos="8789"/>
        </w:tabs>
        <w:spacing w:line="240" w:lineRule="auto"/>
        <w:rPr>
          <w:rFonts w:hint="eastAsia" w:ascii="黑体" w:hAnsi="黑体" w:eastAsia="黑体" w:cs="黑体"/>
          <w:b/>
          <w:bCs/>
          <w:i w:val="0"/>
          <w:iCs w:val="0"/>
          <w:sz w:val="20"/>
          <w:szCs w:val="20"/>
        </w:rPr>
      </w:pPr>
      <w:r>
        <w:rPr>
          <w:rFonts w:hint="eastAsia" w:ascii="黑体" w:hAnsi="黑体" w:eastAsia="黑体" w:cs="黑体"/>
          <w:b/>
          <w:bCs/>
          <w:i w:val="0"/>
          <w:iCs w:val="0"/>
          <w:sz w:val="20"/>
          <w:szCs w:val="20"/>
        </w:rPr>
        <w:fldChar w:fldCharType="begin"/>
      </w:r>
      <w:r>
        <w:rPr>
          <w:rFonts w:hint="eastAsia" w:ascii="黑体" w:hAnsi="黑体" w:eastAsia="黑体" w:cs="黑体"/>
          <w:b/>
          <w:bCs/>
          <w:i w:val="0"/>
          <w:iCs w:val="0"/>
          <w:sz w:val="20"/>
          <w:szCs w:val="20"/>
        </w:rPr>
        <w:instrText xml:space="preserve"> HYPERLINK \l _Toc18960 </w:instrText>
      </w:r>
      <w:r>
        <w:rPr>
          <w:rFonts w:hint="eastAsia" w:ascii="黑体" w:hAnsi="黑体" w:eastAsia="黑体" w:cs="黑体"/>
          <w:b/>
          <w:bCs/>
          <w:i w:val="0"/>
          <w:iCs w:val="0"/>
          <w:sz w:val="20"/>
          <w:szCs w:val="20"/>
        </w:rPr>
        <w:fldChar w:fldCharType="separate"/>
      </w:r>
      <w:r>
        <w:rPr>
          <w:rFonts w:hint="eastAsia" w:ascii="黑体" w:hAnsi="黑体" w:eastAsia="黑体" w:cs="黑体"/>
          <w:b/>
          <w:bCs/>
          <w:i w:val="0"/>
          <w:iCs w:val="0"/>
          <w:sz w:val="20"/>
          <w:szCs w:val="20"/>
        </w:rPr>
        <w:t>招标文件第二册（通用部分）</w:t>
      </w:r>
      <w:r>
        <w:rPr>
          <w:rFonts w:hint="eastAsia" w:ascii="黑体" w:hAnsi="黑体" w:eastAsia="黑体" w:cs="黑体"/>
          <w:b/>
          <w:bCs/>
          <w:i w:val="0"/>
          <w:iCs w:val="0"/>
          <w:sz w:val="20"/>
          <w:szCs w:val="20"/>
        </w:rPr>
        <w:tab/>
      </w:r>
      <w:r>
        <w:rPr>
          <w:rFonts w:hint="eastAsia" w:ascii="黑体" w:hAnsi="黑体" w:eastAsia="黑体" w:cs="黑体"/>
          <w:b/>
          <w:bCs/>
          <w:i w:val="0"/>
          <w:iCs w:val="0"/>
          <w:sz w:val="20"/>
          <w:szCs w:val="20"/>
        </w:rPr>
        <w:fldChar w:fldCharType="begin"/>
      </w:r>
      <w:r>
        <w:rPr>
          <w:rFonts w:hint="eastAsia" w:ascii="黑体" w:hAnsi="黑体" w:eastAsia="黑体" w:cs="黑体"/>
          <w:b/>
          <w:bCs/>
          <w:i w:val="0"/>
          <w:iCs w:val="0"/>
          <w:sz w:val="20"/>
          <w:szCs w:val="20"/>
        </w:rPr>
        <w:instrText xml:space="preserve"> PAGEREF _Toc18960 \h </w:instrText>
      </w:r>
      <w:r>
        <w:rPr>
          <w:rFonts w:hint="eastAsia" w:ascii="黑体" w:hAnsi="黑体" w:eastAsia="黑体" w:cs="黑体"/>
          <w:b/>
          <w:bCs/>
          <w:i w:val="0"/>
          <w:iCs w:val="0"/>
          <w:sz w:val="20"/>
          <w:szCs w:val="20"/>
        </w:rPr>
        <w:fldChar w:fldCharType="separate"/>
      </w:r>
      <w:r>
        <w:rPr>
          <w:rFonts w:hint="eastAsia" w:ascii="黑体" w:hAnsi="黑体" w:eastAsia="黑体" w:cs="黑体"/>
          <w:b/>
          <w:bCs/>
          <w:i w:val="0"/>
          <w:iCs w:val="0"/>
          <w:sz w:val="20"/>
          <w:szCs w:val="20"/>
        </w:rPr>
        <w:t>60</w:t>
      </w:r>
      <w:r>
        <w:rPr>
          <w:rFonts w:hint="eastAsia" w:ascii="黑体" w:hAnsi="黑体" w:eastAsia="黑体" w:cs="黑体"/>
          <w:b/>
          <w:bCs/>
          <w:i w:val="0"/>
          <w:iCs w:val="0"/>
          <w:sz w:val="20"/>
          <w:szCs w:val="20"/>
        </w:rPr>
        <w:fldChar w:fldCharType="end"/>
      </w:r>
      <w:r>
        <w:rPr>
          <w:rFonts w:hint="eastAsia" w:ascii="黑体" w:hAnsi="黑体" w:eastAsia="黑体" w:cs="黑体"/>
          <w:b/>
          <w:bCs/>
          <w:i w:val="0"/>
          <w:iCs w:val="0"/>
          <w:sz w:val="20"/>
          <w:szCs w:val="20"/>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_Toc2369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第一章 总则</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_Toc2369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60</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_Toc30000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第二章 招标文件</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_Toc30000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62</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_Toc32273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第三章 投标文件的编制与递交</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_Toc32273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64</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_Toc25044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第四章 开标</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_Toc25044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68</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_Toc19980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第五章 评标要求</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_Toc19980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69</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_Toc19152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第六章 评标程序及评标方法</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_Toc19152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70</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_Toc14446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第七章 定标及公示</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_Toc14446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73</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_Toc2883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第八章 公开招标失败的后续处理</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_Toc2883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74</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_Toc10600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第九章 合同的授予与备案</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_Toc10600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77</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71"/>
        <w:shd w:val="clear" w:color="auto" w:fill="FFFFFF"/>
        <w:tabs>
          <w:tab w:val="right" w:leader="dot" w:pos="8788"/>
          <w:tab w:val="clear" w:pos="8789"/>
        </w:tabs>
        <w:spacing w:line="240" w:lineRule="auto"/>
        <w:rPr>
          <w:rFonts w:hint="eastAsia" w:ascii="宋体" w:hAnsi="宋体" w:eastAsia="宋体" w:cs="宋体"/>
          <w:i w:val="0"/>
          <w:iCs w:val="0"/>
          <w:sz w:val="21"/>
          <w:szCs w:val="21"/>
        </w:rPr>
      </w:pP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HYPERLINK \l _Toc3581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第十章 质疑受理</w:t>
      </w:r>
      <w:r>
        <w:rPr>
          <w:rFonts w:hint="eastAsia" w:ascii="宋体" w:hAnsi="宋体" w:eastAsia="宋体" w:cs="宋体"/>
          <w:b/>
          <w:bCs/>
          <w:i w:val="0"/>
          <w:iCs w:val="0"/>
          <w:sz w:val="20"/>
          <w:szCs w:val="20"/>
        </w:rPr>
        <w:tab/>
      </w:r>
      <w:r>
        <w:rPr>
          <w:rFonts w:hint="eastAsia" w:ascii="宋体" w:hAnsi="宋体" w:eastAsia="宋体" w:cs="宋体"/>
          <w:b/>
          <w:bCs/>
          <w:i w:val="0"/>
          <w:iCs w:val="0"/>
          <w:sz w:val="20"/>
          <w:szCs w:val="20"/>
        </w:rPr>
        <w:fldChar w:fldCharType="begin"/>
      </w:r>
      <w:r>
        <w:rPr>
          <w:rFonts w:hint="eastAsia" w:ascii="宋体" w:hAnsi="宋体" w:eastAsia="宋体" w:cs="宋体"/>
          <w:b/>
          <w:bCs/>
          <w:i w:val="0"/>
          <w:iCs w:val="0"/>
          <w:sz w:val="20"/>
          <w:szCs w:val="20"/>
        </w:rPr>
        <w:instrText xml:space="preserve"> PAGEREF _Toc3581 \h </w:instrText>
      </w:r>
      <w:r>
        <w:rPr>
          <w:rFonts w:hint="eastAsia" w:ascii="宋体" w:hAnsi="宋体" w:eastAsia="宋体" w:cs="宋体"/>
          <w:b/>
          <w:bCs/>
          <w:i w:val="0"/>
          <w:iCs w:val="0"/>
          <w:sz w:val="20"/>
          <w:szCs w:val="20"/>
        </w:rPr>
        <w:fldChar w:fldCharType="separate"/>
      </w:r>
      <w:r>
        <w:rPr>
          <w:rFonts w:hint="eastAsia" w:ascii="宋体" w:hAnsi="宋体" w:eastAsia="宋体" w:cs="宋体"/>
          <w:b/>
          <w:bCs/>
          <w:i w:val="0"/>
          <w:iCs w:val="0"/>
          <w:sz w:val="20"/>
          <w:szCs w:val="20"/>
        </w:rPr>
        <w:t>77</w:t>
      </w:r>
      <w:r>
        <w:rPr>
          <w:rFonts w:hint="eastAsia" w:ascii="宋体" w:hAnsi="宋体" w:eastAsia="宋体" w:cs="宋体"/>
          <w:b/>
          <w:bCs/>
          <w:i w:val="0"/>
          <w:iCs w:val="0"/>
          <w:sz w:val="20"/>
          <w:szCs w:val="20"/>
        </w:rPr>
        <w:fldChar w:fldCharType="end"/>
      </w:r>
      <w:r>
        <w:rPr>
          <w:rFonts w:hint="eastAsia" w:ascii="宋体" w:hAnsi="宋体" w:eastAsia="宋体" w:cs="宋体"/>
          <w:b/>
          <w:bCs/>
          <w:i w:val="0"/>
          <w:iCs w:val="0"/>
          <w:sz w:val="20"/>
          <w:szCs w:val="20"/>
        </w:rPr>
        <w:fldChar w:fldCharType="end"/>
      </w:r>
    </w:p>
    <w:p>
      <w:pPr>
        <w:pStyle w:val="57"/>
        <w:shd w:val="clear" w:color="auto" w:fill="FFFFFF"/>
        <w:tabs>
          <w:tab w:val="right" w:leader="dot" w:pos="8788"/>
          <w:tab w:val="clear" w:pos="426"/>
          <w:tab w:val="clear" w:pos="8789"/>
        </w:tabs>
        <w:spacing w:line="240" w:lineRule="auto"/>
        <w:rPr>
          <w:rFonts w:hint="eastAsia" w:ascii="黑体" w:hAnsi="黑体" w:eastAsia="黑体" w:cs="黑体"/>
          <w:b/>
          <w:bCs/>
          <w:i w:val="0"/>
          <w:iCs w:val="0"/>
          <w:sz w:val="20"/>
          <w:szCs w:val="20"/>
        </w:rPr>
      </w:pPr>
      <w:r>
        <w:rPr>
          <w:rFonts w:hint="eastAsia" w:ascii="黑体" w:hAnsi="黑体" w:eastAsia="黑体" w:cs="黑体"/>
          <w:b/>
          <w:bCs/>
          <w:i w:val="0"/>
          <w:iCs w:val="0"/>
          <w:sz w:val="20"/>
          <w:szCs w:val="20"/>
        </w:rPr>
        <w:fldChar w:fldCharType="begin"/>
      </w:r>
      <w:r>
        <w:rPr>
          <w:rFonts w:hint="eastAsia" w:ascii="黑体" w:hAnsi="黑体" w:eastAsia="黑体" w:cs="黑体"/>
          <w:b/>
          <w:bCs/>
          <w:i w:val="0"/>
          <w:iCs w:val="0"/>
          <w:sz w:val="20"/>
          <w:szCs w:val="20"/>
        </w:rPr>
        <w:instrText xml:space="preserve"> HYPERLINK \l _Toc23138 </w:instrText>
      </w:r>
      <w:r>
        <w:rPr>
          <w:rFonts w:hint="eastAsia" w:ascii="黑体" w:hAnsi="黑体" w:eastAsia="黑体" w:cs="黑体"/>
          <w:b/>
          <w:bCs/>
          <w:i w:val="0"/>
          <w:iCs w:val="0"/>
          <w:sz w:val="20"/>
          <w:szCs w:val="20"/>
        </w:rPr>
        <w:fldChar w:fldCharType="separate"/>
      </w:r>
      <w:r>
        <w:rPr>
          <w:rFonts w:hint="eastAsia" w:ascii="黑体" w:hAnsi="黑体" w:eastAsia="黑体" w:cs="黑体"/>
          <w:b/>
          <w:bCs/>
          <w:i w:val="0"/>
          <w:iCs w:val="0"/>
          <w:sz w:val="20"/>
          <w:szCs w:val="20"/>
        </w:rPr>
        <w:t>招标代理服务取费说明</w:t>
      </w:r>
      <w:r>
        <w:rPr>
          <w:rFonts w:hint="eastAsia" w:ascii="黑体" w:hAnsi="黑体" w:eastAsia="黑体" w:cs="黑体"/>
          <w:b/>
          <w:bCs/>
          <w:i w:val="0"/>
          <w:iCs w:val="0"/>
          <w:sz w:val="20"/>
          <w:szCs w:val="20"/>
        </w:rPr>
        <w:tab/>
      </w:r>
      <w:r>
        <w:rPr>
          <w:rFonts w:hint="eastAsia" w:ascii="黑体" w:hAnsi="黑体" w:eastAsia="黑体" w:cs="黑体"/>
          <w:b/>
          <w:bCs/>
          <w:i w:val="0"/>
          <w:iCs w:val="0"/>
          <w:sz w:val="20"/>
          <w:szCs w:val="20"/>
        </w:rPr>
        <w:fldChar w:fldCharType="begin"/>
      </w:r>
      <w:r>
        <w:rPr>
          <w:rFonts w:hint="eastAsia" w:ascii="黑体" w:hAnsi="黑体" w:eastAsia="黑体" w:cs="黑体"/>
          <w:b/>
          <w:bCs/>
          <w:i w:val="0"/>
          <w:iCs w:val="0"/>
          <w:sz w:val="20"/>
          <w:szCs w:val="20"/>
        </w:rPr>
        <w:instrText xml:space="preserve"> PAGEREF _Toc23138 \h </w:instrText>
      </w:r>
      <w:r>
        <w:rPr>
          <w:rFonts w:hint="eastAsia" w:ascii="黑体" w:hAnsi="黑体" w:eastAsia="黑体" w:cs="黑体"/>
          <w:b/>
          <w:bCs/>
          <w:i w:val="0"/>
          <w:iCs w:val="0"/>
          <w:sz w:val="20"/>
          <w:szCs w:val="20"/>
        </w:rPr>
        <w:fldChar w:fldCharType="separate"/>
      </w:r>
      <w:r>
        <w:rPr>
          <w:rFonts w:hint="eastAsia" w:ascii="黑体" w:hAnsi="黑体" w:eastAsia="黑体" w:cs="黑体"/>
          <w:b/>
          <w:bCs/>
          <w:i w:val="0"/>
          <w:iCs w:val="0"/>
          <w:sz w:val="20"/>
          <w:szCs w:val="20"/>
        </w:rPr>
        <w:t>80</w:t>
      </w:r>
      <w:r>
        <w:rPr>
          <w:rFonts w:hint="eastAsia" w:ascii="黑体" w:hAnsi="黑体" w:eastAsia="黑体" w:cs="黑体"/>
          <w:b/>
          <w:bCs/>
          <w:i w:val="0"/>
          <w:iCs w:val="0"/>
          <w:sz w:val="20"/>
          <w:szCs w:val="20"/>
        </w:rPr>
        <w:fldChar w:fldCharType="end"/>
      </w:r>
      <w:r>
        <w:rPr>
          <w:rFonts w:hint="eastAsia" w:ascii="黑体" w:hAnsi="黑体" w:eastAsia="黑体" w:cs="黑体"/>
          <w:b/>
          <w:bCs/>
          <w:i w:val="0"/>
          <w:iCs w:val="0"/>
          <w:sz w:val="20"/>
          <w:szCs w:val="20"/>
        </w:rPr>
        <w:fldChar w:fldCharType="end"/>
      </w:r>
    </w:p>
    <w:p>
      <w:pPr>
        <w:tabs>
          <w:tab w:val="right" w:leader="dot" w:pos="8820"/>
          <w:tab w:val="right" w:leader="dot" w:pos="9240"/>
          <w:tab w:val="clear" w:pos="426"/>
        </w:tabs>
        <w:spacing w:line="240" w:lineRule="auto"/>
        <w:rPr>
          <w:rFonts w:hint="eastAsia"/>
        </w:rPr>
      </w:pPr>
      <w:r>
        <w:rPr>
          <w:rFonts w:hint="eastAsia" w:ascii="宋体" w:hAnsi="宋体" w:eastAsia="宋体" w:cs="宋体"/>
          <w:i w:val="0"/>
          <w:iCs w:val="0"/>
          <w:smallCaps/>
          <w:sz w:val="21"/>
          <w:szCs w:val="21"/>
        </w:rPr>
        <w:fldChar w:fldCharType="end"/>
      </w:r>
    </w:p>
    <w:p>
      <w:pPr>
        <w:tabs>
          <w:tab w:val="clear" w:pos="426"/>
        </w:tabs>
        <w:spacing w:line="240" w:lineRule="auto"/>
        <w:rPr>
          <w:rFonts w:hint="eastAsia"/>
        </w:rPr>
        <w:sectPr>
          <w:footerReference r:id="rId5" w:type="even"/>
          <w:pgSz w:w="11906" w:h="16838"/>
          <w:pgMar w:top="1134" w:right="1700" w:bottom="1134" w:left="1418" w:header="851" w:footer="992" w:gutter="0"/>
          <w:pgNumType w:start="0"/>
          <w:cols w:space="720" w:num="1"/>
          <w:titlePg/>
          <w:docGrid w:linePitch="462" w:charSpace="0"/>
        </w:sectPr>
      </w:pPr>
    </w:p>
    <w:p>
      <w:pPr>
        <w:pStyle w:val="62"/>
      </w:pPr>
      <w:bookmarkStart w:id="0" w:name="_Toc8105"/>
      <w:bookmarkStart w:id="1" w:name="_Toc432592808"/>
      <w:r>
        <w:rPr>
          <w:rFonts w:hint="eastAsia"/>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项目编号</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SSZX2024-384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项目名称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深圳海关动植物检验检疫技术中心“普通PCR仪”设备采购项目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项目类型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采购方式</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货币类型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预算金额</w:t>
            </w:r>
          </w:p>
        </w:tc>
        <w:tc>
          <w:tcPr>
            <w:tcW w:w="5968"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cs="Times New Roman"/>
                <w:kern w:val="2"/>
                <w:szCs w:val="21"/>
              </w:rPr>
              <w:t>20</w:t>
            </w:r>
            <w:r>
              <w:rPr>
                <w:rFonts w:hint="eastAsia" w:cs="Times New Roman"/>
                <w:kern w:val="2"/>
                <w:szCs w:val="21"/>
                <w:lang w:val="en-US" w:eastAsia="zh-CN"/>
              </w:rPr>
              <w:t>.</w:t>
            </w:r>
            <w:r>
              <w:rPr>
                <w:rFonts w:hint="eastAsia" w:cs="Times New Roman"/>
                <w:kern w:val="2"/>
                <w:szCs w:val="21"/>
              </w:rPr>
              <w:t xml:space="preserve">000000 </w:t>
            </w:r>
            <w:r>
              <w:rPr>
                <w:rFonts w:hint="eastAsia" w:cs="Times New Roman"/>
                <w:kern w:val="2"/>
                <w:szCs w:val="21"/>
                <w:lang w:val="en-US" w:eastAsia="zh-CN"/>
              </w:rPr>
              <w:t>万</w:t>
            </w:r>
            <w:r>
              <w:rPr>
                <w:rFonts w:hint="eastAsia" w:cs="Times New Roman"/>
                <w:kern w:val="2"/>
                <w:szCs w:val="21"/>
              </w:rPr>
              <w:t>元</w:t>
            </w:r>
            <w:r>
              <w:rPr>
                <w:rFonts w:hint="eastAsia" w:asciiTheme="minorEastAsia" w:hAnsiTheme="minorEastAsia" w:eastAsiaTheme="minorEastAsia"/>
                <w:bCs/>
                <w:szCs w:val="21"/>
              </w:rPr>
              <w:t>（人民币</w:t>
            </w:r>
            <w:r>
              <w:rPr>
                <w:rFonts w:hint="eastAsia" w:eastAsiaTheme="minorEastAsia"/>
                <w:bCs/>
                <w:szCs w:val="21"/>
              </w:rPr>
              <w:t>贰拾万元整</w:t>
            </w:r>
            <w:r>
              <w:rPr>
                <w:rFonts w:hint="eastAsia" w:asciiTheme="minorEastAsia" w:hAnsiTheme="minorEastAsia" w:eastAsiaTheme="minor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最高限价</w:t>
            </w:r>
          </w:p>
        </w:tc>
        <w:tc>
          <w:tcPr>
            <w:tcW w:w="5968"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cs="Times New Roman"/>
                <w:kern w:val="2"/>
                <w:szCs w:val="21"/>
              </w:rPr>
              <w:t>20</w:t>
            </w:r>
            <w:r>
              <w:rPr>
                <w:rFonts w:hint="eastAsia" w:cs="Times New Roman"/>
                <w:kern w:val="2"/>
                <w:szCs w:val="21"/>
                <w:lang w:val="en-US" w:eastAsia="zh-CN"/>
              </w:rPr>
              <w:t>.</w:t>
            </w:r>
            <w:r>
              <w:rPr>
                <w:rFonts w:hint="eastAsia" w:cs="Times New Roman"/>
                <w:kern w:val="2"/>
                <w:szCs w:val="21"/>
              </w:rPr>
              <w:t xml:space="preserve">000000 </w:t>
            </w:r>
            <w:r>
              <w:rPr>
                <w:rFonts w:hint="eastAsia" w:cs="Times New Roman"/>
                <w:kern w:val="2"/>
                <w:szCs w:val="21"/>
                <w:lang w:val="en-US" w:eastAsia="zh-CN"/>
              </w:rPr>
              <w:t>万</w:t>
            </w:r>
            <w:r>
              <w:rPr>
                <w:rFonts w:hint="eastAsia" w:cs="Times New Roman"/>
                <w:kern w:val="2"/>
                <w:szCs w:val="21"/>
              </w:rPr>
              <w:t>元</w:t>
            </w:r>
            <w:r>
              <w:rPr>
                <w:rFonts w:hint="eastAsia" w:asciiTheme="minorEastAsia" w:hAnsiTheme="minorEastAsia" w:eastAsiaTheme="minorEastAsia"/>
                <w:bCs/>
                <w:szCs w:val="21"/>
              </w:rPr>
              <w:t xml:space="preserve"> （人民币</w:t>
            </w:r>
            <w:r>
              <w:rPr>
                <w:rFonts w:hint="eastAsia" w:eastAsiaTheme="minorEastAsia"/>
                <w:bCs/>
                <w:szCs w:val="21"/>
              </w:rPr>
              <w:t>贰拾万元整</w:t>
            </w:r>
            <w:r>
              <w:rPr>
                <w:rFonts w:hint="eastAsia" w:asciiTheme="minorEastAsia" w:hAnsiTheme="minorEastAsia" w:eastAsiaTheme="minorEastAsia"/>
                <w:bCs/>
                <w:szCs w:val="21"/>
              </w:rPr>
              <w:t>）</w:t>
            </w:r>
          </w:p>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szCs w:val="21"/>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报价要求</w:t>
            </w:r>
          </w:p>
        </w:tc>
        <w:tc>
          <w:tcPr>
            <w:tcW w:w="5968" w:type="dxa"/>
            <w:vAlign w:val="center"/>
          </w:tcPr>
          <w:p>
            <w:pPr>
              <w:tabs>
                <w:tab w:val="clear" w:pos="426"/>
              </w:tabs>
              <w:adjustRightInd/>
              <w:snapToGrid/>
              <w:spacing w:line="320" w:lineRule="exact"/>
              <w:rPr>
                <w:rFonts w:hint="eastAsia"/>
              </w:rPr>
            </w:pPr>
            <w:r>
              <w:rPr>
                <w:rFonts w:hint="eastAsia"/>
              </w:rPr>
              <w:t>1.投标报价以人民币元为计算单位。</w:t>
            </w:r>
          </w:p>
          <w:p>
            <w:pPr>
              <w:tabs>
                <w:tab w:val="clear" w:pos="426"/>
              </w:tabs>
              <w:adjustRightInd/>
              <w:snapToGrid/>
              <w:spacing w:line="320" w:lineRule="exact"/>
              <w:rPr>
                <w:rFonts w:hint="eastAsia"/>
              </w:rPr>
            </w:pPr>
            <w:r>
              <w:rPr>
                <w:rFonts w:hint="eastAsia"/>
              </w:rPr>
              <w:t>2.本项目投标上限金额为本项目预算金额（包含分项预算、总预算金额）。</w:t>
            </w:r>
          </w:p>
          <w:p>
            <w:pPr>
              <w:tabs>
                <w:tab w:val="clear" w:pos="426"/>
              </w:tabs>
              <w:adjustRightInd/>
              <w:snapToGrid/>
              <w:spacing w:line="320" w:lineRule="exact"/>
              <w:rPr>
                <w:rFonts w:hint="eastAsia"/>
              </w:rPr>
            </w:pPr>
            <w:r>
              <w:rPr>
                <w:rFonts w:hint="eastAsia"/>
              </w:rPr>
              <w:t>3投标人报价应包含合同期内所有内容所产生的费用。</w:t>
            </w:r>
          </w:p>
          <w:p>
            <w:pPr>
              <w:tabs>
                <w:tab w:val="clear" w:pos="426"/>
              </w:tabs>
              <w:adjustRightInd/>
              <w:snapToGrid/>
              <w:spacing w:line="320" w:lineRule="exact"/>
              <w:rPr>
                <w:rFonts w:hint="eastAsia"/>
              </w:rPr>
            </w:pPr>
            <w:r>
              <w:rPr>
                <w:rFonts w:hint="eastAsia"/>
              </w:rPr>
              <w:t>4.投标人应充分了解任何其它足以影响投标报价的情况，任何因忽视或误解项目情况而导致的索赔或合同期限延长申请将不获批准。投标人在投标报价时，应充分考虑投标报价的风险。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评定分离</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评标方法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定标方法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投标供应商的替代方案</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single"/>
              </w:rPr>
            </w:pPr>
            <w:r>
              <w:rPr>
                <w:rFonts w:hint="eastAsia" w:asciiTheme="minorEastAsia" w:hAnsiTheme="minorEastAsia"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投标有效期</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90</w:t>
            </w:r>
            <w:r>
              <w:rPr>
                <w:rFonts w:asciiTheme="minorEastAsia" w:hAnsiTheme="minorEastAsia" w:eastAsiaTheme="minorEastAsia"/>
                <w:szCs w:val="21"/>
              </w:rPr>
              <w:t>日历</w:t>
            </w:r>
            <w:r>
              <w:rPr>
                <w:rFonts w:hint="eastAsia" w:asciiTheme="minorEastAsia" w:hAnsiTheme="minorEastAsia" w:eastAsiaTheme="minorEastAsia"/>
                <w:szCs w:val="21"/>
              </w:rPr>
              <w:t>天</w:t>
            </w:r>
            <w:r>
              <w:rPr>
                <w:rFonts w:asciiTheme="minorEastAsia" w:hAnsiTheme="minorEastAsia" w:eastAsiaTheme="minorEastAsia"/>
                <w:szCs w:val="21"/>
              </w:rPr>
              <w:t>（</w:t>
            </w:r>
            <w:r>
              <w:rPr>
                <w:rFonts w:hint="eastAsia" w:asciiTheme="minorEastAsia" w:hAnsiTheme="minorEastAsia" w:eastAsiaTheme="minorEastAsia"/>
                <w:szCs w:val="21"/>
              </w:rPr>
              <w:t>从投标截止之日算起</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履约保证金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■提交，履约保证金为合同金额的10%，提交形式：银行保函或银行电汇。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投标文件份数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投标文件电子档</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电子光盘一张或</w:t>
            </w:r>
            <w:r>
              <w:rPr>
                <w:rFonts w:asciiTheme="minorEastAsia" w:hAnsiTheme="minorEastAsia" w:eastAsiaTheme="minorEastAsia"/>
                <w:szCs w:val="21"/>
              </w:rPr>
              <w:t>U盘一个</w:t>
            </w:r>
            <w:r>
              <w:rPr>
                <w:rFonts w:hint="eastAsia" w:asciiTheme="minorEastAsia" w:hAnsiTheme="minorEastAsia" w:eastAsiaTheme="minorEastAsia"/>
                <w:szCs w:val="21"/>
              </w:rPr>
              <w:t>（</w:t>
            </w:r>
            <w:r>
              <w:rPr>
                <w:rFonts w:asciiTheme="minorEastAsia" w:hAnsiTheme="minorEastAsia" w:eastAsiaTheme="minorEastAsia"/>
                <w:szCs w:val="21"/>
              </w:rPr>
              <w:t>WORD及</w:t>
            </w:r>
            <w:r>
              <w:rPr>
                <w:rFonts w:hint="eastAsia" w:asciiTheme="minorEastAsia" w:hAnsiTheme="minorEastAsia" w:eastAsiaTheme="minorEastAsia"/>
                <w:szCs w:val="21"/>
              </w:rPr>
              <w:t>投标文件正本盖章后的彩色扫描件，</w:t>
            </w:r>
            <w:r>
              <w:rPr>
                <w:rFonts w:asciiTheme="minorEastAsia" w:hAnsiTheme="minorEastAsia" w:eastAsiaTheme="minorEastAsia"/>
                <w:szCs w:val="21"/>
              </w:rPr>
              <w:t>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踏勘现场</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投标供应商提出疑问截止时间</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在获取采购文件或者采购文件公告期限届满之日起</w:t>
            </w:r>
            <w:r>
              <w:rPr>
                <w:rFonts w:asciiTheme="minorEastAsia" w:hAnsiTheme="minorEastAsia" w:eastAsiaTheme="minorEastAsia"/>
                <w:szCs w:val="21"/>
              </w:rPr>
              <w:t>7个工作日内对采购文件提出质疑</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澄清或修补、答疑的期限</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截标之日（当日不计）15</w:t>
            </w:r>
            <w:r>
              <w:rPr>
                <w:rFonts w:asciiTheme="minorEastAsia" w:hAnsiTheme="minorEastAsia" w:eastAsiaTheme="minorEastAsia"/>
                <w:szCs w:val="21"/>
              </w:rPr>
              <w:t>日</w:t>
            </w:r>
            <w:r>
              <w:rPr>
                <w:rFonts w:hint="eastAsia" w:asciiTheme="minorEastAsia" w:hAnsiTheme="minorEastAsia" w:eastAsiaTheme="minorEastAsia"/>
                <w:szCs w:val="21"/>
              </w:rPr>
              <w:t>前</w:t>
            </w:r>
            <w:r>
              <w:rPr>
                <w:rFonts w:hint="eastAsia" w:asciiTheme="minorEastAsia" w:hAnsiTheme="minorEastAsia" w:eastAsiaTheme="minorEastAsia"/>
                <w:szCs w:val="21"/>
                <w:u w:val="none"/>
              </w:rPr>
              <w:t>17：30</w:t>
            </w:r>
            <w:r>
              <w:rPr>
                <w:rFonts w:hint="eastAsia" w:asciiTheme="minorEastAsia" w:hAnsiTheme="minorEastAsia" w:eastAsiaTheme="minorEastAsia"/>
                <w:szCs w:val="21"/>
              </w:rPr>
              <w:t>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招标代理</w:t>
            </w:r>
            <w:r>
              <w:rPr>
                <w:rFonts w:asciiTheme="minorEastAsia" w:hAnsiTheme="minorEastAsia" w:eastAsiaTheme="minorEastAsia"/>
                <w:szCs w:val="21"/>
              </w:rPr>
              <w:t>服务费</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采购代理机构以中标金额为计算基数，按差额定率累进法计算，向中标供应商收取</w:t>
            </w:r>
            <w:r>
              <w:rPr>
                <w:rFonts w:asciiTheme="minorEastAsia" w:hAnsiTheme="minorEastAsia" w:eastAsiaTheme="minorEastAsia"/>
                <w:szCs w:val="21"/>
              </w:rPr>
              <w:t>。</w:t>
            </w:r>
            <w:r>
              <w:rPr>
                <w:rFonts w:hint="eastAsia" w:asciiTheme="minorEastAsia" w:hAnsiTheme="minorEastAsia" w:eastAsiaTheme="minorEastAsia"/>
                <w:szCs w:val="21"/>
              </w:rPr>
              <w:t>招标代理服务费采用转账的方式，账户信息如下：户名：深圳市深水水务咨询有限公司；账号：</w:t>
            </w:r>
            <w:r>
              <w:rPr>
                <w:rFonts w:asciiTheme="minorEastAsia" w:hAnsiTheme="minorEastAsia" w:eastAsiaTheme="minorEastAsia"/>
                <w:szCs w:val="21"/>
              </w:rPr>
              <w:t>443899991010003343618</w:t>
            </w:r>
            <w:r>
              <w:rPr>
                <w:rFonts w:hint="eastAsia" w:asciiTheme="minorEastAsia" w:hAnsiTheme="minorEastAsia" w:eastAsiaTheme="minorEastAsia"/>
                <w:szCs w:val="21"/>
              </w:rPr>
              <w:t>；开户行：交通银行深圳金叶支行。</w:t>
            </w:r>
          </w:p>
        </w:tc>
      </w:tr>
    </w:tbl>
    <w:p>
      <w:pPr>
        <w:widowControl w:val="0"/>
        <w:shd w:val="clear" w:color="auto" w:fill="auto"/>
        <w:tabs>
          <w:tab w:val="clear" w:pos="426"/>
        </w:tabs>
        <w:adjustRightInd/>
        <w:snapToGrid/>
        <w:spacing w:line="240" w:lineRule="auto"/>
        <w:ind w:left="3040" w:hanging="3040" w:hangingChars="950"/>
        <w:rPr>
          <w:rFonts w:hint="eastAsia" w:cs="Times New Roman"/>
          <w:kern w:val="2"/>
          <w:sz w:val="32"/>
          <w:szCs w:val="20"/>
        </w:rPr>
      </w:pPr>
    </w:p>
    <w:p>
      <w:pPr>
        <w:pStyle w:val="81"/>
        <w:tabs>
          <w:tab w:val="clear" w:pos="426"/>
        </w:tabs>
      </w:pPr>
      <w:r>
        <w:br w:type="page"/>
      </w:r>
      <w:bookmarkStart w:id="2" w:name="_Toc26776"/>
      <w:r>
        <w:rPr>
          <w:rFonts w:hint="eastAsia"/>
        </w:rPr>
        <w:t>招标文件第一册（专用部分）</w:t>
      </w:r>
      <w:bookmarkEnd w:id="2"/>
    </w:p>
    <w:p>
      <w:pPr>
        <w:pStyle w:val="62"/>
      </w:pPr>
      <w:bookmarkStart w:id="3" w:name="_Toc265483798"/>
      <w:bookmarkStart w:id="4" w:name="_Toc432592813"/>
      <w:bookmarkStart w:id="5" w:name="_Toc16741"/>
      <w:r>
        <w:rPr>
          <w:rFonts w:hint="eastAsia"/>
        </w:rPr>
        <w:t>第一章</w:t>
      </w:r>
      <w:bookmarkEnd w:id="3"/>
      <w:bookmarkEnd w:id="4"/>
      <w:r>
        <w:rPr>
          <w:rFonts w:hint="eastAsia"/>
        </w:rPr>
        <w:t xml:space="preserve"> 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bookmarkStart w:id="6"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深圳海关动植物检验检疫技术中心“普通PCR仪”设备采购项目的潜在投标人应在深圳市罗湖区清水河街道清水河社区清水河一路112号罗湖投资控股大厦裙楼401获取招标文件，并于202</w:t>
      </w:r>
      <w:r>
        <w:rPr>
          <w:rFonts w:cs="Times New Roman"/>
          <w:kern w:val="2"/>
          <w:szCs w:val="21"/>
        </w:rPr>
        <w:t>4</w:t>
      </w:r>
      <w:r>
        <w:rPr>
          <w:rFonts w:hint="eastAsia" w:cs="Times New Roman"/>
          <w:kern w:val="2"/>
          <w:szCs w:val="21"/>
        </w:rPr>
        <w:t>年*月*</w:t>
      </w:r>
      <w:r>
        <w:rPr>
          <w:rFonts w:hint="eastAsia" w:cs="Times New Roman"/>
          <w:bCs/>
          <w:kern w:val="2"/>
          <w:szCs w:val="21"/>
        </w:rPr>
        <w:t>日14点30分（北京时间）前递交投标</w:t>
      </w:r>
      <w:r>
        <w:rPr>
          <w:rFonts w:cs="Times New Roman"/>
          <w:bCs/>
          <w:kern w:val="2"/>
          <w:szCs w:val="21"/>
        </w:rPr>
        <w:t>文件</w:t>
      </w:r>
      <w:r>
        <w:rPr>
          <w:rFonts w:hint="eastAsia" w:cs="Times New Roman"/>
          <w:kern w:val="2"/>
          <w:szCs w:val="21"/>
        </w:rPr>
        <w:t>。</w:t>
      </w:r>
    </w:p>
    <w:p>
      <w:pPr>
        <w:widowControl w:val="0"/>
        <w:shd w:val="clear" w:color="auto" w:fill="auto"/>
        <w:tabs>
          <w:tab w:val="clear" w:pos="426"/>
        </w:tabs>
        <w:adjustRightInd/>
        <w:snapToGrid/>
        <w:spacing w:line="240" w:lineRule="auto"/>
        <w:rPr>
          <w:rFonts w:hint="eastAsia" w:cs="Times New Roman"/>
          <w:kern w:val="2"/>
          <w:szCs w:val="21"/>
        </w:rPr>
      </w:pPr>
    </w:p>
    <w:p>
      <w:pPr>
        <w:spacing w:line="240" w:lineRule="auto"/>
        <w:rPr>
          <w:rFonts w:hint="eastAsia"/>
          <w:b/>
          <w:kern w:val="2"/>
          <w:szCs w:val="21"/>
        </w:rPr>
      </w:pPr>
      <w:bookmarkStart w:id="7" w:name="_Toc35393790"/>
      <w:bookmarkStart w:id="8" w:name="_Toc28359002"/>
      <w:bookmarkStart w:id="9" w:name="_Toc35393621"/>
      <w:bookmarkStart w:id="10" w:name="_Toc28359079"/>
      <w:bookmarkStart w:id="11" w:name="_Hlk24379207"/>
      <w:r>
        <w:rPr>
          <w:rFonts w:hint="eastAsia"/>
          <w:b/>
          <w:kern w:val="2"/>
          <w:szCs w:val="21"/>
        </w:rPr>
        <w:t>一、项目基本情况</w:t>
      </w:r>
      <w:bookmarkEnd w:id="7"/>
      <w:bookmarkEnd w:id="8"/>
      <w:bookmarkEnd w:id="9"/>
      <w:bookmarkEnd w:id="10"/>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项目编号：SSZX2024-384</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项目名称：深圳海关动植物检验检疫技术中心“普通PCR仪”设备采购项目</w:t>
      </w:r>
    </w:p>
    <w:bookmarkEnd w:id="11"/>
    <w:p>
      <w:pPr>
        <w:widowControl w:val="0"/>
        <w:shd w:val="clear" w:color="auto" w:fill="auto"/>
        <w:tabs>
          <w:tab w:val="clear" w:pos="426"/>
        </w:tabs>
        <w:adjustRightInd/>
        <w:snapToGrid/>
        <w:spacing w:line="240" w:lineRule="auto"/>
        <w:ind w:firstLine="420" w:firstLineChars="200"/>
        <w:rPr>
          <w:rFonts w:hint="eastAsia"/>
          <w:szCs w:val="21"/>
        </w:rPr>
      </w:pPr>
      <w:r>
        <w:rPr>
          <w:rFonts w:hint="eastAsia" w:cs="Times New Roman"/>
          <w:kern w:val="2"/>
          <w:szCs w:val="21"/>
        </w:rPr>
        <w:t>预算金额：20</w:t>
      </w:r>
      <w:r>
        <w:rPr>
          <w:rFonts w:hint="eastAsia" w:cs="Times New Roman"/>
          <w:kern w:val="2"/>
          <w:szCs w:val="21"/>
          <w:lang w:val="en-US" w:eastAsia="zh-CN"/>
        </w:rPr>
        <w:t>.</w:t>
      </w:r>
      <w:r>
        <w:rPr>
          <w:rFonts w:hint="eastAsia" w:cs="Times New Roman"/>
          <w:kern w:val="2"/>
          <w:szCs w:val="21"/>
        </w:rPr>
        <w:t xml:space="preserve">000000 </w:t>
      </w:r>
      <w:r>
        <w:rPr>
          <w:rFonts w:hint="eastAsia" w:cs="Times New Roman"/>
          <w:kern w:val="2"/>
          <w:szCs w:val="21"/>
          <w:lang w:val="en-US" w:eastAsia="zh-CN"/>
        </w:rPr>
        <w:t>万</w:t>
      </w:r>
      <w:r>
        <w:rPr>
          <w:rFonts w:hint="eastAsia" w:cs="Times New Roman"/>
          <w:kern w:val="2"/>
          <w:szCs w:val="21"/>
        </w:rPr>
        <w:t>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最高限价：</w:t>
      </w:r>
      <w:bookmarkStart w:id="12" w:name="OLE_LINK3"/>
      <w:r>
        <w:rPr>
          <w:rFonts w:hint="eastAsia" w:cs="Times New Roman"/>
          <w:kern w:val="2"/>
          <w:szCs w:val="21"/>
        </w:rPr>
        <w:t>20</w:t>
      </w:r>
      <w:r>
        <w:rPr>
          <w:rFonts w:hint="eastAsia" w:cs="Times New Roman"/>
          <w:kern w:val="2"/>
          <w:szCs w:val="21"/>
          <w:lang w:val="en-US" w:eastAsia="zh-CN"/>
        </w:rPr>
        <w:t>.</w:t>
      </w:r>
      <w:r>
        <w:rPr>
          <w:rFonts w:hint="eastAsia" w:cs="Times New Roman"/>
          <w:kern w:val="2"/>
          <w:szCs w:val="21"/>
        </w:rPr>
        <w:t xml:space="preserve">000000 </w:t>
      </w:r>
      <w:r>
        <w:rPr>
          <w:rFonts w:hint="eastAsia" w:cs="Times New Roman"/>
          <w:kern w:val="2"/>
          <w:szCs w:val="21"/>
          <w:lang w:val="en-US" w:eastAsia="zh-CN"/>
        </w:rPr>
        <w:t>万</w:t>
      </w:r>
      <w:r>
        <w:rPr>
          <w:rFonts w:hint="eastAsia" w:cs="Times New Roman"/>
          <w:kern w:val="2"/>
          <w:szCs w:val="21"/>
        </w:rPr>
        <w:t>元</w:t>
      </w:r>
      <w:bookmarkEnd w:id="12"/>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采购需求：</w:t>
      </w:r>
    </w:p>
    <w:tbl>
      <w:tblPr>
        <w:tblStyle w:val="85"/>
        <w:tblW w:w="499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288"/>
        <w:gridCol w:w="738"/>
        <w:gridCol w:w="733"/>
        <w:gridCol w:w="3302"/>
        <w:gridCol w:w="14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1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标的名称</w:t>
            </w:r>
          </w:p>
        </w:tc>
        <w:tc>
          <w:tcPr>
            <w:tcW w:w="38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数量</w:t>
            </w:r>
          </w:p>
        </w:tc>
        <w:tc>
          <w:tcPr>
            <w:tcW w:w="38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单位</w:t>
            </w:r>
          </w:p>
        </w:tc>
        <w:tc>
          <w:tcPr>
            <w:tcW w:w="172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简要技术需求</w:t>
            </w:r>
          </w:p>
        </w:tc>
        <w:tc>
          <w:tcPr>
            <w:tcW w:w="78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32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普通PCR仪</w:t>
            </w:r>
          </w:p>
        </w:tc>
        <w:tc>
          <w:tcPr>
            <w:tcW w:w="7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73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3302" w:type="dxa"/>
            <w:tcBorders>
              <w:top w:val="single" w:color="auto" w:sz="4" w:space="0"/>
              <w:left w:val="single" w:color="auto" w:sz="4" w:space="0"/>
              <w:bottom w:val="single" w:color="auto" w:sz="4" w:space="0"/>
              <w:right w:val="single" w:color="auto" w:sz="4" w:space="0"/>
            </w:tcBorders>
            <w:vAlign w:val="center"/>
          </w:tcPr>
          <w:p>
            <w:pPr>
              <w:pStyle w:val="425"/>
            </w:pPr>
            <w:r>
              <w:rPr>
                <w:rFonts w:hint="eastAsia" w:hAnsi="宋体"/>
                <w:szCs w:val="21"/>
              </w:rPr>
              <w:t>普通PCR仪</w:t>
            </w:r>
            <w:r>
              <w:rPr>
                <w:rFonts w:hint="eastAsia"/>
              </w:rPr>
              <w:t>一台</w:t>
            </w:r>
            <w:r>
              <w:rPr>
                <w:rFonts w:hint="eastAsia" w:cs="Times New Roman"/>
                <w:kern w:val="2"/>
              </w:rPr>
              <w:t>。</w:t>
            </w:r>
            <w:r>
              <w:rPr>
                <w:rFonts w:hint="eastAsia"/>
              </w:rPr>
              <w:t>详见招标文件项目需求书。</w:t>
            </w:r>
          </w:p>
        </w:tc>
        <w:tc>
          <w:tcPr>
            <w:tcW w:w="1498" w:type="dxa"/>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拒绝进口</w:t>
            </w:r>
          </w:p>
        </w:tc>
      </w:tr>
    </w:tbl>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合同履行期限：合同签订后30日内完成交货。</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本项目（不接受）联合体投标。</w:t>
      </w:r>
      <w:bookmarkStart w:id="13" w:name="_Toc35393791"/>
      <w:bookmarkStart w:id="14" w:name="_Toc28359080"/>
      <w:bookmarkStart w:id="15" w:name="_Toc28359003"/>
      <w:bookmarkStart w:id="16" w:name="_Toc35393622"/>
    </w:p>
    <w:p>
      <w:pPr>
        <w:spacing w:line="240" w:lineRule="auto"/>
        <w:rPr>
          <w:rFonts w:hint="eastAsia"/>
          <w:b/>
          <w:kern w:val="2"/>
          <w:szCs w:val="21"/>
        </w:rPr>
      </w:pPr>
      <w:r>
        <w:rPr>
          <w:rFonts w:hint="eastAsia"/>
          <w:b/>
          <w:kern w:val="2"/>
          <w:szCs w:val="21"/>
        </w:rPr>
        <w:t>二、申请人的资格要求</w:t>
      </w:r>
      <w:bookmarkEnd w:id="13"/>
      <w:bookmarkEnd w:id="14"/>
      <w:bookmarkEnd w:id="15"/>
      <w:bookmarkEnd w:id="16"/>
      <w:r>
        <w:rPr>
          <w:rFonts w:hint="eastAsia"/>
          <w:b/>
          <w:kern w:val="2"/>
          <w:szCs w:val="21"/>
        </w:rPr>
        <w:t>：</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bookmarkStart w:id="17" w:name="_Toc28359004"/>
      <w:bookmarkStart w:id="18" w:name="_Toc35393792"/>
      <w:bookmarkStart w:id="19" w:name="_Toc28359081"/>
      <w:bookmarkStart w:id="20" w:name="_Toc35393623"/>
      <w:r>
        <w:rPr>
          <w:rFonts w:hint="eastAsia" w:hAnsi="Times New Roman" w:cs="Times New Roman"/>
          <w:kern w:val="2"/>
          <w:szCs w:val="21"/>
        </w:rPr>
        <w:t>1.满足《中华人民共和国政府采购法》第二十二条规定。</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2.落实政府采购政策需满足的资格要求：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本项目属于专门面向中小企业采购的项目。货物制造商应为中小微企业或监狱企业或残疾人福利性单位。根据《工业和信息化部、国家统计局、国家发展和改革委员会、财政部关于印发中小企业划型标准规定的通知》（工信部联企业〔2011〕300号），本项目采购标的对应的中小企业划分标准所属行业为:工业。（由供应商在《中小企业声明函、残疾人福利性单位声明函及监狱企业声明函》中作出声明，加盖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3.本项目的特定资格要求：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（2）本项目不</w:t>
      </w:r>
      <w:r>
        <w:rPr>
          <w:rFonts w:hAnsi="Times New Roman" w:cs="Times New Roman"/>
          <w:kern w:val="2"/>
          <w:szCs w:val="21"/>
        </w:rPr>
        <w:t>接受投标人选用进口产品参与投标。</w:t>
      </w:r>
      <w:r>
        <w:rPr>
          <w:rFonts w:hint="eastAsia" w:hAnsi="Times New Roman" w:cs="Times New Roman"/>
          <w:kern w:val="2"/>
          <w:szCs w:val="21"/>
        </w:rPr>
        <w:t>（进口产品是指通过中国海关报关验收进入中国境内且产自境外的产品）。</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3</w:t>
      </w:r>
      <w:r>
        <w:rPr>
          <w:rFonts w:hint="eastAsia" w:hAnsi="Times New Roman" w:cs="Times New Roman"/>
          <w:kern w:val="2"/>
          <w:szCs w:val="21"/>
        </w:rPr>
        <w:t>）</w:t>
      </w:r>
      <w:r>
        <w:rPr>
          <w:rFonts w:hAnsi="Times New Roman" w:cs="Times New Roman"/>
          <w:kern w:val="2"/>
          <w:szCs w:val="21"/>
        </w:rPr>
        <w:t>根据财库〔2016〕125号文的有关规定，投标人需未被列入失信被执行人、重大税收违法案件当事人名单、政府采购严重违法失信行为记录名单（提供书面《</w:t>
      </w:r>
      <w:r>
        <w:rPr>
          <w:rFonts w:hint="eastAsia" w:hAnsi="Times New Roman" w:cs="Times New Roman"/>
          <w:kern w:val="2"/>
          <w:szCs w:val="21"/>
        </w:rPr>
        <w:t>投标人资格声明函</w:t>
      </w:r>
      <w:r>
        <w:rPr>
          <w:rFonts w:hAnsi="Times New Roman" w:cs="Times New Roman"/>
          <w:kern w:val="2"/>
          <w:szCs w:val="21"/>
        </w:rPr>
        <w:t>》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（4）投标人参与本项目投标前三年内，在经营活动中没有重大违法记录（提供《投标人资格声明函》，并加盖投标人公章）。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（5）投标人参与本项目投标近三年内，在经营活动中没有发生重大安全和质量事故（提供《投标人资格声明函》，并加盖投标人公章）。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（6）投标人参与本项目政府采购活动时不存在被有关部门禁止参与政府采购活动且在有效期内的情况（提供《投标人资格声明函》，并加盖投标人公章）。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7）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（8）为采购项目提供整体设计、规范编制或者项目管理、监理、检测等服务的供应商，不得再参加该采购项目的其他采购活动（提供《投标人资格声明函》，并加盖投标人公章）。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（9）参与本项目政府采购活动不存在与其他采购参加人串通投标、隐瞒真实情况、提供虚假资料等违法违规情形（提供《投标人资格声明函》，并加盖投标人公章）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（10）本项目不接受联合体形式进行投标，不允许转包及分包。</w:t>
      </w:r>
    </w:p>
    <w:p>
      <w:pPr>
        <w:spacing w:line="240" w:lineRule="auto"/>
        <w:rPr>
          <w:rFonts w:hint="eastAsia"/>
          <w:b/>
          <w:kern w:val="2"/>
          <w:szCs w:val="21"/>
        </w:rPr>
      </w:pPr>
      <w:r>
        <w:rPr>
          <w:rFonts w:hint="eastAsia"/>
          <w:b/>
          <w:kern w:val="2"/>
          <w:szCs w:val="21"/>
        </w:rPr>
        <w:t>三、获取招标文件</w:t>
      </w:r>
      <w:bookmarkEnd w:id="17"/>
      <w:bookmarkEnd w:id="18"/>
      <w:bookmarkEnd w:id="19"/>
      <w:bookmarkEnd w:id="20"/>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时间：</w:t>
      </w:r>
      <w:r>
        <w:rPr>
          <w:rFonts w:hAnsi="Times New Roman" w:cs="Times New Roman"/>
          <w:kern w:val="2"/>
          <w:szCs w:val="21"/>
        </w:rPr>
        <w:t>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日至2024年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w:t>
      </w:r>
      <w:r>
        <w:rPr>
          <w:rFonts w:hint="eastAsia" w:hAnsi="Times New Roman" w:cs="Times New Roman"/>
          <w:kern w:val="2"/>
          <w:szCs w:val="21"/>
        </w:rPr>
        <w:t>，每天上午9:00至12:00，下午14:00至18:00（北京时间，</w:t>
      </w:r>
      <w:r>
        <w:rPr>
          <w:rFonts w:hAnsi="Times New Roman" w:cs="Times New Roman"/>
          <w:kern w:val="2"/>
          <w:szCs w:val="21"/>
        </w:rPr>
        <w:t>法定节假日</w:t>
      </w:r>
      <w:r>
        <w:rPr>
          <w:rFonts w:hint="eastAsia" w:hAnsi="Times New Roman" w:cs="Times New Roman"/>
          <w:kern w:val="2"/>
          <w:szCs w:val="21"/>
        </w:rPr>
        <w:t>除外）</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地点：深圳市罗湖区清水河街道清水河社区清水河一路112号罗湖投资控股大厦裙楼401</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方式：现场购买。</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售价：500元/份，本公告包含的招标文件售价总和</w:t>
      </w:r>
    </w:p>
    <w:p>
      <w:pPr>
        <w:spacing w:line="240" w:lineRule="auto"/>
        <w:rPr>
          <w:rFonts w:hint="eastAsia"/>
          <w:b/>
          <w:kern w:val="2"/>
          <w:szCs w:val="21"/>
        </w:rPr>
      </w:pPr>
      <w:bookmarkStart w:id="21" w:name="_Toc28359005"/>
      <w:bookmarkStart w:id="22" w:name="_Toc28359082"/>
      <w:bookmarkStart w:id="23" w:name="_Toc35393624"/>
      <w:bookmarkStart w:id="24" w:name="_Toc35393793"/>
      <w:r>
        <w:rPr>
          <w:rFonts w:hint="eastAsia"/>
          <w:b/>
          <w:kern w:val="2"/>
          <w:szCs w:val="21"/>
        </w:rPr>
        <w:t>四、提交投标文件</w:t>
      </w:r>
      <w:bookmarkEnd w:id="21"/>
      <w:bookmarkEnd w:id="22"/>
      <w:r>
        <w:rPr>
          <w:rFonts w:hint="eastAsia"/>
          <w:b/>
          <w:kern w:val="2"/>
          <w:szCs w:val="21"/>
        </w:rPr>
        <w:t>截止时间、开标时间和地点</w:t>
      </w:r>
      <w:bookmarkEnd w:id="23"/>
      <w:bookmarkEnd w:id="24"/>
    </w:p>
    <w:p>
      <w:pPr>
        <w:widowControl w:val="0"/>
        <w:shd w:val="clear" w:color="auto" w:fill="auto"/>
        <w:tabs>
          <w:tab w:val="clear" w:pos="426"/>
        </w:tabs>
        <w:adjustRightInd/>
        <w:snapToGrid/>
        <w:spacing w:line="240" w:lineRule="auto"/>
        <w:ind w:firstLine="420" w:firstLineChars="200"/>
        <w:rPr>
          <w:rFonts w:hint="eastAsia" w:cs="Times New Roman"/>
          <w:bCs/>
          <w:kern w:val="2"/>
          <w:szCs w:val="21"/>
        </w:rPr>
      </w:pPr>
      <w:r>
        <w:rPr>
          <w:rFonts w:hint="eastAsia" w:cs="Times New Roman"/>
          <w:bCs/>
          <w:kern w:val="2"/>
          <w:szCs w:val="21"/>
        </w:rPr>
        <w:t>提交投标文件截止时间：202</w:t>
      </w:r>
      <w:r>
        <w:rPr>
          <w:rFonts w:cs="Times New Roman"/>
          <w:bCs/>
          <w:kern w:val="2"/>
          <w:szCs w:val="21"/>
        </w:rPr>
        <w:t>4</w:t>
      </w:r>
      <w:r>
        <w:rPr>
          <w:rFonts w:hint="eastAsia" w:cs="Times New Roman"/>
          <w:bCs/>
          <w:kern w:val="2"/>
          <w:szCs w:val="21"/>
        </w:rPr>
        <w:t>年</w:t>
      </w:r>
      <w:r>
        <w:rPr>
          <w:rFonts w:hint="eastAsia" w:cs="Times New Roman"/>
          <w:kern w:val="2"/>
          <w:szCs w:val="21"/>
        </w:rPr>
        <w:t>*</w:t>
      </w:r>
      <w:r>
        <w:rPr>
          <w:rFonts w:hint="eastAsia" w:cs="Times New Roman"/>
          <w:bCs/>
          <w:kern w:val="2"/>
          <w:szCs w:val="21"/>
        </w:rPr>
        <w:t>月</w:t>
      </w:r>
      <w:r>
        <w:rPr>
          <w:rFonts w:hint="eastAsia" w:cs="Times New Roman"/>
          <w:kern w:val="2"/>
          <w:szCs w:val="21"/>
        </w:rPr>
        <w:t>*</w:t>
      </w:r>
      <w:r>
        <w:rPr>
          <w:rFonts w:hint="eastAsia" w:cs="Times New Roman"/>
          <w:bCs/>
          <w:kern w:val="2"/>
          <w:szCs w:val="21"/>
        </w:rPr>
        <w:t>日</w:t>
      </w:r>
      <w:r>
        <w:rPr>
          <w:rFonts w:cs="Times New Roman"/>
          <w:bCs/>
          <w:kern w:val="2"/>
          <w:szCs w:val="21"/>
        </w:rPr>
        <w:t>14</w:t>
      </w:r>
      <w:r>
        <w:rPr>
          <w:rFonts w:hint="eastAsia" w:cs="Times New Roman"/>
          <w:bCs/>
          <w:kern w:val="2"/>
          <w:szCs w:val="21"/>
        </w:rPr>
        <w:t>点</w:t>
      </w:r>
      <w:r>
        <w:rPr>
          <w:rFonts w:cs="Times New Roman"/>
          <w:bCs/>
          <w:kern w:val="2"/>
          <w:szCs w:val="21"/>
        </w:rPr>
        <w:t>30</w:t>
      </w:r>
      <w:r>
        <w:rPr>
          <w:rFonts w:hint="eastAsia" w:cs="Times New Roman"/>
          <w:bCs/>
          <w:kern w:val="2"/>
          <w:szCs w:val="21"/>
        </w:rPr>
        <w:t>分（北京时间）</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开标时间：202</w:t>
      </w:r>
      <w:r>
        <w:rPr>
          <w:rFonts w:hAnsi="Times New Roman" w:cs="Times New Roman"/>
          <w:kern w:val="2"/>
          <w:szCs w:val="21"/>
        </w:rPr>
        <w:t>4</w:t>
      </w:r>
      <w:r>
        <w:rPr>
          <w:rFonts w:hint="eastAsia" w:hAnsi="Times New Roman" w:cs="Times New Roman"/>
          <w:kern w:val="2"/>
          <w:szCs w:val="21"/>
        </w:rPr>
        <w:t>年*月*日14点30分（北京时间）</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地点：深圳市罗湖区清水河街道清水河社区清水河一路112号罗湖投资控股大厦裙楼401</w:t>
      </w:r>
    </w:p>
    <w:p>
      <w:pPr>
        <w:spacing w:line="240" w:lineRule="auto"/>
        <w:rPr>
          <w:rFonts w:hint="eastAsia"/>
          <w:b/>
          <w:kern w:val="2"/>
          <w:szCs w:val="21"/>
        </w:rPr>
      </w:pPr>
      <w:bookmarkStart w:id="25" w:name="_Toc28359007"/>
      <w:bookmarkStart w:id="26" w:name="_Toc28359084"/>
      <w:bookmarkStart w:id="27" w:name="_Toc35393625"/>
      <w:bookmarkStart w:id="28" w:name="_Toc35393794"/>
      <w:r>
        <w:rPr>
          <w:rFonts w:hint="eastAsia"/>
          <w:b/>
          <w:kern w:val="2"/>
          <w:szCs w:val="21"/>
        </w:rPr>
        <w:t>五、公告期限</w:t>
      </w:r>
      <w:bookmarkEnd w:id="25"/>
      <w:bookmarkEnd w:id="26"/>
      <w:bookmarkEnd w:id="27"/>
      <w:bookmarkEnd w:id="28"/>
    </w:p>
    <w:p>
      <w:pPr>
        <w:widowControl w:val="0"/>
        <w:shd w:val="clear" w:color="auto" w:fill="auto"/>
        <w:tabs>
          <w:tab w:val="clear" w:pos="426"/>
        </w:tabs>
        <w:adjustRightInd/>
        <w:snapToGrid/>
        <w:spacing w:line="240" w:lineRule="auto"/>
        <w:ind w:firstLine="420" w:firstLineChars="200"/>
        <w:rPr>
          <w:rFonts w:hint="eastAsia"/>
          <w:szCs w:val="21"/>
        </w:rPr>
      </w:pPr>
      <w:r>
        <w:rPr>
          <w:rFonts w:hint="eastAsia"/>
          <w:szCs w:val="21"/>
        </w:rPr>
        <w:t>自本公告发布之日起5个工作日。</w:t>
      </w:r>
      <w:bookmarkStart w:id="29" w:name="_Toc35393626"/>
      <w:bookmarkStart w:id="30" w:name="_Toc35393795"/>
    </w:p>
    <w:p>
      <w:pPr>
        <w:spacing w:line="240" w:lineRule="auto"/>
        <w:rPr>
          <w:rFonts w:hint="eastAsia"/>
          <w:b/>
          <w:kern w:val="2"/>
          <w:szCs w:val="21"/>
        </w:rPr>
      </w:pPr>
      <w:r>
        <w:rPr>
          <w:rFonts w:hint="eastAsia"/>
          <w:b/>
          <w:kern w:val="2"/>
          <w:szCs w:val="21"/>
        </w:rPr>
        <w:t>六、</w:t>
      </w:r>
      <w:bookmarkStart w:id="31" w:name="_Hlk155780018"/>
      <w:r>
        <w:rPr>
          <w:rFonts w:hint="eastAsia"/>
          <w:b/>
          <w:kern w:val="2"/>
          <w:szCs w:val="21"/>
        </w:rPr>
        <w:t>其他补充事宜</w:t>
      </w:r>
      <w:bookmarkEnd w:id="29"/>
      <w:bookmarkEnd w:id="30"/>
      <w:bookmarkEnd w:id="31"/>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w:t>
      </w:r>
      <w:r>
        <w:rPr>
          <w:rFonts w:cs="Times New Roman"/>
          <w:kern w:val="2"/>
          <w:szCs w:val="21"/>
        </w:rPr>
        <w:t>.</w:t>
      </w:r>
      <w:r>
        <w:rPr>
          <w:rFonts w:hint="eastAsia" w:cs="Times New Roman"/>
          <w:kern w:val="2"/>
          <w:szCs w:val="21"/>
        </w:rPr>
        <w:t>答疑事项：</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w:t>
      </w:r>
      <w:r>
        <w:rPr>
          <w:rFonts w:cs="Times New Roman"/>
          <w:kern w:val="2"/>
          <w:szCs w:val="21"/>
        </w:rPr>
        <w:t>.</w:t>
      </w:r>
      <w:r>
        <w:rPr>
          <w:rFonts w:hint="eastAsia" w:cs="Times New Roman"/>
          <w:kern w:val="2"/>
          <w:szCs w:val="21"/>
        </w:rPr>
        <w:t>投标文件提交方式补充说明：</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hAnsi="Times New Roman" w:cs="Times New Roman"/>
          <w:kern w:val="2"/>
          <w:szCs w:val="21"/>
        </w:rPr>
        <w:t>3</w:t>
      </w:r>
      <w:r>
        <w:rPr>
          <w:rFonts w:hAnsi="Times New Roman" w:cs="Times New Roman"/>
          <w:kern w:val="2"/>
          <w:szCs w:val="21"/>
        </w:rPr>
        <w:t>.</w:t>
      </w:r>
      <w:r>
        <w:rPr>
          <w:rFonts w:hint="eastAsia" w:cs="Times New Roman"/>
          <w:kern w:val="2"/>
          <w:szCs w:val="21"/>
        </w:rPr>
        <w:t>信息发布平台：</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深圳海关门户网（</w:t>
      </w:r>
      <w:r>
        <w:rPr>
          <w:szCs w:val="21"/>
        </w:rPr>
        <w:t>http://shenzhen.customs.gov.cn</w:t>
      </w:r>
      <w:r>
        <w:rPr>
          <w:rFonts w:hint="eastAsia"/>
          <w:szCs w:val="21"/>
        </w:rPr>
        <w:t>）；</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中国政府采购网（</w:t>
      </w:r>
      <w:r>
        <w:rPr>
          <w:szCs w:val="21"/>
        </w:rPr>
        <w:t>http://www.ccgp.gov.cn）；</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szCs w:val="21"/>
        </w:rPr>
        <w:t>采购代理机构官网（</w:t>
      </w:r>
      <w:r>
        <w:rPr>
          <w:szCs w:val="21"/>
        </w:rPr>
        <w:t>http://www.szsszx.com/</w:t>
      </w:r>
      <w:r>
        <w:rPr>
          <w:rFonts w:hint="eastAsia"/>
          <w:szCs w:val="21"/>
        </w:rPr>
        <w:t>）。</w:t>
      </w:r>
    </w:p>
    <w:p>
      <w:pPr>
        <w:spacing w:line="240" w:lineRule="auto"/>
        <w:rPr>
          <w:rFonts w:hint="eastAsia"/>
          <w:b/>
          <w:kern w:val="2"/>
          <w:szCs w:val="21"/>
        </w:rPr>
      </w:pPr>
      <w:bookmarkStart w:id="32" w:name="_Toc35393627"/>
      <w:bookmarkStart w:id="33" w:name="_Toc28359008"/>
      <w:bookmarkStart w:id="34" w:name="_Toc28359085"/>
      <w:bookmarkStart w:id="35" w:name="_Toc35393796"/>
      <w:r>
        <w:rPr>
          <w:rFonts w:hint="eastAsia"/>
          <w:b/>
          <w:kern w:val="2"/>
          <w:szCs w:val="21"/>
        </w:rPr>
        <w:t>七、对本次招标提出询问，请按</w:t>
      </w:r>
      <w:r>
        <w:rPr>
          <w:b/>
          <w:kern w:val="2"/>
          <w:szCs w:val="21"/>
        </w:rPr>
        <w:t>以下方式</w:t>
      </w:r>
      <w:r>
        <w:rPr>
          <w:rFonts w:hint="eastAsia"/>
          <w:b/>
          <w:kern w:val="2"/>
          <w:szCs w:val="21"/>
        </w:rPr>
        <w:t>联系</w:t>
      </w:r>
      <w:bookmarkEnd w:id="32"/>
      <w:bookmarkEnd w:id="33"/>
      <w:bookmarkEnd w:id="34"/>
      <w:bookmarkEnd w:id="35"/>
      <w:r>
        <w:rPr>
          <w:rFonts w:hint="eastAsia"/>
          <w:b/>
          <w:kern w:val="2"/>
          <w:szCs w:val="21"/>
        </w:rPr>
        <w:t>。</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1.采购人信息</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名称：深圳海关动植物检验检疫技术中心</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地址：深圳市福田区福强路</w:t>
      </w:r>
      <w:r>
        <w:rPr>
          <w:rFonts w:cs="Times New Roman"/>
          <w:kern w:val="2"/>
          <w:szCs w:val="21"/>
        </w:rPr>
        <w:t>1011号</w:t>
      </w:r>
    </w:p>
    <w:p>
      <w:pPr>
        <w:widowControl w:val="0"/>
        <w:shd w:val="clear" w:color="auto" w:fill="auto"/>
        <w:tabs>
          <w:tab w:val="clear" w:pos="426"/>
        </w:tabs>
        <w:adjustRightInd/>
        <w:snapToGrid/>
        <w:spacing w:line="240" w:lineRule="auto"/>
        <w:ind w:left="495"/>
        <w:rPr>
          <w:rFonts w:hint="eastAsia" w:cs="Times New Roman"/>
          <w:kern w:val="2"/>
          <w:szCs w:val="21"/>
        </w:rPr>
      </w:pPr>
      <w:bookmarkStart w:id="36" w:name="_Toc28359086"/>
      <w:bookmarkStart w:id="37" w:name="_Toc28359009"/>
      <w:r>
        <w:rPr>
          <w:rFonts w:hint="eastAsia" w:cs="Times New Roman"/>
          <w:kern w:val="2"/>
          <w:szCs w:val="21"/>
        </w:rPr>
        <w:t>联系方式：刘先生</w:t>
      </w:r>
      <w:r>
        <w:rPr>
          <w:rFonts w:cs="Times New Roman"/>
          <w:kern w:val="2"/>
          <w:szCs w:val="21"/>
        </w:rPr>
        <w:t>0755-84394179</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采购人监督投诉电话：</w:t>
      </w:r>
      <w:r>
        <w:rPr>
          <w:rFonts w:cs="Times New Roman"/>
          <w:kern w:val="2"/>
          <w:szCs w:val="21"/>
        </w:rPr>
        <w:t>0755-84398457</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2.采购代理机构信息</w:t>
      </w:r>
      <w:bookmarkEnd w:id="36"/>
      <w:bookmarkEnd w:id="37"/>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w:t>
      </w:r>
      <w:r>
        <w:rPr>
          <w:rFonts w:cs="Times New Roman"/>
          <w:kern w:val="2"/>
          <w:szCs w:val="21"/>
        </w:rPr>
        <w:t>称：深圳市深水水务咨询有限公司</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w:t>
      </w:r>
      <w:r>
        <w:rPr>
          <w:rFonts w:cs="Times New Roman"/>
          <w:kern w:val="2"/>
          <w:szCs w:val="21"/>
        </w:rPr>
        <w:t>址：深圳市罗湖区清水河街道清水河社区清水河一路112号罗湖投资控股大厦裙楼401</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联系方式：庄晓琴</w:t>
      </w:r>
      <w:r>
        <w:rPr>
          <w:rFonts w:cs="Times New Roman"/>
          <w:kern w:val="2"/>
          <w:szCs w:val="21"/>
        </w:rPr>
        <w:t>0755-25165821/13688812350/Email：498174886@qq.com</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cs="Times New Roman"/>
          <w:kern w:val="2"/>
          <w:szCs w:val="21"/>
        </w:rPr>
        <w:t>3.项目联系方式</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项目联系人：庄晓琴、李夏冰</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电</w:t>
      </w:r>
      <w:r>
        <w:rPr>
          <w:rFonts w:cs="Times New Roman"/>
          <w:kern w:val="2"/>
          <w:szCs w:val="21"/>
        </w:rPr>
        <w:t>话：0755-25165821/13688812350</w:t>
      </w:r>
    </w:p>
    <w:p>
      <w:pPr>
        <w:spacing w:line="240" w:lineRule="auto"/>
        <w:ind w:firstLine="424" w:firstLineChars="202"/>
        <w:jc w:val="right"/>
        <w:rPr>
          <w:rFonts w:hint="eastAsia"/>
          <w:szCs w:val="21"/>
        </w:rPr>
      </w:pPr>
      <w:r>
        <w:rPr>
          <w:rFonts w:hint="eastAsia"/>
          <w:szCs w:val="21"/>
        </w:rPr>
        <w:t>深圳市深水水务咨询有限公司</w:t>
      </w:r>
    </w:p>
    <w:p>
      <w:pPr>
        <w:spacing w:line="240" w:lineRule="auto"/>
        <w:ind w:firstLine="424" w:firstLineChars="202"/>
        <w:jc w:val="right"/>
        <w:rPr>
          <w:rFonts w:hint="eastAsia"/>
          <w:szCs w:val="21"/>
        </w:rPr>
      </w:pPr>
      <w:r>
        <w:rPr>
          <w:rFonts w:hint="eastAsia"/>
          <w:szCs w:val="21"/>
        </w:rPr>
        <w:t>202</w:t>
      </w:r>
      <w:r>
        <w:rPr>
          <w:szCs w:val="21"/>
        </w:rPr>
        <w:t>4</w:t>
      </w:r>
      <w:r>
        <w:rPr>
          <w:rFonts w:hint="eastAsia"/>
          <w:szCs w:val="21"/>
        </w:rPr>
        <w:t>年*月*日</w:t>
      </w:r>
    </w:p>
    <w:bookmarkEnd w:id="6"/>
    <w:p>
      <w:pPr>
        <w:rPr>
          <w:rFonts w:hint="eastAsia"/>
        </w:rPr>
      </w:pPr>
      <w:r>
        <w:rPr>
          <w:rFonts w:hint="eastAsia"/>
        </w:rPr>
        <w:br w:type="page"/>
      </w:r>
    </w:p>
    <w:p>
      <w:pPr>
        <w:pStyle w:val="62"/>
      </w:pPr>
      <w:bookmarkStart w:id="38" w:name="_Toc15078"/>
      <w:r>
        <w:rPr>
          <w:rFonts w:hint="eastAsia"/>
        </w:rPr>
        <w:t>第二章 项目需求</w:t>
      </w:r>
      <w:bookmarkEnd w:id="38"/>
    </w:p>
    <w:p>
      <w:pPr>
        <w:numPr>
          <w:ilvl w:val="0"/>
          <w:numId w:val="2"/>
        </w:numPr>
        <w:adjustRightInd/>
        <w:snapToGrid/>
        <w:spacing w:before="280" w:after="290" w:line="377" w:lineRule="auto"/>
        <w:jc w:val="left"/>
        <w:outlineLvl w:val="2"/>
        <w:rPr>
          <w:rFonts w:hint="eastAsia"/>
          <w:b/>
          <w:sz w:val="24"/>
        </w:rPr>
      </w:pPr>
      <w:bookmarkStart w:id="39" w:name="_Toc150960244"/>
      <w:bookmarkStart w:id="40" w:name="_Toc5227"/>
      <w:bookmarkStart w:id="41" w:name="_Toc151386154"/>
      <w:bookmarkStart w:id="42" w:name="_Toc9882"/>
      <w:r>
        <w:rPr>
          <w:b/>
          <w:sz w:val="24"/>
        </w:rPr>
        <w:t>货物清单</w:t>
      </w:r>
      <w:r>
        <w:rPr>
          <w:rFonts w:hint="eastAsia"/>
          <w:b/>
          <w:sz w:val="24"/>
        </w:rPr>
        <w:t>一览表</w:t>
      </w:r>
      <w:bookmarkEnd w:id="39"/>
      <w:bookmarkEnd w:id="40"/>
      <w:bookmarkEnd w:id="41"/>
      <w:bookmarkEnd w:id="42"/>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3038"/>
        <w:gridCol w:w="967"/>
        <w:gridCol w:w="879"/>
        <w:gridCol w:w="1158"/>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序号</w:t>
            </w:r>
          </w:p>
        </w:tc>
        <w:tc>
          <w:tcPr>
            <w:tcW w:w="1587"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cs="Times New Roman"/>
                <w:b/>
                <w:bCs/>
                <w:szCs w:val="21"/>
              </w:rPr>
              <w:t>货物（标的）</w:t>
            </w:r>
            <w:r>
              <w:rPr>
                <w:rFonts w:cs="Times New Roman"/>
                <w:b/>
                <w:bCs/>
                <w:szCs w:val="21"/>
              </w:rPr>
              <w:t>名称</w:t>
            </w:r>
          </w:p>
        </w:tc>
        <w:tc>
          <w:tcPr>
            <w:tcW w:w="505"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数量</w:t>
            </w:r>
          </w:p>
        </w:tc>
        <w:tc>
          <w:tcPr>
            <w:tcW w:w="459"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单位</w:t>
            </w:r>
          </w:p>
        </w:tc>
        <w:tc>
          <w:tcPr>
            <w:tcW w:w="605"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备注</w:t>
            </w:r>
          </w:p>
        </w:tc>
        <w:tc>
          <w:tcPr>
            <w:tcW w:w="1167"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cs="Times New Roman"/>
                <w:b/>
                <w:bCs/>
                <w:szCs w:val="21"/>
              </w:rPr>
              <w:t>财政</w:t>
            </w:r>
            <w:r>
              <w:rPr>
                <w:rFonts w:cs="Times New Roman"/>
                <w:b/>
                <w:bCs/>
                <w:szCs w:val="21"/>
              </w:rPr>
              <w:t>预算限额(</w:t>
            </w:r>
            <w:r>
              <w:rPr>
                <w:rFonts w:hint="eastAsia" w:cs="Times New Roman"/>
                <w:b/>
                <w:bCs/>
                <w:szCs w:val="21"/>
                <w:lang w:val="en-US" w:eastAsia="zh-CN"/>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6" w:type="pct"/>
            <w:vAlign w:val="center"/>
          </w:tcPr>
          <w:p>
            <w:pPr>
              <w:tabs>
                <w:tab w:val="clear" w:pos="426"/>
              </w:tabs>
              <w:spacing w:line="240" w:lineRule="auto"/>
              <w:jc w:val="center"/>
              <w:rPr>
                <w:rFonts w:hint="eastAsia"/>
                <w:szCs w:val="21"/>
              </w:rPr>
            </w:pPr>
            <w:r>
              <w:rPr>
                <w:rFonts w:hint="eastAsia"/>
                <w:szCs w:val="21"/>
              </w:rPr>
              <w:t>1</w:t>
            </w:r>
          </w:p>
        </w:tc>
        <w:tc>
          <w:tcPr>
            <w:tcW w:w="1587" w:type="pct"/>
            <w:vAlign w:val="center"/>
          </w:tcPr>
          <w:p>
            <w:pPr>
              <w:spacing w:line="240" w:lineRule="auto"/>
              <w:jc w:val="center"/>
              <w:rPr>
                <w:rFonts w:hint="eastAsia"/>
              </w:rPr>
            </w:pPr>
            <w:r>
              <w:rPr>
                <w:rFonts w:hint="eastAsia"/>
              </w:rPr>
              <w:t>普通PCR仪</w:t>
            </w:r>
          </w:p>
        </w:tc>
        <w:tc>
          <w:tcPr>
            <w:tcW w:w="505" w:type="pct"/>
            <w:vAlign w:val="center"/>
          </w:tcPr>
          <w:p>
            <w:pPr>
              <w:tabs>
                <w:tab w:val="clear" w:pos="426"/>
              </w:tabs>
              <w:spacing w:line="240" w:lineRule="auto"/>
              <w:jc w:val="center"/>
              <w:rPr>
                <w:rFonts w:hint="eastAsia"/>
                <w:szCs w:val="21"/>
              </w:rPr>
            </w:pPr>
            <w:r>
              <w:rPr>
                <w:rFonts w:hint="eastAsia"/>
                <w:szCs w:val="21"/>
              </w:rPr>
              <w:t>1</w:t>
            </w:r>
          </w:p>
        </w:tc>
        <w:tc>
          <w:tcPr>
            <w:tcW w:w="459" w:type="pct"/>
            <w:vAlign w:val="center"/>
          </w:tcPr>
          <w:p>
            <w:pPr>
              <w:tabs>
                <w:tab w:val="clear" w:pos="426"/>
              </w:tabs>
              <w:spacing w:line="240" w:lineRule="auto"/>
              <w:jc w:val="center"/>
              <w:rPr>
                <w:rFonts w:hint="eastAsia"/>
                <w:szCs w:val="21"/>
              </w:rPr>
            </w:pPr>
            <w:r>
              <w:rPr>
                <w:rFonts w:hint="eastAsia"/>
                <w:szCs w:val="21"/>
              </w:rPr>
              <w:t>台</w:t>
            </w:r>
          </w:p>
        </w:tc>
        <w:tc>
          <w:tcPr>
            <w:tcW w:w="605" w:type="pct"/>
            <w:vAlign w:val="center"/>
          </w:tcPr>
          <w:p>
            <w:pPr>
              <w:tabs>
                <w:tab w:val="clear" w:pos="426"/>
              </w:tabs>
              <w:spacing w:line="240" w:lineRule="auto"/>
              <w:jc w:val="center"/>
              <w:rPr>
                <w:rFonts w:hint="eastAsia"/>
                <w:bCs/>
                <w:szCs w:val="21"/>
              </w:rPr>
            </w:pPr>
            <w:r>
              <w:rPr>
                <w:rFonts w:hint="eastAsia"/>
                <w:bCs/>
                <w:szCs w:val="21"/>
              </w:rPr>
              <w:t>拒绝进口</w:t>
            </w:r>
          </w:p>
        </w:tc>
        <w:tc>
          <w:tcPr>
            <w:tcW w:w="1167" w:type="pct"/>
            <w:vAlign w:val="center"/>
          </w:tcPr>
          <w:p>
            <w:pPr>
              <w:widowControl w:val="0"/>
              <w:shd w:val="clear" w:color="auto" w:fill="auto"/>
              <w:tabs>
                <w:tab w:val="clear" w:pos="426"/>
              </w:tabs>
              <w:adjustRightInd/>
              <w:snapToGrid/>
              <w:spacing w:line="240" w:lineRule="auto"/>
              <w:jc w:val="center"/>
              <w:rPr>
                <w:rFonts w:hint="eastAsia" w:cs="Times New Roman"/>
                <w:szCs w:val="21"/>
              </w:rPr>
            </w:pPr>
            <w:r>
              <w:rPr>
                <w:rFonts w:hint="eastAsia" w:cs="Times New Roman"/>
                <w:szCs w:val="21"/>
              </w:rPr>
              <w:t xml:space="preserve">20.000000   </w:t>
            </w:r>
          </w:p>
        </w:tc>
      </w:tr>
    </w:tbl>
    <w:p>
      <w:pPr>
        <w:spacing w:line="276" w:lineRule="auto"/>
        <w:ind w:firstLine="420" w:firstLineChars="200"/>
        <w:rPr>
          <w:rFonts w:hint="eastAsia"/>
          <w:szCs w:val="21"/>
        </w:rPr>
      </w:pPr>
      <w:r>
        <w:rPr>
          <w:rFonts w:hint="eastAsia"/>
          <w:szCs w:val="21"/>
        </w:rPr>
        <w:t>备注：</w:t>
      </w:r>
    </w:p>
    <w:p>
      <w:pPr>
        <w:spacing w:line="276" w:lineRule="auto"/>
        <w:ind w:firstLine="420" w:firstLineChars="200"/>
        <w:rPr>
          <w:rFonts w:hint="eastAsia"/>
          <w:szCs w:val="21"/>
        </w:rPr>
      </w:pPr>
      <w:r>
        <w:rPr>
          <w:rFonts w:hint="eastAsia"/>
          <w:szCs w:val="21"/>
        </w:rPr>
        <w:t>1.注明“接受进口”的产品（产品名称）允许供应商选用进口产品参与投标，但不排斥国内产品。</w:t>
      </w:r>
    </w:p>
    <w:p>
      <w:pPr>
        <w:spacing w:line="276" w:lineRule="auto"/>
        <w:ind w:firstLine="420" w:firstLineChars="200"/>
        <w:rPr>
          <w:rFonts w:hint="eastAsia"/>
          <w:szCs w:val="21"/>
        </w:rPr>
      </w:pPr>
      <w:r>
        <w:rPr>
          <w:rFonts w:hint="eastAsia"/>
          <w:szCs w:val="21"/>
        </w:rPr>
        <w:t>2</w:t>
      </w:r>
      <w:r>
        <w:rPr>
          <w:szCs w:val="21"/>
        </w:rPr>
        <w:t>.</w:t>
      </w:r>
      <w:r>
        <w:rPr>
          <w:rFonts w:hint="eastAsia"/>
          <w:szCs w:val="21"/>
        </w:rPr>
        <w:t>注明“拒绝进口”的产品（产品名称）均不接受供应商选用进口产品参与投标。</w:t>
      </w:r>
    </w:p>
    <w:p>
      <w:pPr>
        <w:spacing w:line="276" w:lineRule="auto"/>
        <w:ind w:firstLine="420" w:firstLineChars="200"/>
        <w:rPr>
          <w:rFonts w:hint="eastAsia"/>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pPr>
        <w:spacing w:line="276" w:lineRule="auto"/>
        <w:ind w:firstLine="420" w:firstLineChars="200"/>
        <w:rPr>
          <w:rFonts w:hint="eastAsia"/>
          <w:szCs w:val="21"/>
        </w:rPr>
      </w:pPr>
      <w:r>
        <w:rPr>
          <w:bCs/>
          <w:szCs w:val="21"/>
        </w:rPr>
        <w:t>4.</w:t>
      </w:r>
      <w:r>
        <w:rPr>
          <w:rFonts w:hint="eastAsia"/>
          <w:bCs/>
          <w:szCs w:val="21"/>
        </w:rPr>
        <w:t>《</w:t>
      </w:r>
      <w:r>
        <w:rPr>
          <w:rFonts w:hint="eastAsia"/>
          <w:szCs w:val="21"/>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rFonts w:hint="eastAsia"/>
          <w:b/>
          <w:sz w:val="24"/>
        </w:rPr>
      </w:pPr>
      <w:bookmarkStart w:id="43" w:name="_Toc150960245"/>
      <w:bookmarkStart w:id="44" w:name="_Toc14828"/>
      <w:bookmarkStart w:id="45" w:name="_Toc151386155"/>
      <w:bookmarkStart w:id="46" w:name="_Toc28424"/>
      <w:r>
        <w:rPr>
          <w:rFonts w:hint="eastAsia"/>
          <w:b/>
          <w:sz w:val="24"/>
        </w:rPr>
        <w:t>实质性响应条款</w:t>
      </w:r>
      <w:bookmarkEnd w:id="43"/>
      <w:bookmarkEnd w:id="44"/>
      <w:bookmarkEnd w:id="45"/>
      <w:bookmarkEnd w:id="46"/>
    </w:p>
    <w:tbl>
      <w:tblPr>
        <w:tblStyle w:val="85"/>
        <w:tblW w:w="4738"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序号</w:t>
            </w:r>
          </w:p>
        </w:tc>
        <w:tc>
          <w:tcPr>
            <w:tcW w:w="876" w:type="pct"/>
            <w:vAlign w:val="center"/>
          </w:tcPr>
          <w:p>
            <w:pPr>
              <w:spacing w:line="240" w:lineRule="auto"/>
              <w:jc w:val="center"/>
              <w:rPr>
                <w:rFonts w:hint="eastAsia"/>
                <w:b/>
                <w:szCs w:val="21"/>
              </w:rPr>
            </w:pPr>
            <w:r>
              <w:rPr>
                <w:rFonts w:hint="eastAsia"/>
                <w:b/>
                <w:szCs w:val="21"/>
              </w:rPr>
              <w:t>目录</w:t>
            </w:r>
          </w:p>
        </w:tc>
        <w:tc>
          <w:tcPr>
            <w:tcW w:w="3704" w:type="pct"/>
            <w:vAlign w:val="center"/>
          </w:tcPr>
          <w:p>
            <w:pPr>
              <w:spacing w:line="240" w:lineRule="auto"/>
              <w:jc w:val="center"/>
              <w:rPr>
                <w:rFonts w:hint="eastAsia"/>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1</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技术要求</w:t>
            </w:r>
          </w:p>
        </w:tc>
        <w:tc>
          <w:tcPr>
            <w:tcW w:w="3704" w:type="pct"/>
            <w:vAlign w:val="center"/>
          </w:tcPr>
          <w:p>
            <w:pPr>
              <w:spacing w:line="240" w:lineRule="auto"/>
              <w:rPr>
                <w:rFonts w:hint="eastAsia"/>
                <w:szCs w:val="21"/>
              </w:rPr>
            </w:pPr>
            <w:r>
              <w:rPr>
                <w:rFonts w:hint="eastAsia" w:cs="Times New Roman"/>
                <w:kern w:val="2"/>
                <w:szCs w:val="21"/>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2</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商务要求</w:t>
            </w:r>
          </w:p>
        </w:tc>
        <w:tc>
          <w:tcPr>
            <w:tcW w:w="3704" w:type="pct"/>
            <w:vAlign w:val="center"/>
          </w:tcPr>
          <w:p>
            <w:pPr>
              <w:spacing w:line="240" w:lineRule="auto"/>
              <w:rPr>
                <w:rFonts w:hint="eastAsia"/>
                <w:szCs w:val="21"/>
              </w:rPr>
            </w:pPr>
            <w:r>
              <w:rPr>
                <w:rFonts w:hint="eastAsia" w:cs="Times New Roman"/>
                <w:kern w:val="2"/>
                <w:szCs w:val="21"/>
              </w:rPr>
              <w:t>带★内容。</w:t>
            </w:r>
          </w:p>
        </w:tc>
      </w:tr>
    </w:tbl>
    <w:p>
      <w:pPr>
        <w:spacing w:line="276" w:lineRule="auto"/>
        <w:ind w:firstLine="420" w:firstLineChars="200"/>
        <w:rPr>
          <w:rFonts w:hint="eastAsia"/>
          <w:bCs/>
          <w:szCs w:val="21"/>
        </w:rPr>
      </w:pPr>
      <w:r>
        <w:rPr>
          <w:rFonts w:hint="eastAsia"/>
          <w:bCs/>
          <w:szCs w:val="21"/>
        </w:rPr>
        <w:t>备注：</w:t>
      </w:r>
    </w:p>
    <w:p>
      <w:pPr>
        <w:spacing w:line="276" w:lineRule="auto"/>
        <w:ind w:firstLine="420" w:firstLineChars="200"/>
        <w:rPr>
          <w:rFonts w:hint="eastAsia"/>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r>
        <w:rPr>
          <w:bCs/>
          <w:szCs w:val="21"/>
        </w:rPr>
        <w:t>。</w:t>
      </w:r>
    </w:p>
    <w:p>
      <w:pPr>
        <w:numPr>
          <w:ilvl w:val="0"/>
          <w:numId w:val="2"/>
        </w:numPr>
        <w:adjustRightInd/>
        <w:snapToGrid/>
        <w:spacing w:before="280" w:after="290" w:line="377" w:lineRule="auto"/>
        <w:jc w:val="left"/>
        <w:outlineLvl w:val="2"/>
        <w:rPr>
          <w:rFonts w:hint="eastAsia"/>
          <w:b/>
          <w:sz w:val="24"/>
        </w:rPr>
      </w:pPr>
      <w:bookmarkStart w:id="47" w:name="_Toc30350"/>
      <w:bookmarkStart w:id="48" w:name="_Toc29273"/>
      <w:bookmarkStart w:id="49" w:name="_Toc151386156"/>
      <w:bookmarkStart w:id="50" w:name="_Toc150960246"/>
      <w:r>
        <w:rPr>
          <w:rFonts w:hint="eastAsia"/>
          <w:b/>
          <w:sz w:val="24"/>
        </w:rPr>
        <w:t>技术要求</w:t>
      </w:r>
      <w:bookmarkEnd w:id="47"/>
      <w:bookmarkEnd w:id="48"/>
      <w:bookmarkEnd w:id="49"/>
      <w:bookmarkEnd w:id="50"/>
    </w:p>
    <w:tbl>
      <w:tblPr>
        <w:tblStyle w:val="85"/>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2"/>
        <w:gridCol w:w="1318"/>
        <w:gridCol w:w="1062"/>
        <w:gridCol w:w="5448"/>
        <w:gridCol w:w="10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52" w:type="pct"/>
            <w:tcBorders>
              <w:top w:val="single" w:color="auto" w:sz="4" w:space="0"/>
              <w:left w:val="single" w:color="auto" w:sz="4" w:space="0"/>
              <w:bottom w:val="single" w:color="auto" w:sz="4" w:space="0"/>
              <w:right w:val="single" w:color="auto" w:sz="4" w:space="0"/>
            </w:tcBorders>
            <w:vAlign w:val="center"/>
          </w:tcPr>
          <w:p>
            <w:pPr>
              <w:pStyle w:val="559"/>
              <w:jc w:val="center"/>
              <w:rPr>
                <w:rFonts w:hint="eastAsia" w:ascii="宋体" w:hAnsi="宋体" w:cs="宋体"/>
                <w:b/>
                <w:bCs/>
                <w:szCs w:val="21"/>
              </w:rPr>
            </w:pPr>
            <w:r>
              <w:rPr>
                <w:rFonts w:hint="eastAsia" w:ascii="宋体" w:hAnsi="宋体" w:cs="宋体"/>
                <w:b/>
                <w:bCs/>
                <w:szCs w:val="21"/>
              </w:rPr>
              <w:t>序号</w:t>
            </w:r>
          </w:p>
        </w:tc>
        <w:tc>
          <w:tcPr>
            <w:tcW w:w="689" w:type="pct"/>
            <w:tcBorders>
              <w:top w:val="single" w:color="auto" w:sz="4" w:space="0"/>
              <w:left w:val="single" w:color="auto" w:sz="4" w:space="0"/>
              <w:bottom w:val="single" w:color="auto" w:sz="4" w:space="0"/>
              <w:right w:val="single" w:color="auto" w:sz="4" w:space="0"/>
            </w:tcBorders>
            <w:vAlign w:val="center"/>
          </w:tcPr>
          <w:p>
            <w:pPr>
              <w:pStyle w:val="559"/>
              <w:jc w:val="center"/>
              <w:rPr>
                <w:rFonts w:hint="eastAsia" w:ascii="宋体" w:hAnsi="宋体" w:cs="宋体"/>
                <w:b/>
                <w:bCs/>
                <w:szCs w:val="21"/>
              </w:rPr>
            </w:pPr>
            <w:r>
              <w:rPr>
                <w:rFonts w:hint="eastAsia" w:ascii="宋体" w:hAnsi="宋体" w:cs="宋体"/>
                <w:b/>
                <w:bCs/>
                <w:szCs w:val="21"/>
              </w:rPr>
              <w:t>货物名称</w:t>
            </w:r>
          </w:p>
        </w:tc>
        <w:tc>
          <w:tcPr>
            <w:tcW w:w="555" w:type="pct"/>
            <w:tcBorders>
              <w:top w:val="single" w:color="auto" w:sz="4" w:space="0"/>
              <w:left w:val="single" w:color="auto" w:sz="4" w:space="0"/>
              <w:bottom w:val="single" w:color="auto" w:sz="4" w:space="0"/>
              <w:right w:val="single" w:color="auto" w:sz="4" w:space="0"/>
            </w:tcBorders>
            <w:vAlign w:val="center"/>
          </w:tcPr>
          <w:p>
            <w:pPr>
              <w:pStyle w:val="559"/>
              <w:jc w:val="center"/>
              <w:rPr>
                <w:rFonts w:hint="eastAsia" w:ascii="宋体" w:hAnsi="宋体" w:cs="宋体"/>
                <w:b/>
                <w:bCs/>
                <w:szCs w:val="21"/>
              </w:rPr>
            </w:pPr>
            <w:r>
              <w:rPr>
                <w:rFonts w:hint="eastAsia" w:ascii="宋体" w:hAnsi="宋体" w:cs="宋体"/>
                <w:b/>
                <w:bCs/>
                <w:szCs w:val="21"/>
              </w:rPr>
              <w:t>总数量</w:t>
            </w:r>
          </w:p>
        </w:tc>
        <w:tc>
          <w:tcPr>
            <w:tcW w:w="2848" w:type="pct"/>
            <w:tcBorders>
              <w:top w:val="single" w:color="auto" w:sz="4" w:space="0"/>
              <w:left w:val="single" w:color="auto" w:sz="4" w:space="0"/>
              <w:bottom w:val="single" w:color="auto" w:sz="4" w:space="0"/>
              <w:right w:val="single" w:color="auto" w:sz="4" w:space="0"/>
            </w:tcBorders>
            <w:vAlign w:val="center"/>
          </w:tcPr>
          <w:p>
            <w:pPr>
              <w:pStyle w:val="559"/>
              <w:jc w:val="center"/>
              <w:rPr>
                <w:rFonts w:hint="eastAsia" w:ascii="宋体" w:hAnsi="宋体" w:cs="宋体"/>
                <w:b/>
                <w:bCs/>
                <w:szCs w:val="21"/>
              </w:rPr>
            </w:pPr>
            <w:r>
              <w:rPr>
                <w:rFonts w:hint="eastAsia" w:ascii="宋体" w:hAnsi="宋体" w:cs="宋体"/>
                <w:b/>
                <w:bCs/>
                <w:szCs w:val="21"/>
              </w:rPr>
              <w:t>技术参数要求</w:t>
            </w:r>
          </w:p>
        </w:tc>
        <w:tc>
          <w:tcPr>
            <w:tcW w:w="555" w:type="pct"/>
            <w:tcBorders>
              <w:top w:val="single" w:color="auto" w:sz="4" w:space="0"/>
              <w:left w:val="single" w:color="auto" w:sz="4" w:space="0"/>
              <w:bottom w:val="single" w:color="auto" w:sz="4" w:space="0"/>
              <w:right w:val="single" w:color="auto" w:sz="4" w:space="0"/>
            </w:tcBorders>
            <w:vAlign w:val="center"/>
          </w:tcPr>
          <w:p>
            <w:pPr>
              <w:pStyle w:val="559"/>
              <w:jc w:val="center"/>
              <w:rPr>
                <w:rFonts w:hint="eastAsia"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2" w:type="pct"/>
            <w:vMerge w:val="restart"/>
            <w:tcBorders>
              <w:top w:val="single" w:color="auto" w:sz="4" w:space="0"/>
              <w:left w:val="single" w:color="auto" w:sz="4" w:space="0"/>
              <w:right w:val="single" w:color="auto" w:sz="4" w:space="0"/>
            </w:tcBorders>
            <w:vAlign w:val="center"/>
          </w:tcPr>
          <w:p>
            <w:pPr>
              <w:pStyle w:val="559"/>
              <w:rPr>
                <w:rFonts w:hint="eastAsia" w:ascii="宋体" w:hAnsi="宋体" w:cs="宋体"/>
                <w:szCs w:val="21"/>
              </w:rPr>
            </w:pPr>
            <w:r>
              <w:rPr>
                <w:rFonts w:hint="eastAsia" w:ascii="宋体" w:hAnsi="宋体" w:cs="宋体"/>
                <w:szCs w:val="21"/>
              </w:rPr>
              <w:t>1</w:t>
            </w:r>
          </w:p>
        </w:tc>
        <w:tc>
          <w:tcPr>
            <w:tcW w:w="689" w:type="pct"/>
            <w:vMerge w:val="restart"/>
            <w:tcBorders>
              <w:top w:val="single" w:color="auto" w:sz="4" w:space="0"/>
              <w:left w:val="single" w:color="auto" w:sz="4" w:space="0"/>
              <w:right w:val="single" w:color="auto" w:sz="4" w:space="0"/>
            </w:tcBorders>
            <w:vAlign w:val="center"/>
          </w:tcPr>
          <w:p>
            <w:pPr>
              <w:pStyle w:val="559"/>
              <w:rPr>
                <w:rFonts w:hint="eastAsia" w:ascii="宋体" w:hAnsi="宋体" w:cs="宋体"/>
                <w:szCs w:val="21"/>
              </w:rPr>
            </w:pPr>
            <w:r>
              <w:rPr>
                <w:rFonts w:hint="eastAsia" w:ascii="宋体" w:hAnsi="宋体" w:cs="宋体"/>
                <w:szCs w:val="21"/>
              </w:rPr>
              <w:t>普通PCR仪</w:t>
            </w:r>
          </w:p>
        </w:tc>
        <w:tc>
          <w:tcPr>
            <w:tcW w:w="555" w:type="pct"/>
            <w:vMerge w:val="restart"/>
            <w:tcBorders>
              <w:top w:val="single" w:color="auto" w:sz="4" w:space="0"/>
              <w:left w:val="single" w:color="auto" w:sz="4" w:space="0"/>
              <w:right w:val="single" w:color="auto" w:sz="4" w:space="0"/>
            </w:tcBorders>
            <w:vAlign w:val="center"/>
          </w:tcPr>
          <w:p>
            <w:pPr>
              <w:pStyle w:val="559"/>
              <w:jc w:val="center"/>
              <w:rPr>
                <w:rFonts w:hint="eastAsia" w:ascii="宋体" w:hAnsi="宋体" w:cs="宋体"/>
                <w:szCs w:val="21"/>
              </w:rPr>
            </w:pPr>
            <w:r>
              <w:rPr>
                <w:rFonts w:hint="eastAsia" w:ascii="宋体" w:hAnsi="宋体" w:cs="宋体"/>
                <w:szCs w:val="21"/>
              </w:rPr>
              <w:t>1台</w:t>
            </w:r>
          </w:p>
        </w:tc>
        <w:tc>
          <w:tcPr>
            <w:tcW w:w="284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b/>
                <w:bCs/>
                <w:szCs w:val="21"/>
              </w:rPr>
            </w:pPr>
            <w:r>
              <w:rPr>
                <w:rFonts w:hint="eastAsia"/>
                <w:b/>
                <w:bCs/>
                <w:szCs w:val="21"/>
              </w:rPr>
              <w:t>★1.容量为96×0.2 mL；</w:t>
            </w:r>
          </w:p>
        </w:tc>
        <w:tc>
          <w:tcPr>
            <w:tcW w:w="5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rPr>
            </w:pPr>
            <w:r>
              <w:rPr>
                <w:rFonts w:hint="eastAsia"/>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2" w:type="pct"/>
            <w:vMerge w:val="continue"/>
            <w:tcBorders>
              <w:left w:val="single" w:color="auto" w:sz="4" w:space="0"/>
              <w:right w:val="single" w:color="auto" w:sz="4" w:space="0"/>
            </w:tcBorders>
            <w:vAlign w:val="center"/>
          </w:tcPr>
          <w:p>
            <w:pPr>
              <w:spacing w:line="240" w:lineRule="auto"/>
              <w:rPr>
                <w:rFonts w:hint="eastAsia"/>
              </w:rPr>
            </w:pPr>
          </w:p>
        </w:tc>
        <w:tc>
          <w:tcPr>
            <w:tcW w:w="689" w:type="pct"/>
            <w:vMerge w:val="continue"/>
            <w:tcBorders>
              <w:left w:val="single" w:color="auto" w:sz="4" w:space="0"/>
              <w:right w:val="single" w:color="auto" w:sz="4" w:space="0"/>
            </w:tcBorders>
            <w:vAlign w:val="center"/>
          </w:tcPr>
          <w:p>
            <w:pPr>
              <w:spacing w:line="240" w:lineRule="auto"/>
              <w:rPr>
                <w:rFonts w:hint="eastAsia"/>
              </w:rPr>
            </w:pPr>
          </w:p>
        </w:tc>
        <w:tc>
          <w:tcPr>
            <w:tcW w:w="555" w:type="pct"/>
            <w:vMerge w:val="continue"/>
            <w:tcBorders>
              <w:left w:val="single" w:color="auto" w:sz="4" w:space="0"/>
              <w:right w:val="single" w:color="auto" w:sz="4" w:space="0"/>
            </w:tcBorders>
            <w:vAlign w:val="center"/>
          </w:tcPr>
          <w:p>
            <w:pPr>
              <w:spacing w:line="240" w:lineRule="auto"/>
              <w:rPr>
                <w:rFonts w:hint="eastAsia"/>
              </w:rPr>
            </w:pPr>
          </w:p>
        </w:tc>
        <w:tc>
          <w:tcPr>
            <w:tcW w:w="284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b/>
                <w:bCs/>
                <w:szCs w:val="21"/>
              </w:rPr>
            </w:pPr>
            <w:r>
              <w:rPr>
                <w:rFonts w:hint="eastAsia"/>
                <w:b/>
                <w:bCs/>
                <w:szCs w:val="21"/>
              </w:rPr>
              <w:t>★2.具有三个独立控制的加热模块，可同时运行三组不同的反应程序；</w:t>
            </w:r>
          </w:p>
        </w:tc>
        <w:tc>
          <w:tcPr>
            <w:tcW w:w="5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rPr>
            </w:pPr>
            <w:r>
              <w:rPr>
                <w:rFonts w:hint="eastAsia"/>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2"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555"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284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b/>
                <w:bCs/>
                <w:szCs w:val="21"/>
              </w:rPr>
            </w:pPr>
            <w:r>
              <w:rPr>
                <w:rFonts w:hint="eastAsia"/>
                <w:szCs w:val="21"/>
              </w:rPr>
              <w:t>3.模块控温范围 4 ℃-99 ℃；</w:t>
            </w:r>
          </w:p>
        </w:tc>
        <w:tc>
          <w:tcPr>
            <w:tcW w:w="5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2"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555"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284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b/>
                <w:bCs/>
                <w:szCs w:val="21"/>
              </w:rPr>
            </w:pPr>
            <w:r>
              <w:rPr>
                <w:rFonts w:hint="eastAsia"/>
                <w:szCs w:val="21"/>
              </w:rPr>
              <w:t>4.热盖温度和热盖工作模式可设，满足不同实验需求；</w:t>
            </w:r>
          </w:p>
        </w:tc>
        <w:tc>
          <w:tcPr>
            <w:tcW w:w="5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2"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555"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284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b/>
                <w:bCs/>
                <w:szCs w:val="21"/>
              </w:rPr>
            </w:pPr>
            <w:r>
              <w:rPr>
                <w:rFonts w:hint="eastAsia"/>
                <w:b/>
                <w:bCs/>
                <w:szCs w:val="21"/>
              </w:rPr>
              <w:t>★5.快速的升降温速率，最快升降温速率大于等于5 ℃/s，最大降温速率不小于4 ℃/；</w:t>
            </w:r>
          </w:p>
        </w:tc>
        <w:tc>
          <w:tcPr>
            <w:tcW w:w="5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rPr>
            </w:pPr>
            <w:r>
              <w:rPr>
                <w:rFonts w:hint="eastAsia"/>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2"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555"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284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b/>
                <w:bCs/>
                <w:szCs w:val="21"/>
              </w:rPr>
            </w:pPr>
            <w:r>
              <w:rPr>
                <w:rFonts w:hint="eastAsia"/>
                <w:szCs w:val="21"/>
              </w:rPr>
              <w:t>6.模块温度可实时监控并以曲线方式显示；</w:t>
            </w:r>
          </w:p>
        </w:tc>
        <w:tc>
          <w:tcPr>
            <w:tcW w:w="5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2"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555"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284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b/>
                <w:bCs/>
                <w:szCs w:val="21"/>
              </w:rPr>
            </w:pPr>
            <w:r>
              <w:rPr>
                <w:rFonts w:hint="eastAsia"/>
                <w:szCs w:val="21"/>
              </w:rPr>
              <w:t>7.自动断电保护，恢复供电后自动执行未完成循环，保证扩增全过程安全运行；</w:t>
            </w:r>
          </w:p>
        </w:tc>
        <w:tc>
          <w:tcPr>
            <w:tcW w:w="5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2"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555"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284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b/>
                <w:bCs/>
                <w:szCs w:val="21"/>
              </w:rPr>
            </w:pPr>
            <w:r>
              <w:rPr>
                <w:rFonts w:hint="eastAsia"/>
                <w:szCs w:val="21"/>
              </w:rPr>
              <w:t>8.USB接口，支持U盘存/取PCR数据；</w:t>
            </w:r>
          </w:p>
        </w:tc>
        <w:tc>
          <w:tcPr>
            <w:tcW w:w="5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2"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555"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284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b/>
                <w:bCs/>
                <w:szCs w:val="21"/>
              </w:rPr>
            </w:pPr>
            <w:r>
              <w:rPr>
                <w:rFonts w:hint="eastAsia"/>
                <w:szCs w:val="21"/>
              </w:rPr>
              <w:t>9.无反光彩色大触摸控制显示屏，方便操作。</w:t>
            </w:r>
          </w:p>
        </w:tc>
        <w:tc>
          <w:tcPr>
            <w:tcW w:w="5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2"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555" w:type="pct"/>
            <w:vMerge w:val="continue"/>
            <w:tcBorders>
              <w:left w:val="single" w:color="auto" w:sz="4" w:space="0"/>
              <w:right w:val="single" w:color="auto" w:sz="4" w:space="0"/>
            </w:tcBorders>
            <w:vAlign w:val="center"/>
          </w:tcPr>
          <w:p>
            <w:pPr>
              <w:spacing w:line="240" w:lineRule="auto"/>
              <w:rPr>
                <w:rFonts w:hint="eastAsia"/>
                <w:b/>
                <w:bCs/>
                <w:szCs w:val="21"/>
              </w:rPr>
            </w:pPr>
          </w:p>
        </w:tc>
        <w:tc>
          <w:tcPr>
            <w:tcW w:w="2848" w:type="pct"/>
            <w:tcBorders>
              <w:top w:val="single" w:color="auto" w:sz="4" w:space="0"/>
              <w:left w:val="single" w:color="auto" w:sz="4" w:space="0"/>
              <w:right w:val="single" w:color="auto" w:sz="4" w:space="0"/>
            </w:tcBorders>
            <w:vAlign w:val="center"/>
          </w:tcPr>
          <w:p>
            <w:pPr>
              <w:spacing w:line="240" w:lineRule="auto"/>
              <w:jc w:val="left"/>
              <w:rPr>
                <w:rFonts w:hint="eastAsia"/>
                <w:b/>
                <w:bCs/>
                <w:szCs w:val="21"/>
              </w:rPr>
            </w:pPr>
            <w:r>
              <w:rPr>
                <w:rFonts w:hint="eastAsia"/>
                <w:b/>
                <w:bCs/>
                <w:szCs w:val="21"/>
              </w:rPr>
              <w:t>★配置要求：</w:t>
            </w:r>
          </w:p>
          <w:p>
            <w:pPr>
              <w:spacing w:line="240" w:lineRule="auto"/>
              <w:jc w:val="left"/>
              <w:rPr>
                <w:rFonts w:hint="eastAsia"/>
                <w:b/>
                <w:bCs/>
                <w:szCs w:val="21"/>
              </w:rPr>
            </w:pPr>
            <w:r>
              <w:rPr>
                <w:rFonts w:hint="eastAsia"/>
                <w:b/>
                <w:bCs/>
                <w:szCs w:val="21"/>
              </w:rPr>
              <w:t>PCR主机1台，配3×（32×0.2 mL）模块。</w:t>
            </w:r>
          </w:p>
        </w:tc>
        <w:tc>
          <w:tcPr>
            <w:tcW w:w="5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rPr>
            </w:pPr>
            <w:r>
              <w:rPr>
                <w:rFonts w:hint="eastAsia"/>
                <w:b/>
                <w:bCs/>
                <w:szCs w:val="21"/>
              </w:rPr>
              <w:t>★</w:t>
            </w:r>
          </w:p>
        </w:tc>
      </w:tr>
    </w:tbl>
    <w:p>
      <w:pPr>
        <w:widowControl w:val="0"/>
        <w:shd w:val="clear" w:color="auto" w:fill="auto"/>
        <w:tabs>
          <w:tab w:val="clear" w:pos="426"/>
        </w:tabs>
        <w:adjustRightInd/>
        <w:snapToGrid/>
        <w:spacing w:line="240" w:lineRule="auto"/>
        <w:rPr>
          <w:rFonts w:hint="eastAsia" w:cs="Times New Roman"/>
          <w:b/>
          <w:bCs/>
          <w:kern w:val="2"/>
          <w:szCs w:val="21"/>
        </w:rPr>
      </w:pP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1</w:t>
      </w:r>
      <w:r>
        <w:rPr>
          <w:rFonts w:hint="eastAsia" w:cs="Times New Roman"/>
          <w:b/>
          <w:bCs/>
          <w:kern w:val="2"/>
          <w:szCs w:val="21"/>
        </w:rPr>
        <w:t>.</w:t>
      </w:r>
      <w:r>
        <w:rPr>
          <w:rFonts w:cs="Times New Roman"/>
          <w:b/>
          <w:bCs/>
          <w:kern w:val="2"/>
          <w:szCs w:val="21"/>
        </w:rPr>
        <w:t xml:space="preserve">带“★”指标项为实质性条款，如出现负偏离，将被视为未实质性满足招标文件要求作投标无效处理。带“▲”指标项为重要参数，负偏离时依相关评分准则内容作重点扣分处理。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2</w:t>
      </w:r>
      <w:r>
        <w:rPr>
          <w:rFonts w:hint="eastAsia" w:cs="Times New Roman"/>
          <w:b/>
          <w:bCs/>
          <w:kern w:val="2"/>
          <w:szCs w:val="21"/>
        </w:rPr>
        <w:t>.技术参数要求</w:t>
      </w:r>
      <w:r>
        <w:rPr>
          <w:rFonts w:cs="Times New Roman"/>
          <w:b/>
          <w:bCs/>
          <w:kern w:val="2"/>
          <w:szCs w:val="21"/>
        </w:rPr>
        <w:t>中，用</w:t>
      </w:r>
      <w:r>
        <w:rPr>
          <w:rFonts w:cs="Times New Roman"/>
          <w:b/>
          <w:bCs/>
          <w:color w:val="FF0000"/>
          <w:kern w:val="2"/>
          <w:szCs w:val="21"/>
        </w:rPr>
        <w:t>红色加粗</w:t>
      </w:r>
      <w:r>
        <w:rPr>
          <w:rFonts w:cs="Times New Roman"/>
          <w:b/>
          <w:bCs/>
          <w:kern w:val="2"/>
          <w:szCs w:val="21"/>
        </w:rPr>
        <w:t>字体标注的技术条款为要求提</w:t>
      </w:r>
      <w:bookmarkStart w:id="213" w:name="_GoBack"/>
      <w:bookmarkEnd w:id="213"/>
      <w:r>
        <w:rPr>
          <w:rFonts w:cs="Times New Roman"/>
          <w:b/>
          <w:bCs/>
          <w:kern w:val="2"/>
          <w:szCs w:val="21"/>
        </w:rPr>
        <w:t>供证明资料的条款，其余为未要求提供证明资料的条款，无需提供相关证明资料。</w:t>
      </w:r>
    </w:p>
    <w:p>
      <w:pPr>
        <w:numPr>
          <w:ilvl w:val="0"/>
          <w:numId w:val="2"/>
        </w:numPr>
        <w:shd w:val="clear" w:color="auto" w:fill="FFFFFF"/>
        <w:adjustRightInd/>
        <w:snapToGrid/>
        <w:spacing w:before="280" w:after="290" w:line="377" w:lineRule="auto"/>
        <w:jc w:val="left"/>
        <w:outlineLvl w:val="2"/>
        <w:rPr>
          <w:rFonts w:hint="eastAsia"/>
          <w:b/>
          <w:sz w:val="24"/>
        </w:rPr>
      </w:pPr>
      <w:bookmarkStart w:id="51" w:name="_Toc29497"/>
      <w:bookmarkStart w:id="52" w:name="_Toc151386157"/>
      <w:bookmarkStart w:id="53" w:name="_Toc8996"/>
      <w:bookmarkStart w:id="54" w:name="_Toc150960247"/>
      <w:r>
        <w:rPr>
          <w:rFonts w:hint="eastAsia"/>
          <w:b/>
          <w:sz w:val="24"/>
        </w:rPr>
        <w:t>商务要求</w:t>
      </w:r>
      <w:bookmarkEnd w:id="51"/>
      <w:bookmarkEnd w:id="52"/>
      <w:bookmarkEnd w:id="53"/>
      <w:bookmarkEnd w:id="54"/>
    </w:p>
    <w:p>
      <w:pPr>
        <w:shd w:val="clear" w:color="auto" w:fill="auto"/>
        <w:tabs>
          <w:tab w:val="clear" w:pos="426"/>
        </w:tabs>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1.签定合同日期：</w:t>
      </w:r>
      <w:r>
        <w:rPr>
          <w:rFonts w:hint="eastAsia" w:cs="Times New Roman"/>
          <w:kern w:val="2"/>
          <w:szCs w:val="21"/>
          <w:lang w:eastAsia="zh-TW"/>
        </w:rPr>
        <w:t>自中标(成交)通知书发出之日起30日内。</w:t>
      </w:r>
    </w:p>
    <w:p>
      <w:pPr>
        <w:shd w:val="clear" w:color="auto" w:fill="auto"/>
        <w:tabs>
          <w:tab w:val="clear" w:pos="426"/>
        </w:tabs>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★2.交货期：合同签订后</w:t>
      </w:r>
      <w:r>
        <w:rPr>
          <w:rFonts w:hint="eastAsia" w:cs="Times New Roman"/>
          <w:b/>
          <w:bCs/>
          <w:kern w:val="2"/>
          <w:szCs w:val="21"/>
        </w:rPr>
        <w:t>30</w:t>
      </w:r>
      <w:r>
        <w:rPr>
          <w:rFonts w:hint="eastAsia" w:cs="Times New Roman"/>
          <w:b/>
          <w:bCs/>
          <w:kern w:val="2"/>
          <w:szCs w:val="21"/>
          <w:lang w:eastAsia="zh-TW"/>
        </w:rPr>
        <w:t>日内完成交货。</w:t>
      </w:r>
    </w:p>
    <w:p>
      <w:pPr>
        <w:shd w:val="clear" w:color="auto" w:fill="auto"/>
        <w:tabs>
          <w:tab w:val="clear" w:pos="426"/>
        </w:tabs>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★3.交货地点：</w:t>
      </w:r>
      <w:r>
        <w:rPr>
          <w:rFonts w:hint="eastAsia" w:cs="Times New Roman"/>
          <w:b/>
          <w:bCs/>
          <w:kern w:val="2"/>
          <w:szCs w:val="21"/>
        </w:rPr>
        <w:t>采购人指定地点。</w:t>
      </w:r>
    </w:p>
    <w:p>
      <w:pPr>
        <w:shd w:val="clear" w:color="auto" w:fill="auto"/>
        <w:tabs>
          <w:tab w:val="clear" w:pos="426"/>
        </w:tabs>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★4.售后服务要求：</w:t>
      </w:r>
    </w:p>
    <w:p>
      <w:pPr>
        <w:shd w:val="clear" w:color="auto" w:fill="auto"/>
        <w:tabs>
          <w:tab w:val="clear" w:pos="426"/>
        </w:tabs>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（1）货物质量保证期为：自双方签署设备到货验收签收单/安装调试验收合格报告之日起计算 1 年</w:t>
      </w:r>
    </w:p>
    <w:p>
      <w:pPr>
        <w:shd w:val="clear" w:color="auto" w:fill="auto"/>
        <w:tabs>
          <w:tab w:val="clear" w:pos="426"/>
        </w:tabs>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（2）</w:t>
      </w:r>
      <w:r>
        <w:rPr>
          <w:rFonts w:hint="eastAsia" w:cs="Times New Roman"/>
          <w:b/>
          <w:bCs/>
          <w:kern w:val="2"/>
          <w:szCs w:val="21"/>
        </w:rPr>
        <w:t>保修期：</w:t>
      </w:r>
      <w:r>
        <w:rPr>
          <w:rFonts w:hint="eastAsia" w:cs="Times New Roman"/>
          <w:b/>
          <w:bCs/>
          <w:kern w:val="2"/>
          <w:szCs w:val="21"/>
          <w:lang w:eastAsia="zh-TW"/>
        </w:rPr>
        <w:t>同上。</w:t>
      </w:r>
    </w:p>
    <w:p>
      <w:pPr>
        <w:shd w:val="clear" w:color="auto" w:fill="auto"/>
        <w:tabs>
          <w:tab w:val="clear" w:pos="426"/>
        </w:tabs>
        <w:spacing w:line="240" w:lineRule="auto"/>
        <w:ind w:firstLine="422" w:firstLineChars="200"/>
        <w:rPr>
          <w:rFonts w:hint="eastAsia" w:cs="Times New Roman"/>
          <w:b/>
          <w:bCs/>
          <w:kern w:val="2"/>
          <w:szCs w:val="21"/>
        </w:rPr>
      </w:pPr>
      <w:r>
        <w:rPr>
          <w:rFonts w:hint="eastAsia" w:cs="Times New Roman"/>
          <w:b/>
          <w:bCs/>
          <w:kern w:val="2"/>
          <w:szCs w:val="21"/>
        </w:rPr>
        <w:t>（</w:t>
      </w:r>
      <w:r>
        <w:rPr>
          <w:rFonts w:hint="eastAsia" w:cs="Times New Roman"/>
          <w:b/>
          <w:bCs/>
          <w:kern w:val="2"/>
          <w:szCs w:val="21"/>
          <w:lang w:eastAsia="zh-TW"/>
        </w:rPr>
        <w:t>3</w:t>
      </w:r>
      <w:r>
        <w:rPr>
          <w:rFonts w:hint="eastAsia" w:cs="Times New Roman"/>
          <w:b/>
          <w:bCs/>
          <w:kern w:val="2"/>
          <w:szCs w:val="21"/>
        </w:rPr>
        <w:t>）其他</w:t>
      </w:r>
      <w:r>
        <w:rPr>
          <w:rFonts w:hint="eastAsia" w:cs="Times New Roman"/>
          <w:b/>
          <w:bCs/>
          <w:kern w:val="2"/>
          <w:szCs w:val="21"/>
          <w:lang w:eastAsia="zh-TW"/>
        </w:rPr>
        <w:t>售后服务要求</w:t>
      </w:r>
      <w:r>
        <w:rPr>
          <w:rFonts w:hint="eastAsia" w:cs="Times New Roman"/>
          <w:b/>
          <w:bCs/>
          <w:kern w:val="2"/>
          <w:szCs w:val="21"/>
        </w:rPr>
        <w:t>：</w:t>
      </w:r>
    </w:p>
    <w:p>
      <w:pPr>
        <w:shd w:val="clear" w:color="auto" w:fill="auto"/>
        <w:tabs>
          <w:tab w:val="clear" w:pos="426"/>
        </w:tabs>
        <w:spacing w:line="240" w:lineRule="auto"/>
        <w:ind w:firstLine="422" w:firstLineChars="200"/>
        <w:rPr>
          <w:rFonts w:hint="eastAsia" w:cs="Times New Roman"/>
          <w:b/>
          <w:bCs/>
          <w:kern w:val="2"/>
          <w:szCs w:val="21"/>
        </w:rPr>
      </w:pPr>
      <w:r>
        <w:rPr>
          <w:rFonts w:hint="eastAsia" w:cs="Times New Roman"/>
          <w:b/>
          <w:bCs/>
          <w:kern w:val="2"/>
          <w:szCs w:val="21"/>
        </w:rPr>
        <w:t>供应商（制造商）在质量保证期内提供 7x24 小时的技术支持与售后服务，提供专线电话支持服务， 4 小时内响应，保证48小时内到达现场并解决故障（不额外收费）。</w:t>
      </w:r>
    </w:p>
    <w:p>
      <w:pPr>
        <w:shd w:val="clear" w:color="auto" w:fill="auto"/>
        <w:tabs>
          <w:tab w:val="clear" w:pos="426"/>
        </w:tabs>
        <w:spacing w:line="240" w:lineRule="auto"/>
        <w:ind w:firstLine="422" w:firstLineChars="200"/>
        <w:rPr>
          <w:rFonts w:hint="eastAsia" w:cs="Times New Roman"/>
          <w:b/>
          <w:bCs/>
          <w:kern w:val="2"/>
          <w:szCs w:val="21"/>
        </w:rPr>
      </w:pPr>
      <w:r>
        <w:rPr>
          <w:rFonts w:hint="eastAsia" w:cs="Times New Roman"/>
          <w:b/>
          <w:bCs/>
          <w:kern w:val="2"/>
          <w:szCs w:val="21"/>
        </w:rPr>
        <w:t>本合同所包含的售后服务，包含制造商售后服务和代理商售后服务。</w:t>
      </w:r>
    </w:p>
    <w:p>
      <w:pPr>
        <w:shd w:val="clear" w:color="auto" w:fill="auto"/>
        <w:tabs>
          <w:tab w:val="clear" w:pos="426"/>
        </w:tabs>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5</w:t>
      </w:r>
      <w:r>
        <w:rPr>
          <w:rFonts w:hint="eastAsia" w:cs="Times New Roman"/>
          <w:b/>
          <w:bCs/>
          <w:kern w:val="2"/>
          <w:szCs w:val="21"/>
          <w:lang w:eastAsia="zh-TW"/>
        </w:rPr>
        <w:t>.货物验收：</w:t>
      </w:r>
    </w:p>
    <w:p>
      <w:pPr>
        <w:shd w:val="clear" w:color="auto" w:fill="auto"/>
        <w:tabs>
          <w:tab w:val="clear" w:pos="426"/>
        </w:tabs>
        <w:spacing w:line="240" w:lineRule="auto"/>
        <w:ind w:firstLine="420" w:firstLineChars="200"/>
        <w:rPr>
          <w:rFonts w:hint="eastAsia" w:cs="Times New Roman"/>
          <w:kern w:val="2"/>
          <w:szCs w:val="21"/>
          <w:lang w:eastAsia="zh-TW"/>
        </w:rPr>
      </w:pPr>
      <w:r>
        <w:rPr>
          <w:rFonts w:hint="eastAsia" w:cs="Times New Roman"/>
          <w:kern w:val="2"/>
          <w:szCs w:val="21"/>
          <w:lang w:eastAsia="zh-TW"/>
        </w:rPr>
        <w:t>（</w:t>
      </w:r>
      <w:r>
        <w:rPr>
          <w:rFonts w:hint="eastAsia" w:cs="Times New Roman"/>
          <w:kern w:val="2"/>
          <w:szCs w:val="21"/>
        </w:rPr>
        <w:t>1</w:t>
      </w:r>
      <w:r>
        <w:rPr>
          <w:rFonts w:hint="eastAsia" w:cs="Times New Roman"/>
          <w:kern w:val="2"/>
          <w:szCs w:val="21"/>
          <w:lang w:eastAsia="zh-TW"/>
        </w:rPr>
        <w:t>）货物运至</w:t>
      </w:r>
      <w:r>
        <w:rPr>
          <w:rFonts w:hint="eastAsia" w:cs="Times New Roman"/>
          <w:kern w:val="2"/>
          <w:szCs w:val="21"/>
        </w:rPr>
        <w:t>采购人</w:t>
      </w:r>
      <w:r>
        <w:rPr>
          <w:rFonts w:hint="eastAsia" w:cs="Times New Roman"/>
          <w:kern w:val="2"/>
          <w:szCs w:val="21"/>
          <w:lang w:eastAsia="zh-TW"/>
        </w:rPr>
        <w:t>（用户）指定地点后，由双方指派人员按照本合同规定对货物进行实物验收，</w:t>
      </w:r>
      <w:r>
        <w:rPr>
          <w:rFonts w:hint="eastAsia" w:cs="Times New Roman"/>
          <w:kern w:val="2"/>
          <w:szCs w:val="21"/>
        </w:rPr>
        <w:t>中标人</w:t>
      </w:r>
      <w:r>
        <w:rPr>
          <w:rFonts w:hint="eastAsia" w:cs="Times New Roman"/>
          <w:kern w:val="2"/>
          <w:szCs w:val="21"/>
          <w:lang w:eastAsia="zh-TW"/>
        </w:rPr>
        <w:t>应提供交货清单等文件供</w:t>
      </w:r>
      <w:r>
        <w:rPr>
          <w:rFonts w:hint="eastAsia" w:cs="Times New Roman"/>
          <w:kern w:val="2"/>
          <w:szCs w:val="21"/>
        </w:rPr>
        <w:t>采购人</w:t>
      </w:r>
      <w:r>
        <w:rPr>
          <w:rFonts w:hint="eastAsia" w:cs="Times New Roman"/>
          <w:kern w:val="2"/>
          <w:szCs w:val="21"/>
          <w:lang w:eastAsia="zh-TW"/>
        </w:rPr>
        <w:t>（用户）审查，</w:t>
      </w:r>
      <w:r>
        <w:rPr>
          <w:rFonts w:hint="eastAsia" w:cs="Times New Roman"/>
          <w:kern w:val="2"/>
          <w:szCs w:val="21"/>
        </w:rPr>
        <w:t>采购人</w:t>
      </w:r>
      <w:r>
        <w:rPr>
          <w:rFonts w:hint="eastAsia" w:cs="Times New Roman"/>
          <w:kern w:val="2"/>
          <w:szCs w:val="21"/>
          <w:lang w:eastAsia="zh-TW"/>
        </w:rPr>
        <w:t>（用户）将按合同清单进行规格、数量、外观的检查。</w:t>
      </w:r>
    </w:p>
    <w:p>
      <w:pPr>
        <w:shd w:val="clear" w:color="auto" w:fill="auto"/>
        <w:tabs>
          <w:tab w:val="clear" w:pos="426"/>
        </w:tabs>
        <w:spacing w:line="240" w:lineRule="auto"/>
        <w:ind w:firstLine="420" w:firstLineChars="200"/>
        <w:rPr>
          <w:rFonts w:hint="eastAsia" w:cs="Times New Roman"/>
          <w:kern w:val="2"/>
          <w:szCs w:val="21"/>
          <w:lang w:eastAsia="zh-TW"/>
        </w:rPr>
      </w:pPr>
      <w:r>
        <w:rPr>
          <w:rFonts w:hint="eastAsia" w:cs="Times New Roman"/>
          <w:kern w:val="2"/>
          <w:szCs w:val="21"/>
          <w:lang w:eastAsia="zh-TW"/>
        </w:rPr>
        <w:t>（</w:t>
      </w:r>
      <w:r>
        <w:rPr>
          <w:rFonts w:hint="eastAsia" w:cs="Times New Roman"/>
          <w:kern w:val="2"/>
          <w:szCs w:val="21"/>
        </w:rPr>
        <w:t>2</w:t>
      </w:r>
      <w:r>
        <w:rPr>
          <w:rFonts w:hint="eastAsia" w:cs="Times New Roman"/>
          <w:kern w:val="2"/>
          <w:szCs w:val="21"/>
          <w:lang w:eastAsia="zh-TW"/>
        </w:rPr>
        <w:t>）收货后30个工作日内双方进行安装调试验收工作。如验收合格，</w:t>
      </w:r>
      <w:r>
        <w:rPr>
          <w:rFonts w:hint="eastAsia" w:cs="Times New Roman"/>
          <w:kern w:val="2"/>
          <w:szCs w:val="21"/>
        </w:rPr>
        <w:t>采购人</w:t>
      </w:r>
      <w:r>
        <w:rPr>
          <w:rFonts w:hint="eastAsia" w:cs="Times New Roman"/>
          <w:kern w:val="2"/>
          <w:szCs w:val="21"/>
          <w:lang w:eastAsia="zh-TW"/>
        </w:rPr>
        <w:t>（用户）应及时履行验收手续，双方签署设备到货验收签收单；如验收不合格，</w:t>
      </w:r>
      <w:r>
        <w:rPr>
          <w:rFonts w:hint="eastAsia" w:cs="Times New Roman"/>
          <w:kern w:val="2"/>
          <w:szCs w:val="21"/>
        </w:rPr>
        <w:t>采购人</w:t>
      </w:r>
      <w:r>
        <w:rPr>
          <w:rFonts w:hint="eastAsia" w:cs="Times New Roman"/>
          <w:kern w:val="2"/>
          <w:szCs w:val="21"/>
          <w:lang w:eastAsia="zh-TW"/>
        </w:rPr>
        <w:t>（用户）应以书面形式通知</w:t>
      </w:r>
      <w:r>
        <w:rPr>
          <w:rFonts w:hint="eastAsia" w:cs="Times New Roman"/>
          <w:kern w:val="2"/>
          <w:szCs w:val="21"/>
        </w:rPr>
        <w:t>中标人</w:t>
      </w:r>
      <w:r>
        <w:rPr>
          <w:rFonts w:hint="eastAsia" w:cs="Times New Roman"/>
          <w:kern w:val="2"/>
          <w:szCs w:val="21"/>
          <w:lang w:eastAsia="zh-TW"/>
        </w:rPr>
        <w:t>原因，</w:t>
      </w:r>
      <w:r>
        <w:rPr>
          <w:rFonts w:hint="eastAsia" w:cs="Times New Roman"/>
          <w:kern w:val="2"/>
          <w:szCs w:val="21"/>
        </w:rPr>
        <w:t>中标人</w:t>
      </w:r>
      <w:r>
        <w:rPr>
          <w:rFonts w:hint="eastAsia" w:cs="Times New Roman"/>
          <w:kern w:val="2"/>
          <w:szCs w:val="21"/>
          <w:lang w:eastAsia="zh-TW"/>
        </w:rPr>
        <w:t>收到通知后</w:t>
      </w:r>
      <w:r>
        <w:rPr>
          <w:rFonts w:hint="eastAsia" w:cs="Times New Roman"/>
          <w:kern w:val="2"/>
          <w:szCs w:val="21"/>
        </w:rPr>
        <w:t>10</w:t>
      </w:r>
      <w:r>
        <w:rPr>
          <w:rFonts w:hint="eastAsia" w:cs="Times New Roman"/>
          <w:kern w:val="2"/>
          <w:szCs w:val="21"/>
          <w:lang w:eastAsia="zh-TW"/>
        </w:rPr>
        <w:t>个工作日内提供解决方案。</w:t>
      </w:r>
    </w:p>
    <w:p>
      <w:pPr>
        <w:shd w:val="clear" w:color="auto" w:fill="auto"/>
        <w:tabs>
          <w:tab w:val="clear" w:pos="426"/>
        </w:tabs>
        <w:spacing w:line="240" w:lineRule="auto"/>
        <w:ind w:firstLine="420" w:firstLineChars="200"/>
        <w:rPr>
          <w:rFonts w:hint="eastAsia" w:cs="Times New Roman"/>
          <w:kern w:val="2"/>
          <w:szCs w:val="21"/>
          <w:lang w:eastAsia="zh-TW"/>
        </w:rPr>
      </w:pPr>
      <w:r>
        <w:rPr>
          <w:rFonts w:hint="eastAsia" w:cs="Times New Roman"/>
          <w:kern w:val="2"/>
          <w:szCs w:val="21"/>
          <w:lang w:eastAsia="zh-TW"/>
        </w:rPr>
        <w:t>（</w:t>
      </w:r>
      <w:r>
        <w:rPr>
          <w:rFonts w:hint="eastAsia" w:cs="Times New Roman"/>
          <w:kern w:val="2"/>
          <w:szCs w:val="21"/>
        </w:rPr>
        <w:t>3</w:t>
      </w:r>
      <w:r>
        <w:rPr>
          <w:rFonts w:hint="eastAsia" w:cs="Times New Roman"/>
          <w:kern w:val="2"/>
          <w:szCs w:val="21"/>
          <w:lang w:eastAsia="zh-TW"/>
        </w:rPr>
        <w:t>）在验收工作中，发现数量不足或有质量、技术等问题，</w:t>
      </w:r>
      <w:r>
        <w:rPr>
          <w:rFonts w:hint="eastAsia" w:cs="Times New Roman"/>
          <w:kern w:val="2"/>
          <w:szCs w:val="21"/>
        </w:rPr>
        <w:t>中标人</w:t>
      </w:r>
      <w:r>
        <w:rPr>
          <w:rFonts w:hint="eastAsia" w:cs="Times New Roman"/>
          <w:kern w:val="2"/>
          <w:szCs w:val="21"/>
          <w:lang w:eastAsia="zh-TW"/>
        </w:rPr>
        <w:t>应按照合同要求采取补足、更换或退货等处理措施，并承担由此发生的一切费用和损失。</w:t>
      </w:r>
    </w:p>
    <w:p>
      <w:pPr>
        <w:shd w:val="clear" w:color="auto" w:fill="auto"/>
        <w:tabs>
          <w:tab w:val="clear" w:pos="426"/>
        </w:tabs>
        <w:spacing w:line="240" w:lineRule="auto"/>
        <w:ind w:firstLine="420" w:firstLineChars="200"/>
        <w:rPr>
          <w:rFonts w:hint="eastAsia" w:cs="Times New Roman"/>
          <w:kern w:val="2"/>
          <w:szCs w:val="21"/>
          <w:lang w:eastAsia="zh-TW"/>
        </w:rPr>
      </w:pPr>
      <w:r>
        <w:rPr>
          <w:rFonts w:hint="eastAsia" w:cs="Times New Roman"/>
          <w:kern w:val="2"/>
          <w:szCs w:val="21"/>
          <w:lang w:eastAsia="zh-TW"/>
        </w:rPr>
        <w:t>（</w:t>
      </w:r>
      <w:r>
        <w:rPr>
          <w:rFonts w:hint="eastAsia" w:cs="Times New Roman"/>
          <w:kern w:val="2"/>
          <w:szCs w:val="21"/>
        </w:rPr>
        <w:t>4</w:t>
      </w:r>
      <w:r>
        <w:rPr>
          <w:rFonts w:hint="eastAsia" w:cs="Times New Roman"/>
          <w:kern w:val="2"/>
          <w:szCs w:val="21"/>
          <w:lang w:eastAsia="zh-TW"/>
        </w:rPr>
        <w:t>）涉及设备安装调试的，</w:t>
      </w:r>
      <w:r>
        <w:rPr>
          <w:rFonts w:hint="eastAsia" w:cs="Times New Roman"/>
          <w:kern w:val="2"/>
          <w:szCs w:val="21"/>
        </w:rPr>
        <w:t>中标人</w:t>
      </w:r>
      <w:r>
        <w:rPr>
          <w:rFonts w:hint="eastAsia" w:cs="Times New Roman"/>
          <w:kern w:val="2"/>
          <w:szCs w:val="21"/>
          <w:lang w:eastAsia="zh-TW"/>
        </w:rPr>
        <w:t>负责在</w:t>
      </w:r>
      <w:r>
        <w:rPr>
          <w:rFonts w:hint="eastAsia" w:cs="Times New Roman"/>
          <w:kern w:val="2"/>
          <w:szCs w:val="21"/>
        </w:rPr>
        <w:t>采购人</w:t>
      </w:r>
      <w:r>
        <w:rPr>
          <w:rFonts w:hint="eastAsia" w:cs="Times New Roman"/>
          <w:kern w:val="2"/>
          <w:szCs w:val="21"/>
          <w:lang w:eastAsia="zh-TW"/>
        </w:rPr>
        <w:t>（用户）配合下完成所供设备安装调试并保证与用户原有设备互联互通，有关技术问题由</w:t>
      </w:r>
      <w:r>
        <w:rPr>
          <w:rFonts w:hint="eastAsia" w:cs="Times New Roman"/>
          <w:kern w:val="2"/>
          <w:szCs w:val="21"/>
        </w:rPr>
        <w:t>中标人</w:t>
      </w:r>
      <w:r>
        <w:rPr>
          <w:rFonts w:hint="eastAsia" w:cs="Times New Roman"/>
          <w:kern w:val="2"/>
          <w:szCs w:val="21"/>
          <w:lang w:eastAsia="zh-TW"/>
        </w:rPr>
        <w:t>和制造商协同解决。安装调试后，双方签署设备安装调试验收报告。</w:t>
      </w:r>
    </w:p>
    <w:p>
      <w:pPr>
        <w:shd w:val="clear" w:color="auto" w:fill="auto"/>
        <w:tabs>
          <w:tab w:val="clear" w:pos="426"/>
        </w:tabs>
        <w:spacing w:line="240" w:lineRule="auto"/>
        <w:ind w:firstLine="420" w:firstLineChars="200"/>
        <w:rPr>
          <w:rFonts w:hint="eastAsia" w:cs="Times New Roman"/>
          <w:kern w:val="2"/>
          <w:szCs w:val="21"/>
        </w:rPr>
      </w:pPr>
      <w:bookmarkStart w:id="55" w:name="_Hlk180315057"/>
      <w:r>
        <w:rPr>
          <w:rFonts w:hint="eastAsia" w:cs="Times New Roman"/>
          <w:kern w:val="2"/>
          <w:szCs w:val="21"/>
          <w:lang w:eastAsia="zh-TW"/>
        </w:rPr>
        <w:t>（</w:t>
      </w:r>
      <w:r>
        <w:rPr>
          <w:rFonts w:hint="eastAsia" w:cs="Times New Roman"/>
          <w:kern w:val="2"/>
          <w:szCs w:val="21"/>
        </w:rPr>
        <w:t>5</w:t>
      </w:r>
      <w:r>
        <w:rPr>
          <w:rFonts w:hint="eastAsia" w:cs="Times New Roman"/>
          <w:kern w:val="2"/>
          <w:szCs w:val="21"/>
          <w:lang w:eastAsia="zh-TW"/>
        </w:rPr>
        <w:t>）合同项下货物生产期间，采购人（用户）有权派工作人员到生产厂进行监造、现场抽样和出厂前验核。此次验核不代表采购人（用户）对货物的最终验收。期间相关费用，包括技术交流和技术材料费等由中标人负担。</w:t>
      </w:r>
    </w:p>
    <w:bookmarkEnd w:id="55"/>
    <w:p>
      <w:pPr>
        <w:shd w:val="clear" w:color="auto" w:fill="auto"/>
        <w:tabs>
          <w:tab w:val="clear" w:pos="426"/>
        </w:tabs>
        <w:spacing w:line="240" w:lineRule="auto"/>
        <w:ind w:firstLine="420" w:firstLineChars="200"/>
        <w:rPr>
          <w:rFonts w:hint="eastAsia" w:cs="Times New Roman"/>
          <w:kern w:val="2"/>
          <w:szCs w:val="21"/>
          <w:lang w:eastAsia="zh-TW"/>
        </w:rPr>
      </w:pPr>
      <w:r>
        <w:rPr>
          <w:rFonts w:hint="eastAsia" w:cs="Times New Roman"/>
          <w:kern w:val="2"/>
          <w:szCs w:val="21"/>
          <w:lang w:eastAsia="zh-TW"/>
        </w:rPr>
        <w:t>（</w:t>
      </w:r>
      <w:r>
        <w:rPr>
          <w:rFonts w:hint="eastAsia" w:cs="Times New Roman"/>
          <w:kern w:val="2"/>
          <w:szCs w:val="21"/>
        </w:rPr>
        <w:t>6</w:t>
      </w:r>
      <w:r>
        <w:rPr>
          <w:rFonts w:hint="eastAsia" w:cs="Times New Roman"/>
          <w:kern w:val="2"/>
          <w:szCs w:val="21"/>
          <w:lang w:eastAsia="zh-TW"/>
        </w:rPr>
        <w:t>）为验核货物内在功能是否完备，</w:t>
      </w:r>
      <w:r>
        <w:rPr>
          <w:rFonts w:hint="eastAsia" w:cs="Times New Roman"/>
          <w:kern w:val="2"/>
          <w:szCs w:val="21"/>
        </w:rPr>
        <w:t>采购人</w:t>
      </w:r>
      <w:r>
        <w:rPr>
          <w:rFonts w:hint="eastAsia" w:cs="Times New Roman"/>
          <w:kern w:val="2"/>
          <w:szCs w:val="21"/>
          <w:lang w:eastAsia="zh-TW"/>
        </w:rPr>
        <w:t>（用户）有权组织对货物进行随机抽样，并委托有关检测单位进行检测，该检测结果将作为货物质量的评判依据，相关送检和检测费用由</w:t>
      </w:r>
      <w:r>
        <w:rPr>
          <w:rFonts w:hint="eastAsia" w:cs="Times New Roman"/>
          <w:kern w:val="2"/>
          <w:szCs w:val="21"/>
        </w:rPr>
        <w:t>中标人</w:t>
      </w:r>
      <w:r>
        <w:rPr>
          <w:rFonts w:hint="eastAsia" w:cs="Times New Roman"/>
          <w:kern w:val="2"/>
          <w:szCs w:val="21"/>
          <w:lang w:eastAsia="zh-TW"/>
        </w:rPr>
        <w:t>承担。如检测指标不符合招标文件（谈判文件、询价通知书、磋商文件、单一来源）、投标（响应）文件要求的，</w:t>
      </w:r>
      <w:r>
        <w:rPr>
          <w:rFonts w:hint="eastAsia" w:cs="Times New Roman"/>
          <w:kern w:val="2"/>
          <w:szCs w:val="21"/>
        </w:rPr>
        <w:t>采购人</w:t>
      </w:r>
      <w:r>
        <w:rPr>
          <w:rFonts w:hint="eastAsia" w:cs="Times New Roman"/>
          <w:kern w:val="2"/>
          <w:szCs w:val="21"/>
          <w:lang w:eastAsia="zh-TW"/>
        </w:rPr>
        <w:t>有权拒收全部此类货物，</w:t>
      </w:r>
      <w:r>
        <w:rPr>
          <w:rFonts w:hint="eastAsia" w:cs="Times New Roman"/>
          <w:kern w:val="2"/>
          <w:szCs w:val="21"/>
        </w:rPr>
        <w:t>中标人</w:t>
      </w:r>
      <w:r>
        <w:rPr>
          <w:rFonts w:hint="eastAsia" w:cs="Times New Roman"/>
          <w:kern w:val="2"/>
          <w:szCs w:val="21"/>
          <w:lang w:eastAsia="zh-TW"/>
        </w:rPr>
        <w:t>应按照</w:t>
      </w:r>
      <w:r>
        <w:rPr>
          <w:rFonts w:hint="eastAsia" w:cs="Times New Roman"/>
          <w:kern w:val="2"/>
          <w:szCs w:val="21"/>
        </w:rPr>
        <w:t>采购人</w:t>
      </w:r>
      <w:r>
        <w:rPr>
          <w:rFonts w:hint="eastAsia" w:cs="Times New Roman"/>
          <w:kern w:val="2"/>
          <w:szCs w:val="21"/>
          <w:lang w:eastAsia="zh-TW"/>
        </w:rPr>
        <w:t>要求无条件对拒收货物进行更换，并承担由此给</w:t>
      </w:r>
      <w:r>
        <w:rPr>
          <w:rFonts w:hint="eastAsia" w:cs="Times New Roman"/>
          <w:kern w:val="2"/>
          <w:szCs w:val="21"/>
        </w:rPr>
        <w:t>采购人</w:t>
      </w:r>
      <w:r>
        <w:rPr>
          <w:rFonts w:hint="eastAsia" w:cs="Times New Roman"/>
          <w:kern w:val="2"/>
          <w:szCs w:val="21"/>
          <w:lang w:eastAsia="zh-TW"/>
        </w:rPr>
        <w:t>造成的工期延误等损失。对</w:t>
      </w:r>
      <w:r>
        <w:rPr>
          <w:rFonts w:hint="eastAsia" w:cs="Times New Roman"/>
          <w:kern w:val="2"/>
          <w:szCs w:val="21"/>
        </w:rPr>
        <w:t>中标人</w:t>
      </w:r>
      <w:r>
        <w:rPr>
          <w:rFonts w:hint="eastAsia" w:cs="Times New Roman"/>
          <w:kern w:val="2"/>
          <w:szCs w:val="21"/>
          <w:lang w:eastAsia="zh-TW"/>
        </w:rPr>
        <w:t>可能涉嫌提供虚假材料或虚假响应的行为，</w:t>
      </w:r>
      <w:r>
        <w:rPr>
          <w:rFonts w:hint="eastAsia" w:cs="Times New Roman"/>
          <w:kern w:val="2"/>
          <w:szCs w:val="21"/>
        </w:rPr>
        <w:t>采购人</w:t>
      </w:r>
      <w:r>
        <w:rPr>
          <w:rFonts w:hint="eastAsia" w:cs="Times New Roman"/>
          <w:kern w:val="2"/>
          <w:szCs w:val="21"/>
          <w:lang w:eastAsia="zh-TW"/>
        </w:rPr>
        <w:t>有权依法向监管部门反映并追究</w:t>
      </w:r>
      <w:r>
        <w:rPr>
          <w:rFonts w:hint="eastAsia" w:cs="Times New Roman"/>
          <w:kern w:val="2"/>
          <w:szCs w:val="21"/>
        </w:rPr>
        <w:t>中标人</w:t>
      </w:r>
      <w:r>
        <w:rPr>
          <w:rFonts w:hint="eastAsia" w:cs="Times New Roman"/>
          <w:kern w:val="2"/>
          <w:szCs w:val="21"/>
          <w:lang w:eastAsia="zh-TW"/>
        </w:rPr>
        <w:t>法律责任。</w:t>
      </w:r>
    </w:p>
    <w:p>
      <w:pPr>
        <w:shd w:val="clear" w:color="auto" w:fill="auto"/>
        <w:tabs>
          <w:tab w:val="clear" w:pos="426"/>
        </w:tabs>
        <w:spacing w:line="240" w:lineRule="auto"/>
        <w:ind w:firstLine="420" w:firstLineChars="200"/>
        <w:rPr>
          <w:rFonts w:hint="eastAsia" w:cs="Times New Roman"/>
          <w:kern w:val="2"/>
          <w:szCs w:val="21"/>
          <w:lang w:eastAsia="zh-TW"/>
        </w:rPr>
      </w:pPr>
      <w:r>
        <w:rPr>
          <w:rFonts w:hint="eastAsia" w:cs="Times New Roman"/>
          <w:kern w:val="2"/>
          <w:szCs w:val="21"/>
          <w:lang w:eastAsia="zh-TW"/>
        </w:rPr>
        <w:t>（</w:t>
      </w:r>
      <w:r>
        <w:rPr>
          <w:rFonts w:hint="eastAsia" w:cs="Times New Roman"/>
          <w:kern w:val="2"/>
          <w:szCs w:val="21"/>
        </w:rPr>
        <w:t>7</w:t>
      </w:r>
      <w:r>
        <w:rPr>
          <w:rFonts w:hint="eastAsia" w:cs="Times New Roman"/>
          <w:kern w:val="2"/>
          <w:szCs w:val="21"/>
          <w:lang w:eastAsia="zh-TW"/>
        </w:rPr>
        <w:t>）</w:t>
      </w:r>
      <w:r>
        <w:rPr>
          <w:rFonts w:hint="eastAsia" w:cs="Times New Roman"/>
          <w:kern w:val="2"/>
          <w:szCs w:val="21"/>
        </w:rPr>
        <w:t>采购人</w:t>
      </w:r>
      <w:r>
        <w:rPr>
          <w:rFonts w:hint="eastAsia" w:cs="Times New Roman"/>
          <w:kern w:val="2"/>
          <w:szCs w:val="21"/>
          <w:lang w:eastAsia="zh-TW"/>
        </w:rPr>
        <w:t>（用户）认为必要时，对大型或者复杂的货物采购项目，可以邀请国家认可的质量检测机构参加验收工作，相关验收意见作为验收报告的参考资料，相关费用由</w:t>
      </w:r>
      <w:r>
        <w:rPr>
          <w:rFonts w:hint="eastAsia" w:cs="Times New Roman"/>
          <w:kern w:val="2"/>
          <w:szCs w:val="21"/>
        </w:rPr>
        <w:t>中标人</w:t>
      </w:r>
      <w:r>
        <w:rPr>
          <w:rFonts w:hint="eastAsia" w:cs="Times New Roman"/>
          <w:kern w:val="2"/>
          <w:szCs w:val="21"/>
          <w:lang w:eastAsia="zh-TW"/>
        </w:rPr>
        <w:t>承担。</w:t>
      </w:r>
    </w:p>
    <w:p>
      <w:pPr>
        <w:shd w:val="clear" w:color="auto" w:fill="auto"/>
        <w:tabs>
          <w:tab w:val="clear" w:pos="426"/>
        </w:tabs>
        <w:spacing w:line="240" w:lineRule="auto"/>
        <w:ind w:firstLine="420" w:firstLineChars="200"/>
        <w:rPr>
          <w:rFonts w:hint="eastAsia" w:cs="Times New Roman"/>
          <w:kern w:val="2"/>
          <w:szCs w:val="21"/>
          <w:lang w:eastAsia="zh-TW"/>
        </w:rPr>
      </w:pPr>
      <w:r>
        <w:rPr>
          <w:rFonts w:hint="eastAsia" w:cs="Times New Roman"/>
          <w:kern w:val="2"/>
          <w:szCs w:val="21"/>
          <w:lang w:eastAsia="zh-TW"/>
        </w:rPr>
        <w:t>（</w:t>
      </w:r>
      <w:r>
        <w:rPr>
          <w:rFonts w:hint="eastAsia" w:cs="Times New Roman"/>
          <w:kern w:val="2"/>
          <w:szCs w:val="21"/>
        </w:rPr>
        <w:t>8</w:t>
      </w:r>
      <w:r>
        <w:rPr>
          <w:rFonts w:hint="eastAsia" w:cs="Times New Roman"/>
          <w:kern w:val="2"/>
          <w:szCs w:val="21"/>
          <w:lang w:eastAsia="zh-TW"/>
        </w:rPr>
        <w:t>）验收标准以双方达成的对质量和技术标准的约定、</w:t>
      </w:r>
      <w:r>
        <w:rPr>
          <w:rFonts w:hint="eastAsia" w:cs="Times New Roman"/>
          <w:kern w:val="2"/>
          <w:szCs w:val="21"/>
        </w:rPr>
        <w:t>中标人</w:t>
      </w:r>
      <w:r>
        <w:rPr>
          <w:rFonts w:hint="eastAsia" w:cs="Times New Roman"/>
          <w:kern w:val="2"/>
          <w:szCs w:val="21"/>
          <w:lang w:eastAsia="zh-TW"/>
        </w:rPr>
        <w:t>承诺的质量和技术标准、国家或行业规定的相关质量和技术标准中最高者为准，且应充分满足</w:t>
      </w:r>
      <w:r>
        <w:rPr>
          <w:rFonts w:hint="eastAsia" w:cs="Times New Roman"/>
          <w:kern w:val="2"/>
          <w:szCs w:val="21"/>
        </w:rPr>
        <w:t>采购人</w:t>
      </w:r>
      <w:r>
        <w:rPr>
          <w:rFonts w:hint="eastAsia" w:cs="Times New Roman"/>
          <w:kern w:val="2"/>
          <w:szCs w:val="21"/>
          <w:lang w:eastAsia="zh-TW"/>
        </w:rPr>
        <w:t>使用要求。</w:t>
      </w:r>
    </w:p>
    <w:p>
      <w:pPr>
        <w:shd w:val="clear" w:color="auto" w:fill="auto"/>
        <w:tabs>
          <w:tab w:val="clear" w:pos="426"/>
        </w:tabs>
        <w:spacing w:line="240" w:lineRule="auto"/>
        <w:ind w:firstLine="422" w:firstLineChars="200"/>
        <w:rPr>
          <w:rFonts w:hint="eastAsia" w:cs="Times New Roman"/>
          <w:b/>
          <w:bCs/>
          <w:kern w:val="2"/>
          <w:szCs w:val="21"/>
        </w:rPr>
      </w:pPr>
      <w:r>
        <w:rPr>
          <w:rFonts w:hint="eastAsia" w:cs="Times New Roman"/>
          <w:b/>
          <w:bCs/>
          <w:kern w:val="2"/>
          <w:szCs w:val="21"/>
        </w:rPr>
        <w:t>★6.付款方式：</w:t>
      </w:r>
    </w:p>
    <w:p>
      <w:pPr>
        <w:shd w:val="clear" w:color="auto" w:fill="auto"/>
        <w:tabs>
          <w:tab w:val="clear" w:pos="426"/>
        </w:tabs>
        <w:spacing w:line="240" w:lineRule="auto"/>
        <w:ind w:firstLine="422" w:firstLineChars="200"/>
        <w:rPr>
          <w:rFonts w:hint="eastAsia" w:cs="Times New Roman"/>
          <w:b/>
          <w:bCs/>
          <w:kern w:val="2"/>
          <w:szCs w:val="21"/>
        </w:rPr>
      </w:pPr>
      <w:r>
        <w:rPr>
          <w:rFonts w:hint="eastAsia" w:cs="Times New Roman"/>
          <w:b/>
          <w:bCs/>
          <w:kern w:val="2"/>
          <w:szCs w:val="21"/>
        </w:rPr>
        <w:t>（1）中标人向采购人交付履约保函或保证金，比例等于合同金额的10%，并提交下列单据之日起10个工作日内，采购人向中标人支付合同总价50%合同款。</w:t>
      </w:r>
    </w:p>
    <w:p>
      <w:pPr>
        <w:shd w:val="clear" w:color="auto" w:fill="auto"/>
        <w:tabs>
          <w:tab w:val="clear" w:pos="426"/>
        </w:tabs>
        <w:spacing w:line="240" w:lineRule="auto"/>
        <w:ind w:firstLine="422" w:firstLineChars="200"/>
        <w:rPr>
          <w:rFonts w:hint="eastAsia" w:cs="Times New Roman"/>
          <w:b/>
          <w:bCs/>
          <w:kern w:val="2"/>
          <w:szCs w:val="21"/>
        </w:rPr>
      </w:pPr>
      <w:r>
        <w:rPr>
          <w:rFonts w:hint="eastAsia" w:cs="Times New Roman"/>
          <w:b/>
          <w:bCs/>
          <w:kern w:val="2"/>
          <w:szCs w:val="21"/>
        </w:rPr>
        <w:t>中标人提交单据：合同（正文部分复印件）、中标通知书（或成交通知书复印件）、发票（原件）、履约保函或保证金单据复印件（如有）。</w:t>
      </w:r>
    </w:p>
    <w:p>
      <w:pPr>
        <w:shd w:val="clear" w:color="auto" w:fill="auto"/>
        <w:tabs>
          <w:tab w:val="clear" w:pos="426"/>
        </w:tabs>
        <w:spacing w:line="240" w:lineRule="auto"/>
        <w:ind w:firstLine="422" w:firstLineChars="200"/>
        <w:rPr>
          <w:rFonts w:hint="eastAsia" w:cs="Times New Roman"/>
          <w:b/>
          <w:bCs/>
          <w:kern w:val="2"/>
          <w:szCs w:val="21"/>
        </w:rPr>
      </w:pPr>
      <w:r>
        <w:rPr>
          <w:rFonts w:hint="eastAsia" w:cs="Times New Roman"/>
          <w:b/>
          <w:bCs/>
          <w:kern w:val="2"/>
          <w:szCs w:val="21"/>
        </w:rPr>
        <w:t>（2）设备全部到货并经采购人（用户）签收后，中标人向采购人提交下列单据之日起10个工作日内，采购人向中标人支付合同总价50%合同款。</w:t>
      </w:r>
    </w:p>
    <w:p>
      <w:pPr>
        <w:shd w:val="clear" w:color="auto" w:fill="auto"/>
        <w:tabs>
          <w:tab w:val="clear" w:pos="426"/>
        </w:tabs>
        <w:spacing w:line="240" w:lineRule="auto"/>
        <w:ind w:firstLine="422" w:firstLineChars="200"/>
        <w:rPr>
          <w:rFonts w:hint="eastAsia" w:cs="Times New Roman"/>
          <w:b/>
          <w:bCs/>
          <w:kern w:val="2"/>
          <w:szCs w:val="21"/>
        </w:rPr>
      </w:pPr>
      <w:r>
        <w:rPr>
          <w:rFonts w:hint="eastAsia" w:cs="Times New Roman"/>
          <w:b/>
          <w:bCs/>
          <w:kern w:val="2"/>
          <w:szCs w:val="21"/>
        </w:rPr>
        <w:t>中标人提交单据：合同(正文部分复印件）、中标通知书（或成交通知书复印件）、发票（原件）、设备到货签收单（复印件）。</w:t>
      </w:r>
    </w:p>
    <w:p>
      <w:pPr>
        <w:shd w:val="clear" w:color="auto" w:fill="auto"/>
        <w:tabs>
          <w:tab w:val="clear" w:pos="426"/>
        </w:tabs>
        <w:spacing w:line="240" w:lineRule="auto"/>
        <w:ind w:firstLine="422" w:firstLineChars="200"/>
        <w:rPr>
          <w:rFonts w:hint="eastAsia" w:cs="Times New Roman"/>
          <w:b/>
          <w:bCs/>
          <w:kern w:val="2"/>
          <w:szCs w:val="21"/>
        </w:rPr>
      </w:pPr>
      <w:r>
        <w:rPr>
          <w:rFonts w:hint="eastAsia" w:cs="Times New Roman"/>
          <w:b/>
          <w:bCs/>
          <w:kern w:val="2"/>
          <w:szCs w:val="21"/>
        </w:rPr>
        <w:t>（3）设备全部安装调试，并经采购人（用户）验收合格后，中标人向采购人提交下列单据之日起30日内，采购人向中标人无息退还履约保函或保证金。</w:t>
      </w:r>
    </w:p>
    <w:p>
      <w:pPr>
        <w:shd w:val="clear" w:color="auto" w:fill="auto"/>
        <w:tabs>
          <w:tab w:val="clear" w:pos="426"/>
        </w:tabs>
        <w:spacing w:line="240" w:lineRule="auto"/>
        <w:ind w:firstLine="422" w:firstLineChars="200"/>
        <w:rPr>
          <w:rFonts w:hint="eastAsia" w:cs="Times New Roman"/>
          <w:b/>
          <w:bCs/>
          <w:kern w:val="2"/>
          <w:szCs w:val="21"/>
        </w:rPr>
      </w:pPr>
      <w:r>
        <w:rPr>
          <w:rFonts w:hint="eastAsia" w:cs="Times New Roman"/>
          <w:b/>
          <w:bCs/>
          <w:kern w:val="2"/>
          <w:szCs w:val="21"/>
        </w:rPr>
        <w:t>中标人提交单据：退还申请（原件）、安装调试验收合格报告（复印件）。</w:t>
      </w:r>
    </w:p>
    <w:p>
      <w:pPr>
        <w:shd w:val="clear" w:color="auto" w:fill="auto"/>
        <w:tabs>
          <w:tab w:val="clear" w:pos="426"/>
        </w:tabs>
        <w:spacing w:line="240" w:lineRule="auto"/>
        <w:ind w:firstLine="422" w:firstLineChars="200"/>
        <w:rPr>
          <w:rFonts w:hint="eastAsia" w:cs="Times New Roman"/>
          <w:b/>
          <w:bCs/>
          <w:kern w:val="2"/>
          <w:szCs w:val="21"/>
        </w:rPr>
      </w:pPr>
      <w:r>
        <w:rPr>
          <w:rFonts w:hint="eastAsia" w:cs="Times New Roman"/>
          <w:b/>
          <w:bCs/>
          <w:kern w:val="2"/>
          <w:szCs w:val="21"/>
        </w:rPr>
        <w:t>（4）因财政集中支付延误时间不计算在内。中标人提交付款单据延迟、缺失及账户信息错误的，采购人有权相应顺延付款期限，且采购人不承担延误付款责任。</w:t>
      </w:r>
    </w:p>
    <w:p>
      <w:pPr>
        <w:widowControl w:val="0"/>
        <w:shd w:val="clear" w:color="auto" w:fill="auto"/>
        <w:tabs>
          <w:tab w:val="clear" w:pos="426"/>
        </w:tabs>
        <w:adjustRightInd/>
        <w:snapToGrid/>
        <w:spacing w:line="240" w:lineRule="auto"/>
        <w:ind w:left="420" w:leftChars="200"/>
        <w:rPr>
          <w:rFonts w:hint="eastAsia" w:cs="Times New Roman"/>
          <w:b/>
          <w:bCs/>
          <w:kern w:val="2"/>
          <w:szCs w:val="21"/>
        </w:rPr>
      </w:pPr>
    </w:p>
    <w:p>
      <w:pPr>
        <w:widowControl w:val="0"/>
        <w:shd w:val="clear" w:color="auto" w:fill="auto"/>
        <w:tabs>
          <w:tab w:val="clear" w:pos="426"/>
        </w:tabs>
        <w:adjustRightInd/>
        <w:snapToGrid/>
        <w:spacing w:line="240" w:lineRule="auto"/>
        <w:ind w:left="420" w:left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1.商务</w:t>
      </w:r>
      <w:r>
        <w:rPr>
          <w:rFonts w:cs="Times New Roman"/>
          <w:b/>
          <w:bCs/>
          <w:kern w:val="2"/>
          <w:szCs w:val="21"/>
        </w:rPr>
        <w:t>要求分为一般</w:t>
      </w:r>
      <w:r>
        <w:rPr>
          <w:rFonts w:hint="eastAsia" w:cs="Times New Roman"/>
          <w:b/>
          <w:bCs/>
          <w:kern w:val="2"/>
          <w:szCs w:val="21"/>
        </w:rPr>
        <w:t>商务</w:t>
      </w:r>
      <w:r>
        <w:rPr>
          <w:rFonts w:cs="Times New Roman"/>
          <w:b/>
          <w:bCs/>
          <w:kern w:val="2"/>
          <w:szCs w:val="21"/>
        </w:rPr>
        <w:t>要求、重要</w:t>
      </w:r>
      <w:r>
        <w:rPr>
          <w:rFonts w:hint="eastAsia" w:cs="Times New Roman"/>
          <w:b/>
          <w:bCs/>
          <w:kern w:val="2"/>
          <w:szCs w:val="21"/>
        </w:rPr>
        <w:t>商务</w:t>
      </w:r>
      <w:r>
        <w:rPr>
          <w:rFonts w:cs="Times New Roman"/>
          <w:b/>
          <w:bCs/>
          <w:kern w:val="2"/>
          <w:szCs w:val="21"/>
        </w:rPr>
        <w:t>要求（以“▲”标注）和实质性</w:t>
      </w:r>
      <w:r>
        <w:rPr>
          <w:rFonts w:hint="eastAsia" w:cs="Times New Roman"/>
          <w:b/>
          <w:bCs/>
          <w:kern w:val="2"/>
          <w:szCs w:val="21"/>
        </w:rPr>
        <w:t>商务</w:t>
      </w:r>
      <w:r>
        <w:rPr>
          <w:rFonts w:cs="Times New Roman"/>
          <w:b/>
          <w:bCs/>
          <w:kern w:val="2"/>
          <w:szCs w:val="21"/>
        </w:rPr>
        <w:t>要求（以</w:t>
      </w:r>
      <w:r>
        <w:rPr>
          <w:rFonts w:hint="eastAsia" w:cs="Times New Roman"/>
          <w:b/>
          <w:bCs/>
          <w:kern w:val="2"/>
          <w:szCs w:val="21"/>
        </w:rPr>
        <w:t>“</w:t>
      </w:r>
      <w:r>
        <w:rPr>
          <w:rFonts w:cs="Times New Roman"/>
          <w:b/>
          <w:bCs/>
          <w:kern w:val="2"/>
          <w:szCs w:val="21"/>
        </w:rPr>
        <w:t>★”标注）。一般商务要求和重要商务要求若出现不响应或负偏离，其综合评分的相关分数将予以扣减，但不作为投标无效条款。实质性商务要求（以</w:t>
      </w:r>
      <w:r>
        <w:rPr>
          <w:rFonts w:hint="eastAsia" w:cs="Times New Roman"/>
          <w:b/>
          <w:bCs/>
          <w:kern w:val="2"/>
          <w:szCs w:val="21"/>
        </w:rPr>
        <w:t>“</w:t>
      </w:r>
      <w:r>
        <w:rPr>
          <w:rFonts w:cs="Times New Roman"/>
          <w:b/>
          <w:bCs/>
          <w:kern w:val="2"/>
          <w:szCs w:val="21"/>
        </w:rPr>
        <w:t>★”标注）若出现不响应或任何一项负偏离，将导致投标无效。</w:t>
      </w:r>
    </w:p>
    <w:p>
      <w:pPr>
        <w:shd w:val="clear" w:color="auto" w:fill="auto"/>
        <w:tabs>
          <w:tab w:val="clear" w:pos="426"/>
        </w:tabs>
        <w:adjustRightInd/>
        <w:snapToGrid/>
        <w:spacing w:line="240" w:lineRule="auto"/>
        <w:jc w:val="left"/>
        <w:rPr>
          <w:rFonts w:hint="eastAsia"/>
        </w:rPr>
      </w:pPr>
    </w:p>
    <w:p>
      <w:pPr>
        <w:pStyle w:val="62"/>
      </w:pPr>
      <w:r>
        <w:rPr>
          <w:rFonts w:hint="eastAsia"/>
        </w:rPr>
        <w:br w:type="page"/>
      </w:r>
      <w:bookmarkStart w:id="56" w:name="_Toc25206"/>
      <w:r>
        <w:rPr>
          <w:rFonts w:hint="eastAsia"/>
        </w:rPr>
        <w:t>第三章 定价方式、合同类型和风险管理措施</w:t>
      </w:r>
      <w:bookmarkEnd w:id="56"/>
    </w:p>
    <w:p>
      <w:pPr>
        <w:numPr>
          <w:ilvl w:val="0"/>
          <w:numId w:val="3"/>
        </w:numPr>
        <w:adjustRightInd/>
        <w:snapToGrid/>
        <w:spacing w:before="280" w:after="290" w:line="377" w:lineRule="auto"/>
        <w:jc w:val="left"/>
        <w:outlineLvl w:val="2"/>
        <w:rPr>
          <w:rFonts w:hint="eastAsia"/>
          <w:b/>
          <w:sz w:val="24"/>
        </w:rPr>
      </w:pPr>
      <w:bookmarkStart w:id="57" w:name="_Toc157893754"/>
      <w:bookmarkStart w:id="58" w:name="_Toc18482"/>
      <w:bookmarkStart w:id="59" w:name="_Toc21605"/>
      <w:r>
        <w:rPr>
          <w:rFonts w:hint="eastAsia"/>
          <w:b/>
          <w:sz w:val="24"/>
        </w:rPr>
        <w:t>定价方式</w:t>
      </w:r>
      <w:bookmarkEnd w:id="57"/>
      <w:bookmarkEnd w:id="58"/>
      <w:bookmarkEnd w:id="59"/>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固定总价</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60" w:name="_Toc4887"/>
      <w:bookmarkStart w:id="61" w:name="_Toc18675"/>
      <w:bookmarkStart w:id="62" w:name="_Toc157893755"/>
      <w:r>
        <w:rPr>
          <w:rFonts w:hint="eastAsia"/>
          <w:b/>
          <w:sz w:val="24"/>
        </w:rPr>
        <w:t>合同类型</w:t>
      </w:r>
      <w:bookmarkEnd w:id="60"/>
      <w:bookmarkEnd w:id="61"/>
      <w:bookmarkEnd w:id="62"/>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买卖合同</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63" w:name="_Toc24693"/>
      <w:bookmarkStart w:id="64" w:name="_Toc15057"/>
      <w:bookmarkStart w:id="65" w:name="_Toc157893757"/>
      <w:r>
        <w:rPr>
          <w:rFonts w:hint="eastAsia"/>
          <w:b/>
          <w:sz w:val="24"/>
        </w:rPr>
        <w:t>风险管理措施</w:t>
      </w:r>
      <w:bookmarkEnd w:id="63"/>
      <w:bookmarkEnd w:id="64"/>
      <w:bookmarkEnd w:id="65"/>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spacing w:line="240" w:lineRule="auto"/>
              <w:rPr>
                <w:rFonts w:hint="eastAsia"/>
                <w:b/>
                <w:bCs/>
                <w:szCs w:val="21"/>
              </w:rPr>
            </w:pPr>
            <w:r>
              <w:rPr>
                <w:rFonts w:hint="eastAsia"/>
                <w:b/>
                <w:bCs/>
                <w:szCs w:val="21"/>
              </w:rPr>
              <w:t>阶段</w:t>
            </w:r>
          </w:p>
        </w:tc>
        <w:tc>
          <w:tcPr>
            <w:tcW w:w="1185" w:type="dxa"/>
          </w:tcPr>
          <w:p>
            <w:pPr>
              <w:spacing w:line="240" w:lineRule="auto"/>
              <w:rPr>
                <w:rFonts w:hint="eastAsia"/>
                <w:b/>
                <w:bCs/>
                <w:szCs w:val="21"/>
              </w:rPr>
            </w:pPr>
            <w:r>
              <w:rPr>
                <w:rFonts w:hint="eastAsia"/>
                <w:b/>
                <w:bCs/>
                <w:szCs w:val="21"/>
              </w:rPr>
              <w:t>风险事项</w:t>
            </w:r>
          </w:p>
        </w:tc>
        <w:tc>
          <w:tcPr>
            <w:tcW w:w="1185" w:type="dxa"/>
          </w:tcPr>
          <w:p>
            <w:pPr>
              <w:spacing w:line="240" w:lineRule="auto"/>
              <w:rPr>
                <w:rFonts w:hint="eastAsia"/>
                <w:b/>
                <w:bCs/>
                <w:szCs w:val="21"/>
              </w:rPr>
            </w:pPr>
            <w:r>
              <w:rPr>
                <w:rFonts w:hint="eastAsia"/>
                <w:b/>
                <w:bCs/>
                <w:szCs w:val="21"/>
              </w:rPr>
              <w:t>风险描述</w:t>
            </w:r>
          </w:p>
        </w:tc>
        <w:tc>
          <w:tcPr>
            <w:tcW w:w="1185" w:type="dxa"/>
          </w:tcPr>
          <w:p>
            <w:pPr>
              <w:spacing w:line="240" w:lineRule="auto"/>
              <w:rPr>
                <w:rFonts w:hint="eastAsia"/>
                <w:b/>
                <w:bCs/>
                <w:szCs w:val="21"/>
              </w:rPr>
            </w:pPr>
            <w:r>
              <w:rPr>
                <w:rFonts w:hint="eastAsia"/>
                <w:b/>
                <w:bCs/>
                <w:szCs w:val="21"/>
              </w:rPr>
              <w:t>风险等级</w:t>
            </w:r>
          </w:p>
        </w:tc>
        <w:tc>
          <w:tcPr>
            <w:tcW w:w="1185" w:type="dxa"/>
          </w:tcPr>
          <w:p>
            <w:pPr>
              <w:spacing w:line="240" w:lineRule="auto"/>
              <w:rPr>
                <w:rFonts w:hint="eastAsia"/>
                <w:b/>
                <w:bCs/>
                <w:szCs w:val="21"/>
              </w:rPr>
            </w:pPr>
            <w:r>
              <w:rPr>
                <w:rFonts w:hint="eastAsia"/>
                <w:b/>
                <w:bCs/>
                <w:szCs w:val="21"/>
              </w:rPr>
              <w:t>防控措施</w:t>
            </w:r>
          </w:p>
        </w:tc>
        <w:tc>
          <w:tcPr>
            <w:tcW w:w="1185" w:type="dxa"/>
          </w:tcPr>
          <w:p>
            <w:pPr>
              <w:spacing w:line="240" w:lineRule="auto"/>
              <w:rPr>
                <w:rFonts w:hint="eastAsia"/>
                <w:b/>
                <w:bCs/>
                <w:szCs w:val="21"/>
              </w:rPr>
            </w:pPr>
            <w:r>
              <w:rPr>
                <w:rFonts w:hint="eastAsia"/>
                <w:b/>
                <w:bCs/>
                <w:szCs w:val="21"/>
              </w:rPr>
              <w:t>责任人</w:t>
            </w:r>
          </w:p>
        </w:tc>
        <w:tc>
          <w:tcPr>
            <w:tcW w:w="1186" w:type="dxa"/>
          </w:tcPr>
          <w:p>
            <w:pPr>
              <w:spacing w:line="240" w:lineRule="auto"/>
              <w:rPr>
                <w:rFonts w:hint="eastAsia"/>
                <w:b/>
                <w:bCs/>
                <w:szCs w:val="21"/>
              </w:rPr>
            </w:pPr>
            <w:r>
              <w:rPr>
                <w:rFonts w:hint="eastAsia"/>
                <w:b/>
                <w:bCs/>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需求编制</w:t>
            </w:r>
          </w:p>
        </w:tc>
        <w:tc>
          <w:tcPr>
            <w:tcW w:w="1185" w:type="dxa"/>
          </w:tcPr>
          <w:p>
            <w:pPr>
              <w:tabs>
                <w:tab w:val="left" w:pos="1330"/>
                <w:tab w:val="clear" w:pos="426"/>
              </w:tabs>
              <w:spacing w:line="240" w:lineRule="auto"/>
              <w:rPr>
                <w:rFonts w:hint="eastAsia"/>
                <w:szCs w:val="21"/>
              </w:rPr>
            </w:pPr>
            <w:r>
              <w:rPr>
                <w:rFonts w:hint="eastAsia"/>
                <w:szCs w:val="21"/>
              </w:rPr>
              <w:t>需求编制与实际不符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仔细与需求部门确认需求表填写是否与实际需求一致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采购人</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采购活动</w:t>
            </w:r>
          </w:p>
        </w:tc>
        <w:tc>
          <w:tcPr>
            <w:tcW w:w="1185" w:type="dxa"/>
          </w:tcPr>
          <w:p>
            <w:pPr>
              <w:tabs>
                <w:tab w:val="left" w:pos="1330"/>
                <w:tab w:val="clear" w:pos="426"/>
              </w:tabs>
              <w:spacing w:line="240" w:lineRule="auto"/>
              <w:rPr>
                <w:rFonts w:hint="eastAsia"/>
                <w:szCs w:val="21"/>
              </w:rPr>
            </w:pPr>
            <w:r>
              <w:rPr>
                <w:rFonts w:hint="eastAsia"/>
                <w:szCs w:val="21"/>
              </w:rPr>
              <w:t>标书的填写符合性及与需求的符合性</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仔细与采购人员确认填写是否与实际需求一致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代理机构</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合同履约阶段</w:t>
            </w:r>
          </w:p>
        </w:tc>
        <w:tc>
          <w:tcPr>
            <w:tcW w:w="1185" w:type="dxa"/>
          </w:tcPr>
          <w:p>
            <w:pPr>
              <w:tabs>
                <w:tab w:val="left" w:pos="1330"/>
                <w:tab w:val="clear" w:pos="426"/>
              </w:tabs>
              <w:spacing w:line="240" w:lineRule="auto"/>
              <w:rPr>
                <w:rFonts w:hint="eastAsia"/>
                <w:szCs w:val="21"/>
              </w:rPr>
            </w:pPr>
            <w:r>
              <w:rPr>
                <w:rFonts w:hint="eastAsia"/>
                <w:szCs w:val="21"/>
              </w:rPr>
              <w:t>合同履约</w:t>
            </w:r>
          </w:p>
        </w:tc>
        <w:tc>
          <w:tcPr>
            <w:tcW w:w="1185" w:type="dxa"/>
          </w:tcPr>
          <w:p>
            <w:pPr>
              <w:tabs>
                <w:tab w:val="left" w:pos="1330"/>
                <w:tab w:val="clear" w:pos="426"/>
              </w:tabs>
              <w:spacing w:line="240" w:lineRule="auto"/>
              <w:rPr>
                <w:rFonts w:hint="eastAsia"/>
                <w:szCs w:val="21"/>
              </w:rPr>
            </w:pPr>
            <w:r>
              <w:rPr>
                <w:rFonts w:hint="eastAsia"/>
                <w:szCs w:val="21"/>
              </w:rPr>
              <w:t>供应商不能按照合同准时履约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在合同中详细写明无法按时履约应该承担的法律责任</w:t>
            </w:r>
          </w:p>
        </w:tc>
        <w:tc>
          <w:tcPr>
            <w:tcW w:w="1185" w:type="dxa"/>
          </w:tcPr>
          <w:p>
            <w:pPr>
              <w:tabs>
                <w:tab w:val="left" w:pos="1330"/>
                <w:tab w:val="clear" w:pos="426"/>
              </w:tabs>
              <w:spacing w:line="240" w:lineRule="auto"/>
              <w:rPr>
                <w:rFonts w:hint="eastAsia"/>
                <w:szCs w:val="21"/>
              </w:rPr>
            </w:pPr>
            <w:r>
              <w:rPr>
                <w:rFonts w:hint="eastAsia"/>
                <w:szCs w:val="21"/>
              </w:rPr>
              <w:t>供应商</w:t>
            </w:r>
          </w:p>
        </w:tc>
        <w:tc>
          <w:tcPr>
            <w:tcW w:w="1186" w:type="dxa"/>
          </w:tcPr>
          <w:p>
            <w:pPr>
              <w:tabs>
                <w:tab w:val="left" w:pos="1330"/>
                <w:tab w:val="clear" w:pos="426"/>
              </w:tabs>
              <w:spacing w:line="240" w:lineRule="auto"/>
              <w:rPr>
                <w:rFonts w:hint="eastAsia"/>
                <w:szCs w:val="21"/>
              </w:rPr>
            </w:pPr>
            <w:r>
              <w:rPr>
                <w:rFonts w:hint="eastAsia"/>
                <w:szCs w:val="21"/>
              </w:rPr>
              <w:t>合同履约环节</w:t>
            </w:r>
          </w:p>
        </w:tc>
      </w:tr>
    </w:tbl>
    <w:p>
      <w:r>
        <w:rPr>
          <w:rFonts w:hint="eastAsia"/>
        </w:rPr>
        <w:br w:type="page"/>
      </w:r>
    </w:p>
    <w:p>
      <w:pPr>
        <w:pStyle w:val="62"/>
      </w:pPr>
      <w:bookmarkStart w:id="66" w:name="_Toc29781"/>
      <w:r>
        <w:rPr>
          <w:rFonts w:hint="eastAsia"/>
        </w:rPr>
        <w:t>第</w:t>
      </w:r>
      <w:r>
        <w:rPr>
          <w:rFonts w:hint="eastAsia"/>
          <w:lang w:val="en-US" w:eastAsia="zh-CN"/>
        </w:rPr>
        <w:t>四</w:t>
      </w:r>
      <w:r>
        <w:rPr>
          <w:rFonts w:hint="eastAsia"/>
        </w:rPr>
        <w:t>章 资格审查和评标方法</w:t>
      </w:r>
      <w:bookmarkEnd w:id="66"/>
    </w:p>
    <w:p>
      <w:pPr>
        <w:pStyle w:val="62"/>
      </w:pPr>
      <w:bookmarkStart w:id="67" w:name="_Toc21802"/>
      <w:bookmarkStart w:id="68" w:name="_Toc6111"/>
      <w:r>
        <w:rPr>
          <w:rFonts w:hint="eastAsia"/>
        </w:rPr>
        <w:t>前附表（一）</w:t>
      </w:r>
      <w:r>
        <w:t>资格审查表</w:t>
      </w:r>
      <w:bookmarkEnd w:id="67"/>
      <w:bookmarkEnd w:id="68"/>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4"/>
              </w:numPr>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投标供应商具备招标资质要求，且提交相应资质证明材料；(详见招标公告“申请人的资格要求”，其中未列示的资质要求不得导致废标。)</w:t>
            </w:r>
          </w:p>
        </w:tc>
      </w:tr>
    </w:tbl>
    <w:p>
      <w:pPr>
        <w:pStyle w:val="62"/>
      </w:pPr>
      <w:r>
        <w:rPr>
          <w:sz w:val="24"/>
        </w:rPr>
        <w:br w:type="page"/>
      </w:r>
      <w:bookmarkStart w:id="69" w:name="_Toc29642"/>
      <w:bookmarkStart w:id="70" w:name="_Toc22123"/>
      <w:bookmarkStart w:id="71" w:name="_Toc435514846"/>
      <w:r>
        <w:rPr>
          <w:rFonts w:hint="eastAsia"/>
          <w:sz w:val="24"/>
        </w:rPr>
        <w:t>前附表（二）符合性审查表</w:t>
      </w:r>
      <w:bookmarkEnd w:id="69"/>
      <w:bookmarkEnd w:id="70"/>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未按招标文件所提供的样式填写</w:t>
            </w:r>
            <w:r>
              <w:t>《</w:t>
            </w:r>
            <w:r>
              <w:rPr>
                <w:rFonts w:hint="eastAsia"/>
              </w:rPr>
              <w:t>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投标文件载明的质保期低于招标文件规定的期限；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ascii="Times New Roman" w:hAnsi="Times New Roman" w:cs="Times New Roman"/>
              </w:rPr>
              <w:t>投标报价有严重缺漏项目或对招标文件规定的</w:t>
            </w:r>
            <w:r>
              <w:rPr>
                <w:rFonts w:hint="eastAsia" w:ascii="Times New Roman" w:hAnsi="Times New Roman" w:cs="Times New Roman"/>
              </w:rPr>
              <w:t>货物</w:t>
            </w:r>
            <w:r>
              <w:rPr>
                <w:rFonts w:ascii="Times New Roman" w:hAnsi="Times New Roman" w:cs="Times New Roman"/>
              </w:rPr>
              <w:t>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法律、法规规定的属于投标无效的其他情形。</w:t>
            </w:r>
          </w:p>
        </w:tc>
      </w:tr>
    </w:tbl>
    <w:p>
      <w:pPr>
        <w:rPr>
          <w:rFonts w:hint="eastAsia"/>
        </w:rPr>
      </w:pPr>
      <w:r>
        <w:br w:type="page"/>
      </w:r>
    </w:p>
    <w:p>
      <w:pPr>
        <w:pStyle w:val="62"/>
      </w:pPr>
      <w:bookmarkStart w:id="72" w:name="_Toc19808"/>
      <w:bookmarkStart w:id="73" w:name="_Toc4862"/>
      <w:r>
        <w:rPr>
          <w:rFonts w:hint="eastAsia"/>
        </w:rPr>
        <w:t>前附表（三）综合评分法评分因素和权重分值表</w:t>
      </w:r>
      <w:bookmarkEnd w:id="72"/>
      <w:bookmarkEnd w:id="73"/>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default" w:eastAsia="宋体"/>
                <w:szCs w:val="21"/>
                <w:lang w:val="en-US" w:eastAsia="zh-CN"/>
              </w:rPr>
            </w:pPr>
            <w:r>
              <w:rPr>
                <w:rFonts w:hint="eastAsia"/>
                <w:szCs w:val="21"/>
                <w:lang w:val="en-US" w:eastAsia="zh-CN"/>
              </w:rPr>
              <w:t>48</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w:t>
            </w:r>
            <w:r>
              <w:rPr>
                <w:rFonts w:hint="eastAsia"/>
                <w:szCs w:val="21"/>
                <w:lang w:val="en-US" w:eastAsia="zh-CN"/>
              </w:rPr>
              <w:t>48</w:t>
            </w:r>
            <w:r>
              <w:rPr>
                <w:rFonts w:hint="eastAsia"/>
                <w:szCs w:val="21"/>
              </w:rPr>
              <w:t>分；“★”为不可偏离参数；以此为基础，投标人一般技术响应低于招标文件规定的，每有一项减8分。本项最低得0分。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eastAsia="宋体"/>
                <w:szCs w:val="21"/>
                <w:lang w:eastAsia="zh-CN"/>
              </w:rPr>
            </w:pPr>
            <w:r>
              <w:rPr>
                <w:rFonts w:hint="eastAsia"/>
                <w:szCs w:val="21"/>
                <w:lang w:val="en-US" w:eastAsia="zh-CN"/>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w:t>
            </w:r>
            <w:r>
              <w:rPr>
                <w:rFonts w:hint="eastAsia"/>
                <w:szCs w:val="21"/>
                <w:lang w:val="en-US" w:eastAsia="zh-CN"/>
              </w:rPr>
              <w:t>2</w:t>
            </w:r>
            <w:r>
              <w:rPr>
                <w:rFonts w:hint="eastAsia"/>
                <w:szCs w:val="21"/>
              </w:rPr>
              <w:t>分；方案内容简单、笼统，存在较多的不足的得</w:t>
            </w:r>
            <w:r>
              <w:rPr>
                <w:rFonts w:hint="eastAsia"/>
                <w:szCs w:val="21"/>
                <w:lang w:val="en-US" w:eastAsia="zh-CN"/>
              </w:rPr>
              <w:t>1</w:t>
            </w:r>
            <w:r>
              <w:rPr>
                <w:rFonts w:hint="eastAsia"/>
                <w:szCs w:val="21"/>
              </w:rPr>
              <w:t>分；未提供的0分。</w:t>
            </w:r>
          </w:p>
          <w:p>
            <w:pPr>
              <w:jc w:val="left"/>
              <w:rPr>
                <w:rFonts w:hint="eastAsia"/>
                <w:szCs w:val="21"/>
              </w:rPr>
            </w:pPr>
            <w:r>
              <w:rPr>
                <w:rFonts w:hint="eastAsia"/>
                <w:szCs w:val="21"/>
              </w:rPr>
              <w:t>3.质量管理措施切实、有效的得</w:t>
            </w:r>
            <w:r>
              <w:rPr>
                <w:rFonts w:hint="eastAsia"/>
                <w:szCs w:val="21"/>
                <w:lang w:val="en-US" w:eastAsia="zh-CN"/>
              </w:rPr>
              <w:t>2</w:t>
            </w:r>
            <w:r>
              <w:rPr>
                <w:rFonts w:hint="eastAsia"/>
                <w:szCs w:val="21"/>
              </w:rPr>
              <w:t>分；质量管理措施简单、笼统，存在较多的不足的得</w:t>
            </w:r>
            <w:r>
              <w:rPr>
                <w:rFonts w:hint="eastAsia"/>
                <w:szCs w:val="21"/>
                <w:lang w:val="en-US" w:eastAsia="zh-CN"/>
              </w:rPr>
              <w:t>1</w:t>
            </w:r>
            <w:r>
              <w:rPr>
                <w:rFonts w:hint="eastAsia"/>
                <w:szCs w:val="21"/>
              </w:rPr>
              <w:t>分；未提供的0分。</w:t>
            </w:r>
          </w:p>
          <w:p>
            <w:pPr>
              <w:jc w:val="left"/>
              <w:rPr>
                <w:rFonts w:hint="eastAsia"/>
                <w:szCs w:val="21"/>
              </w:rPr>
            </w:pPr>
            <w:r>
              <w:rPr>
                <w:rFonts w:hint="eastAsia"/>
                <w:szCs w:val="21"/>
              </w:rPr>
              <w:t>以上3项合计最高</w:t>
            </w:r>
            <w:r>
              <w:rPr>
                <w:rFonts w:hint="eastAsia"/>
                <w:szCs w:val="21"/>
                <w:lang w:val="en-US" w:eastAsia="zh-CN"/>
              </w:rPr>
              <w:t>6</w:t>
            </w:r>
            <w:r>
              <w:rPr>
                <w:rFonts w:hint="eastAsia"/>
                <w:szCs w:val="21"/>
              </w:rPr>
              <w:t>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完全满足招标文件商务要求，应答完整的得4分；“★”为不可偏离条款；以此为基础，投标人一般商务响应低于招标文件规定的，每有一项减4分。本项最低得0分。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自2021年10月1日至本项目投标截止日，（以合同签订日期为准）投标人具有普通PCR仪产品销售业绩的，每提供1个项目得1分，最高得4分。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r>
        <w:rPr>
          <w:rFonts w:hint="eastAsia"/>
        </w:rPr>
        <w:t>备注：</w:t>
      </w:r>
    </w:p>
    <w:p>
      <w:pPr>
        <w:tabs>
          <w:tab w:val="clear" w:pos="426"/>
        </w:tabs>
        <w:spacing w:line="240" w:lineRule="auto"/>
        <w:ind w:firstLine="420" w:firstLineChars="200"/>
        <w:rPr>
          <w:rFonts w:hint="eastAsia"/>
        </w:rPr>
      </w:pPr>
      <w:r>
        <w:rPr>
          <w:rFonts w:hint="eastAsia"/>
        </w:rPr>
        <w:t>1. 缺项则该项为0分或不合格为0分。</w:t>
      </w:r>
    </w:p>
    <w:p>
      <w:pPr>
        <w:tabs>
          <w:tab w:val="clear" w:pos="426"/>
        </w:tabs>
        <w:spacing w:line="240" w:lineRule="auto"/>
        <w:ind w:firstLine="420" w:firstLineChars="200"/>
        <w:rPr>
          <w:rFonts w:hint="eastAsia"/>
        </w:rPr>
      </w:pPr>
      <w:r>
        <w:rPr>
          <w:rFonts w:hint="eastAsia"/>
        </w:rPr>
        <w:t>2.</w:t>
      </w:r>
      <w:r>
        <w:t xml:space="preserve"> 价格、技术、商务部分为针对项目具体情况设置项目，累加满分为100分，固定额外加分部分为固定设置项，对涉及政策导向优先采购产品进行额外加分</w:t>
      </w:r>
      <w:r>
        <w:rPr>
          <w:rFonts w:hint="eastAsia"/>
        </w:rPr>
        <w:t>。</w:t>
      </w:r>
    </w:p>
    <w:p>
      <w:pPr>
        <w:tabs>
          <w:tab w:val="clear" w:pos="426"/>
        </w:tabs>
        <w:spacing w:line="240" w:lineRule="auto"/>
        <w:ind w:firstLine="420" w:firstLineChars="200"/>
        <w:rPr>
          <w:rFonts w:hint="eastAsia"/>
        </w:rPr>
      </w:pPr>
      <w:r>
        <w:rPr>
          <w:rFonts w:hint="eastAsia"/>
        </w:rPr>
        <w:t>3. 综合以上分析比较，评委会将对各投标文件进行书面的量化评定，得分</w:t>
      </w:r>
      <w:r>
        <w:t>精确到小数点后两位</w:t>
      </w:r>
      <w:r>
        <w:rPr>
          <w:rFonts w:hint="eastAsia"/>
        </w:rPr>
        <w:t>。</w:t>
      </w:r>
    </w:p>
    <w:p>
      <w:pPr>
        <w:tabs>
          <w:tab w:val="clear" w:pos="426"/>
        </w:tabs>
        <w:spacing w:line="240" w:lineRule="auto"/>
        <w:ind w:firstLine="420" w:firstLineChars="200"/>
        <w:rPr>
          <w:rFonts w:hint="eastAsia"/>
        </w:rPr>
      </w:pPr>
      <w:r>
        <w:rPr>
          <w:rFonts w:hint="eastAsia"/>
        </w:rPr>
        <w:t>4. 客观评分项，所有评审专家应当统一打分分值；主观评分项，评审专家应当按照打分标准独立打分。</w:t>
      </w:r>
    </w:p>
    <w:p>
      <w:pPr>
        <w:rPr>
          <w:rFonts w:hint="eastAsia"/>
        </w:rPr>
      </w:pPr>
    </w:p>
    <w:p>
      <w:pPr>
        <w:rPr>
          <w:rFonts w:hint="eastAsia"/>
        </w:rPr>
      </w:pPr>
    </w:p>
    <w:p>
      <w:pPr>
        <w:rPr>
          <w:rFonts w:hint="eastAsia"/>
        </w:rPr>
      </w:pPr>
      <w:r>
        <w:rPr>
          <w:rFonts w:hint="eastAsia"/>
        </w:rPr>
        <w:br w:type="page"/>
      </w:r>
    </w:p>
    <w:p>
      <w:pPr>
        <w:pStyle w:val="62"/>
      </w:pPr>
      <w:bookmarkStart w:id="74" w:name="_Toc15403"/>
      <w:bookmarkStart w:id="75" w:name="_Toc22935"/>
      <w:r>
        <w:rPr>
          <w:rFonts w:hint="eastAsia"/>
        </w:rPr>
        <w:t>前附表（四）</w:t>
      </w:r>
      <w:bookmarkEnd w:id="74"/>
      <w:bookmarkEnd w:id="75"/>
    </w:p>
    <w:p>
      <w:pPr>
        <w:adjustRightInd/>
        <w:snapToGrid/>
        <w:spacing w:before="280" w:after="290" w:line="377" w:lineRule="auto"/>
        <w:jc w:val="left"/>
        <w:outlineLvl w:val="2"/>
        <w:rPr>
          <w:rFonts w:hint="eastAsia"/>
          <w:b/>
          <w:sz w:val="24"/>
        </w:rPr>
      </w:pPr>
      <w:bookmarkStart w:id="76" w:name="_Toc26962"/>
      <w:bookmarkStart w:id="77" w:name="_Toc8707"/>
      <w:r>
        <w:rPr>
          <w:rFonts w:hint="eastAsia"/>
          <w:b/>
          <w:sz w:val="24"/>
        </w:rPr>
        <w:t>1.资格审查</w:t>
      </w:r>
      <w:bookmarkEnd w:id="76"/>
      <w:bookmarkEnd w:id="77"/>
    </w:p>
    <w:p>
      <w:pPr>
        <w:tabs>
          <w:tab w:val="clear" w:pos="426"/>
        </w:tabs>
        <w:spacing w:line="300" w:lineRule="auto"/>
        <w:ind w:firstLine="420" w:firstLineChars="200"/>
        <w:rPr>
          <w:rFonts w:hint="eastAsia"/>
        </w:rPr>
      </w:pPr>
      <w:r>
        <w:rPr>
          <w:rFonts w:hint="eastAsia"/>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8" w:name="_Toc28854"/>
      <w:bookmarkStart w:id="79" w:name="_Toc135"/>
      <w:r>
        <w:rPr>
          <w:rFonts w:hint="eastAsia"/>
          <w:b/>
          <w:sz w:val="24"/>
        </w:rPr>
        <w:t>2.评标方法</w:t>
      </w:r>
      <w:bookmarkEnd w:id="78"/>
      <w:bookmarkEnd w:id="79"/>
    </w:p>
    <w:p>
      <w:pPr>
        <w:tabs>
          <w:tab w:val="clear" w:pos="426"/>
        </w:tabs>
        <w:spacing w:line="300" w:lineRule="auto"/>
        <w:ind w:firstLine="420" w:firstLineChars="200"/>
        <w:rPr>
          <w:rFonts w:hint="eastAsia"/>
        </w:rPr>
      </w:pPr>
      <w:r>
        <w:rPr>
          <w:rFonts w:hint="eastAsia"/>
        </w:rPr>
        <w:t>2.1本项目评标方法为：综合评分法</w:t>
      </w:r>
    </w:p>
    <w:p>
      <w:pPr>
        <w:tabs>
          <w:tab w:val="clear" w:pos="426"/>
        </w:tabs>
        <w:spacing w:line="300" w:lineRule="auto"/>
        <w:ind w:firstLine="420" w:firstLineChars="200"/>
        <w:rPr>
          <w:rFonts w:hint="eastAsia"/>
        </w:rPr>
      </w:pPr>
      <w:r>
        <w:rPr>
          <w:rFonts w:hint="eastAsia"/>
        </w:rPr>
        <w:t>中标人数量为：1家；中标候选人数量为：3家。</w:t>
      </w:r>
    </w:p>
    <w:p>
      <w:pPr>
        <w:tabs>
          <w:tab w:val="clear" w:pos="426"/>
        </w:tabs>
        <w:spacing w:line="300" w:lineRule="auto"/>
        <w:ind w:firstLine="420" w:firstLineChars="200"/>
        <w:rPr>
          <w:rFonts w:hint="eastAsia"/>
        </w:rPr>
      </w:pPr>
      <w:r>
        <w:rPr>
          <w:rFonts w:hint="eastAsia"/>
        </w:rPr>
        <w:t>综合评分法，是指投标文件满足招标文件全部实质性要求，且按照评审因素的量化指标评审得分最高的投标人为候选中标人的评标方法。</w:t>
      </w:r>
    </w:p>
    <w:p>
      <w:pPr>
        <w:tabs>
          <w:tab w:val="clear" w:pos="426"/>
        </w:tabs>
        <w:spacing w:line="300" w:lineRule="auto"/>
        <w:ind w:firstLine="420" w:firstLineChars="200"/>
        <w:rPr>
          <w:rFonts w:hint="eastAsia"/>
        </w:rPr>
      </w:pPr>
      <w:r>
        <w:rPr>
          <w:rFonts w:hint="eastAsia"/>
        </w:rPr>
        <w:t>2.2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0" w:firstLineChars="200"/>
        <w:rPr>
          <w:rFonts w:hint="eastAsia"/>
        </w:rPr>
      </w:pPr>
      <w:r>
        <w:rPr>
          <w:rFonts w:hint="eastAsia"/>
        </w:rPr>
        <w:t>2.3价格分计算方法</w:t>
      </w:r>
    </w:p>
    <w:p>
      <w:pPr>
        <w:tabs>
          <w:tab w:val="clear" w:pos="426"/>
        </w:tabs>
        <w:spacing w:line="300" w:lineRule="auto"/>
        <w:ind w:firstLine="420" w:firstLineChars="200"/>
        <w:rPr>
          <w:rFonts w:hint="eastAsia"/>
        </w:rPr>
      </w:pPr>
      <w:r>
        <w:rPr>
          <w:rFonts w:hint="eastAsia"/>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rFonts w:hint="eastAsia"/>
        </w:rPr>
      </w:pPr>
      <w:r>
        <w:rPr>
          <w:rFonts w:hint="eastAsia"/>
        </w:rPr>
        <w:t>投标报价得分=(评标基准价／投标报价)×30</w:t>
      </w:r>
    </w:p>
    <w:p>
      <w:pPr>
        <w:tabs>
          <w:tab w:val="clear" w:pos="426"/>
        </w:tabs>
        <w:spacing w:line="300" w:lineRule="auto"/>
        <w:ind w:firstLine="420" w:firstLineChars="200"/>
        <w:rPr>
          <w:rFonts w:hint="eastAsia"/>
        </w:rPr>
      </w:pPr>
      <w:r>
        <w:rPr>
          <w:rFonts w:hint="eastAsia"/>
        </w:rPr>
        <w:t>2.5评标优惠政策</w:t>
      </w:r>
    </w:p>
    <w:p>
      <w:pPr>
        <w:tabs>
          <w:tab w:val="clear" w:pos="426"/>
        </w:tabs>
        <w:spacing w:line="300" w:lineRule="auto"/>
        <w:ind w:firstLine="422" w:firstLineChars="200"/>
        <w:rPr>
          <w:rFonts w:hint="eastAsia"/>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pPr>
        <w:tabs>
          <w:tab w:val="clear" w:pos="426"/>
        </w:tabs>
        <w:spacing w:line="300" w:lineRule="auto"/>
        <w:ind w:firstLine="420" w:firstLineChars="200"/>
        <w:rPr>
          <w:rFonts w:hint="eastAsia"/>
          <w:szCs w:val="21"/>
        </w:rPr>
      </w:pPr>
      <w: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rPr>
        <w:t>扣除</w:t>
      </w:r>
      <w:r>
        <w:rPr>
          <w:rFonts w:hint="eastAsia"/>
          <w:b/>
          <w:bCs/>
          <w:u w:val="single"/>
        </w:rPr>
        <w:t>/</w:t>
      </w:r>
      <w:r>
        <w:rPr>
          <w:b/>
          <w:bCs/>
          <w:u w:val="single"/>
        </w:rPr>
        <w:t>%</w:t>
      </w:r>
      <w:r>
        <w:t>后参与评审。对于同时属于小微企业、监狱</w:t>
      </w:r>
      <w:r>
        <w:rPr>
          <w:szCs w:val="21"/>
        </w:rPr>
        <w:t>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rFonts w:hint="eastAsia"/>
          <w:szCs w:val="21"/>
        </w:rPr>
      </w:pPr>
      <w:r>
        <w:rPr>
          <w:rFonts w:hint="eastAsia"/>
          <w:szCs w:val="21"/>
        </w:rPr>
        <w:t>2.6</w:t>
      </w:r>
      <w:r>
        <w:rPr>
          <w:szCs w:val="21"/>
        </w:rPr>
        <w:t>其他需要落实的政府采购政策</w:t>
      </w:r>
    </w:p>
    <w:p>
      <w:pPr>
        <w:tabs>
          <w:tab w:val="clear" w:pos="426"/>
        </w:tabs>
        <w:spacing w:line="300" w:lineRule="auto"/>
        <w:ind w:firstLine="420" w:firstLineChars="200"/>
        <w:rPr>
          <w:rFonts w:hint="eastAsia"/>
          <w:szCs w:val="21"/>
        </w:rPr>
      </w:pPr>
      <w:r>
        <w:rPr>
          <w:szCs w:val="21"/>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rFonts w:hint="eastAsia"/>
          <w:szCs w:val="21"/>
        </w:rPr>
      </w:pPr>
      <w:r>
        <w:rPr>
          <w:szCs w:val="21"/>
        </w:rPr>
        <w:t>根据财政部《关于在政府采购活动中查询及使用信用记录有关问题的通知》（财库〔2016〕125号），供应商信用信息的查询渠道为“信用中国（https：//www.creditchina.gov.cn/）”中的“信用服务”栏的“重大税收违法案件当事人名单”“失信被执行人”、“中国政府采购网（http：//www.ccgp.gov.cn/）” 中的“政府采购严重违法失信行为记录名单”，相关信息以开标当日的查询结果为准。</w:t>
      </w:r>
    </w:p>
    <w:p>
      <w:pPr>
        <w:tabs>
          <w:tab w:val="clear" w:pos="426"/>
        </w:tabs>
        <w:spacing w:line="300" w:lineRule="auto"/>
        <w:ind w:firstLine="420" w:firstLineChars="200"/>
        <w:rPr>
          <w:rFonts w:hint="eastAsia"/>
          <w:szCs w:val="21"/>
        </w:rPr>
      </w:pPr>
      <w:r>
        <w:rPr>
          <w:rFonts w:hint="eastAsia"/>
          <w:szCs w:val="21"/>
        </w:rPr>
        <w:t>2.7</w:t>
      </w:r>
      <w:r>
        <w:rPr>
          <w:szCs w:val="21"/>
        </w:rPr>
        <w:t>评标专家应对通过投标文件初审进入评标程序的投标文件先评技术标、再评商务标；</w:t>
      </w:r>
    </w:p>
    <w:p>
      <w:pPr>
        <w:tabs>
          <w:tab w:val="clear" w:pos="426"/>
        </w:tabs>
        <w:spacing w:line="300" w:lineRule="auto"/>
        <w:ind w:firstLine="420" w:firstLineChars="200"/>
        <w:rPr>
          <w:rFonts w:hint="eastAsia"/>
          <w:szCs w:val="21"/>
        </w:rPr>
      </w:pPr>
      <w:r>
        <w:rPr>
          <w:rFonts w:hint="eastAsia"/>
          <w:szCs w:val="21"/>
        </w:rPr>
        <w:t>2.8</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pPr>
        <w:tabs>
          <w:tab w:val="clear" w:pos="426"/>
        </w:tabs>
        <w:spacing w:line="300" w:lineRule="auto"/>
        <w:ind w:firstLine="420" w:firstLineChars="200"/>
        <w:rPr>
          <w:rFonts w:hint="eastAsia"/>
        </w:rPr>
      </w:pPr>
      <w:r>
        <w:rPr>
          <w:rFonts w:hint="eastAsia"/>
          <w:szCs w:val="21"/>
        </w:rPr>
        <w:t>2.9评标委员会在评标时，应按照“前附表（三）综合评分法评分因素和权重分值表”量化的评审因素，对各投标文件进行分析和比较。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rFonts w:hint="eastAsia"/>
          <w:b/>
          <w:sz w:val="24"/>
        </w:rPr>
      </w:pPr>
      <w:bookmarkStart w:id="80" w:name="_Toc22613"/>
      <w:bookmarkStart w:id="81" w:name="_Toc31667"/>
      <w:r>
        <w:rPr>
          <w:rFonts w:hint="eastAsia"/>
          <w:b/>
          <w:sz w:val="24"/>
        </w:rPr>
        <w:t>3.符合性审查</w:t>
      </w:r>
      <w:bookmarkEnd w:id="80"/>
      <w:bookmarkEnd w:id="81"/>
    </w:p>
    <w:p>
      <w:pPr>
        <w:tabs>
          <w:tab w:val="clear" w:pos="426"/>
        </w:tabs>
        <w:spacing w:line="300" w:lineRule="auto"/>
        <w:ind w:firstLine="420" w:firstLineChars="200"/>
        <w:rPr>
          <w:rFonts w:hint="eastAsia"/>
        </w:rPr>
      </w:pPr>
      <w:r>
        <w:rPr>
          <w:rFonts w:hint="eastAsia"/>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82" w:name="_Toc20016"/>
      <w:bookmarkStart w:id="83" w:name="_Toc26312"/>
      <w:r>
        <w:rPr>
          <w:rFonts w:hint="eastAsia"/>
          <w:b/>
          <w:sz w:val="24"/>
        </w:rPr>
        <w:t>4.比较与评价</w:t>
      </w:r>
      <w:bookmarkEnd w:id="82"/>
      <w:bookmarkEnd w:id="83"/>
    </w:p>
    <w:p>
      <w:pPr>
        <w:tabs>
          <w:tab w:val="clear" w:pos="426"/>
        </w:tabs>
        <w:spacing w:line="300" w:lineRule="auto"/>
        <w:ind w:firstLine="420" w:firstLineChars="200"/>
        <w:rPr>
          <w:rFonts w:hint="eastAsia"/>
        </w:rPr>
      </w:pPr>
      <w:r>
        <w:rPr>
          <w:rFonts w:hint="eastAsia"/>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作出评审结论。经采购人同意后，确定排名第一的中标候选人为中标人。</w:t>
      </w:r>
    </w:p>
    <w:p>
      <w:pPr>
        <w:tabs>
          <w:tab w:val="clear" w:pos="426"/>
        </w:tabs>
        <w:spacing w:line="300" w:lineRule="auto"/>
        <w:ind w:firstLine="420" w:firstLineChars="200"/>
        <w:rPr>
          <w:rFonts w:hint="eastAsia"/>
        </w:rPr>
      </w:pPr>
      <w:r>
        <w:rPr>
          <w:rFonts w:hint="eastAsia"/>
        </w:rPr>
        <w:t>候选中标人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人推荐资格。</w:t>
      </w:r>
    </w:p>
    <w:p>
      <w:pPr>
        <w:tabs>
          <w:tab w:val="clear" w:pos="426"/>
        </w:tabs>
        <w:spacing w:line="300" w:lineRule="auto"/>
        <w:ind w:firstLine="420" w:firstLineChars="200"/>
        <w:rPr>
          <w:rFonts w:hint="eastAsia"/>
        </w:rPr>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rFonts w:hint="eastAsia"/>
          <w:b/>
          <w:sz w:val="24"/>
        </w:rPr>
      </w:pPr>
      <w:bookmarkStart w:id="84" w:name="_Toc27140"/>
      <w:bookmarkStart w:id="85" w:name="_Toc14218"/>
      <w:r>
        <w:rPr>
          <w:rFonts w:hint="eastAsia"/>
          <w:b/>
          <w:sz w:val="24"/>
        </w:rPr>
        <w:t>5.编写评标报告</w:t>
      </w:r>
      <w:bookmarkEnd w:id="84"/>
      <w:bookmarkEnd w:id="85"/>
    </w:p>
    <w:p>
      <w:pPr>
        <w:tabs>
          <w:tab w:val="clear" w:pos="426"/>
        </w:tabs>
        <w:spacing w:line="300" w:lineRule="auto"/>
        <w:ind w:firstLine="420" w:firstLineChars="200"/>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rPr>
          <w:rFonts w:hint="eastAsia"/>
        </w:rPr>
      </w:pPr>
    </w:p>
    <w:p>
      <w:pPr>
        <w:adjustRightInd/>
        <w:snapToGrid/>
        <w:spacing w:before="280" w:after="290" w:line="377" w:lineRule="auto"/>
        <w:jc w:val="left"/>
        <w:outlineLvl w:val="2"/>
        <w:rPr>
          <w:rFonts w:hint="eastAsia"/>
          <w:b/>
          <w:sz w:val="24"/>
        </w:rPr>
      </w:pPr>
      <w:bookmarkStart w:id="86" w:name="_Toc17409"/>
      <w:bookmarkStart w:id="87" w:name="_Toc26489"/>
      <w:r>
        <w:rPr>
          <w:rFonts w:hint="eastAsia"/>
          <w:b/>
          <w:sz w:val="24"/>
        </w:rPr>
        <w:t>6.评标委员会对招标失败的论证意见</w:t>
      </w:r>
      <w:bookmarkEnd w:id="86"/>
      <w:bookmarkEnd w:id="87"/>
    </w:p>
    <w:p>
      <w:pPr>
        <w:tabs>
          <w:tab w:val="clear" w:pos="426"/>
        </w:tabs>
        <w:spacing w:line="300" w:lineRule="auto"/>
        <w:ind w:firstLine="422" w:firstLineChars="200"/>
        <w:rPr>
          <w:rFonts w:hint="eastAsia"/>
          <w:b/>
          <w:bCs/>
        </w:rPr>
      </w:pPr>
      <w:r>
        <w:rPr>
          <w:rFonts w:hint="eastAsia"/>
          <w:b/>
          <w:bCs/>
        </w:rPr>
        <w:t>根据《财库〔2012〕69号财政部关于进一步规范政府采购评审工作有关问题的通知》的规定，评审委员会要在采购项目招标失败时，出具招标文件是否存在不合理条款的论证意见，论证意见写进评审报告中。</w:t>
      </w:r>
      <w:bookmarkEnd w:id="71"/>
      <w:bookmarkStart w:id="88" w:name="_Toc432592812"/>
    </w:p>
    <w:bookmarkEnd w:id="88"/>
    <w:p>
      <w:pPr>
        <w:rPr>
          <w:rFonts w:hint="eastAsia"/>
        </w:rPr>
      </w:pPr>
      <w:bookmarkStart w:id="89" w:name="_Toc432592814"/>
      <w:r>
        <w:br w:type="page"/>
      </w:r>
      <w:bookmarkEnd w:id="89"/>
      <w:bookmarkStart w:id="90" w:name="_Toc530152519"/>
      <w:bookmarkStart w:id="91" w:name="_Toc398220525"/>
      <w:bookmarkStart w:id="92" w:name="_Toc432592816"/>
    </w:p>
    <w:bookmarkEnd w:id="90"/>
    <w:p>
      <w:pPr>
        <w:pStyle w:val="62"/>
      </w:pPr>
      <w:bookmarkStart w:id="93" w:name="_Toc31913"/>
      <w:r>
        <w:rPr>
          <w:rFonts w:hint="eastAsia"/>
        </w:rPr>
        <w:t>第</w:t>
      </w:r>
      <w:r>
        <w:rPr>
          <w:rFonts w:hint="eastAsia"/>
          <w:lang w:val="en-US" w:eastAsia="zh-CN"/>
        </w:rPr>
        <w:t>五</w:t>
      </w:r>
      <w:r>
        <w:rPr>
          <w:rFonts w:hint="eastAsia"/>
        </w:rPr>
        <w:t>章 合同文本</w:t>
      </w:r>
      <w:bookmarkEnd w:id="93"/>
    </w:p>
    <w:bookmarkEnd w:id="91"/>
    <w:bookmarkEnd w:id="92"/>
    <w:p>
      <w:pPr>
        <w:pStyle w:val="425"/>
        <w:rPr>
          <w:rFonts w:hint="eastAsia" w:hAnsi="宋体"/>
          <w:b/>
          <w:bCs/>
          <w:sz w:val="28"/>
          <w:szCs w:val="28"/>
        </w:rPr>
      </w:pPr>
      <w:bookmarkStart w:id="94" w:name="_Toc398220526"/>
      <w:bookmarkStart w:id="95" w:name="_Toc432592818"/>
      <w:r>
        <w:rPr>
          <w:rFonts w:hint="eastAsia" w:hAnsi="宋体"/>
          <w:b/>
          <w:bCs/>
          <w:sz w:val="28"/>
          <w:szCs w:val="28"/>
        </w:rPr>
        <w:t>本合同实际签订将根据供应商响应情况对合同进行删减调整</w:t>
      </w:r>
    </w:p>
    <w:p>
      <w:pPr>
        <w:pStyle w:val="425"/>
        <w:rPr>
          <w:rFonts w:eastAsia="方正小标宋_GBK"/>
          <w:sz w:val="36"/>
          <w:szCs w:val="36"/>
        </w:rPr>
      </w:pPr>
      <w:r>
        <w:rPr>
          <w:rFonts w:hint="eastAsia" w:eastAsia="方正小标宋_GBK"/>
          <w:sz w:val="36"/>
          <w:szCs w:val="36"/>
        </w:rPr>
        <w:t>深圳海关动植物检验检疫技术中心“普通PCR仪”设备采购项目</w:t>
      </w:r>
      <w:r>
        <w:rPr>
          <w:rFonts w:eastAsia="方正小标宋_GBK"/>
          <w:sz w:val="36"/>
          <w:szCs w:val="36"/>
        </w:rPr>
        <w:t>合同书</w:t>
      </w:r>
    </w:p>
    <w:p>
      <w:pPr>
        <w:rPr>
          <w:rFonts w:hint="eastAsia"/>
          <w:sz w:val="24"/>
        </w:rPr>
      </w:pPr>
    </w:p>
    <w:p>
      <w:pPr>
        <w:rPr>
          <w:rFonts w:hint="eastAsia"/>
          <w:sz w:val="24"/>
        </w:rPr>
      </w:pPr>
      <w:r>
        <w:rPr>
          <w:sz w:val="24"/>
        </w:rPr>
        <w:t>甲方（采购人）:</w:t>
      </w:r>
      <w:r>
        <w:rPr>
          <w:rFonts w:hint="eastAsia"/>
          <w:sz w:val="24"/>
        </w:rPr>
        <w:t>深圳海关动植物检验检疫技术中心</w:t>
      </w:r>
    </w:p>
    <w:p>
      <w:pPr>
        <w:rPr>
          <w:rFonts w:hint="eastAsia"/>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rFonts w:hint="eastAsia"/>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深圳海关动植物检验检疫技术中心“普通PCR仪”设备采购项目</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pPr>
        <w:ind w:firstLine="482" w:firstLineChars="200"/>
        <w:rPr>
          <w:rFonts w:hint="eastAsia"/>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sz w:val="24"/>
                <w:szCs w:val="24"/>
              </w:rPr>
            </w:pPr>
            <w:r>
              <w:rPr>
                <w:rFonts w:ascii="Times New Roman"/>
                <w:b/>
                <w:bCs/>
                <w:sz w:val="24"/>
                <w:szCs w:val="24"/>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sz w:val="24"/>
              </w:rPr>
            </w:pPr>
          </w:p>
        </w:tc>
      </w:tr>
    </w:tbl>
    <w:p>
      <w:pPr>
        <w:ind w:firstLine="482" w:firstLineChars="200"/>
        <w:rPr>
          <w:rFonts w:hint="eastAsia"/>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p>
    <w:p>
      <w:pPr>
        <w:pStyle w:val="621"/>
        <w:spacing w:line="360" w:lineRule="auto"/>
        <w:ind w:firstLine="482" w:firstLineChars="200"/>
        <w:rPr>
          <w:rFonts w:ascii="Times New Roman" w:eastAsia="宋体"/>
          <w:color w:val="auto"/>
          <w:sz w:val="24"/>
          <w:szCs w:val="24"/>
        </w:rPr>
      </w:pPr>
      <w:r>
        <w:rPr>
          <w:rFonts w:ascii="Times New Roman" w:eastAsia="宋体"/>
          <w:b/>
          <w:bCs/>
          <w:color w:val="auto"/>
          <w:sz w:val="24"/>
          <w:szCs w:val="24"/>
        </w:rPr>
        <w:t>第三条 付款条件</w:t>
      </w:r>
    </w:p>
    <w:p>
      <w:pPr>
        <w:ind w:firstLine="480" w:firstLineChars="200"/>
        <w:rPr>
          <w:rFonts w:hint="eastAsia"/>
          <w:sz w:val="24"/>
        </w:rPr>
      </w:pPr>
      <w:r>
        <w:rPr>
          <w:sz w:val="24"/>
        </w:rPr>
        <w:t>（一）本合同以人民币付款。</w:t>
      </w:r>
    </w:p>
    <w:p>
      <w:pPr>
        <w:ind w:firstLine="480" w:firstLineChars="200"/>
        <w:rPr>
          <w:rFonts w:hint="eastAsia"/>
          <w:sz w:val="24"/>
        </w:rPr>
      </w:pPr>
      <w:bookmarkStart w:id="96" w:name="_Hlk180276630"/>
      <w:r>
        <w:rPr>
          <w:sz w:val="24"/>
        </w:rPr>
        <w:t>（二）付款办法：</w:t>
      </w:r>
    </w:p>
    <w:p>
      <w:pPr>
        <w:ind w:firstLine="480" w:firstLineChars="200"/>
        <w:rPr>
          <w:rFonts w:hint="eastAsia"/>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乙方提交单据：合同（正文部分复印件）、中标通知书（或成交通知书复印件）、发票（原件）、履约保</w:t>
      </w:r>
      <w:r>
        <w:rPr>
          <w:rFonts w:hint="eastAsia"/>
          <w:sz w:val="24"/>
        </w:rPr>
        <w:t>函或保证金</w:t>
      </w:r>
      <w:r>
        <w:rPr>
          <w:sz w:val="24"/>
        </w:rPr>
        <w:t>单据复印件</w:t>
      </w:r>
      <w:r>
        <w:rPr>
          <w:rFonts w:hint="eastAsia"/>
          <w:sz w:val="24"/>
        </w:rPr>
        <w:t>（如有）</w:t>
      </w:r>
      <w:r>
        <w:rPr>
          <w:sz w:val="24"/>
        </w:rPr>
        <w:t>。</w:t>
      </w:r>
    </w:p>
    <w:p>
      <w:pPr>
        <w:ind w:firstLine="480" w:firstLineChars="200"/>
        <w:rPr>
          <w:rFonts w:hint="eastAsia"/>
          <w:sz w:val="24"/>
        </w:rPr>
      </w:pPr>
      <w:r>
        <w:rPr>
          <w:sz w:val="24"/>
        </w:rPr>
        <w:t>2.设备全部到货并经甲方（用户）签收后，乙方向甲方提交下列单据之日起10个工作日内，甲方向乙方支付合同总价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乙方提交单据：合同(正文部分复印件）、中标通知书（或成交通知书复印件）、发票（原件）、设备到</w:t>
      </w:r>
      <w:r>
        <w:rPr>
          <w:rFonts w:hint="eastAsia"/>
          <w:sz w:val="24"/>
        </w:rPr>
        <w:t>货</w:t>
      </w:r>
      <w:r>
        <w:rPr>
          <w:sz w:val="24"/>
        </w:rPr>
        <w:t>签收单（复印件）。</w:t>
      </w:r>
    </w:p>
    <w:p>
      <w:pPr>
        <w:ind w:firstLine="480" w:firstLineChars="200"/>
        <w:rPr>
          <w:rFonts w:hint="eastAsia"/>
          <w:sz w:val="24"/>
        </w:rPr>
      </w:pPr>
      <w:r>
        <w:rPr>
          <w:sz w:val="24"/>
        </w:rPr>
        <w:t>3.设备全部安装调试，并经甲方（用户）验收合格后，乙方向甲方提交下列单据之日起</w:t>
      </w:r>
      <w:r>
        <w:rPr>
          <w:rFonts w:hint="eastAsia"/>
          <w:sz w:val="24"/>
        </w:rPr>
        <w:t>30日</w:t>
      </w:r>
      <w:r>
        <w:rPr>
          <w:sz w:val="24"/>
        </w:rPr>
        <w:t>内，甲方向乙方</w:t>
      </w:r>
      <w:r>
        <w:rPr>
          <w:rFonts w:hint="eastAsia"/>
          <w:sz w:val="24"/>
        </w:rPr>
        <w:t>无息退还履约保函或保证金</w:t>
      </w:r>
      <w:r>
        <w:rPr>
          <w:sz w:val="24"/>
        </w:rPr>
        <w:t>。</w:t>
      </w:r>
    </w:p>
    <w:p>
      <w:pPr>
        <w:ind w:firstLine="480" w:firstLineChars="200"/>
        <w:rPr>
          <w:rFonts w:hint="eastAsia"/>
          <w:sz w:val="24"/>
        </w:rPr>
      </w:pPr>
      <w:r>
        <w:rPr>
          <w:sz w:val="24"/>
        </w:rPr>
        <w:t>乙方提交单据：</w:t>
      </w:r>
      <w:r>
        <w:rPr>
          <w:rFonts w:hint="eastAsia"/>
          <w:sz w:val="24"/>
        </w:rPr>
        <w:t>退还申请（原件）、</w:t>
      </w:r>
      <w:r>
        <w:rPr>
          <w:sz w:val="24"/>
        </w:rPr>
        <w:t>安装调试验收合格报告（复印件）。</w:t>
      </w:r>
    </w:p>
    <w:p>
      <w:pPr>
        <w:ind w:firstLine="480" w:firstLineChars="200"/>
        <w:rPr>
          <w:rFonts w:hint="eastAsia"/>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bookmarkEnd w:id="96"/>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pPr>
              <w:pStyle w:val="603"/>
              <w:autoSpaceDN w:val="0"/>
              <w:jc w:val="left"/>
              <w:rPr>
                <w:snapToGrid w:val="0"/>
                <w:sz w:val="24"/>
                <w:szCs w:val="24"/>
              </w:rPr>
            </w:pPr>
            <w:r>
              <w:rPr>
                <w:snapToGrid w:val="0"/>
                <w:sz w:val="24"/>
                <w:szCs w:val="24"/>
              </w:rPr>
              <w:t>乙方全称</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jc w:val="left"/>
              <w:rPr>
                <w:snapToGrid w:val="0"/>
                <w:sz w:val="24"/>
                <w:szCs w:val="24"/>
              </w:rPr>
            </w:pPr>
            <w:r>
              <w:rPr>
                <w:snapToGrid w:val="0"/>
                <w:sz w:val="24"/>
                <w:szCs w:val="24"/>
              </w:rPr>
              <w:t>开户银行</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jc w:val="left"/>
              <w:rPr>
                <w:snapToGrid w:val="0"/>
                <w:sz w:val="24"/>
                <w:szCs w:val="24"/>
              </w:rPr>
            </w:pPr>
            <w:r>
              <w:rPr>
                <w:snapToGrid w:val="0"/>
                <w:sz w:val="24"/>
                <w:szCs w:val="24"/>
              </w:rPr>
              <w:t>账号</w:t>
            </w:r>
          </w:p>
        </w:tc>
        <w:tc>
          <w:tcPr>
            <w:tcW w:w="6051" w:type="dxa"/>
            <w:vAlign w:val="center"/>
          </w:tcPr>
          <w:p>
            <w:pPr>
              <w:pStyle w:val="603"/>
              <w:autoSpaceDN w:val="0"/>
              <w:ind w:firstLine="480" w:firstLineChars="200"/>
              <w:jc w:val="left"/>
              <w:rPr>
                <w:snapToGrid w:val="0"/>
                <w:sz w:val="24"/>
                <w:szCs w:val="24"/>
              </w:rPr>
            </w:pPr>
          </w:p>
        </w:tc>
      </w:tr>
    </w:tbl>
    <w:p>
      <w:pPr>
        <w:ind w:firstLine="482" w:firstLineChars="200"/>
        <w:rPr>
          <w:rFonts w:hint="eastAsia"/>
          <w:b/>
          <w:bCs/>
          <w:sz w:val="24"/>
        </w:rPr>
      </w:pPr>
      <w:r>
        <w:rPr>
          <w:b/>
          <w:bCs/>
          <w:sz w:val="24"/>
        </w:rPr>
        <w:t>第四条 履约保证金</w:t>
      </w:r>
    </w:p>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10 </w:t>
      </w:r>
      <w:r>
        <w:rPr>
          <w:rFonts w:eastAsia="宋体"/>
          <w:sz w:val="24"/>
          <w:szCs w:val="24"/>
        </w:rPr>
        <w:t>个工作日内，乙方须按合同金额的_</w:t>
      </w:r>
      <w:r>
        <w:rPr>
          <w:rFonts w:hint="eastAsia" w:eastAsia="宋体"/>
          <w:sz w:val="24"/>
          <w:szCs w:val="24"/>
        </w:rPr>
        <w:t>10</w:t>
      </w:r>
      <w:r>
        <w:rPr>
          <w:rFonts w:eastAsia="宋体"/>
          <w:sz w:val="24"/>
          <w:szCs w:val="24"/>
        </w:rPr>
        <w:t>_%向甲方交纳履约保证金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收款单位全称</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开户银行</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账号</w:t>
            </w:r>
          </w:p>
        </w:tc>
        <w:tc>
          <w:tcPr>
            <w:tcW w:w="5469" w:type="dxa"/>
            <w:vAlign w:val="center"/>
          </w:tcPr>
          <w:p>
            <w:pPr>
              <w:pStyle w:val="623"/>
              <w:autoSpaceDN w:val="0"/>
              <w:spacing w:line="360" w:lineRule="auto"/>
              <w:ind w:firstLine="480" w:firstLineChars="200"/>
              <w:jc w:val="left"/>
              <w:rPr>
                <w:snapToGrid w:val="0"/>
                <w:kern w:val="0"/>
                <w:sz w:val="24"/>
                <w:szCs w:val="24"/>
              </w:rPr>
            </w:pPr>
          </w:p>
        </w:tc>
      </w:tr>
    </w:tbl>
    <w:p>
      <w:pPr>
        <w:pStyle w:val="622"/>
        <w:spacing w:after="231" w:line="360" w:lineRule="auto"/>
        <w:ind w:firstLine="480" w:firstLineChars="200"/>
        <w:rPr>
          <w:rFonts w:eastAsia="宋体"/>
          <w:sz w:val="24"/>
          <w:szCs w:val="24"/>
        </w:rPr>
      </w:pPr>
      <w:r>
        <w:rPr>
          <w:rFonts w:eastAsia="宋体"/>
          <w:sz w:val="24"/>
          <w:szCs w:val="24"/>
        </w:rPr>
        <w:t>（二）履约保证金以银行保函、银行电汇向甲方提供。</w:t>
      </w:r>
    </w:p>
    <w:p>
      <w:pPr>
        <w:ind w:firstLine="480" w:firstLineChars="200"/>
        <w:rPr>
          <w:rFonts w:hint="eastAsia"/>
          <w:sz w:val="24"/>
        </w:rPr>
      </w:pPr>
      <w:r>
        <w:rPr>
          <w:sz w:val="24"/>
        </w:rPr>
        <w:t>（</w:t>
      </w:r>
      <w:r>
        <w:rPr>
          <w:rFonts w:hint="eastAsia"/>
          <w:sz w:val="24"/>
        </w:rPr>
        <w:t>三</w:t>
      </w:r>
      <w:r>
        <w:rPr>
          <w:sz w:val="24"/>
        </w:rPr>
        <w:t>）</w:t>
      </w:r>
      <w:bookmarkStart w:id="97" w:name="_Hlk180276674"/>
      <w:r>
        <w:rPr>
          <w:sz w:val="24"/>
        </w:rPr>
        <w:t>如乙方未能履行合同规定的义务，甲方有权按照本合同的约定从履约保证金中进行相应扣除。乙方应在甲方扣除履约保证金之日起10个工作日内，及时补充扣除部分金额</w:t>
      </w:r>
      <w:bookmarkEnd w:id="97"/>
      <w:r>
        <w:rPr>
          <w:sz w:val="24"/>
        </w:rPr>
        <w:t>。</w:t>
      </w:r>
    </w:p>
    <w:p>
      <w:pPr>
        <w:ind w:firstLine="480" w:firstLineChars="200"/>
        <w:rPr>
          <w:rFonts w:hint="eastAsia"/>
          <w:sz w:val="24"/>
        </w:rPr>
      </w:pPr>
      <w:r>
        <w:rPr>
          <w:sz w:val="24"/>
        </w:rPr>
        <w:t>（</w:t>
      </w:r>
      <w:r>
        <w:rPr>
          <w:rFonts w:hint="eastAsia"/>
          <w:sz w:val="24"/>
        </w:rPr>
        <w:t>四</w:t>
      </w:r>
      <w:r>
        <w:rPr>
          <w:sz w:val="24"/>
        </w:rPr>
        <w:t>）如乙方不履行合同，或履行合同义务不符合约定使得合同目的不能实现，履约保证金不予退还。</w:t>
      </w:r>
    </w:p>
    <w:p>
      <w:pPr>
        <w:ind w:firstLine="482" w:firstLineChars="200"/>
        <w:rPr>
          <w:rFonts w:hint="eastAsia"/>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rFonts w:hint="eastAsia"/>
          <w:sz w:val="24"/>
        </w:rPr>
      </w:pPr>
      <w:r>
        <w:rPr>
          <w:sz w:val="24"/>
        </w:rPr>
        <w:t>（三）乙方应承担由于其包装或防护措施不当而引起的货物损坏和丢失的任何损失责任和费用。</w:t>
      </w:r>
    </w:p>
    <w:p>
      <w:pPr>
        <w:ind w:firstLine="482" w:firstLineChars="200"/>
        <w:rPr>
          <w:rFonts w:hint="eastAsia"/>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货时间：合同签订后</w:t>
      </w:r>
      <w:r>
        <w:rPr>
          <w:rFonts w:hint="eastAsia" w:eastAsia="宋体"/>
          <w:sz w:val="24"/>
          <w:szCs w:val="24"/>
          <w:u w:val="single"/>
        </w:rPr>
        <w:t>30</w:t>
      </w:r>
      <w:r>
        <w:rPr>
          <w:rFonts w:eastAsia="宋体"/>
          <w:sz w:val="24"/>
          <w:szCs w:val="24"/>
        </w:rPr>
        <w:t>日内完成交货。</w:t>
      </w:r>
    </w:p>
    <w:p>
      <w:pPr>
        <w:pStyle w:val="626"/>
        <w:spacing w:line="360" w:lineRule="auto"/>
        <w:ind w:firstLine="480" w:firstLineChars="200"/>
        <w:rPr>
          <w:rFonts w:eastAsia="宋体"/>
          <w:sz w:val="24"/>
          <w:szCs w:val="24"/>
        </w:rPr>
      </w:pPr>
      <w:r>
        <w:rPr>
          <w:rFonts w:eastAsia="宋体"/>
          <w:sz w:val="24"/>
          <w:szCs w:val="24"/>
        </w:rPr>
        <w:t>（二）交货地点：</w:t>
      </w:r>
      <w:r>
        <w:rPr>
          <w:rFonts w:hint="eastAsia" w:eastAsia="宋体"/>
          <w:sz w:val="24"/>
          <w:szCs w:val="24"/>
        </w:rPr>
        <w:t>甲方指定地点</w:t>
      </w:r>
      <w:r>
        <w:rPr>
          <w:rFonts w:eastAsia="宋体"/>
          <w:sz w:val="24"/>
          <w:szCs w:val="24"/>
        </w:rPr>
        <w:t>。</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line="360" w:lineRule="auto"/>
        <w:ind w:firstLine="482" w:firstLineChars="200"/>
        <w:rPr>
          <w:sz w:val="24"/>
          <w:szCs w:val="24"/>
        </w:rPr>
      </w:pPr>
      <w:r>
        <w:rPr>
          <w:b/>
          <w:bCs/>
          <w:sz w:val="24"/>
          <w:szCs w:val="24"/>
        </w:rPr>
        <w:t>第七条 货物验收</w:t>
      </w:r>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（二）收货后</w:t>
      </w:r>
      <w:r>
        <w:rPr>
          <w:rFonts w:hint="eastAsia" w:eastAsia="宋体"/>
          <w:sz w:val="24"/>
          <w:szCs w:val="24"/>
          <w:u w:val="single"/>
        </w:rPr>
        <w:t xml:space="preserve"> 30 </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 </w:t>
      </w:r>
      <w:r>
        <w:rPr>
          <w:rFonts w:eastAsia="宋体"/>
          <w:sz w:val="24"/>
          <w:szCs w:val="24"/>
        </w:rPr>
        <w:t>个工作日内提供解决方案。</w:t>
      </w:r>
    </w:p>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0"/>
        <w:ind w:firstLine="480" w:firstLineChars="200"/>
        <w:rPr>
          <w:sz w:val="24"/>
          <w:szCs w:val="24"/>
        </w:rPr>
      </w:pPr>
      <w:r>
        <w:rPr>
          <w:sz w:val="24"/>
          <w:szCs w:val="24"/>
        </w:rPr>
        <w:t>（五）合同项下货物生产期间，甲方（用户）有权派工作人员到生产厂进行监造、现场抽样和出厂前验核。此次验核不代表甲方（用户）对货物的最终验收。期间相关费用，包括技术交流和技术材料费等由乙方负担。</w:t>
      </w:r>
    </w:p>
    <w:p>
      <w:pPr>
        <w:pStyle w:val="630"/>
        <w:ind w:firstLine="480" w:firstLineChars="200"/>
        <w:rPr>
          <w:sz w:val="24"/>
          <w:szCs w:val="24"/>
        </w:rPr>
      </w:pPr>
      <w:r>
        <w:rPr>
          <w:sz w:val="24"/>
          <w:szCs w:val="24"/>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七</w:t>
      </w:r>
      <w:r>
        <w:rPr>
          <w:rFonts w:eastAsia="宋体"/>
          <w:sz w:val="24"/>
          <w:szCs w:val="24"/>
        </w:rPr>
        <w:t>）甲方（用户）认为必要时，对大型或者复杂的货物采购项目，可以邀请国家认可的质量检测机构参加验收工作，相关验收意见作为验收报告的参考资料，相关费用由乙方承担。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八</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rFonts w:hint="eastAsia"/>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rFonts w:hint="eastAsia"/>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rFonts w:hint="eastAsia"/>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rFonts w:hint="eastAsia"/>
          <w:sz w:val="24"/>
        </w:rPr>
      </w:pPr>
      <w:r>
        <w:rPr>
          <w:sz w:val="24"/>
        </w:rPr>
        <w:t>（四）在质量保证期内所发现的缺陷，甲方（用户）应尽快以书面形式通知乙方。乙方收到通知后应10日内维修或更换有缺陷的货物或部件</w:t>
      </w:r>
      <w:r>
        <w:rPr>
          <w:rFonts w:hint="eastAsia"/>
          <w:sz w:val="24"/>
        </w:rPr>
        <w:t>（不额外收费）</w:t>
      </w:r>
      <w:r>
        <w:rPr>
          <w:sz w:val="24"/>
        </w:rPr>
        <w:t>。</w:t>
      </w:r>
    </w:p>
    <w:p>
      <w:pPr>
        <w:ind w:firstLine="480" w:firstLineChars="200"/>
        <w:rPr>
          <w:rFonts w:hint="eastAsia"/>
          <w:sz w:val="24"/>
        </w:rPr>
      </w:pPr>
      <w:r>
        <w:rPr>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rFonts w:hint="eastAsia"/>
          <w:sz w:val="24"/>
        </w:rPr>
      </w:pPr>
      <w:r>
        <w:rPr>
          <w:sz w:val="24"/>
        </w:rPr>
        <w:t>（六）本合同项目所有货物质量保证期为：自双方签署设备到货验收签收单/安装调试验收合格报告之日起计算</w:t>
      </w:r>
      <w:r>
        <w:rPr>
          <w:sz w:val="24"/>
          <w:u w:val="single"/>
        </w:rPr>
        <w:t xml:space="preserve">  </w:t>
      </w:r>
      <w:r>
        <w:rPr>
          <w:rFonts w:hint="eastAsia"/>
          <w:sz w:val="24"/>
          <w:u w:val="single"/>
        </w:rPr>
        <w:t>1</w:t>
      </w:r>
      <w:r>
        <w:rPr>
          <w:sz w:val="24"/>
          <w:u w:val="single"/>
        </w:rPr>
        <w:t xml:space="preserve">  </w:t>
      </w:r>
      <w:r>
        <w:rPr>
          <w:sz w:val="24"/>
        </w:rPr>
        <w:t>年。</w:t>
      </w:r>
    </w:p>
    <w:p>
      <w:pPr>
        <w:ind w:firstLine="482" w:firstLineChars="200"/>
        <w:rPr>
          <w:rFonts w:hint="eastAsia"/>
          <w:b/>
          <w:bCs/>
          <w:sz w:val="24"/>
        </w:rPr>
      </w:pPr>
      <w:r>
        <w:rPr>
          <w:b/>
          <w:bCs/>
          <w:sz w:val="24"/>
        </w:rPr>
        <w:t>第九条 培训</w:t>
      </w:r>
    </w:p>
    <w:p>
      <w:pPr>
        <w:ind w:firstLine="480" w:firstLineChars="200"/>
        <w:rPr>
          <w:rFonts w:hint="eastAsia"/>
          <w:b/>
          <w:bCs/>
          <w:sz w:val="24"/>
        </w:rPr>
      </w:pPr>
      <w:r>
        <w:rPr>
          <w:bCs/>
          <w:sz w:val="24"/>
        </w:rPr>
        <w:t>本合同所包括的培训详见附件培训方案。</w:t>
      </w:r>
    </w:p>
    <w:p>
      <w:pPr>
        <w:ind w:firstLine="482" w:firstLineChars="200"/>
        <w:rPr>
          <w:rFonts w:hint="eastAsia"/>
          <w:b/>
          <w:bCs/>
          <w:sz w:val="24"/>
        </w:rPr>
      </w:pPr>
      <w:bookmarkStart w:id="98" w:name="_Hlk180276769"/>
      <w:r>
        <w:rPr>
          <w:b/>
          <w:bCs/>
          <w:sz w:val="24"/>
        </w:rPr>
        <w:t>第十条 售后服务</w:t>
      </w:r>
      <w:r>
        <w:rPr>
          <w:rFonts w:hint="eastAsia"/>
          <w:b/>
          <w:bCs/>
          <w:sz w:val="24"/>
        </w:rPr>
        <w:t>（以需求为准）</w:t>
      </w:r>
      <w:bookmarkEnd w:id="98"/>
    </w:p>
    <w:p>
      <w:pPr>
        <w:ind w:firstLine="480" w:firstLineChars="200"/>
        <w:rPr>
          <w:rFonts w:hint="eastAsia"/>
          <w:sz w:val="24"/>
        </w:rPr>
      </w:pPr>
      <w:r>
        <w:rPr>
          <w:sz w:val="24"/>
        </w:rPr>
        <w:t>（一）供应商（制造商）在质量保证期内提供</w:t>
      </w:r>
      <w:r>
        <w:rPr>
          <w:rFonts w:hint="eastAsia"/>
          <w:sz w:val="24"/>
          <w:u w:val="single"/>
        </w:rPr>
        <w:t xml:space="preserve">   7×24   </w:t>
      </w:r>
      <w:r>
        <w:rPr>
          <w:sz w:val="24"/>
        </w:rPr>
        <w:t>小时的技术支持与售后服务，提供专线电话支持服务，</w:t>
      </w:r>
      <w:r>
        <w:rPr>
          <w:rFonts w:hint="eastAsia"/>
          <w:sz w:val="24"/>
          <w:u w:val="single"/>
        </w:rPr>
        <w:t xml:space="preserve">  4  </w:t>
      </w:r>
      <w:r>
        <w:rPr>
          <w:sz w:val="24"/>
        </w:rPr>
        <w:t>小时内响应，保证__</w:t>
      </w:r>
      <w:r>
        <w:rPr>
          <w:rFonts w:hint="eastAsia"/>
          <w:sz w:val="24"/>
        </w:rPr>
        <w:t xml:space="preserve">48 </w:t>
      </w:r>
      <w:r>
        <w:rPr>
          <w:sz w:val="24"/>
        </w:rPr>
        <w:t>_小时内到达现场并解决故障</w:t>
      </w:r>
      <w:bookmarkStart w:id="99" w:name="_Hlk180278659"/>
      <w:r>
        <w:rPr>
          <w:rFonts w:hint="eastAsia"/>
          <w:sz w:val="24"/>
        </w:rPr>
        <w:t>（不额外收费）</w:t>
      </w:r>
      <w:bookmarkEnd w:id="99"/>
      <w:r>
        <w:rPr>
          <w:sz w:val="24"/>
        </w:rPr>
        <w:t>。</w:t>
      </w:r>
    </w:p>
    <w:p>
      <w:pPr>
        <w:ind w:firstLine="480" w:firstLineChars="200"/>
        <w:rPr>
          <w:rFonts w:hint="eastAsia"/>
          <w:sz w:val="24"/>
        </w:rPr>
      </w:pPr>
      <w:r>
        <w:rPr>
          <w:sz w:val="24"/>
        </w:rPr>
        <w:t>（二）本合同所包含的售后服务，包含制造商售后服务和代理商售后服务，具体见附件技术支持及售后服务方案。</w:t>
      </w:r>
    </w:p>
    <w:p>
      <w:pPr>
        <w:ind w:firstLine="482" w:firstLineChars="200"/>
        <w:rPr>
          <w:rFonts w:hint="eastAsia"/>
          <w:b/>
          <w:bCs/>
          <w:sz w:val="24"/>
        </w:rPr>
      </w:pPr>
      <w:r>
        <w:rPr>
          <w:b/>
          <w:bCs/>
          <w:sz w:val="24"/>
        </w:rPr>
        <w:t>第十一条 违约责任</w:t>
      </w:r>
    </w:p>
    <w:p>
      <w:pPr>
        <w:ind w:firstLine="480" w:firstLineChars="200"/>
        <w:rPr>
          <w:rFonts w:hint="eastAsia"/>
          <w:sz w:val="24"/>
        </w:rPr>
      </w:pPr>
      <w:r>
        <w:rPr>
          <w:sz w:val="24"/>
        </w:rPr>
        <w:t>（一）因乙方原因未能按照本合同要求交付合格的货物或提供相关服务的违约责任。</w:t>
      </w:r>
    </w:p>
    <w:p>
      <w:pPr>
        <w:ind w:firstLine="480" w:firstLineChars="200"/>
        <w:rPr>
          <w:rFonts w:hint="eastAsia"/>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rFonts w:hint="eastAsia"/>
          <w:sz w:val="24"/>
        </w:rPr>
      </w:pPr>
      <w:r>
        <w:rPr>
          <w:sz w:val="24"/>
        </w:rPr>
        <w:t>（1）退货：甲方将货物退回乙方，乙方将合同货款退还给甲方，并承担由此发生的一切损失和费用。</w:t>
      </w:r>
    </w:p>
    <w:p>
      <w:pPr>
        <w:ind w:firstLine="480" w:firstLineChars="200"/>
        <w:rPr>
          <w:rFonts w:hint="eastAsia"/>
          <w:sz w:val="24"/>
        </w:rPr>
      </w:pPr>
      <w:r>
        <w:rPr>
          <w:sz w:val="24"/>
        </w:rPr>
        <w:t>（2）退货重新制作：甲方将货物退回乙方，乙方按照技术标准要求重新制作，并承担由此发生的一切损失和费用。</w:t>
      </w:r>
    </w:p>
    <w:p>
      <w:pPr>
        <w:ind w:firstLine="480" w:firstLineChars="200"/>
        <w:rPr>
          <w:rFonts w:hint="eastAsia"/>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rFonts w:hint="eastAsia"/>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rFonts w:hint="eastAsia"/>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rFonts w:hint="eastAsia"/>
          <w:b/>
          <w:bCs/>
          <w:sz w:val="24"/>
        </w:rPr>
      </w:pPr>
      <w:r>
        <w:rPr>
          <w:b/>
          <w:bCs/>
          <w:sz w:val="24"/>
        </w:rPr>
        <w:t>第十四条 知识产权</w:t>
      </w:r>
    </w:p>
    <w:p>
      <w:pPr>
        <w:ind w:firstLine="480" w:firstLineChars="200"/>
        <w:rPr>
          <w:rFonts w:hint="eastAsia"/>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rFonts w:hint="eastAsia"/>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rFonts w:hint="eastAsia"/>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rFonts w:hint="eastAsia"/>
          <w:b/>
          <w:bCs/>
          <w:sz w:val="24"/>
        </w:rPr>
      </w:pPr>
      <w:r>
        <w:rPr>
          <w:b/>
          <w:bCs/>
          <w:sz w:val="24"/>
        </w:rPr>
        <w:t>第十五条 权利瑕疵担保</w:t>
      </w:r>
    </w:p>
    <w:p>
      <w:pPr>
        <w:ind w:firstLine="480" w:firstLineChars="200"/>
        <w:rPr>
          <w:rFonts w:hint="eastAsia"/>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rFonts w:hint="eastAsia"/>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rFonts w:hint="eastAsia"/>
          <w:b/>
          <w:bCs/>
          <w:sz w:val="24"/>
        </w:rPr>
      </w:pPr>
      <w:r>
        <w:rPr>
          <w:b/>
          <w:bCs/>
          <w:sz w:val="24"/>
        </w:rPr>
        <w:t>第十六条 不可抗力及其免责</w:t>
      </w:r>
    </w:p>
    <w:p>
      <w:pPr>
        <w:ind w:firstLine="480" w:firstLineChars="200"/>
        <w:rPr>
          <w:rFonts w:hint="eastAsia"/>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rFonts w:hint="eastAsia"/>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rFonts w:hint="eastAsia"/>
          <w:sz w:val="24"/>
        </w:rPr>
      </w:pPr>
      <w:r>
        <w:rPr>
          <w:sz w:val="24"/>
        </w:rPr>
        <w:t>（三）乙方在延迟履行合同期间由于不可抗力而不能履行合同的，不能被免除责任。</w:t>
      </w:r>
    </w:p>
    <w:p>
      <w:pPr>
        <w:ind w:firstLine="480" w:firstLineChars="200"/>
        <w:rPr>
          <w:rFonts w:hint="eastAsia"/>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rFonts w:hint="eastAsia"/>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rFonts w:hint="eastAsia"/>
          <w:b/>
          <w:bCs/>
          <w:sz w:val="24"/>
        </w:rPr>
      </w:pPr>
      <w:r>
        <w:rPr>
          <w:b/>
          <w:bCs/>
          <w:sz w:val="24"/>
        </w:rPr>
        <w:t>第十七条 争议的解决</w:t>
      </w:r>
    </w:p>
    <w:p>
      <w:pPr>
        <w:ind w:firstLine="480" w:firstLineChars="200"/>
        <w:rPr>
          <w:rFonts w:hint="eastAsia"/>
          <w:sz w:val="24"/>
        </w:rPr>
      </w:pPr>
      <w:r>
        <w:rPr>
          <w:sz w:val="24"/>
        </w:rPr>
        <w:t>合同实施或与合同有关的一切争议应通过双方友好协商解决。如果友好协商开始还不能解决，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rFonts w:hint="eastAsia"/>
          <w:b/>
          <w:bCs/>
          <w:sz w:val="24"/>
        </w:rPr>
      </w:pPr>
      <w:r>
        <w:rPr>
          <w:b/>
          <w:bCs/>
          <w:sz w:val="24"/>
        </w:rPr>
        <w:t>第十八条 合同修改或变更</w:t>
      </w:r>
    </w:p>
    <w:p>
      <w:pPr>
        <w:ind w:firstLine="480" w:firstLineChars="200"/>
        <w:rPr>
          <w:rFonts w:hint="eastAsia"/>
          <w:sz w:val="24"/>
        </w:rPr>
      </w:pPr>
      <w:r>
        <w:rPr>
          <w:sz w:val="24"/>
        </w:rPr>
        <w:t>（一）如无重大变故，甲乙双方不得擅自变更合同。</w:t>
      </w:r>
    </w:p>
    <w:p>
      <w:pPr>
        <w:ind w:firstLine="480" w:firstLineChars="200"/>
        <w:rPr>
          <w:rFonts w:hint="eastAsia"/>
          <w:sz w:val="24"/>
        </w:rPr>
      </w:pPr>
      <w:r>
        <w:rPr>
          <w:sz w:val="24"/>
        </w:rPr>
        <w:t>（二）如确需变更合同，甲乙双方应签署书面变更协议。变更协议为本合同不可分割的一部分。</w:t>
      </w:r>
    </w:p>
    <w:p>
      <w:pPr>
        <w:ind w:firstLine="480" w:firstLineChars="200"/>
        <w:rPr>
          <w:rFonts w:hint="eastAsia"/>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rFonts w:hint="eastAsia"/>
          <w:b/>
          <w:bCs/>
          <w:sz w:val="24"/>
        </w:rPr>
      </w:pPr>
      <w:r>
        <w:rPr>
          <w:b/>
          <w:bCs/>
          <w:sz w:val="24"/>
        </w:rPr>
        <w:t>第十九条 合同中止</w:t>
      </w:r>
    </w:p>
    <w:p>
      <w:pPr>
        <w:ind w:firstLine="480" w:firstLineChars="200"/>
        <w:rPr>
          <w:rFonts w:hint="eastAsia"/>
          <w:sz w:val="24"/>
        </w:rPr>
      </w:pPr>
      <w:r>
        <w:rPr>
          <w:sz w:val="24"/>
        </w:rPr>
        <w:t>（一）合同在履行过程中，因采购计划调整，甲方（用户）可以要求中止履行，待计划确定后继续履行。</w:t>
      </w:r>
    </w:p>
    <w:p>
      <w:pPr>
        <w:ind w:firstLine="480" w:firstLineChars="200"/>
        <w:rPr>
          <w:rFonts w:hint="eastAsia"/>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rFonts w:hint="eastAsia"/>
          <w:b/>
          <w:bCs/>
          <w:sz w:val="24"/>
        </w:rPr>
      </w:pPr>
      <w:r>
        <w:rPr>
          <w:b/>
          <w:bCs/>
          <w:sz w:val="24"/>
        </w:rPr>
        <w:t>第二十条 合同解除</w:t>
      </w:r>
    </w:p>
    <w:p>
      <w:pPr>
        <w:ind w:firstLine="480" w:firstLineChars="200"/>
        <w:rPr>
          <w:rFonts w:hint="eastAsia"/>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rFonts w:hint="eastAsia"/>
          <w:sz w:val="24"/>
        </w:rPr>
      </w:pPr>
      <w:r>
        <w:rPr>
          <w:sz w:val="24"/>
        </w:rPr>
        <w:t>（一）因违约解除合同</w:t>
      </w:r>
    </w:p>
    <w:p>
      <w:pPr>
        <w:ind w:firstLine="480" w:firstLineChars="200"/>
        <w:rPr>
          <w:rFonts w:hint="eastAsia"/>
          <w:sz w:val="24"/>
        </w:rPr>
      </w:pPr>
      <w:r>
        <w:rPr>
          <w:sz w:val="24"/>
        </w:rPr>
        <w:t>1.在甲方（用户）对乙方违约而采取的任何补救措施不受影响的情况下，甲方（用户）可向乙方发出书面违约通知书，提出解除部分或全部合同：</w:t>
      </w:r>
    </w:p>
    <w:p>
      <w:pPr>
        <w:ind w:firstLine="480" w:firstLineChars="200"/>
        <w:rPr>
          <w:rFonts w:hint="eastAsia"/>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rFonts w:hint="eastAsia"/>
          <w:sz w:val="24"/>
        </w:rPr>
      </w:pPr>
      <w:r>
        <w:rPr>
          <w:sz w:val="24"/>
        </w:rPr>
        <w:t>（3）如果乙方未能履行合同规定的其他任何义务。</w:t>
      </w:r>
    </w:p>
    <w:p>
      <w:pPr>
        <w:ind w:firstLine="480" w:firstLineChars="200"/>
        <w:rPr>
          <w:rFonts w:hint="eastAsia"/>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rFonts w:hint="eastAsia"/>
          <w:sz w:val="24"/>
        </w:rPr>
      </w:pPr>
      <w:r>
        <w:rPr>
          <w:sz w:val="24"/>
        </w:rPr>
        <w:t>（二）因破产而解除合同</w:t>
      </w:r>
    </w:p>
    <w:p>
      <w:pPr>
        <w:ind w:firstLine="480" w:firstLineChars="200"/>
        <w:rPr>
          <w:rFonts w:hint="eastAsia"/>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rFonts w:hint="eastAsia"/>
          <w:sz w:val="24"/>
        </w:rPr>
      </w:pPr>
      <w:r>
        <w:rPr>
          <w:sz w:val="24"/>
        </w:rPr>
        <w:t>2.该解除合同将不损害或影响甲方已经采取或将要采取的任何行动或补救措施的权利。</w:t>
      </w:r>
    </w:p>
    <w:p>
      <w:pPr>
        <w:ind w:firstLine="480" w:firstLineChars="200"/>
        <w:rPr>
          <w:rFonts w:hint="eastAsia"/>
          <w:sz w:val="24"/>
        </w:rPr>
      </w:pPr>
      <w:r>
        <w:rPr>
          <w:sz w:val="24"/>
        </w:rPr>
        <w:t>（三）其他解除合同情况</w:t>
      </w:r>
    </w:p>
    <w:p>
      <w:pPr>
        <w:ind w:firstLine="480" w:firstLineChars="200"/>
        <w:rPr>
          <w:rFonts w:hint="eastAsia"/>
          <w:sz w:val="24"/>
        </w:rPr>
      </w:pPr>
      <w:r>
        <w:rPr>
          <w:sz w:val="24"/>
        </w:rPr>
        <w:t>1.若合同继续履行将给甲方造成重大损失的，甲方（用户）可以解除合同而不给予乙方任何补偿。</w:t>
      </w:r>
    </w:p>
    <w:p>
      <w:pPr>
        <w:ind w:firstLine="480" w:firstLineChars="200"/>
        <w:rPr>
          <w:rFonts w:hint="eastAsia"/>
          <w:sz w:val="24"/>
        </w:rPr>
      </w:pPr>
      <w:r>
        <w:rPr>
          <w:sz w:val="24"/>
        </w:rPr>
        <w:t>2.乙方在执行合同的过程中发生重大变故，对履行合同有影响的，甲方（用户）可以解除合同而不给予乙方任何补偿。</w:t>
      </w:r>
    </w:p>
    <w:p>
      <w:pPr>
        <w:ind w:firstLine="480" w:firstLineChars="200"/>
        <w:rPr>
          <w:rFonts w:hint="eastAsia"/>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rFonts w:hint="eastAsia"/>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bookmarkStart w:id="100" w:name="孔子"/>
      <w:bookmarkEnd w:id="100"/>
      <w:r>
        <w:rPr>
          <w:snapToGrid w:val="0"/>
          <w:kern w:val="0"/>
          <w:sz w:val="24"/>
          <w:szCs w:val="24"/>
        </w:rPr>
        <w:t>（二）对本合同终止有过错的一方应赔偿另一方因合同终止而受到的损失。</w:t>
      </w:r>
    </w:p>
    <w:p>
      <w:pPr>
        <w:ind w:firstLine="482" w:firstLineChars="200"/>
        <w:rPr>
          <w:rFonts w:hint="eastAsia"/>
          <w:b/>
          <w:bCs/>
          <w:sz w:val="24"/>
        </w:rPr>
      </w:pPr>
      <w:r>
        <w:rPr>
          <w:b/>
          <w:bCs/>
          <w:sz w:val="24"/>
        </w:rPr>
        <w:t>第二十二条 其他</w:t>
      </w:r>
    </w:p>
    <w:p>
      <w:pPr>
        <w:ind w:firstLine="480" w:firstLineChars="200"/>
        <w:rPr>
          <w:rFonts w:hint="eastAsia"/>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rFonts w:hint="eastAsia"/>
          <w:b/>
          <w:bCs/>
          <w:sz w:val="24"/>
        </w:rPr>
      </w:pPr>
      <w:r>
        <w:rPr>
          <w:b/>
          <w:bCs/>
          <w:sz w:val="24"/>
        </w:rPr>
        <w:t>第二十四条 合同生效</w:t>
      </w:r>
    </w:p>
    <w:p>
      <w:pPr>
        <w:ind w:firstLine="480" w:firstLineChars="200"/>
        <w:rPr>
          <w:rFonts w:hint="eastAsia"/>
          <w:sz w:val="24"/>
        </w:rPr>
      </w:pPr>
      <w:r>
        <w:rPr>
          <w:sz w:val="24"/>
        </w:rPr>
        <w:t>本合同一式___份，甲方执___份，乙方执___份；自甲乙双方签字盖章之日起生效。对本合同的任何更改及补充，均需双方共同协商，并以书面形式盖章确认。</w:t>
      </w:r>
    </w:p>
    <w:p>
      <w:pPr>
        <w:rPr>
          <w:rFonts w:hint="eastAsia"/>
          <w:sz w:val="24"/>
        </w:rPr>
      </w:pPr>
    </w:p>
    <w:p>
      <w:pPr>
        <w:rPr>
          <w:rFonts w:hint="eastAsia"/>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rFonts w:hint="eastAsia"/>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rFonts w:hint="eastAsia"/>
          <w:sz w:val="24"/>
        </w:rPr>
      </w:pPr>
      <w:r>
        <w:rPr>
          <w:sz w:val="24"/>
        </w:rPr>
        <w:t xml:space="preserve">日期： 年  月  日                 日期：   年   月   日    </w:t>
      </w:r>
    </w:p>
    <w:p>
      <w:pPr>
        <w:rPr>
          <w:rFonts w:hint="eastAsia"/>
          <w:sz w:val="24"/>
        </w:rPr>
      </w:pPr>
      <w:r>
        <w:rPr>
          <w:sz w:val="24"/>
        </w:rPr>
        <w:t>联系人:                           联系人：</w:t>
      </w:r>
    </w:p>
    <w:p>
      <w:pPr>
        <w:rPr>
          <w:rFonts w:hint="eastAsia"/>
          <w:sz w:val="24"/>
        </w:rPr>
      </w:pPr>
      <w:r>
        <w:rPr>
          <w:sz w:val="24"/>
        </w:rPr>
        <w:t>电话:                             电话：</w:t>
      </w:r>
    </w:p>
    <w:p>
      <w:pPr>
        <w:rPr>
          <w:rFonts w:hint="eastAsia"/>
          <w:sz w:val="24"/>
        </w:rPr>
      </w:pPr>
      <w:r>
        <w:rPr>
          <w:sz w:val="24"/>
        </w:rPr>
        <w:t>地址：                            地址：</w:t>
      </w:r>
    </w:p>
    <w:p>
      <w:pPr>
        <w:rPr>
          <w:rFonts w:hint="eastAsia"/>
        </w:rPr>
      </w:pPr>
      <w:r>
        <w:br w:type="page"/>
      </w:r>
    </w:p>
    <w:p>
      <w:pPr>
        <w:pStyle w:val="62"/>
        <w:jc w:val="left"/>
        <w:rPr>
          <w:sz w:val="21"/>
          <w:szCs w:val="21"/>
        </w:rPr>
        <w:sectPr>
          <w:headerReference r:id="rId7" w:type="first"/>
          <w:footerReference r:id="rId9" w:type="first"/>
          <w:headerReference r:id="rId6" w:type="default"/>
          <w:footerReference r:id="rId8" w:type="default"/>
          <w:pgSz w:w="11906" w:h="16838"/>
          <w:pgMar w:top="1134" w:right="1134" w:bottom="1134" w:left="1418" w:header="851" w:footer="992" w:gutter="0"/>
          <w:pgNumType w:start="1"/>
          <w:cols w:space="720" w:num="1"/>
          <w:titlePg/>
          <w:docGrid w:type="lines" w:linePitch="462" w:charSpace="0"/>
        </w:sectPr>
      </w:pPr>
      <w:bookmarkStart w:id="101" w:name="_Toc27079"/>
      <w:r>
        <w:rPr>
          <w:rFonts w:hint="eastAsia"/>
          <w:sz w:val="21"/>
          <w:szCs w:val="21"/>
        </w:rPr>
        <w:t>附件1：分项报价表、设备配置清单和技术偏离</w:t>
      </w:r>
      <w:bookmarkEnd w:id="101"/>
    </w:p>
    <w:p>
      <w:pPr>
        <w:pStyle w:val="62"/>
        <w:jc w:val="left"/>
        <w:rPr>
          <w:sz w:val="21"/>
          <w:szCs w:val="21"/>
        </w:rPr>
      </w:pPr>
      <w:bookmarkStart w:id="102" w:name="_Toc23642"/>
      <w:r>
        <w:rPr>
          <w:rFonts w:hint="eastAsia"/>
          <w:sz w:val="21"/>
          <w:szCs w:val="21"/>
        </w:rPr>
        <w:t>附件2：培训方案</w:t>
      </w:r>
      <w:bookmarkEnd w:id="102"/>
    </w:p>
    <w:p>
      <w:pPr>
        <w:rPr>
          <w:rFonts w:hint="eastAsia"/>
          <w:szCs w:val="21"/>
        </w:rPr>
      </w:pPr>
      <w:r>
        <w:rPr>
          <w:rFonts w:hint="eastAsia"/>
          <w:szCs w:val="21"/>
        </w:rPr>
        <w:br w:type="page"/>
      </w:r>
    </w:p>
    <w:p>
      <w:pPr>
        <w:pStyle w:val="62"/>
        <w:jc w:val="both"/>
      </w:pPr>
      <w:bookmarkStart w:id="103" w:name="_Toc6473"/>
      <w:r>
        <w:rPr>
          <w:rFonts w:hint="eastAsia"/>
          <w:sz w:val="21"/>
          <w:szCs w:val="21"/>
        </w:rPr>
        <w:t>附件3：技术支持及售后服务方案</w:t>
      </w:r>
      <w:r>
        <w:br w:type="page"/>
      </w:r>
      <w:bookmarkEnd w:id="94"/>
      <w:bookmarkEnd w:id="95"/>
    </w:p>
    <w:p>
      <w:pPr>
        <w:pStyle w:val="62"/>
        <w:jc w:val="center"/>
        <w:rPr>
          <w:rFonts w:hint="eastAsia"/>
        </w:rPr>
      </w:pPr>
      <w:r>
        <w:rPr>
          <w:rFonts w:hint="eastAsia"/>
        </w:rPr>
        <w:t>第</w:t>
      </w:r>
      <w:r>
        <w:rPr>
          <w:rFonts w:hint="eastAsia"/>
          <w:lang w:val="en-US" w:eastAsia="zh-CN"/>
        </w:rPr>
        <w:t>六</w:t>
      </w:r>
      <w:r>
        <w:rPr>
          <w:rFonts w:hint="eastAsia"/>
        </w:rPr>
        <w:t>章 投标资料表</w:t>
      </w:r>
      <w:bookmarkEnd w:id="103"/>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投标文件组成：</w:t>
      </w: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密封袋封条格式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投标文件封面格式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目录（目录格式自定）</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评标指引表</w:t>
      </w:r>
    </w:p>
    <w:p>
      <w:pPr>
        <w:pStyle w:val="315"/>
        <w:numPr>
          <w:ilvl w:val="255"/>
          <w:numId w:val="0"/>
        </w:numPr>
        <w:spacing w:line="240" w:lineRule="auto"/>
        <w:ind w:left="567" w:leftChars="270"/>
        <w:rPr>
          <w:rFonts w:hint="eastAsia" w:asciiTheme="minorEastAsia" w:hAnsiTheme="minorEastAsia" w:eastAsiaTheme="minorEastAsia"/>
          <w:bCs/>
          <w:sz w:val="21"/>
          <w:szCs w:val="21"/>
        </w:rPr>
      </w:pPr>
      <w:r>
        <w:rPr>
          <w:rFonts w:hint="eastAsia" w:asciiTheme="minorEastAsia" w:hAnsiTheme="minorEastAsia" w:eastAsiaTheme="minorEastAsia"/>
          <w:sz w:val="21"/>
          <w:szCs w:val="21"/>
        </w:rPr>
        <w:t>格式1：投标函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格式2：法定代表人（单位负责人）证明书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格式3：授权委托书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格式4：资格条款偏离表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格式5：法人或者其他组织的营业执照等证明文件</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格式6：投标人资格声明函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格式7：开标一览表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格式8：投标分项报价表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格式9：技术规格偏离表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格式10：技术保障措施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格式11：售后服务方案</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格式12：商务条款偏离表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格式13：投标人综合概况简表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格式14：企业类型声明函（可选）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格式15：残疾人福利性单位声明函（可选）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格式16：同类项目业绩情况</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格式17：相关认证情况</w:t>
      </w:r>
      <w:r>
        <w:rPr>
          <w:rFonts w:hint="eastAsia" w:asciiTheme="minorEastAsia" w:hAnsiTheme="minorEastAsia" w:eastAsiaTheme="minorEastAsia"/>
          <w:sz w:val="21"/>
          <w:szCs w:val="21"/>
        </w:rPr>
        <w:cr/>
      </w:r>
    </w:p>
    <w:p>
      <w:pPr>
        <w:adjustRightInd/>
        <w:snapToGrid/>
        <w:spacing w:before="280" w:after="290" w:line="377" w:lineRule="auto"/>
        <w:jc w:val="center"/>
        <w:rPr>
          <w:rFonts w:hint="eastAsia"/>
        </w:rPr>
      </w:pPr>
      <w:r>
        <w:br w:type="page"/>
      </w:r>
      <w:bookmarkStart w:id="104" w:name="_Toc518464366"/>
      <w:bookmarkStart w:id="105" w:name="_Toc528675178"/>
      <w:bookmarkStart w:id="106" w:name="_Toc528170806"/>
    </w:p>
    <w:p>
      <w:pPr>
        <w:pStyle w:val="62"/>
      </w:pPr>
      <w:bookmarkStart w:id="107" w:name="_Toc7479"/>
      <w:r>
        <w:rPr>
          <w:rFonts w:hint="eastAsia"/>
        </w:rPr>
        <w:t>第</w:t>
      </w:r>
      <w:r>
        <w:rPr>
          <w:rFonts w:hint="eastAsia"/>
          <w:lang w:val="en-US" w:eastAsia="zh-CN"/>
        </w:rPr>
        <w:t>七</w:t>
      </w:r>
      <w:r>
        <w:rPr>
          <w:rFonts w:hint="eastAsia"/>
        </w:rPr>
        <w:t>章 投标文件格式</w:t>
      </w:r>
      <w:bookmarkEnd w:id="107"/>
    </w:p>
    <w:p>
      <w:pPr>
        <w:adjustRightInd/>
        <w:snapToGrid/>
        <w:spacing w:before="280" w:after="290" w:line="377" w:lineRule="auto"/>
        <w:jc w:val="center"/>
        <w:outlineLvl w:val="2"/>
        <w:rPr>
          <w:rFonts w:hint="eastAsia"/>
          <w:b/>
          <w:sz w:val="24"/>
        </w:rPr>
      </w:pPr>
      <w:bookmarkStart w:id="108" w:name="_Toc14120"/>
      <w:r>
        <w:rPr>
          <w:rFonts w:hint="eastAsia"/>
          <w:b/>
          <w:sz w:val="24"/>
        </w:rPr>
        <w:t>投标文件编制说明</w:t>
      </w:r>
      <w:bookmarkEnd w:id="108"/>
    </w:p>
    <w:p>
      <w:pPr>
        <w:tabs>
          <w:tab w:val="clear" w:pos="426"/>
        </w:tabs>
        <w:spacing w:line="276" w:lineRule="auto"/>
        <w:ind w:firstLine="420" w:firstLineChars="200"/>
        <w:rPr>
          <w:rFonts w:hint="eastAsia"/>
        </w:rPr>
      </w:pPr>
      <w:r>
        <w:rPr>
          <w:rFonts w:hint="eastAsia"/>
        </w:rPr>
        <w:t>投标供应商在编辑投标文件时，应严格按照招标文件提供的格式进行编写，因未按要求编写导致投标文件不予受理、无效标或废标的，一切后果由供应商自行承担。</w:t>
      </w:r>
    </w:p>
    <w:p>
      <w:pPr>
        <w:adjustRightInd/>
        <w:snapToGrid/>
        <w:spacing w:before="280" w:after="290" w:line="377" w:lineRule="auto"/>
        <w:jc w:val="center"/>
        <w:rPr>
          <w:rFonts w:hint="eastAsia"/>
          <w:b/>
          <w:sz w:val="24"/>
        </w:rPr>
      </w:pPr>
    </w:p>
    <w:p>
      <w:pPr>
        <w:rPr>
          <w:rFonts w:hint="eastAsia"/>
          <w:b/>
          <w:sz w:val="24"/>
        </w:rPr>
      </w:pPr>
      <w:r>
        <w:rPr>
          <w:rFonts w:hint="eastAsia"/>
          <w:b/>
          <w:sz w:val="24"/>
        </w:rPr>
        <w:br w:type="page"/>
      </w:r>
    </w:p>
    <w:p>
      <w:pPr>
        <w:adjustRightInd/>
        <w:snapToGrid/>
        <w:spacing w:before="280" w:after="290" w:line="377" w:lineRule="auto"/>
        <w:jc w:val="center"/>
        <w:rPr>
          <w:rFonts w:hint="eastAsia"/>
          <w:b/>
          <w:sz w:val="24"/>
        </w:rPr>
      </w:pPr>
      <w:r>
        <w:rPr>
          <w:rFonts w:hint="eastAsia"/>
          <w:b/>
          <w:sz w:val="24"/>
        </w:rPr>
        <w:t>密封袋封条格式</w:t>
      </w:r>
      <w:bookmarkEnd w:id="104"/>
      <w:bookmarkEnd w:id="105"/>
      <w:bookmarkEnd w:id="106"/>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深圳海关动植物检验检疫技术中心“普通PCR仪”设备采购项目</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sz w:val="52"/>
          <w:szCs w:val="52"/>
        </w:rPr>
      </w:pPr>
      <w:r>
        <w:rPr>
          <w:rFonts w:hint="eastAsia"/>
          <w:sz w:val="52"/>
          <w:szCs w:val="52"/>
        </w:rPr>
        <w:t>□开标信封</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708" w:leftChars="337" w:right="706" w:rightChars="336"/>
        <w:rPr>
          <w:rFonts w:hint="eastAsia"/>
          <w:sz w:val="28"/>
          <w:szCs w:val="28"/>
        </w:rPr>
      </w:pPr>
      <w:r>
        <w:rPr>
          <w:rFonts w:hint="eastAsia"/>
          <w:sz w:val="28"/>
          <w:szCs w:val="28"/>
        </w:rPr>
        <w:t>项目编号：</w:t>
      </w:r>
    </w:p>
    <w:p>
      <w:pPr>
        <w:tabs>
          <w:tab w:val="clear" w:pos="426"/>
        </w:tabs>
        <w:ind w:left="708" w:leftChars="337"/>
        <w:rPr>
          <w:rFonts w:hint="eastAsia"/>
          <w:sz w:val="28"/>
          <w:szCs w:val="28"/>
        </w:rPr>
      </w:pPr>
      <w:r>
        <w:rPr>
          <w:rFonts w:hint="eastAsia"/>
          <w:sz w:val="28"/>
          <w:szCs w:val="28"/>
        </w:rPr>
        <w:t>投标供应商名称（公章)：</w:t>
      </w:r>
    </w:p>
    <w:p>
      <w:pPr>
        <w:tabs>
          <w:tab w:val="clear" w:pos="426"/>
        </w:tabs>
        <w:ind w:left="708" w:leftChars="337"/>
        <w:rPr>
          <w:rFonts w:hint="eastAsia"/>
          <w:sz w:val="28"/>
          <w:szCs w:val="28"/>
        </w:rPr>
      </w:pPr>
      <w:r>
        <w:rPr>
          <w:rFonts w:hint="eastAsia"/>
          <w:sz w:val="28"/>
          <w:szCs w:val="28"/>
        </w:rPr>
        <w:t>投标供应商代表（签字或盖章）：</w:t>
      </w:r>
    </w:p>
    <w:p>
      <w:pPr>
        <w:tabs>
          <w:tab w:val="clear" w:pos="426"/>
        </w:tabs>
        <w:ind w:left="708" w:leftChars="337"/>
        <w:rPr>
          <w:rFonts w:hint="eastAsia"/>
          <w:sz w:val="28"/>
          <w:szCs w:val="28"/>
        </w:rPr>
      </w:pPr>
      <w:r>
        <w:rPr>
          <w:rFonts w:hint="eastAsia"/>
          <w:sz w:val="28"/>
          <w:szCs w:val="28"/>
        </w:rPr>
        <w:t>投标截止日期：_</w:t>
      </w:r>
      <w:r>
        <w:rPr>
          <w:sz w:val="28"/>
          <w:szCs w:val="28"/>
        </w:rPr>
        <w:t>___</w:t>
      </w:r>
      <w:r>
        <w:rPr>
          <w:rFonts w:hint="eastAsia"/>
          <w:sz w:val="28"/>
          <w:szCs w:val="28"/>
        </w:rPr>
        <w:t>______年____月____日____时____分（</w:t>
      </w:r>
      <w:r>
        <w:rPr>
          <w:sz w:val="28"/>
          <w:szCs w:val="28"/>
        </w:rPr>
        <w:t>前不得开封</w:t>
      </w:r>
      <w:r>
        <w:rPr>
          <w:rFonts w:hint="eastAsia"/>
          <w:sz w:val="28"/>
          <w:szCs w:val="28"/>
        </w:rPr>
        <w:t>）</w:t>
      </w:r>
    </w:p>
    <w:p>
      <w:pPr>
        <w:adjustRightInd/>
        <w:snapToGrid/>
        <w:spacing w:before="280" w:after="290" w:line="377" w:lineRule="auto"/>
        <w:jc w:val="center"/>
        <w:rPr>
          <w:rFonts w:hint="eastAsia"/>
          <w:b/>
          <w:sz w:val="24"/>
        </w:rPr>
      </w:pPr>
      <w:r>
        <w:br w:type="page"/>
      </w:r>
      <w:bookmarkStart w:id="109" w:name="_Toc528170807"/>
      <w:bookmarkStart w:id="110" w:name="_Toc528675179"/>
      <w:bookmarkStart w:id="111" w:name="_Toc518464367"/>
      <w:r>
        <w:rPr>
          <w:rFonts w:hint="eastAsia"/>
          <w:b/>
          <w:sz w:val="24"/>
        </w:rPr>
        <w:t>投标文件封面格式</w:t>
      </w:r>
      <w:bookmarkEnd w:id="109"/>
      <w:bookmarkEnd w:id="110"/>
      <w:bookmarkEnd w:id="111"/>
    </w:p>
    <w:p>
      <w:pPr>
        <w:tabs>
          <w:tab w:val="clear" w:pos="426"/>
        </w:tabs>
        <w:jc w:val="right"/>
        <w:rPr>
          <w:rFonts w:hint="eastAsia"/>
          <w:sz w:val="44"/>
          <w:szCs w:val="44"/>
          <w:u w:val="single"/>
        </w:rPr>
      </w:pPr>
      <w:r>
        <w:rPr>
          <w:rFonts w:hint="eastAsia"/>
          <w:sz w:val="44"/>
          <w:szCs w:val="44"/>
          <w:u w:val="single"/>
        </w:rPr>
        <w:t>正/副本</w:t>
      </w:r>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深圳海关动植物检验检疫技术中心“普通PCR仪”设备采购项目</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rPr>
      </w:pPr>
    </w:p>
    <w:p>
      <w:pPr>
        <w:tabs>
          <w:tab w:val="clear" w:pos="426"/>
        </w:tabs>
        <w:jc w:val="center"/>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1275" w:leftChars="607"/>
        <w:rPr>
          <w:rFonts w:hint="eastAsia"/>
          <w:sz w:val="28"/>
          <w:szCs w:val="28"/>
        </w:rPr>
      </w:pPr>
      <w:r>
        <w:rPr>
          <w:rFonts w:hint="eastAsia"/>
          <w:sz w:val="28"/>
          <w:szCs w:val="28"/>
        </w:rPr>
        <w:t>项目编号：</w:t>
      </w:r>
    </w:p>
    <w:p>
      <w:pPr>
        <w:tabs>
          <w:tab w:val="clear" w:pos="426"/>
        </w:tabs>
        <w:ind w:left="1275" w:leftChars="607"/>
        <w:rPr>
          <w:rFonts w:hint="eastAsia"/>
          <w:sz w:val="28"/>
          <w:szCs w:val="28"/>
        </w:rPr>
      </w:pPr>
      <w:r>
        <w:rPr>
          <w:rFonts w:hint="eastAsia"/>
          <w:sz w:val="28"/>
          <w:szCs w:val="28"/>
        </w:rPr>
        <w:t>投标供应商名称（公章)：</w:t>
      </w:r>
    </w:p>
    <w:p>
      <w:pPr>
        <w:tabs>
          <w:tab w:val="clear" w:pos="426"/>
        </w:tabs>
        <w:ind w:left="1275" w:leftChars="607"/>
        <w:rPr>
          <w:rFonts w:hint="eastAsia"/>
          <w:sz w:val="28"/>
          <w:szCs w:val="28"/>
        </w:rPr>
      </w:pPr>
      <w:r>
        <w:rPr>
          <w:rFonts w:hint="eastAsia"/>
          <w:sz w:val="28"/>
          <w:szCs w:val="28"/>
        </w:rPr>
        <w:t>投标供应商代表（签字或盖章）：</w:t>
      </w:r>
    </w:p>
    <w:p>
      <w:pPr>
        <w:tabs>
          <w:tab w:val="clear" w:pos="426"/>
        </w:tabs>
        <w:ind w:left="1275" w:leftChars="607"/>
        <w:rPr>
          <w:rFonts w:hint="eastAsia"/>
          <w:sz w:val="28"/>
          <w:szCs w:val="28"/>
        </w:rPr>
      </w:pPr>
      <w:r>
        <w:rPr>
          <w:rFonts w:hint="eastAsia"/>
          <w:sz w:val="28"/>
          <w:szCs w:val="28"/>
        </w:rPr>
        <w:t>投标日期：_</w:t>
      </w:r>
      <w:r>
        <w:rPr>
          <w:sz w:val="28"/>
          <w:szCs w:val="28"/>
        </w:rPr>
        <w:t>___</w:t>
      </w:r>
      <w:r>
        <w:rPr>
          <w:rFonts w:hint="eastAsia"/>
          <w:sz w:val="28"/>
          <w:szCs w:val="28"/>
        </w:rPr>
        <w:t>______年____月____日</w:t>
      </w: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112" w:name="_Toc528675180"/>
      <w:bookmarkStart w:id="113" w:name="_Toc518464368"/>
      <w:bookmarkStart w:id="114" w:name="_Toc528170808"/>
      <w:r>
        <w:rPr>
          <w:rFonts w:hint="eastAsia"/>
          <w:b/>
          <w:sz w:val="24"/>
        </w:rPr>
        <w:t>投标文件目录（目录格式自定）</w:t>
      </w:r>
      <w:bookmarkEnd w:id="112"/>
      <w:bookmarkEnd w:id="113"/>
      <w:bookmarkEnd w:id="114"/>
    </w:p>
    <w:p>
      <w:pPr>
        <w:tabs>
          <w:tab w:val="clear" w:pos="426"/>
        </w:tabs>
        <w:rPr>
          <w:rFonts w:hint="eastAsia"/>
        </w:rPr>
      </w:pPr>
      <w:r>
        <w:rPr>
          <w:rFonts w:hint="eastAsia"/>
        </w:rPr>
        <w:t>按照招标文件的要求编制投标文件相应内容，请标明各部分内容的页码。</w:t>
      </w:r>
    </w:p>
    <w:p>
      <w:pPr>
        <w:tabs>
          <w:tab w:val="clear" w:pos="426"/>
        </w:tabs>
        <w:rPr>
          <w:rFonts w:hint="eastAsia"/>
        </w:rPr>
      </w:pP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115" w:name="_Toc528170809"/>
      <w:bookmarkStart w:id="116" w:name="_Toc528675181"/>
      <w:bookmarkStart w:id="117" w:name="_Toc518464369"/>
      <w:r>
        <w:rPr>
          <w:rFonts w:hint="eastAsia"/>
          <w:b/>
          <w:sz w:val="24"/>
        </w:rPr>
        <w:t>评标指引表</w:t>
      </w:r>
      <w:bookmarkEnd w:id="115"/>
      <w:bookmarkEnd w:id="116"/>
      <w:bookmarkEnd w:id="117"/>
    </w:p>
    <w:p>
      <w:pPr>
        <w:tabs>
          <w:tab w:val="clear" w:pos="426"/>
        </w:tabs>
        <w:jc w:val="center"/>
        <w:rPr>
          <w:rFonts w:hint="eastAsia"/>
          <w:b/>
        </w:rPr>
      </w:pPr>
      <w:r>
        <w:rPr>
          <w:rFonts w:hint="eastAsia"/>
          <w:b/>
        </w:rPr>
        <w:t>（置于投标文件的首页）</w:t>
      </w:r>
    </w:p>
    <w:p>
      <w:pPr>
        <w:tabs>
          <w:tab w:val="clear" w:pos="426"/>
        </w:tabs>
        <w:ind w:firstLine="420" w:firstLineChars="200"/>
        <w:rPr>
          <w:rFonts w:hint="eastAsia"/>
        </w:rPr>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rFonts w:hint="eastAsia"/>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rFonts w:hint="eastAsia"/>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rFonts w:hint="eastAsia"/>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rFonts w:hint="eastAsia"/>
                <w:b/>
              </w:rPr>
            </w:pPr>
            <w:r>
              <w:rPr>
                <w:rFonts w:hint="eastAsia"/>
                <w:b/>
              </w:rPr>
              <w:t>证明文件</w:t>
            </w:r>
          </w:p>
        </w:tc>
        <w:tc>
          <w:tcPr>
            <w:tcW w:w="1397" w:type="dxa"/>
            <w:vAlign w:val="center"/>
          </w:tcPr>
          <w:p>
            <w:pPr>
              <w:tabs>
                <w:tab w:val="clear" w:pos="426"/>
              </w:tabs>
              <w:adjustRightInd/>
              <w:snapToGrid/>
              <w:spacing w:line="240" w:lineRule="auto"/>
              <w:jc w:val="center"/>
              <w:rPr>
                <w:rFonts w:hint="eastAsia"/>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rFonts w:hint="eastAsia"/>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rFonts w:hint="eastAsia"/>
                <w:b/>
                <w:kern w:val="2"/>
              </w:rPr>
            </w:pPr>
            <w:r>
              <w:rPr>
                <w:rFonts w:hint="eastAsia"/>
              </w:rPr>
              <w:t>申请人的资格要求</w:t>
            </w:r>
          </w:p>
        </w:tc>
        <w:tc>
          <w:tcPr>
            <w:tcW w:w="3105" w:type="dxa"/>
            <w:gridSpan w:val="3"/>
            <w:vAlign w:val="center"/>
          </w:tcPr>
          <w:p>
            <w:pPr>
              <w:tabs>
                <w:tab w:val="clear" w:pos="426"/>
              </w:tabs>
              <w:adjustRightInd/>
              <w:snapToGrid/>
              <w:spacing w:line="240" w:lineRule="auto"/>
              <w:jc w:val="center"/>
              <w:rPr>
                <w:rFonts w:hint="eastAsia"/>
                <w:kern w:val="2"/>
              </w:rPr>
            </w:pPr>
            <w:r>
              <w:rPr>
                <w:rFonts w:hint="eastAsia"/>
              </w:rPr>
              <w:t>营业执照</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r>
              <w:rPr>
                <w:rFonts w:hint="eastAsia"/>
              </w:rPr>
              <w:t>…</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rFonts w:hint="eastAsia"/>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rFonts w:hint="eastAsia"/>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w:t>
            </w:r>
          </w:p>
        </w:tc>
        <w:tc>
          <w:tcPr>
            <w:tcW w:w="5943" w:type="dxa"/>
            <w:gridSpan w:val="4"/>
            <w:vAlign w:val="center"/>
          </w:tcPr>
          <w:p>
            <w:pPr>
              <w:tabs>
                <w:tab w:val="clear" w:pos="426"/>
              </w:tabs>
              <w:adjustRightInd/>
              <w:snapToGrid/>
              <w:spacing w:line="240" w:lineRule="auto"/>
              <w:rPr>
                <w:rFonts w:hint="eastAsia"/>
              </w:rPr>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rFonts w:hint="eastAsia"/>
                <w:kern w:val="2"/>
              </w:rPr>
            </w:pPr>
            <w:r>
              <w:rPr>
                <w:rFonts w:hint="eastAsi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2</w:t>
            </w:r>
          </w:p>
        </w:tc>
        <w:tc>
          <w:tcPr>
            <w:tcW w:w="5943" w:type="dxa"/>
            <w:gridSpan w:val="4"/>
            <w:vAlign w:val="center"/>
          </w:tcPr>
          <w:p>
            <w:pPr>
              <w:tabs>
                <w:tab w:val="clear" w:pos="426"/>
              </w:tabs>
              <w:adjustRightInd/>
              <w:snapToGrid/>
              <w:spacing w:line="240" w:lineRule="auto"/>
              <w:rPr>
                <w:rFonts w:hint="eastAsia"/>
              </w:rPr>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3</w:t>
            </w:r>
          </w:p>
        </w:tc>
        <w:tc>
          <w:tcPr>
            <w:tcW w:w="5943" w:type="dxa"/>
            <w:gridSpan w:val="4"/>
            <w:vAlign w:val="center"/>
          </w:tcPr>
          <w:p>
            <w:pPr>
              <w:tabs>
                <w:tab w:val="clear" w:pos="426"/>
              </w:tabs>
              <w:adjustRightInd/>
              <w:snapToGrid/>
              <w:spacing w:line="240" w:lineRule="auto"/>
              <w:rPr>
                <w:rFonts w:hint="eastAsia"/>
              </w:rPr>
            </w:pPr>
            <w:r>
              <w:rPr>
                <w:rFonts w:hint="eastAsia"/>
              </w:rPr>
              <w:t>除招标文件规定允许有替代方案外，对同一项目投标时，未提供两套或两套以上的投标方案(招标文件另有规定的除外)；</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4</w:t>
            </w:r>
          </w:p>
        </w:tc>
        <w:tc>
          <w:tcPr>
            <w:tcW w:w="5943" w:type="dxa"/>
            <w:gridSpan w:val="4"/>
            <w:vAlign w:val="center"/>
          </w:tcPr>
          <w:p>
            <w:pPr>
              <w:tabs>
                <w:tab w:val="clear" w:pos="426"/>
              </w:tabs>
              <w:adjustRightInd/>
              <w:snapToGrid/>
              <w:spacing w:line="240" w:lineRule="auto"/>
              <w:rPr>
                <w:rFonts w:hint="eastAsia"/>
              </w:rPr>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5</w:t>
            </w:r>
          </w:p>
        </w:tc>
        <w:tc>
          <w:tcPr>
            <w:tcW w:w="5943" w:type="dxa"/>
            <w:gridSpan w:val="4"/>
            <w:vAlign w:val="center"/>
          </w:tcPr>
          <w:p>
            <w:pPr>
              <w:tabs>
                <w:tab w:val="clear" w:pos="426"/>
              </w:tabs>
              <w:adjustRightInd/>
              <w:snapToGrid/>
              <w:spacing w:line="240" w:lineRule="auto"/>
              <w:rPr>
                <w:rFonts w:hint="eastAsia"/>
              </w:rPr>
            </w:pPr>
            <w:r>
              <w:rPr>
                <w:rFonts w:hint="eastAsia"/>
              </w:rPr>
              <w:t>按招标文件所提供的样式填写</w:t>
            </w:r>
            <w:r>
              <w:t>《</w:t>
            </w:r>
            <w:r>
              <w:rPr>
                <w:rFonts w:hint="eastAsia"/>
              </w:rPr>
              <w:t>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6</w:t>
            </w:r>
          </w:p>
        </w:tc>
        <w:tc>
          <w:tcPr>
            <w:tcW w:w="5943" w:type="dxa"/>
            <w:gridSpan w:val="4"/>
            <w:vAlign w:val="center"/>
          </w:tcPr>
          <w:p>
            <w:pPr>
              <w:tabs>
                <w:tab w:val="clear" w:pos="426"/>
              </w:tabs>
              <w:adjustRightInd/>
              <w:snapToGrid/>
              <w:spacing w:line="240" w:lineRule="auto"/>
              <w:rPr>
                <w:rFonts w:hint="eastAsia"/>
              </w:rPr>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7</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8</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9</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10</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投标文件载明的质保期未低于招标文件规定的期限；</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11</w:t>
            </w:r>
          </w:p>
        </w:tc>
        <w:tc>
          <w:tcPr>
            <w:tcW w:w="5943" w:type="dxa"/>
            <w:gridSpan w:val="4"/>
            <w:vAlign w:val="center"/>
          </w:tcPr>
          <w:p>
            <w:pPr>
              <w:tabs>
                <w:tab w:val="clear" w:pos="426"/>
              </w:tabs>
              <w:adjustRightInd/>
              <w:snapToGrid/>
              <w:spacing w:line="240" w:lineRule="auto"/>
              <w:rPr>
                <w:rFonts w:hint="eastAsia"/>
              </w:rPr>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12</w:t>
            </w:r>
          </w:p>
        </w:tc>
        <w:tc>
          <w:tcPr>
            <w:tcW w:w="5943" w:type="dxa"/>
            <w:gridSpan w:val="4"/>
            <w:vAlign w:val="center"/>
          </w:tcPr>
          <w:p>
            <w:pPr>
              <w:tabs>
                <w:tab w:val="clear" w:pos="426"/>
              </w:tabs>
              <w:adjustRightInd/>
              <w:snapToGrid/>
              <w:spacing w:line="240" w:lineRule="auto"/>
              <w:rPr>
                <w:rFonts w:hint="eastAsia"/>
              </w:rPr>
            </w:pPr>
            <w:r>
              <w:rPr>
                <w:rFonts w:hint="eastAsia"/>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3</w:t>
            </w:r>
          </w:p>
        </w:tc>
        <w:tc>
          <w:tcPr>
            <w:tcW w:w="5943" w:type="dxa"/>
            <w:gridSpan w:val="4"/>
            <w:vAlign w:val="center"/>
          </w:tcPr>
          <w:p>
            <w:pPr>
              <w:tabs>
                <w:tab w:val="clear" w:pos="426"/>
              </w:tabs>
              <w:adjustRightInd/>
              <w:snapToGrid/>
              <w:spacing w:line="240" w:lineRule="auto"/>
              <w:rPr>
                <w:rFonts w:hint="eastAsia"/>
              </w:rPr>
            </w:pPr>
            <w:r>
              <w:rPr>
                <w:rFonts w:hint="eastAsia"/>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4</w:t>
            </w:r>
          </w:p>
        </w:tc>
        <w:tc>
          <w:tcPr>
            <w:tcW w:w="5943" w:type="dxa"/>
            <w:gridSpan w:val="4"/>
            <w:vAlign w:val="center"/>
          </w:tcPr>
          <w:p>
            <w:pPr>
              <w:tabs>
                <w:tab w:val="clear" w:pos="426"/>
              </w:tabs>
              <w:adjustRightInd/>
              <w:snapToGrid/>
              <w:spacing w:line="240" w:lineRule="auto"/>
              <w:rPr>
                <w:rFonts w:hint="eastAsia"/>
              </w:rPr>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rFonts w:hint="eastAsia"/>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rFonts w:hint="eastAsia"/>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rFonts w:hint="eastAsia"/>
                <w:b/>
                <w:kern w:val="2"/>
              </w:rPr>
            </w:pPr>
            <w:r>
              <w:rPr>
                <w:rFonts w:hint="eastAsia"/>
                <w:b/>
              </w:rPr>
              <w:t>对应章节</w:t>
            </w:r>
          </w:p>
        </w:tc>
        <w:tc>
          <w:tcPr>
            <w:tcW w:w="1397" w:type="dxa"/>
            <w:vAlign w:val="center"/>
          </w:tcPr>
          <w:p>
            <w:pPr>
              <w:tabs>
                <w:tab w:val="clear" w:pos="426"/>
              </w:tabs>
              <w:adjustRightInd/>
              <w:snapToGrid/>
              <w:spacing w:line="240" w:lineRule="auto"/>
              <w:jc w:val="center"/>
              <w:rPr>
                <w:rFonts w:hint="eastAsia"/>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bl>
    <w:p>
      <w:pPr>
        <w:tabs>
          <w:tab w:val="clear" w:pos="426"/>
        </w:tabs>
        <w:rPr>
          <w:rFonts w:hint="eastAsia"/>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outlineLvl w:val="2"/>
        <w:rPr>
          <w:rFonts w:hint="eastAsia"/>
          <w:b/>
          <w:sz w:val="24"/>
        </w:rPr>
      </w:pPr>
      <w:bookmarkStart w:id="118" w:name="_Toc13912"/>
      <w:bookmarkStart w:id="119" w:name="_Toc150960251"/>
      <w:bookmarkStart w:id="120" w:name="_Toc151386161"/>
      <w:bookmarkStart w:id="121" w:name="_Toc50691037"/>
      <w:bookmarkStart w:id="122" w:name="_Toc43264518"/>
      <w:bookmarkStart w:id="123" w:name="_Toc43264525"/>
      <w:bookmarkStart w:id="124" w:name="_Toc50703730"/>
      <w:r>
        <w:rPr>
          <w:rFonts w:hint="eastAsia"/>
          <w:b/>
          <w:sz w:val="24"/>
        </w:rPr>
        <w:t>格式1：投标函</w:t>
      </w:r>
      <w:bookmarkEnd w:id="118"/>
      <w:bookmarkEnd w:id="119"/>
      <w:bookmarkEnd w:id="120"/>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25" w:name="_Toc201743120"/>
      <w:bookmarkStart w:id="126" w:name="_Toc201719122"/>
      <w:bookmarkStart w:id="127" w:name="_Toc201997950"/>
      <w:bookmarkStart w:id="128" w:name="_Toc201742865"/>
      <w:r>
        <w:rPr>
          <w:rFonts w:hint="eastAsia" w:cs="Times New Roman"/>
          <w:bCs/>
          <w:kern w:val="2"/>
          <w:sz w:val="32"/>
          <w:szCs w:val="32"/>
        </w:rPr>
        <w:t>投标函</w:t>
      </w:r>
      <w:bookmarkEnd w:id="125"/>
      <w:bookmarkEnd w:id="126"/>
      <w:bookmarkEnd w:id="127"/>
      <w:bookmarkEnd w:id="128"/>
    </w:p>
    <w:p>
      <w:pPr>
        <w:tabs>
          <w:tab w:val="clear" w:pos="426"/>
        </w:tabs>
        <w:spacing w:line="300" w:lineRule="auto"/>
        <w:rPr>
          <w:rFonts w:hint="eastAsia"/>
          <w:szCs w:val="21"/>
        </w:rPr>
      </w:pPr>
    </w:p>
    <w:p>
      <w:pPr>
        <w:tabs>
          <w:tab w:val="clear" w:pos="426"/>
        </w:tabs>
        <w:spacing w:line="300" w:lineRule="auto"/>
        <w:rPr>
          <w:rFonts w:hint="eastAsia"/>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rFonts w:hint="eastAsia"/>
          <w:szCs w:val="21"/>
        </w:rPr>
      </w:pPr>
      <w:r>
        <w:rPr>
          <w:rFonts w:hint="eastAsia"/>
          <w:szCs w:val="21"/>
        </w:rPr>
        <w:t>1.根据已收到贵方的项目编号为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rPr>
      </w:pPr>
      <w:r>
        <w:rPr>
          <w:rFonts w:hAnsi="Times New Roman"/>
          <w:szCs w:val="21"/>
        </w:rPr>
        <w:t>2.</w:t>
      </w:r>
      <w:r>
        <w:rPr>
          <w:rFonts w:hint="eastAsia" w:hAnsi="Times New Roman"/>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rPr>
      </w:pPr>
      <w:r>
        <w:rPr>
          <w:rFonts w:hAnsi="Times New Roman"/>
          <w:szCs w:val="21"/>
        </w:rPr>
        <w:t>3.</w:t>
      </w:r>
      <w:r>
        <w:rPr>
          <w:rFonts w:hint="eastAsia" w:hAnsi="Times New Roman"/>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rPr>
      </w:pPr>
      <w:r>
        <w:rPr>
          <w:rFonts w:hAnsi="Times New Roman"/>
          <w:szCs w:val="21"/>
        </w:rPr>
        <w:t>4.</w:t>
      </w:r>
      <w:r>
        <w:rPr>
          <w:rFonts w:hint="eastAsia" w:hAnsi="Times New Roman"/>
          <w:szCs w:val="21"/>
        </w:rPr>
        <w:t>除非另外达成协议并生效，贵方的中标通知书和本投标文件将构成约束我们双方的合同。</w:t>
      </w:r>
    </w:p>
    <w:p>
      <w:pPr>
        <w:spacing w:after="231" w:afterLines="50"/>
        <w:ind w:firstLine="420" w:firstLineChars="200"/>
        <w:rPr>
          <w:rFonts w:hAnsi="Times New Roman"/>
          <w:szCs w:val="21"/>
        </w:rPr>
      </w:pPr>
      <w:r>
        <w:rPr>
          <w:rFonts w:hAnsi="Times New Roman"/>
          <w:szCs w:val="21"/>
        </w:rPr>
        <w:t>5.</w:t>
      </w:r>
      <w:r>
        <w:rPr>
          <w:rFonts w:hint="eastAsia" w:hAnsi="Times New Roman"/>
          <w:szCs w:val="21"/>
        </w:rPr>
        <w:t>我方理解贵方将不受必须接受你们所收到的最低标价或其它任何投标文件的约束。</w:t>
      </w: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pPr>
        <w:tabs>
          <w:tab w:val="clear" w:pos="426"/>
        </w:tabs>
        <w:spacing w:line="300" w:lineRule="auto"/>
        <w:ind w:left="424" w:leftChars="202"/>
        <w:rPr>
          <w:rFonts w:hint="eastAsia"/>
          <w:szCs w:val="21"/>
          <w:u w:val="single"/>
        </w:rPr>
      </w:pPr>
      <w:r>
        <w:rPr>
          <w:rFonts w:hint="eastAsia"/>
          <w:szCs w:val="21"/>
        </w:rPr>
        <w:t>投标人名称（公章）：</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 xml:space="preserve">投标人代表（签字或盖章)： </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日期：</w:t>
      </w:r>
      <w:r>
        <w:rPr>
          <w:rFonts w:hint="eastAsia"/>
          <w:szCs w:val="21"/>
          <w:u w:val="single"/>
        </w:rPr>
        <w:t>___________________________________________________________</w:t>
      </w:r>
    </w:p>
    <w:p>
      <w:pPr>
        <w:tabs>
          <w:tab w:val="clear" w:pos="426"/>
        </w:tabs>
        <w:spacing w:line="300" w:lineRule="auto"/>
        <w:rPr>
          <w:rFonts w:hint="eastAsia"/>
        </w:rPr>
      </w:pPr>
    </w:p>
    <w:p>
      <w:pPr>
        <w:tabs>
          <w:tab w:val="clear" w:pos="426"/>
        </w:tabs>
        <w:rPr>
          <w:rFonts w:hint="eastAsia"/>
        </w:rPr>
      </w:pPr>
      <w:r>
        <w:br w:type="page"/>
      </w:r>
      <w:bookmarkStart w:id="129" w:name="_Toc150960253"/>
      <w:bookmarkStart w:id="130" w:name="_Toc151386163"/>
      <w:bookmarkStart w:id="131" w:name="_Toc52165081"/>
      <w:bookmarkStart w:id="132" w:name="_Toc50736477"/>
      <w:bookmarkStart w:id="133" w:name="_Toc480754205"/>
      <w:bookmarkStart w:id="134" w:name="_Toc50737329"/>
      <w:bookmarkStart w:id="135" w:name="_Toc50737297"/>
      <w:bookmarkStart w:id="136" w:name="_Toc275865607"/>
      <w:bookmarkStart w:id="137" w:name="_Toc50736476"/>
      <w:bookmarkStart w:id="138" w:name="_Toc50737296"/>
      <w:bookmarkStart w:id="139" w:name="_Toc50737328"/>
      <w:bookmarkStart w:id="140" w:name="_Toc50691034"/>
      <w:bookmarkStart w:id="141" w:name="_Toc52165080"/>
    </w:p>
    <w:p>
      <w:pPr>
        <w:adjustRightInd/>
        <w:snapToGrid/>
        <w:spacing w:before="280" w:after="290" w:line="377" w:lineRule="auto"/>
        <w:outlineLvl w:val="2"/>
        <w:rPr>
          <w:rFonts w:hint="eastAsia"/>
          <w:b/>
          <w:sz w:val="24"/>
        </w:rPr>
      </w:pPr>
      <w:bookmarkStart w:id="142" w:name="_Toc22320"/>
      <w:r>
        <w:rPr>
          <w:rFonts w:hint="eastAsia"/>
          <w:b/>
          <w:sz w:val="24"/>
        </w:rPr>
        <w:t>格式2：</w:t>
      </w:r>
      <w:bookmarkEnd w:id="129"/>
      <w:bookmarkEnd w:id="130"/>
      <w:r>
        <w:rPr>
          <w:rFonts w:hint="eastAsia"/>
          <w:b/>
          <w:sz w:val="24"/>
        </w:rPr>
        <w:t>法定代表人（单位负责人）证明书</w:t>
      </w:r>
      <w:bookmarkEnd w:id="142"/>
    </w:p>
    <w:bookmarkEnd w:id="131"/>
    <w:bookmarkEnd w:id="132"/>
    <w:bookmarkEnd w:id="133"/>
    <w:bookmarkEnd w:id="134"/>
    <w:bookmarkEnd w:id="135"/>
    <w:bookmarkEnd w:id="136"/>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法定代表人（单位负责人）证明书</w:t>
      </w:r>
    </w:p>
    <w:p>
      <w:pPr>
        <w:tabs>
          <w:tab w:val="clear" w:pos="426"/>
        </w:tabs>
        <w:spacing w:line="480" w:lineRule="auto"/>
        <w:ind w:firstLine="424" w:firstLineChars="202"/>
        <w:rPr>
          <w:rFonts w:hint="eastAsia"/>
          <w:u w:val="single"/>
        </w:rPr>
      </w:pPr>
    </w:p>
    <w:p>
      <w:pPr>
        <w:tabs>
          <w:tab w:val="clear" w:pos="426"/>
        </w:tabs>
        <w:spacing w:line="480" w:lineRule="auto"/>
        <w:ind w:firstLine="424" w:firstLineChars="202"/>
        <w:rPr>
          <w:rFonts w:hint="eastAsia"/>
        </w:rPr>
      </w:pPr>
      <w:r>
        <w:rPr>
          <w:rFonts w:hint="eastAsia"/>
          <w:u w:val="single"/>
        </w:rPr>
        <w:t>__________</w:t>
      </w:r>
      <w:r>
        <w:rPr>
          <w:rFonts w:hint="eastAsia"/>
        </w:rPr>
        <w:t>同志，现任我单位</w:t>
      </w:r>
      <w:r>
        <w:rPr>
          <w:u w:val="single"/>
        </w:rPr>
        <w:t>_________</w:t>
      </w:r>
      <w:r>
        <w:rPr>
          <w:rFonts w:hint="eastAsia"/>
        </w:rPr>
        <w:t>职务，为法定代表人（单位负责人），特此证明。</w:t>
      </w:r>
    </w:p>
    <w:p>
      <w:pPr>
        <w:tabs>
          <w:tab w:val="clear" w:pos="426"/>
        </w:tabs>
        <w:spacing w:line="480" w:lineRule="auto"/>
        <w:ind w:firstLine="424" w:firstLineChars="202"/>
        <w:rPr>
          <w:rFonts w:hint="eastAsia"/>
        </w:rPr>
      </w:pPr>
      <w:r>
        <w:rPr>
          <w:rFonts w:hint="eastAsia"/>
        </w:rPr>
        <w:t>本证明书自签发之日起生效，有效期与本公司投标文件中标注的投标有效期相同。</w:t>
      </w:r>
    </w:p>
    <w:p>
      <w:pPr>
        <w:tabs>
          <w:tab w:val="clear" w:pos="426"/>
        </w:tabs>
        <w:spacing w:line="480" w:lineRule="auto"/>
        <w:ind w:firstLine="424" w:firstLineChars="202"/>
        <w:rPr>
          <w:rFonts w:hint="eastAsia"/>
        </w:rPr>
      </w:pPr>
      <w:r>
        <w:rPr>
          <w:rFonts w:hint="eastAsia"/>
        </w:rPr>
        <w:t>附：</w:t>
      </w:r>
    </w:p>
    <w:p>
      <w:pPr>
        <w:tabs>
          <w:tab w:val="clear" w:pos="426"/>
        </w:tabs>
        <w:spacing w:line="480" w:lineRule="auto"/>
        <w:ind w:firstLine="424" w:firstLineChars="202"/>
        <w:rPr>
          <w:rFonts w:hint="eastAsia"/>
        </w:rPr>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rFonts w:hint="eastAsia"/>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rFonts w:hint="eastAsia"/>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rFonts w:hint="eastAsia"/>
          <w:u w:val="single"/>
        </w:rPr>
      </w:pPr>
      <w:r>
        <w:rPr>
          <w:rFonts w:hint="eastAsia"/>
        </w:rPr>
        <w:t>兼营（产）：</w:t>
      </w:r>
      <w:r>
        <w:rPr>
          <w:rFonts w:hint="eastAsia"/>
          <w:u w:val="single"/>
        </w:rPr>
        <w:t>_______________________________________________________</w:t>
      </w:r>
    </w:p>
    <w:p>
      <w:pPr>
        <w:tabs>
          <w:tab w:val="clear" w:pos="426"/>
        </w:tabs>
        <w:ind w:firstLine="424" w:firstLineChars="202"/>
        <w:rPr>
          <w:rFonts w:hint="eastAsia"/>
        </w:rPr>
      </w:pPr>
    </w:p>
    <w:p>
      <w:pPr>
        <w:tabs>
          <w:tab w:val="clear" w:pos="426"/>
        </w:tabs>
        <w:ind w:firstLine="424" w:firstLineChars="202"/>
        <w:rPr>
          <w:rFonts w:hint="eastAsia"/>
          <w:szCs w:val="21"/>
        </w:rPr>
      </w:pPr>
      <w:r>
        <w:rPr>
          <w:rFonts w:hint="eastAsia"/>
          <w:szCs w:val="21"/>
        </w:rPr>
        <w:t>附：法定代表人（单位负责人）身份证正反面复印件：</w:t>
      </w: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spacing w:line="500" w:lineRule="exact"/>
        <w:ind w:left="3826" w:leftChars="1822"/>
        <w:rPr>
          <w:rFonts w:hint="eastAsia"/>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rFonts w:hint="eastAsia"/>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rFonts w:hint="eastAsia"/>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rFonts w:hint="eastAsia"/>
          <w:b/>
          <w:bCs/>
          <w:u w:val="single"/>
        </w:rPr>
      </w:pPr>
    </w:p>
    <w:bookmarkEnd w:id="137"/>
    <w:bookmarkEnd w:id="138"/>
    <w:bookmarkEnd w:id="139"/>
    <w:bookmarkEnd w:id="140"/>
    <w:bookmarkEnd w:id="141"/>
    <w:p>
      <w:pPr>
        <w:tabs>
          <w:tab w:val="clear" w:pos="426"/>
        </w:tabs>
        <w:spacing w:line="300" w:lineRule="auto"/>
        <w:jc w:val="center"/>
        <w:rPr>
          <w:rFonts w:hint="eastAsia"/>
        </w:rPr>
      </w:pPr>
      <w:r>
        <w:br w:type="page"/>
      </w:r>
    </w:p>
    <w:p>
      <w:pPr>
        <w:adjustRightInd/>
        <w:snapToGrid/>
        <w:spacing w:before="280" w:after="290" w:line="377" w:lineRule="auto"/>
        <w:outlineLvl w:val="2"/>
        <w:rPr>
          <w:rFonts w:hint="eastAsia"/>
          <w:b/>
          <w:sz w:val="24"/>
        </w:rPr>
      </w:pPr>
      <w:bookmarkStart w:id="143" w:name="_Toc18721"/>
      <w:r>
        <w:rPr>
          <w:rFonts w:hint="eastAsia"/>
          <w:b/>
          <w:sz w:val="24"/>
        </w:rPr>
        <w:t>格式3：授权委托书</w:t>
      </w:r>
      <w:bookmarkEnd w:id="143"/>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授权委托书</w:t>
      </w:r>
    </w:p>
    <w:p>
      <w:pPr>
        <w:tabs>
          <w:tab w:val="clear" w:pos="426"/>
        </w:tabs>
        <w:ind w:firstLine="420" w:firstLineChars="200"/>
        <w:rPr>
          <w:rFonts w:hAnsi="Courier New" w:cs="Times New Roman"/>
          <w:kern w:val="2"/>
          <w:szCs w:val="20"/>
        </w:rPr>
      </w:pPr>
    </w:p>
    <w:p>
      <w:pPr>
        <w:tabs>
          <w:tab w:val="clear" w:pos="426"/>
        </w:tabs>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（投标人地址）</w:t>
      </w:r>
      <w:r>
        <w:rPr>
          <w:rFonts w:hint="eastAsia" w:hAnsi="Courier New" w:cs="Times New Roman"/>
          <w:kern w:val="2"/>
          <w:szCs w:val="20"/>
        </w:rPr>
        <w:t>的</w:t>
      </w:r>
      <w:r>
        <w:rPr>
          <w:rFonts w:hint="eastAsia" w:hAnsi="Courier New" w:cs="Times New Roman"/>
          <w:kern w:val="2"/>
          <w:szCs w:val="20"/>
          <w:u w:val="single"/>
        </w:rPr>
        <w:t>（投标人名称）</w:t>
      </w:r>
      <w:r>
        <w:rPr>
          <w:rFonts w:hint="eastAsia" w:hAnsi="Courier New" w:cs="Times New Roman"/>
          <w:kern w:val="2"/>
          <w:szCs w:val="20"/>
        </w:rPr>
        <w:t>在下面签名的</w:t>
      </w:r>
      <w:r>
        <w:rPr>
          <w:rFonts w:hint="eastAsia" w:hAnsi="Courier New" w:cs="Times New Roman"/>
          <w:kern w:val="2"/>
          <w:szCs w:val="20"/>
          <w:u w:val="single"/>
        </w:rPr>
        <w:t>（法定代表人（单位负责人）姓名、职务）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（项目名称、项目编号</w:t>
      </w:r>
      <w:r>
        <w:rPr>
          <w:rFonts w:hint="eastAsia" w:hAnsi="Courier New" w:cs="Times New Roman"/>
          <w:kern w:val="2"/>
          <w:szCs w:val="20"/>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tabs>
          <w:tab w:val="clear" w:pos="426"/>
        </w:tabs>
        <w:ind w:firstLine="420" w:firstLineChars="200"/>
        <w:rPr>
          <w:rFonts w:hint="eastAsia"/>
          <w:szCs w:val="21"/>
        </w:rPr>
      </w:pPr>
      <w:r>
        <w:rPr>
          <w:rFonts w:hint="eastAsia"/>
          <w:szCs w:val="21"/>
        </w:rPr>
        <w:t>本授权书自法定代表人（单位负责人）签字之日起生效，特此声明。</w:t>
      </w: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4" w:firstLineChars="202"/>
        <w:rPr>
          <w:rFonts w:hint="eastAsia"/>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pPr>
        <w:tabs>
          <w:tab w:val="clear" w:pos="426"/>
        </w:tabs>
        <w:ind w:firstLine="424" w:firstLineChars="202"/>
        <w:rPr>
          <w:rFonts w:hint="eastAsia"/>
          <w:szCs w:val="21"/>
          <w:u w:val="single"/>
        </w:rPr>
      </w:pPr>
      <w:r>
        <w:rPr>
          <w:rFonts w:hint="eastAsia"/>
          <w:szCs w:val="21"/>
        </w:rPr>
        <w:t>地      址：</w:t>
      </w:r>
      <w:r>
        <w:rPr>
          <w:rFonts w:hint="eastAsia"/>
          <w:szCs w:val="21"/>
          <w:u w:val="single"/>
        </w:rPr>
        <w:t>___________________________________________________________________</w:t>
      </w:r>
    </w:p>
    <w:p>
      <w:pPr>
        <w:tabs>
          <w:tab w:val="clear" w:pos="426"/>
        </w:tabs>
        <w:ind w:firstLine="424" w:firstLineChars="202"/>
        <w:rPr>
          <w:rFonts w:hint="eastAsia"/>
          <w:szCs w:val="21"/>
        </w:rPr>
      </w:pPr>
      <w:r>
        <w:rPr>
          <w:rFonts w:hint="eastAsia"/>
          <w:szCs w:val="21"/>
        </w:rPr>
        <w:t>法定代表人（单位负责人）（签字或盖章）：</w:t>
      </w:r>
      <w:r>
        <w:rPr>
          <w:rFonts w:hint="eastAsia"/>
          <w:szCs w:val="21"/>
          <w:u w:val="single"/>
        </w:rPr>
        <w:t>______________________</w:t>
      </w:r>
      <w:r>
        <w:rPr>
          <w:rFonts w:hint="eastAsia"/>
          <w:szCs w:val="21"/>
        </w:rPr>
        <w:t xml:space="preserve"> </w:t>
      </w:r>
    </w:p>
    <w:p>
      <w:pPr>
        <w:tabs>
          <w:tab w:val="clear" w:pos="426"/>
        </w:tabs>
        <w:ind w:firstLine="424" w:firstLineChars="202"/>
        <w:rPr>
          <w:rFonts w:hint="eastAsia"/>
          <w:szCs w:val="21"/>
        </w:rPr>
      </w:pP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pPr>
        <w:tabs>
          <w:tab w:val="clear" w:pos="426"/>
        </w:tabs>
        <w:ind w:firstLine="424" w:firstLineChars="202"/>
        <w:rPr>
          <w:rFonts w:hint="eastAsia"/>
          <w:szCs w:val="21"/>
        </w:rPr>
      </w:pPr>
      <w:r>
        <w:rPr>
          <w:rFonts w:hint="eastAsia"/>
          <w:szCs w:val="21"/>
        </w:rPr>
        <w:t>被授权人（投标人授权代表）（签字或盖章）：</w:t>
      </w:r>
      <w:r>
        <w:rPr>
          <w:rFonts w:hint="eastAsia"/>
          <w:szCs w:val="21"/>
          <w:u w:val="single"/>
        </w:rPr>
        <w:t>____________________________________</w:t>
      </w:r>
    </w:p>
    <w:p>
      <w:pPr>
        <w:tabs>
          <w:tab w:val="clear" w:pos="426"/>
        </w:tabs>
        <w:ind w:firstLine="424" w:firstLineChars="202"/>
        <w:rPr>
          <w:rFonts w:hint="eastAsia"/>
          <w:szCs w:val="21"/>
        </w:rPr>
      </w:pPr>
    </w:p>
    <w:p>
      <w:pPr>
        <w:tabs>
          <w:tab w:val="clear" w:pos="426"/>
        </w:tabs>
        <w:ind w:firstLine="424" w:firstLineChars="202"/>
        <w:rPr>
          <w:rFonts w:hint="eastAsia"/>
          <w:szCs w:val="21"/>
        </w:rPr>
      </w:pPr>
      <w:r>
        <w:rPr>
          <w:rFonts w:hint="eastAsia"/>
          <w:szCs w:val="21"/>
        </w:rPr>
        <w:t>附：被授权人身份证复印正反面件：</w:t>
      </w:r>
    </w:p>
    <w:p>
      <w:pPr>
        <w:tabs>
          <w:tab w:val="clear" w:pos="426"/>
        </w:tabs>
        <w:ind w:firstLine="424" w:firstLineChars="202"/>
        <w:rPr>
          <w:rFonts w:hint="eastAsia"/>
          <w:szCs w:val="21"/>
        </w:rPr>
      </w:pPr>
    </w:p>
    <w:p>
      <w:pPr>
        <w:rPr>
          <w:rFonts w:hint="eastAsia"/>
        </w:rPr>
      </w:pPr>
    </w:p>
    <w:p>
      <w:pPr>
        <w:adjustRightInd/>
        <w:snapToGrid/>
        <w:spacing w:before="280" w:after="290" w:line="377" w:lineRule="auto"/>
        <w:outlineLvl w:val="2"/>
        <w:rPr>
          <w:rFonts w:hint="eastAsia"/>
          <w:b/>
          <w:sz w:val="24"/>
        </w:rPr>
      </w:pPr>
      <w:r>
        <w:br w:type="page"/>
      </w:r>
      <w:bookmarkStart w:id="144" w:name="_Toc9942"/>
      <w:r>
        <w:rPr>
          <w:rFonts w:hint="eastAsia"/>
          <w:b/>
          <w:sz w:val="24"/>
        </w:rPr>
        <w:t>格式4：资格条款偏离表</w:t>
      </w:r>
      <w:bookmarkEnd w:id="144"/>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资格条款偏离表</w:t>
      </w:r>
    </w:p>
    <w:p>
      <w:pPr>
        <w:tabs>
          <w:tab w:val="clear" w:pos="426"/>
        </w:tabs>
        <w:rPr>
          <w:rFonts w:ascii="Times New Roman" w:hAnsi="Times New Roman" w:cs="Times New Roman"/>
        </w:rPr>
      </w:pPr>
    </w:p>
    <w:p>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资格条款</w:t>
            </w:r>
          </w:p>
        </w:tc>
        <w:tc>
          <w:tcPr>
            <w:tcW w:w="148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响应</w:t>
            </w:r>
            <w:r>
              <w:rPr>
                <w:rFonts w:hint="eastAsia" w:ascii="Times New Roman" w:hAnsi="Times New Roman" w:cs="Times New Roman"/>
                <w:bCs/>
              </w:rPr>
              <w:t>情况</w:t>
            </w:r>
          </w:p>
        </w:tc>
        <w:tc>
          <w:tcPr>
            <w:tcW w:w="7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12"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属于专门面向中小企业采购的项目。货物制造商应为中小微企业或监狱企业或残疾人福利性单位。根据《工业和信息化部、国家统计局、国家发展和改革委员会、财政部关于印发中小企业划型标准规定的通知》（工信部联企业〔2011〕300号），本项目采购标的对应的中小企业划分标准所属行业为:工业。（由供应商在《中小企业声明函、残疾人福利性单位声明函及监狱企业声明函》中作出声明，加盖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4</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5</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根据财库〔2016〕125号文的有关规定，投标人需未被列入失信被执行人、重大税收违法案件当事人名单、政府采购严重违法失信行为记录名单（提供书面《投标人资格声明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6</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7</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8</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9</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10</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资格条款</w:t>
      </w:r>
      <w:r>
        <w:rPr>
          <w:rFonts w:ascii="Times New Roman" w:hAnsi="Times New Roman" w:cs="Times New Roman"/>
          <w:bCs/>
        </w:rPr>
        <w:t>”一栏应填写招标文件</w:t>
      </w:r>
      <w:r>
        <w:rPr>
          <w:rFonts w:hint="eastAsia" w:ascii="Times New Roman" w:hAnsi="Times New Roman" w:cs="Times New Roman"/>
          <w:bCs/>
        </w:rPr>
        <w:t xml:space="preserve">第一册 </w:t>
      </w:r>
      <w:r>
        <w:rPr>
          <w:rFonts w:ascii="Times New Roman" w:hAnsi="Times New Roman" w:cs="Times New Roman"/>
          <w:bCs/>
        </w:rPr>
        <w:t>第</w:t>
      </w:r>
      <w:r>
        <w:rPr>
          <w:rFonts w:hint="eastAsia" w:ascii="Times New Roman" w:hAnsi="Times New Roman" w:cs="Times New Roman"/>
          <w:bCs/>
        </w:rPr>
        <w:t>一</w:t>
      </w:r>
      <w:r>
        <w:rPr>
          <w:rFonts w:ascii="Times New Roman" w:hAnsi="Times New Roman" w:cs="Times New Roman"/>
          <w:bCs/>
        </w:rPr>
        <w:t>章“</w:t>
      </w:r>
      <w:r>
        <w:rPr>
          <w:rFonts w:hint="eastAsia" w:ascii="Times New Roman" w:hAnsi="Times New Roman" w:cs="Times New Roman"/>
          <w:bCs/>
        </w:rPr>
        <w:t>二、申请人的资格要求</w:t>
      </w:r>
      <w:r>
        <w:rPr>
          <w:rFonts w:ascii="Times New Roman" w:hAnsi="Times New Roman" w:cs="Times New Roman"/>
          <w:bCs/>
        </w:rPr>
        <w:t>”的内容；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响应情况</w:t>
      </w:r>
      <w:r>
        <w:rPr>
          <w:rFonts w:ascii="Times New Roman" w:hAnsi="Times New Roman" w:cs="Times New Roman"/>
          <w:bCs/>
        </w:rPr>
        <w:t>”一栏必须</w:t>
      </w:r>
      <w:r>
        <w:rPr>
          <w:rFonts w:hint="eastAsia" w:ascii="Times New Roman" w:hAnsi="Times New Roman" w:cs="Times New Roman"/>
          <w:bCs/>
        </w:rPr>
        <w:t>如实填写投标人自身情况</w:t>
      </w:r>
      <w:r>
        <w:rPr>
          <w:rFonts w:ascii="Times New Roman" w:hAnsi="Times New Roman" w:cs="Times New Roman"/>
          <w:bCs/>
        </w:rPr>
        <w:t>，并应对照</w:t>
      </w:r>
      <w:r>
        <w:rPr>
          <w:rFonts w:hint="eastAsia" w:ascii="Times New Roman" w:hAnsi="Times New Roman" w:cs="Times New Roman"/>
          <w:bCs/>
        </w:rPr>
        <w:t>资格条款</w:t>
      </w:r>
      <w:r>
        <w:rPr>
          <w:rFonts w:ascii="Times New Roman" w:hAnsi="Times New Roman" w:cs="Times New Roman"/>
          <w:bCs/>
        </w:rPr>
        <w:t>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r>
        <w:rPr>
          <w:rFonts w:hint="eastAsia" w:ascii="Times New Roman" w:hAnsi="Times New Roman" w:cs="Times New Roman"/>
          <w:bCs/>
        </w:rPr>
        <w:t>，</w:t>
      </w:r>
      <w:r>
        <w:rPr>
          <w:rFonts w:ascii="Times New Roman" w:hAnsi="Times New Roman" w:cs="Times New Roman"/>
          <w:bCs/>
        </w:rPr>
        <w:t>负偏离视为未实质性满足招标文件要求作投标无效处理。</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“说明”</w:t>
      </w:r>
      <w:r>
        <w:rPr>
          <w:rFonts w:ascii="Times New Roman" w:hAnsi="Times New Roman" w:cs="Times New Roman"/>
          <w:bCs/>
        </w:rPr>
        <w:t>一栏</w:t>
      </w:r>
      <w:r>
        <w:rPr>
          <w:rFonts w:hint="eastAsia" w:ascii="Times New Roman" w:hAnsi="Times New Roman" w:cs="Times New Roman"/>
          <w:bCs/>
        </w:rPr>
        <w:t>填写所要求的证明材料（如有）的对应页码或阐明其他补充内容。</w:t>
      </w:r>
    </w:p>
    <w:p>
      <w:pPr>
        <w:tabs>
          <w:tab w:val="clear" w:pos="426"/>
        </w:tabs>
        <w:spacing w:line="240" w:lineRule="auto"/>
        <w:ind w:firstLine="424" w:firstLineChars="202"/>
        <w:rPr>
          <w:rFonts w:ascii="Times New Roman" w:hAnsi="Times New Roman" w:cs="Times New Roman"/>
          <w:bCs/>
        </w:rPr>
      </w:pPr>
      <w:r>
        <w:rPr>
          <w:rFonts w:hint="eastAsia" w:ascii="Times New Roman" w:hAnsi="Times New Roman" w:cs="Times New Roman"/>
          <w:bCs/>
        </w:rPr>
        <w:t>5.投标人所填写的“偏离情况”与评审委员会判定不一致时，以评审委员会意见为主。</w:t>
      </w:r>
    </w:p>
    <w:p>
      <w:pPr>
        <w:rPr>
          <w:rFonts w:hint="eastAsia"/>
        </w:rPr>
      </w:pP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45" w:name="_Toc8265"/>
      <w:r>
        <w:rPr>
          <w:rFonts w:hint="eastAsia"/>
          <w:b/>
          <w:sz w:val="24"/>
        </w:rPr>
        <w:t>格式5：法人或者其他组织的营业执照等证明文件</w:t>
      </w:r>
      <w:bookmarkEnd w:id="145"/>
    </w:p>
    <w:p>
      <w:pPr>
        <w:tabs>
          <w:tab w:val="clear" w:pos="426"/>
        </w:tabs>
        <w:spacing w:before="231" w:beforeLines="50"/>
        <w:ind w:firstLine="424" w:firstLineChars="201"/>
        <w:rPr>
          <w:rFonts w:hint="eastAsia"/>
          <w:b/>
        </w:rPr>
      </w:pPr>
      <w:r>
        <w:rPr>
          <w:rFonts w:hint="eastAsia"/>
          <w:b/>
        </w:rPr>
        <w:t>投标人须按本招标文件第一章投标邀请 “申请人的资格要求”提供相关的资质证明，且已接受报名的单位，不代表资格审查通过。投标文件中未提供或提供不完整、不符合要求的，投标文件将按无效标的情形处理。</w:t>
      </w:r>
    </w:p>
    <w:p>
      <w:pPr>
        <w:rPr>
          <w:rFonts w:hint="eastAsia"/>
          <w:b/>
          <w:sz w:val="24"/>
        </w:rPr>
      </w:pPr>
      <w:bookmarkStart w:id="146" w:name="_Toc150960255"/>
      <w:bookmarkStart w:id="147" w:name="_Toc151386165"/>
      <w:r>
        <w:rPr>
          <w:rFonts w:hint="eastAsia"/>
          <w:b/>
          <w:sz w:val="24"/>
        </w:rPr>
        <w:br w:type="page"/>
      </w:r>
    </w:p>
    <w:p>
      <w:pPr>
        <w:adjustRightInd/>
        <w:snapToGrid/>
        <w:spacing w:before="280" w:after="290" w:line="377" w:lineRule="auto"/>
        <w:outlineLvl w:val="2"/>
        <w:rPr>
          <w:rFonts w:hint="eastAsia"/>
          <w:b/>
          <w:sz w:val="24"/>
        </w:rPr>
      </w:pPr>
      <w:bookmarkStart w:id="148" w:name="_Toc13478"/>
      <w:r>
        <w:rPr>
          <w:rFonts w:hint="eastAsia"/>
          <w:b/>
          <w:sz w:val="24"/>
        </w:rPr>
        <w:t>格式6：投标人资格声明函</w:t>
      </w:r>
      <w:bookmarkEnd w:id="148"/>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投标人资格声明函</w:t>
      </w:r>
    </w:p>
    <w:p>
      <w:pPr>
        <w:tabs>
          <w:tab w:val="clear" w:pos="426"/>
        </w:tabs>
        <w:rPr>
          <w:rFonts w:hint="eastAsia"/>
        </w:rPr>
      </w:pPr>
    </w:p>
    <w:p>
      <w:pPr>
        <w:tabs>
          <w:tab w:val="clear" w:pos="426"/>
        </w:tabs>
        <w:rPr>
          <w:rFonts w:hint="eastAsia"/>
        </w:rPr>
      </w:pPr>
      <w:r>
        <w:rPr>
          <w:rFonts w:hint="eastAsia"/>
        </w:rPr>
        <w:t>深圳市深水水务咨询有限公司：</w:t>
      </w:r>
    </w:p>
    <w:p>
      <w:pPr>
        <w:ind w:firstLine="424" w:firstLineChars="202"/>
        <w:rPr>
          <w:rFonts w:hAnsi="Times New Roman"/>
        </w:rPr>
      </w:pPr>
      <w:r>
        <w:rPr>
          <w:rFonts w:hint="eastAsia" w:hAnsi="Times New Roman"/>
        </w:rPr>
        <w:t>关于贵公司发布</w:t>
      </w:r>
      <w:r>
        <w:rPr>
          <w:rFonts w:hint="eastAsia" w:hAnsi="Times New Roman"/>
          <w:szCs w:val="21"/>
          <w:u w:val="single"/>
        </w:rPr>
        <w:t>（项目名称</w:t>
      </w:r>
      <w:r>
        <w:rPr>
          <w:rFonts w:hAnsi="Times New Roman"/>
          <w:szCs w:val="21"/>
          <w:u w:val="single"/>
        </w:rPr>
        <w:t>)</w:t>
      </w:r>
      <w:r>
        <w:rPr>
          <w:rFonts w:hint="eastAsia" w:hAnsi="Times New Roman"/>
        </w:rPr>
        <w:t>项目（项目编号：</w:t>
      </w:r>
      <w:r>
        <w:rPr>
          <w:rFonts w:hint="eastAsia" w:hAnsi="Times New Roman"/>
          <w:u w:val="single"/>
        </w:rPr>
        <w:t>（项目编号）</w:t>
      </w:r>
      <w:r>
        <w:rPr>
          <w:rFonts w:hint="eastAsia" w:hAnsi="Times New Roman"/>
        </w:rPr>
        <w:t>）的招标公告，本公司（企业）愿意参加投标，并声明：</w:t>
      </w:r>
    </w:p>
    <w:p>
      <w:pPr>
        <w:ind w:firstLine="424" w:firstLineChars="202"/>
        <w:rPr>
          <w:rFonts w:hAnsi="Times New Roman"/>
        </w:rPr>
      </w:pPr>
      <w:r>
        <w:rPr>
          <w:rFonts w:hint="eastAsia" w:hAnsi="Times New Roman"/>
        </w:rPr>
        <w:t>我单位承诺：</w:t>
      </w:r>
    </w:p>
    <w:p>
      <w:pPr>
        <w:ind w:firstLine="424" w:firstLineChars="202"/>
        <w:rPr>
          <w:rFonts w:hAnsi="Times New Roman"/>
        </w:rPr>
      </w:pPr>
      <w:r>
        <w:rPr>
          <w:rFonts w:hint="eastAsia" w:hAnsi="Times New Roman"/>
        </w:rPr>
        <w:t>1.我单位参与本项目所投标（响应）的货物、工程或服务，不存在侵犯知识产权的情况；已知悉并同意中标（成交）结果信息公示（公开）的内容。</w:t>
      </w:r>
    </w:p>
    <w:p>
      <w:pPr>
        <w:ind w:firstLine="424" w:firstLineChars="202"/>
        <w:rPr>
          <w:rFonts w:hAnsi="Times New Roman"/>
        </w:rPr>
      </w:pPr>
      <w:r>
        <w:rPr>
          <w:rFonts w:hint="eastAsia" w:hAnsi="Times New Roman"/>
        </w:rPr>
        <w:t>2.我单位参与该项目投标，符合招标文件关于联合体及进口产品的相关资格要求。</w:t>
      </w:r>
    </w:p>
    <w:p>
      <w:pPr>
        <w:ind w:firstLine="424" w:firstLineChars="202"/>
        <w:rPr>
          <w:rFonts w:hAnsi="Times New Roman"/>
        </w:rPr>
      </w:pPr>
      <w:r>
        <w:rPr>
          <w:rFonts w:hint="eastAsia" w:hAnsi="Times New Roman"/>
        </w:rPr>
        <w:t>3.我单位参与本项目政府采购活动时不存在被有关部门禁止参与政府采购活动且在有效期内的情况。</w:t>
      </w:r>
    </w:p>
    <w:p>
      <w:pPr>
        <w:ind w:firstLine="424" w:firstLineChars="202"/>
        <w:rPr>
          <w:rFonts w:hAnsi="Times New Roman"/>
        </w:rPr>
      </w:pPr>
      <w:r>
        <w:rPr>
          <w:rFonts w:hint="eastAsia" w:hAnsi="Times New Roman"/>
        </w:rPr>
        <w:t>4</w:t>
      </w:r>
      <w:r>
        <w:rPr>
          <w:rFonts w:hAnsi="Times New Roman"/>
        </w:rPr>
        <w:t>.</w:t>
      </w:r>
      <w:r>
        <w:rPr>
          <w:rFonts w:hint="eastAsia" w:hAnsi="Times New Roman"/>
        </w:rPr>
        <w:t>我单位参与本项目投标前三年内，在经营活动中没有重大违法记录。</w:t>
      </w:r>
    </w:p>
    <w:p>
      <w:pPr>
        <w:ind w:firstLine="424" w:firstLineChars="202"/>
        <w:rPr>
          <w:rFonts w:hAnsi="Times New Roman"/>
        </w:rPr>
      </w:pPr>
      <w:r>
        <w:rPr>
          <w:rFonts w:hAnsi="Times New Roman"/>
        </w:rPr>
        <w:t>5</w:t>
      </w:r>
      <w:r>
        <w:rPr>
          <w:rFonts w:hint="eastAsia" w:hAnsi="Times New Roman"/>
        </w:rPr>
        <w:t>.我单位参与本项目投标近三年内，在经营活动中没有发生重大安全和质量事故。</w:t>
      </w:r>
    </w:p>
    <w:p>
      <w:pPr>
        <w:ind w:firstLine="424" w:firstLineChars="202"/>
        <w:rPr>
          <w:rFonts w:hAnsi="Times New Roman"/>
        </w:rPr>
      </w:pPr>
      <w:r>
        <w:rPr>
          <w:rFonts w:hAnsi="Times New Roman"/>
        </w:rPr>
        <w:t>6.</w:t>
      </w:r>
      <w:r>
        <w:rPr>
          <w:rFonts w:hint="eastAsia" w:hAnsi="Times New Roman"/>
        </w:rPr>
        <w:t>我单位具备《中华人民共和国政府采购法》第二十二条的条件。</w:t>
      </w:r>
    </w:p>
    <w:p>
      <w:pPr>
        <w:ind w:firstLine="424" w:firstLineChars="202"/>
        <w:rPr>
          <w:rFonts w:hAnsi="Times New Roman"/>
        </w:rPr>
      </w:pPr>
      <w:r>
        <w:rPr>
          <w:rFonts w:hAnsi="Times New Roman"/>
        </w:rPr>
        <w:t>7</w:t>
      </w:r>
      <w:r>
        <w:rPr>
          <w:rFonts w:hint="eastAsia" w:hAnsi="Times New Roman"/>
        </w:rPr>
        <w:t>.我单位未被列入失信被执行人、重大税收违法案件当事人名单（重大税收违法失信主体）、政府采购严重违法失信行为记录名单</w:t>
      </w:r>
    </w:p>
    <w:p>
      <w:pPr>
        <w:ind w:firstLine="424" w:firstLineChars="202"/>
        <w:rPr>
          <w:rFonts w:hAnsi="Times New Roman"/>
        </w:rPr>
      </w:pPr>
      <w:r>
        <w:rPr>
          <w:rFonts w:hAnsi="Times New Roman"/>
        </w:rPr>
        <w:t>8</w:t>
      </w:r>
      <w:r>
        <w:rPr>
          <w:rFonts w:hint="eastAsia" w:hAnsi="Times New Roma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rPr>
      </w:pPr>
      <w:r>
        <w:rPr>
          <w:rFonts w:hAnsi="Times New Roman"/>
        </w:rPr>
        <w:t>9</w:t>
      </w:r>
      <w:r>
        <w:rPr>
          <w:rFonts w:hint="eastAsia" w:hAnsi="Times New Roma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rPr>
      </w:pPr>
      <w:r>
        <w:rPr>
          <w:rFonts w:hint="eastAsia" w:hAnsi="Times New Roma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rPr>
      </w:pPr>
      <w:r>
        <w:rPr>
          <w:rFonts w:hAnsi="Times New Roman"/>
        </w:rPr>
        <w:t>10</w:t>
      </w:r>
      <w:r>
        <w:rPr>
          <w:rFonts w:hint="eastAsia" w:hAnsi="Times New Roma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rPr>
      </w:pPr>
      <w:r>
        <w:rPr>
          <w:rFonts w:hAnsi="Times New Roman"/>
        </w:rPr>
        <w:t>11</w:t>
      </w:r>
      <w:r>
        <w:rPr>
          <w:rFonts w:hint="eastAsia" w:hAnsi="Times New Roman"/>
        </w:rPr>
        <w:t>.我单位承诺中标后项目不转包，未经采购人同意不进行分包。</w:t>
      </w:r>
    </w:p>
    <w:p>
      <w:pPr>
        <w:ind w:firstLine="424" w:firstLineChars="202"/>
        <w:rPr>
          <w:rFonts w:hAnsi="Times New Roman"/>
        </w:rPr>
      </w:pPr>
      <w:r>
        <w:rPr>
          <w:rFonts w:hint="eastAsia" w:hAnsi="Times New Roman"/>
        </w:rPr>
        <w:t>1</w:t>
      </w:r>
      <w:r>
        <w:rPr>
          <w:rFonts w:hAnsi="Times New Roman"/>
        </w:rPr>
        <w:t>2</w:t>
      </w:r>
      <w:r>
        <w:rPr>
          <w:rFonts w:hint="eastAsia" w:hAnsi="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rPr>
      </w:pPr>
      <w:r>
        <w:rPr>
          <w:rFonts w:hint="eastAsia" w:hAnsi="Times New Roman"/>
        </w:rPr>
        <w:t>1</w:t>
      </w:r>
      <w:r>
        <w:rPr>
          <w:rFonts w:hAnsi="Times New Roman"/>
        </w:rPr>
        <w:t>3</w:t>
      </w:r>
      <w:r>
        <w:rPr>
          <w:rFonts w:hint="eastAsia" w:hAnsi="Times New Roman"/>
        </w:rPr>
        <w:t>.我单位保证，若所投货物涉及《财政部生态环境部关于印发节能产品政府采购品目清单的通知》（财库〔2019〕19号）列明的政府采购强制产品，则所投该产品符合节能产品的认证要求。</w:t>
      </w:r>
    </w:p>
    <w:p>
      <w:pPr>
        <w:ind w:firstLine="424" w:firstLineChars="202"/>
        <w:rPr>
          <w:rFonts w:hAnsi="Times New Roman"/>
        </w:rPr>
      </w:pPr>
      <w:r>
        <w:rPr>
          <w:rFonts w:hint="eastAsia" w:hAnsi="Times New Roman"/>
        </w:rPr>
        <w:t>1</w:t>
      </w:r>
      <w:r>
        <w:rPr>
          <w:rFonts w:hAnsi="Times New Roman"/>
        </w:rPr>
        <w:t>4</w:t>
      </w:r>
      <w:r>
        <w:rPr>
          <w:rFonts w:hint="eastAsia" w:hAnsi="Times New Roman"/>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rPr>
      </w:pPr>
      <w:r>
        <w:rPr>
          <w:rFonts w:hint="eastAsia" w:hAnsi="Times New Roman"/>
        </w:rPr>
        <w:t>15.我单位保证，参与本项目政府采购活动不存在与其他采购参加人串通投标、隐瞒真实情况、提供虚假资料等违法违规情形。</w:t>
      </w:r>
    </w:p>
    <w:p>
      <w:pPr>
        <w:ind w:firstLine="424" w:firstLineChars="202"/>
        <w:rPr>
          <w:rFonts w:hAnsi="Times New Roman"/>
        </w:rPr>
      </w:pPr>
      <w:r>
        <w:rPr>
          <w:rFonts w:hint="eastAsia" w:hAnsi="Times New Roman"/>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rPr>
      </w:pPr>
      <w:r>
        <w:rPr>
          <w:rFonts w:hint="eastAsia" w:hAnsi="Times New Roman"/>
        </w:rPr>
        <w:t>以上承诺，如有违反，愿依照国家相关法律处理，并承担由此给采购人带来的损失。</w:t>
      </w:r>
    </w:p>
    <w:p>
      <w:pPr>
        <w:ind w:firstLine="420"/>
        <w:rPr>
          <w:rFonts w:hAnsi="Times New Roman"/>
        </w:rPr>
      </w:pPr>
      <w:r>
        <w:rPr>
          <w:rFonts w:hint="eastAsia" w:hAnsi="Times New Roman"/>
        </w:rPr>
        <w:t>特此声明！</w:t>
      </w:r>
    </w:p>
    <w:p>
      <w:pPr>
        <w:tabs>
          <w:tab w:val="clear" w:pos="426"/>
        </w:tabs>
        <w:ind w:firstLine="420"/>
        <w:rPr>
          <w:rFonts w:hint="eastAsia"/>
        </w:rPr>
      </w:pPr>
    </w:p>
    <w:p>
      <w:pPr>
        <w:tabs>
          <w:tab w:val="clear" w:pos="426"/>
        </w:tabs>
        <w:ind w:firstLine="420"/>
        <w:rPr>
          <w:rFonts w:hint="eastAsia"/>
          <w:u w:val="single"/>
        </w:rPr>
      </w:pPr>
      <w:r>
        <w:rPr>
          <w:rFonts w:hint="eastAsia"/>
        </w:rPr>
        <w:t>单位名称：</w:t>
      </w:r>
      <w:r>
        <w:rPr>
          <w:rFonts w:hint="eastAsia"/>
          <w:u w:val="single"/>
        </w:rPr>
        <w:t>_____________________________________________________________</w:t>
      </w:r>
    </w:p>
    <w:p>
      <w:pPr>
        <w:tabs>
          <w:tab w:val="clear" w:pos="426"/>
        </w:tabs>
        <w:ind w:firstLine="420"/>
        <w:rPr>
          <w:rFonts w:hint="eastAsia"/>
          <w:u w:val="single"/>
        </w:rPr>
      </w:pPr>
      <w:r>
        <w:rPr>
          <w:rFonts w:hint="eastAsia"/>
        </w:rPr>
        <w:t>法定代表人或投标人授权代表（签字或盖章）：</w:t>
      </w:r>
      <w:r>
        <w:rPr>
          <w:rFonts w:hint="eastAsia"/>
          <w:u w:val="single"/>
        </w:rPr>
        <w:t>_____________________________</w:t>
      </w:r>
    </w:p>
    <w:p>
      <w:pPr>
        <w:tabs>
          <w:tab w:val="clear" w:pos="426"/>
        </w:tabs>
        <w:ind w:firstLine="420"/>
        <w:rPr>
          <w:rFonts w:hint="eastAsia"/>
          <w:u w:val="single"/>
        </w:rPr>
      </w:pPr>
      <w:r>
        <w:rPr>
          <w:rFonts w:hint="eastAsia"/>
        </w:rPr>
        <w:t>单位地址：</w:t>
      </w:r>
      <w:r>
        <w:rPr>
          <w:rFonts w:hint="eastAsia"/>
          <w:u w:val="single"/>
        </w:rPr>
        <w:t>_____________________________________________________________</w:t>
      </w:r>
    </w:p>
    <w:p>
      <w:pPr>
        <w:tabs>
          <w:tab w:val="clear" w:pos="426"/>
        </w:tabs>
        <w:ind w:firstLine="420"/>
        <w:rPr>
          <w:rFonts w:hint="eastAsia"/>
          <w:u w:val="single"/>
        </w:rPr>
      </w:pPr>
      <w:r>
        <w:rPr>
          <w:rFonts w:hint="eastAsia"/>
        </w:rPr>
        <w:t>单位公章：</w:t>
      </w:r>
      <w:r>
        <w:rPr>
          <w:rFonts w:hint="eastAsia"/>
          <w:u w:val="single"/>
        </w:rPr>
        <w:t>_____________________________________________________________</w:t>
      </w:r>
    </w:p>
    <w:p>
      <w:pPr>
        <w:tabs>
          <w:tab w:val="clear" w:pos="426"/>
        </w:tabs>
        <w:ind w:firstLine="420"/>
        <w:rPr>
          <w:rFonts w:hint="eastAsia"/>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firstLineChars="200"/>
        <w:rPr>
          <w:rFonts w:hint="eastAsia"/>
          <w:u w:val="single"/>
        </w:rPr>
      </w:pPr>
      <w:r>
        <w:rPr>
          <w:rFonts w:hint="eastAsia"/>
        </w:rPr>
        <w:t>联系电话：</w:t>
      </w:r>
      <w:r>
        <w:rPr>
          <w:rFonts w:hint="eastAsia"/>
          <w:u w:val="single"/>
        </w:rPr>
        <w:t>_____________________________________________________________</w:t>
      </w:r>
    </w:p>
    <w:p>
      <w:pPr>
        <w:rPr>
          <w:rFonts w:hint="eastAsia"/>
        </w:rPr>
      </w:pP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49" w:name="_Toc3102"/>
      <w:r>
        <w:rPr>
          <w:rFonts w:hint="eastAsia"/>
          <w:b/>
          <w:sz w:val="24"/>
        </w:rPr>
        <w:t>格式7：开标一览表</w:t>
      </w:r>
      <w:bookmarkEnd w:id="146"/>
      <w:bookmarkEnd w:id="147"/>
      <w:bookmarkEnd w:id="149"/>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50" w:name="_Toc480756075"/>
      <w:bookmarkStart w:id="151" w:name="_Toc480754208"/>
      <w:bookmarkStart w:id="152" w:name="_Toc480755929"/>
      <w:bookmarkStart w:id="153" w:name="_Toc480789479"/>
      <w:r>
        <w:rPr>
          <w:rFonts w:hint="eastAsia" w:cs="Times New Roman"/>
          <w:bCs/>
          <w:kern w:val="2"/>
          <w:sz w:val="32"/>
          <w:szCs w:val="32"/>
        </w:rPr>
        <w:t>开标一览表</w:t>
      </w:r>
      <w:bookmarkEnd w:id="150"/>
      <w:bookmarkEnd w:id="151"/>
      <w:bookmarkEnd w:id="152"/>
      <w:bookmarkEnd w:id="153"/>
    </w:p>
    <w:p>
      <w:pPr>
        <w:tabs>
          <w:tab w:val="clear" w:pos="426"/>
        </w:tabs>
        <w:jc w:val="left"/>
        <w:rPr>
          <w:rFonts w:hint="eastAsia"/>
        </w:rPr>
      </w:pPr>
    </w:p>
    <w:p>
      <w:pPr>
        <w:tabs>
          <w:tab w:val="clear" w:pos="426"/>
        </w:tabs>
        <w:jc w:val="left"/>
        <w:rPr>
          <w:rFonts w:hint="eastAsia"/>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Style w:val="85"/>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4629"/>
        <w:gridCol w:w="2214"/>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0" w:type="pct"/>
            <w:vAlign w:val="center"/>
          </w:tcPr>
          <w:p>
            <w:pPr>
              <w:jc w:val="center"/>
              <w:rPr>
                <w:rFonts w:hint="eastAsia"/>
                <w:b/>
                <w:szCs w:val="21"/>
              </w:rPr>
            </w:pPr>
            <w:r>
              <w:rPr>
                <w:rFonts w:hint="eastAsia"/>
                <w:b/>
                <w:szCs w:val="21"/>
              </w:rPr>
              <w:t>序号</w:t>
            </w:r>
          </w:p>
        </w:tc>
        <w:tc>
          <w:tcPr>
            <w:tcW w:w="2480" w:type="pct"/>
            <w:vAlign w:val="center"/>
          </w:tcPr>
          <w:p>
            <w:pPr>
              <w:jc w:val="center"/>
              <w:rPr>
                <w:rFonts w:hint="eastAsia"/>
                <w:b/>
                <w:szCs w:val="21"/>
              </w:rPr>
            </w:pPr>
            <w:r>
              <w:rPr>
                <w:rFonts w:hint="eastAsia"/>
                <w:b/>
                <w:szCs w:val="21"/>
              </w:rPr>
              <w:t>项目名称</w:t>
            </w:r>
          </w:p>
        </w:tc>
        <w:tc>
          <w:tcPr>
            <w:tcW w:w="1186" w:type="pct"/>
            <w:vAlign w:val="center"/>
          </w:tcPr>
          <w:p>
            <w:pPr>
              <w:jc w:val="center"/>
              <w:rPr>
                <w:rFonts w:hint="eastAsia"/>
                <w:b/>
                <w:szCs w:val="21"/>
              </w:rPr>
            </w:pPr>
            <w:r>
              <w:rPr>
                <w:rFonts w:hint="eastAsia"/>
                <w:b/>
                <w:szCs w:val="21"/>
              </w:rPr>
              <w:t>投标总价（元）</w:t>
            </w:r>
          </w:p>
        </w:tc>
        <w:tc>
          <w:tcPr>
            <w:tcW w:w="711" w:type="pct"/>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20" w:type="pct"/>
            <w:vAlign w:val="center"/>
          </w:tcPr>
          <w:p>
            <w:pPr>
              <w:jc w:val="center"/>
              <w:rPr>
                <w:rFonts w:hint="eastAsia"/>
                <w:bCs/>
                <w:szCs w:val="21"/>
              </w:rPr>
            </w:pPr>
          </w:p>
        </w:tc>
        <w:tc>
          <w:tcPr>
            <w:tcW w:w="2480" w:type="pct"/>
            <w:vAlign w:val="center"/>
          </w:tcPr>
          <w:p>
            <w:pPr>
              <w:jc w:val="center"/>
              <w:rPr>
                <w:rFonts w:hint="eastAsia"/>
                <w:b/>
                <w:szCs w:val="21"/>
              </w:rPr>
            </w:pPr>
          </w:p>
        </w:tc>
        <w:tc>
          <w:tcPr>
            <w:tcW w:w="1186" w:type="pct"/>
            <w:vAlign w:val="center"/>
          </w:tcPr>
          <w:p>
            <w:pPr>
              <w:jc w:val="left"/>
              <w:rPr>
                <w:rFonts w:hint="eastAsia"/>
                <w:b/>
                <w:szCs w:val="21"/>
              </w:rPr>
            </w:pPr>
            <w:r>
              <w:rPr>
                <w:rFonts w:hint="eastAsia"/>
                <w:b/>
                <w:szCs w:val="21"/>
              </w:rPr>
              <w:t>大写：</w:t>
            </w:r>
          </w:p>
          <w:p>
            <w:pPr>
              <w:jc w:val="left"/>
              <w:rPr>
                <w:rFonts w:hint="eastAsia"/>
                <w:b/>
                <w:szCs w:val="21"/>
              </w:rPr>
            </w:pPr>
            <w:r>
              <w:rPr>
                <w:rFonts w:hint="eastAsia"/>
                <w:b/>
                <w:szCs w:val="21"/>
              </w:rPr>
              <w:t>小写：</w:t>
            </w:r>
          </w:p>
        </w:tc>
        <w:tc>
          <w:tcPr>
            <w:tcW w:w="711" w:type="pct"/>
            <w:vAlign w:val="center"/>
          </w:tcPr>
          <w:p>
            <w:pPr>
              <w:jc w:val="center"/>
              <w:rPr>
                <w:rFonts w:hint="eastAsia"/>
                <w:b/>
                <w:szCs w:val="21"/>
              </w:rPr>
            </w:pPr>
          </w:p>
        </w:tc>
      </w:tr>
    </w:tbl>
    <w:p>
      <w:pPr>
        <w:tabs>
          <w:tab w:val="clear" w:pos="426"/>
        </w:tabs>
        <w:jc w:val="left"/>
        <w:rPr>
          <w:rFonts w:hint="eastAsia"/>
          <w:u w:val="single"/>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rFonts w:hint="eastAsia"/>
          <w:b/>
          <w:bCs/>
          <w:szCs w:val="21"/>
        </w:rPr>
      </w:pPr>
    </w:p>
    <w:p>
      <w:pPr>
        <w:tabs>
          <w:tab w:val="clear" w:pos="426"/>
        </w:tabs>
        <w:spacing w:line="400" w:lineRule="exact"/>
        <w:rPr>
          <w:rFonts w:hint="eastAsia"/>
          <w:b/>
          <w:bCs/>
          <w:szCs w:val="21"/>
        </w:rPr>
      </w:pPr>
      <w:r>
        <w:rPr>
          <w:rFonts w:hint="eastAsia"/>
          <w:b/>
          <w:bCs/>
          <w:szCs w:val="21"/>
        </w:rPr>
        <w:t>备注：</w:t>
      </w:r>
    </w:p>
    <w:p>
      <w:pPr>
        <w:numPr>
          <w:ilvl w:val="1"/>
          <w:numId w:val="6"/>
        </w:numPr>
        <w:tabs>
          <w:tab w:val="left" w:pos="0"/>
        </w:tabs>
        <w:ind w:left="0" w:firstLine="424" w:firstLineChars="201"/>
        <w:rPr>
          <w:rFonts w:hAnsi="Times New Roman"/>
          <w:b/>
          <w:bCs/>
          <w:szCs w:val="21"/>
        </w:rPr>
      </w:pPr>
      <w:r>
        <w:rPr>
          <w:rFonts w:hAnsi="Times New Roman"/>
          <w:b/>
        </w:rPr>
        <w:t>此表</w:t>
      </w:r>
      <w:r>
        <w:rPr>
          <w:rFonts w:hint="eastAsia" w:hAnsi="Times New Roman"/>
          <w:b/>
        </w:rPr>
        <w:t>为投标文件的组成部分，</w:t>
      </w:r>
      <w:r>
        <w:rPr>
          <w:rFonts w:hAnsi="Times New Roman"/>
          <w:b/>
        </w:rPr>
        <w:t>须附在正、副本的投标文件中，并另封装一份于开标信封中</w:t>
      </w:r>
      <w:r>
        <w:rPr>
          <w:rFonts w:hint="eastAsia" w:hAnsi="Times New Roman"/>
          <w:b/>
        </w:rPr>
        <w:t>（信封中须同时提供法定代表人（单位负责人）证明书、授权委托书、被授权人身份证复印件）。</w:t>
      </w:r>
    </w:p>
    <w:p>
      <w:pPr>
        <w:numPr>
          <w:ilvl w:val="1"/>
          <w:numId w:val="6"/>
        </w:numPr>
        <w:tabs>
          <w:tab w:val="left" w:pos="0"/>
        </w:tabs>
        <w:ind w:left="0" w:firstLine="424" w:firstLineChars="201"/>
        <w:rPr>
          <w:rFonts w:hAnsi="Times New Roman"/>
          <w:b/>
          <w:bCs/>
          <w:szCs w:val="21"/>
        </w:rPr>
      </w:pPr>
      <w:r>
        <w:rPr>
          <w:rFonts w:hint="eastAsia" w:hAnsi="Times New Roman"/>
          <w:b/>
        </w:rPr>
        <w:t>此表内投标报价为最终价，开标信封及投标文件内不得含有任何对本报价进行修改的其他说明或资料，否则为无效投标</w:t>
      </w:r>
      <w:r>
        <w:rPr>
          <w:rFonts w:hint="eastAsia" w:hAnsi="Times New Roman"/>
          <w:b/>
          <w:bCs/>
          <w:szCs w:val="21"/>
        </w:rPr>
        <w:t>。</w:t>
      </w:r>
    </w:p>
    <w:p>
      <w:pPr>
        <w:numPr>
          <w:ilvl w:val="1"/>
          <w:numId w:val="6"/>
        </w:numPr>
        <w:tabs>
          <w:tab w:val="left" w:pos="0"/>
        </w:tabs>
        <w:ind w:left="0" w:firstLine="424" w:firstLineChars="201"/>
        <w:rPr>
          <w:rFonts w:hAnsi="Times New Roman"/>
          <w:b/>
        </w:rPr>
      </w:pPr>
      <w:r>
        <w:rPr>
          <w:rFonts w:hint="eastAsia" w:hAnsi="Times New Roman"/>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6"/>
        </w:numPr>
        <w:tabs>
          <w:tab w:val="left" w:pos="0"/>
        </w:tabs>
        <w:ind w:left="0" w:firstLine="424" w:firstLineChars="201"/>
        <w:rPr>
          <w:rFonts w:hAnsi="Times New Roman"/>
          <w:b/>
        </w:rPr>
      </w:pPr>
      <w:r>
        <w:rPr>
          <w:rFonts w:hint="eastAsia" w:hAnsi="Times New Roman"/>
          <w:b/>
        </w:rPr>
        <w:t>投标报价得分四舍五入后，小数点后保留两位有效数。</w:t>
      </w: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adjustRightInd/>
        <w:snapToGrid/>
        <w:spacing w:before="280" w:after="290" w:line="377" w:lineRule="auto"/>
        <w:outlineLvl w:val="2"/>
        <w:rPr>
          <w:rFonts w:hint="eastAsia"/>
          <w:b/>
          <w:sz w:val="24"/>
        </w:rPr>
      </w:pPr>
      <w:r>
        <w:rPr>
          <w:b/>
        </w:rPr>
        <w:br w:type="page"/>
      </w:r>
      <w:bookmarkStart w:id="154" w:name="_Toc17405"/>
      <w:r>
        <w:rPr>
          <w:rFonts w:hint="eastAsia"/>
          <w:b/>
          <w:sz w:val="24"/>
        </w:rPr>
        <w:t>格式8：投标分项报价表</w:t>
      </w:r>
      <w:bookmarkEnd w:id="154"/>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（一）项目报价表</w:t>
      </w:r>
    </w:p>
    <w:p>
      <w:pPr>
        <w:tabs>
          <w:tab w:val="clear" w:pos="426"/>
        </w:tabs>
        <w:wordWrap w:val="0"/>
        <w:rPr>
          <w:rFonts w:hint="eastAsia"/>
        </w:rPr>
      </w:pPr>
      <w:r>
        <w:rPr>
          <w:rFonts w:hint="eastAsia"/>
        </w:rPr>
        <w:t>项目名称：</w:t>
      </w:r>
      <w:r>
        <w:rPr>
          <w:rFonts w:hint="eastAsia"/>
          <w:u w:val="single"/>
        </w:rPr>
        <w:t>_____________________________________</w:t>
      </w:r>
      <w:r>
        <w:rPr>
          <w:rFonts w:hint="eastAsia"/>
        </w:rPr>
        <w:t>项目编号：</w:t>
      </w:r>
      <w:r>
        <w:rPr>
          <w:rFonts w:hint="eastAsia" w:ascii="ˎ̥" w:hAnsi="ˎ̥"/>
          <w:sz w:val="18"/>
          <w:szCs w:val="18"/>
          <w:u w:val="single"/>
        </w:rPr>
        <w:t>________________________________</w:t>
      </w:r>
    </w:p>
    <w:tbl>
      <w:tblPr>
        <w:tblStyle w:val="8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1057"/>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Cs w:val="21"/>
              </w:rPr>
            </w:pPr>
            <w:r>
              <w:rPr>
                <w:rFonts w:hint="eastAsia"/>
                <w:szCs w:val="21"/>
              </w:rPr>
              <w:t>序号</w:t>
            </w:r>
          </w:p>
        </w:tc>
        <w:tc>
          <w:tcPr>
            <w:tcW w:w="1347" w:type="dxa"/>
            <w:vAlign w:val="center"/>
          </w:tcPr>
          <w:p>
            <w:pPr>
              <w:spacing w:line="240" w:lineRule="auto"/>
              <w:jc w:val="center"/>
              <w:rPr>
                <w:rFonts w:hint="eastAsia"/>
                <w:szCs w:val="21"/>
              </w:rPr>
            </w:pPr>
            <w:r>
              <w:rPr>
                <w:rFonts w:hint="eastAsia"/>
                <w:szCs w:val="21"/>
              </w:rPr>
              <w:t>货物名称</w:t>
            </w:r>
          </w:p>
        </w:tc>
        <w:tc>
          <w:tcPr>
            <w:tcW w:w="1417" w:type="dxa"/>
            <w:vAlign w:val="center"/>
          </w:tcPr>
          <w:p>
            <w:pPr>
              <w:spacing w:line="240" w:lineRule="auto"/>
              <w:jc w:val="center"/>
              <w:rPr>
                <w:rFonts w:hint="eastAsia"/>
                <w:szCs w:val="21"/>
              </w:rPr>
            </w:pPr>
            <w:r>
              <w:rPr>
                <w:rFonts w:hint="eastAsia"/>
                <w:szCs w:val="21"/>
              </w:rPr>
              <w:t>规格/型号</w:t>
            </w:r>
          </w:p>
        </w:tc>
        <w:tc>
          <w:tcPr>
            <w:tcW w:w="851" w:type="dxa"/>
            <w:vAlign w:val="center"/>
          </w:tcPr>
          <w:p>
            <w:pPr>
              <w:spacing w:line="240" w:lineRule="auto"/>
              <w:jc w:val="center"/>
              <w:rPr>
                <w:rFonts w:hint="eastAsia"/>
                <w:b/>
                <w:szCs w:val="21"/>
              </w:rPr>
            </w:pPr>
            <w:r>
              <w:rPr>
                <w:rFonts w:hint="eastAsia"/>
                <w:b/>
                <w:szCs w:val="21"/>
              </w:rPr>
              <w:t>原产地</w:t>
            </w:r>
          </w:p>
        </w:tc>
        <w:tc>
          <w:tcPr>
            <w:tcW w:w="992" w:type="dxa"/>
            <w:vAlign w:val="center"/>
          </w:tcPr>
          <w:p>
            <w:pPr>
              <w:spacing w:line="240" w:lineRule="auto"/>
              <w:jc w:val="center"/>
              <w:rPr>
                <w:rFonts w:hint="eastAsia"/>
                <w:szCs w:val="21"/>
              </w:rPr>
            </w:pPr>
            <w:r>
              <w:rPr>
                <w:rFonts w:hint="eastAsia"/>
                <w:szCs w:val="21"/>
              </w:rPr>
              <w:t>制造商名称</w:t>
            </w:r>
          </w:p>
        </w:tc>
        <w:tc>
          <w:tcPr>
            <w:tcW w:w="709" w:type="dxa"/>
            <w:vAlign w:val="center"/>
          </w:tcPr>
          <w:p>
            <w:pPr>
              <w:spacing w:line="240" w:lineRule="auto"/>
              <w:jc w:val="center"/>
              <w:rPr>
                <w:rFonts w:hint="eastAsia"/>
                <w:szCs w:val="21"/>
              </w:rPr>
            </w:pPr>
            <w:r>
              <w:rPr>
                <w:rFonts w:hint="eastAsia"/>
                <w:szCs w:val="21"/>
              </w:rPr>
              <w:t>数量</w:t>
            </w:r>
          </w:p>
        </w:tc>
        <w:tc>
          <w:tcPr>
            <w:tcW w:w="737" w:type="dxa"/>
            <w:vAlign w:val="center"/>
          </w:tcPr>
          <w:p>
            <w:pPr>
              <w:spacing w:line="240" w:lineRule="auto"/>
              <w:jc w:val="center"/>
              <w:rPr>
                <w:rFonts w:hint="eastAsia"/>
                <w:szCs w:val="21"/>
              </w:rPr>
            </w:pPr>
            <w:r>
              <w:rPr>
                <w:rFonts w:hint="eastAsia"/>
                <w:szCs w:val="21"/>
              </w:rPr>
              <w:t>单位</w:t>
            </w:r>
          </w:p>
        </w:tc>
        <w:tc>
          <w:tcPr>
            <w:tcW w:w="1057" w:type="dxa"/>
            <w:vAlign w:val="center"/>
          </w:tcPr>
          <w:p>
            <w:pPr>
              <w:spacing w:line="240" w:lineRule="auto"/>
              <w:jc w:val="center"/>
              <w:rPr>
                <w:rFonts w:hint="eastAsia"/>
                <w:szCs w:val="21"/>
              </w:rPr>
            </w:pPr>
            <w:r>
              <w:rPr>
                <w:rFonts w:hint="eastAsia"/>
                <w:szCs w:val="21"/>
              </w:rPr>
              <w:t>单价(元)</w:t>
            </w:r>
          </w:p>
        </w:tc>
        <w:tc>
          <w:tcPr>
            <w:tcW w:w="1276" w:type="dxa"/>
            <w:vAlign w:val="center"/>
          </w:tcPr>
          <w:p>
            <w:pPr>
              <w:spacing w:line="240" w:lineRule="auto"/>
              <w:jc w:val="center"/>
              <w:rPr>
                <w:rFonts w:hint="eastAsia"/>
                <w:szCs w:val="21"/>
              </w:rPr>
            </w:pPr>
            <w:r>
              <w:rPr>
                <w:rFonts w:hint="eastAsia"/>
                <w:szCs w:val="21"/>
              </w:rPr>
              <w:t>合价(元)</w:t>
            </w:r>
          </w:p>
        </w:tc>
        <w:tc>
          <w:tcPr>
            <w:tcW w:w="1082" w:type="dxa"/>
            <w:vAlign w:val="center"/>
          </w:tcPr>
          <w:p>
            <w:pPr>
              <w:spacing w:line="240" w:lineRule="auto"/>
              <w:jc w:val="center"/>
              <w:rPr>
                <w:rFonts w:hint="eastAsia"/>
                <w:szCs w:val="21"/>
              </w:rPr>
            </w:pPr>
            <w:r>
              <w:rPr>
                <w:rFonts w:hint="eastAsia"/>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8"/>
            <w:vAlign w:val="center"/>
          </w:tcPr>
          <w:p>
            <w:pPr>
              <w:spacing w:line="240" w:lineRule="auto"/>
              <w:jc w:val="left"/>
              <w:rPr>
                <w:rFonts w:hint="eastAsia"/>
                <w:sz w:val="24"/>
              </w:rPr>
            </w:pPr>
            <w:r>
              <w:rPr>
                <w:rFonts w:hint="eastAsia"/>
                <w:sz w:val="24"/>
              </w:rPr>
              <w:t>合计（即：投标总价；币种：人民币；单位：元）：大写：</w:t>
            </w: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bl>
    <w:p>
      <w:pPr>
        <w:spacing w:line="240" w:lineRule="auto"/>
        <w:rPr>
          <w:rFonts w:hint="eastAsia"/>
          <w:b/>
          <w:sz w:val="24"/>
        </w:rPr>
      </w:pPr>
    </w:p>
    <w:p>
      <w:pPr>
        <w:spacing w:line="240" w:lineRule="auto"/>
        <w:rPr>
          <w:rFonts w:hint="eastAsia"/>
          <w:b/>
          <w:sz w:val="24"/>
        </w:rPr>
      </w:pPr>
      <w:r>
        <w:rPr>
          <w:rFonts w:hint="eastAsia"/>
          <w:b/>
          <w:sz w:val="24"/>
        </w:rPr>
        <w:t>备注：</w:t>
      </w:r>
    </w:p>
    <w:p>
      <w:pPr>
        <w:spacing w:line="240" w:lineRule="auto"/>
        <w:ind w:firstLine="424" w:firstLineChars="176"/>
        <w:rPr>
          <w:rFonts w:hint="eastAsia"/>
          <w:b/>
          <w:sz w:val="24"/>
        </w:rPr>
      </w:pPr>
      <w:r>
        <w:rPr>
          <w:rFonts w:hint="eastAsia"/>
          <w:b/>
          <w:sz w:val="24"/>
        </w:rPr>
        <w:t>1.请根据“第二章</w:t>
      </w:r>
      <w:r>
        <w:rPr>
          <w:b/>
          <w:sz w:val="24"/>
        </w:rPr>
        <w:t xml:space="preserve"> 项目需求” “</w:t>
      </w:r>
      <w:r>
        <w:rPr>
          <w:rFonts w:hint="eastAsia"/>
          <w:b/>
          <w:sz w:val="24"/>
        </w:rPr>
        <w:t>一</w:t>
      </w:r>
      <w:r>
        <w:rPr>
          <w:b/>
          <w:sz w:val="24"/>
        </w:rPr>
        <w:t>、货物清单</w:t>
      </w:r>
      <w:r>
        <w:rPr>
          <w:rFonts w:hint="eastAsia"/>
          <w:b/>
          <w:sz w:val="24"/>
        </w:rPr>
        <w:t>一览表</w:t>
      </w:r>
      <w:r>
        <w:rPr>
          <w:b/>
          <w:sz w:val="24"/>
        </w:rPr>
        <w:t>”填写；本表格式不得修改。</w:t>
      </w:r>
    </w:p>
    <w:p>
      <w:pPr>
        <w:spacing w:line="240" w:lineRule="auto"/>
        <w:ind w:firstLine="424" w:firstLineChars="176"/>
        <w:rPr>
          <w:rFonts w:hint="eastAsia"/>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rFonts w:hint="eastAsia"/>
          <w:b/>
          <w:sz w:val="24"/>
        </w:rPr>
      </w:pPr>
      <w:r>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rFonts w:hint="eastAsia"/>
          <w:b/>
          <w:sz w:val="24"/>
        </w:rPr>
      </w:pPr>
      <w:r>
        <w:rPr>
          <w:rFonts w:hint="eastAsia"/>
          <w:b/>
          <w:sz w:val="24"/>
        </w:rPr>
        <w:t>4.“原产地”是指该产品的实际生产加工地，而非品牌总公司所在地。</w:t>
      </w:r>
    </w:p>
    <w:p>
      <w:pPr>
        <w:spacing w:line="240" w:lineRule="auto"/>
        <w:ind w:firstLine="424" w:firstLineChars="176"/>
        <w:rPr>
          <w:rFonts w:hint="eastAsia"/>
          <w:b/>
          <w:sz w:val="24"/>
        </w:rPr>
      </w:pPr>
      <w:r>
        <w:rPr>
          <w:b/>
          <w:sz w:val="24"/>
        </w:rPr>
        <w:t>5.详细填写所投货物的制造商名称；若如所投产品属于定制类的非量产货物或无具体型号的货物，可以不填写型号等信息，但应当标注投标产品为定制产品。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rFonts w:hint="eastAsia"/>
          <w:b/>
          <w:sz w:val="24"/>
        </w:rPr>
      </w:pPr>
      <w:r>
        <w:rPr>
          <w:b/>
          <w:sz w:val="24"/>
        </w:rPr>
        <w:t>6.</w:t>
      </w:r>
      <w:r>
        <w:rPr>
          <w:rFonts w:hint="eastAsia"/>
          <w:b/>
          <w:sz w:val="24"/>
        </w:rPr>
        <w:t>上述报价最多保留两位小数。</w:t>
      </w: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（二）可选配件报价清单（不包括在总报价内）</w:t>
      </w:r>
    </w:p>
    <w:p>
      <w:pPr>
        <w:tabs>
          <w:tab w:val="clear" w:pos="426"/>
        </w:tabs>
        <w:spacing w:line="500" w:lineRule="exact"/>
        <w:rPr>
          <w:rFonts w:hint="eastAsia"/>
          <w:b/>
          <w:sz w:val="24"/>
        </w:rPr>
      </w:pPr>
      <w:r>
        <w:rPr>
          <w:rFonts w:hint="eastAsia"/>
          <w:b/>
          <w:sz w:val="24"/>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hint="eastAsia" w:cs="Times New Roman"/>
          <w:b/>
          <w:bCs/>
          <w:kern w:val="2"/>
          <w:sz w:val="32"/>
          <w:szCs w:val="32"/>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（三）供应商认为需要涉及的其他内容报价清单</w:t>
      </w:r>
    </w:p>
    <w:p>
      <w:pPr>
        <w:tabs>
          <w:tab w:val="clear" w:pos="426"/>
        </w:tabs>
        <w:spacing w:line="500" w:lineRule="exact"/>
        <w:rPr>
          <w:rFonts w:hint="eastAsia"/>
          <w:spacing w:val="4"/>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u w:val="single"/>
        </w:rPr>
      </w:pPr>
      <w:r>
        <w:rPr>
          <w:rFonts w:hint="eastAsia"/>
        </w:rPr>
        <w:t>法定代表人或投标人授权代表（签字或盖章）：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55" w:name="_Toc11711"/>
      <w:r>
        <w:rPr>
          <w:rFonts w:hint="eastAsia"/>
          <w:b/>
          <w:sz w:val="24"/>
        </w:rPr>
        <w:t>格式9：技术规格偏离表</w:t>
      </w:r>
      <w:bookmarkEnd w:id="155"/>
    </w:p>
    <w:p>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56" w:name="OLE_LINK1"/>
      <w:r>
        <w:rPr>
          <w:rFonts w:hint="eastAsia" w:ascii="Times New Roman" w:hAnsi="Times New Roman" w:cs="Times New Roman"/>
          <w:bCs/>
          <w:kern w:val="2"/>
          <w:sz w:val="32"/>
          <w:szCs w:val="32"/>
        </w:rPr>
        <w:t>技术规格偏离表</w:t>
      </w:r>
    </w:p>
    <w:bookmarkEnd w:id="156"/>
    <w:p>
      <w:pPr>
        <w:tabs>
          <w:tab w:val="clear" w:pos="426"/>
        </w:tabs>
        <w:rPr>
          <w:rFonts w:ascii="Times New Roman" w:hAnsi="Times New Roman" w:cs="Times New Roman"/>
        </w:rPr>
      </w:pPr>
    </w:p>
    <w:p>
      <w:pPr>
        <w:tabs>
          <w:tab w:val="clear" w:pos="426"/>
        </w:tabs>
        <w:rPr>
          <w:rFonts w:ascii="Times New Roman" w:hAnsi="Times New Roman" w:cs="Times New Roman"/>
        </w:rPr>
      </w:pPr>
      <w:bookmarkStart w:id="157"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bookmarkEnd w:id="157"/>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101"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9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招标技术要求</w:t>
            </w:r>
          </w:p>
        </w:tc>
        <w:tc>
          <w:tcPr>
            <w:tcW w:w="95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投标技术响应</w:t>
            </w:r>
          </w:p>
        </w:tc>
        <w:tc>
          <w:tcPr>
            <w:tcW w:w="728"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03"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p>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1.“招标技术要求”一栏应填写招标文件第</w:t>
      </w:r>
      <w:r>
        <w:rPr>
          <w:rFonts w:hint="eastAsia" w:ascii="Times New Roman" w:hAnsi="Times New Roman" w:cs="Times New Roman"/>
          <w:bCs/>
        </w:rPr>
        <w:t>二</w:t>
      </w:r>
      <w:r>
        <w:rPr>
          <w:rFonts w:ascii="Times New Roman" w:hAnsi="Times New Roman" w:cs="Times New Roman"/>
          <w:bCs/>
        </w:rPr>
        <w:t>章“技术要求”的内容；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2.“投标技术响应”一栏必须详细填写投标产品的具体参数，并应对照招标技术要求一一对应响应；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4.投标人在《</w:t>
      </w:r>
      <w:r>
        <w:rPr>
          <w:rFonts w:hint="eastAsia" w:ascii="Times New Roman" w:hAnsi="Times New Roman" w:cs="Times New Roman"/>
          <w:bCs/>
        </w:rPr>
        <w:t>技术规格偏离表</w:t>
      </w:r>
      <w:r>
        <w:rPr>
          <w:rFonts w:ascii="Times New Roman" w:hAnsi="Times New Roman" w:cs="Times New Roman"/>
          <w:bCs/>
        </w:rPr>
        <w:t>》填写的“投标技术响应”与“招标技术要求”存在填写不全的情况，将被视为未实质性满足招标文件要求作投标无效处理。示例，“招标技术要求”共有10项参数，投标人只响应了9项，填写不全，则视为未实质性满足招标文件要求作投标无效处理。</w:t>
      </w:r>
      <w:bookmarkStart w:id="158" w:name="OLE_LINK2"/>
      <w:r>
        <w:rPr>
          <w:rFonts w:hint="eastAsia" w:ascii="Times New Roman" w:hAnsi="Times New Roman" w:cs="Times New Roman"/>
          <w:bCs/>
        </w:rPr>
        <w:t>带★招标技术要求，不允许有任何负偏离，否则将作投标无效处理。</w:t>
      </w:r>
    </w:p>
    <w:bookmarkEnd w:id="158"/>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5.投标人所填写的“偏离情况”与评审委员会判定不一致时，以评审委员会意见为主。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6.投标产品的技术参数应按《</w:t>
      </w:r>
      <w:r>
        <w:rPr>
          <w:rFonts w:hint="eastAsia" w:ascii="Times New Roman" w:hAnsi="Times New Roman" w:cs="Times New Roman"/>
          <w:bCs/>
        </w:rPr>
        <w:t>技术规格偏离表</w:t>
      </w:r>
      <w:r>
        <w:rPr>
          <w:rFonts w:ascii="Times New Roman" w:hAnsi="Times New Roman" w:cs="Times New Roman"/>
          <w:bCs/>
        </w:rPr>
        <w:t>》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提供的证明资料显示产品参数信息不符合招标文件要求的，如果投标人偏离程度响应为“无偏离或正偏离”的，则应判断为负偏离；提供的证明材料模糊不清，导致评审专家无法判断的，如果投标人偏离程度响应为“无偏离或正偏离”的，则应判断为负偏离。若《</w:t>
      </w:r>
      <w:r>
        <w:rPr>
          <w:rFonts w:hint="eastAsia" w:ascii="Times New Roman" w:hAnsi="Times New Roman" w:cs="Times New Roman"/>
          <w:bCs/>
        </w:rPr>
        <w:t>技术规格偏离表</w:t>
      </w:r>
      <w:r>
        <w:rPr>
          <w:rFonts w:ascii="Times New Roman" w:hAnsi="Times New Roman" w:cs="Times New Roman"/>
          <w:bCs/>
        </w:rPr>
        <w:t>》中未要求提供相应证明材料的，投标人可以不提供。</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7.证明资料（均为扫描件）的提供要求：</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59" w:name="_Toc6088"/>
      <w:r>
        <w:rPr>
          <w:rFonts w:hint="eastAsia"/>
          <w:b/>
          <w:sz w:val="24"/>
        </w:rPr>
        <w:t>格式10：技术保障措施</w:t>
      </w:r>
      <w:bookmarkEnd w:id="159"/>
    </w:p>
    <w:p>
      <w:pPr>
        <w:adjustRightInd/>
        <w:snapToGrid/>
        <w:spacing w:before="280" w:after="290" w:line="377" w:lineRule="auto"/>
        <w:outlineLvl w:val="2"/>
        <w:rPr>
          <w:rFonts w:hint="eastAsia"/>
          <w:b/>
          <w:sz w:val="24"/>
        </w:rPr>
      </w:pPr>
      <w:bookmarkStart w:id="160" w:name="_Toc4463"/>
      <w:r>
        <w:rPr>
          <w:rFonts w:hint="eastAsia"/>
          <w:b/>
          <w:sz w:val="24"/>
        </w:rPr>
        <w:t>格式11：售后服务方案</w:t>
      </w:r>
      <w:bookmarkEnd w:id="160"/>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p>
    <w:p>
      <w:pPr>
        <w:rPr>
          <w:rFonts w:hint="eastAsia"/>
        </w:rPr>
      </w:pPr>
    </w:p>
    <w:p>
      <w:pPr>
        <w:tabs>
          <w:tab w:val="clear" w:pos="426"/>
        </w:tabs>
        <w:spacing w:line="240" w:lineRule="auto"/>
        <w:ind w:firstLine="424" w:firstLineChars="202"/>
        <w:rPr>
          <w:rFonts w:hint="eastAsia"/>
        </w:rPr>
      </w:pPr>
    </w:p>
    <w:p>
      <w:pPr>
        <w:tabs>
          <w:tab w:val="clear" w:pos="426"/>
        </w:tabs>
        <w:spacing w:line="240" w:lineRule="auto"/>
        <w:ind w:firstLine="424" w:firstLineChars="202"/>
        <w:rPr>
          <w:rFonts w:ascii="Times New Roman" w:hAnsi="Times New Roman" w:cs="Times New Roman"/>
          <w:bCs/>
        </w:rPr>
      </w:pPr>
    </w:p>
    <w:p>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61" w:name="_Toc13351"/>
      <w:r>
        <w:rPr>
          <w:rFonts w:hint="eastAsia"/>
          <w:b/>
          <w:sz w:val="24"/>
        </w:rPr>
        <w:t>格式12：商务条款偏离表</w:t>
      </w:r>
      <w:bookmarkEnd w:id="161"/>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p>
    <w:p>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605"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招标商务条款</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投标商务条款</w:t>
            </w:r>
          </w:p>
        </w:tc>
        <w:tc>
          <w:tcPr>
            <w:tcW w:w="806"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908"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bl>
    <w:p>
      <w:pPr>
        <w:tabs>
          <w:tab w:val="clear" w:pos="426"/>
        </w:tabs>
        <w:rPr>
          <w:rFonts w:ascii="Times New Roman" w:hAnsi="Times New Roman" w:cs="Times New Roman"/>
        </w:rPr>
      </w:pPr>
    </w:p>
    <w:p>
      <w:pPr>
        <w:tabs>
          <w:tab w:val="clear" w:pos="426"/>
        </w:tabs>
        <w:spacing w:line="240" w:lineRule="auto"/>
        <w:rPr>
          <w:rFonts w:ascii="Times New Roman" w:hAnsi="Times New Roman" w:cs="Times New Roman"/>
        </w:rPr>
      </w:pPr>
      <w:r>
        <w:rPr>
          <w:rFonts w:ascii="Times New Roman" w:hAnsi="Times New Roman" w:cs="Times New Roman"/>
        </w:rPr>
        <w:t>备注：</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1.“招标商务条款”一栏必须填写招标文件第</w:t>
      </w:r>
      <w:r>
        <w:rPr>
          <w:rFonts w:hint="eastAsia" w:ascii="Times New Roman" w:hAnsi="Times New Roman" w:cs="Times New Roman"/>
        </w:rPr>
        <w:t>二</w:t>
      </w:r>
      <w:r>
        <w:rPr>
          <w:rFonts w:ascii="Times New Roman" w:hAnsi="Times New Roman" w:cs="Times New Roman"/>
        </w:rPr>
        <w:t>章“商务</w:t>
      </w:r>
      <w:r>
        <w:rPr>
          <w:rFonts w:hint="eastAsia" w:ascii="Times New Roman" w:hAnsi="Times New Roman" w:cs="Times New Roman"/>
        </w:rPr>
        <w:t>要求</w:t>
      </w:r>
      <w:r>
        <w:rPr>
          <w:rFonts w:ascii="Times New Roman" w:hAnsi="Times New Roman" w:cs="Times New Roman"/>
        </w:rPr>
        <w:t>”的内容进行填写。</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2.“投标商务条款”一栏必须详细填写投标商务条款的内容。</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3.“偏离情况”栏中应如实填写“正偏离”、“负偏离”或“无偏离”。</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4．投标人在《商务条款偏离表》填写的“投标商务条款”与 “招标商务条款”存在填写不全的，将被视为未实质性满足招标文件要求作投标无效处理。示例，“招标商务条款”共有10项参数，投标人只响应了9项，填写不全，则视为未实质性满足招标文件要求作投标无效处理。</w:t>
      </w:r>
      <w:r>
        <w:rPr>
          <w:rFonts w:hint="eastAsia" w:ascii="Times New Roman" w:hAnsi="Times New Roman" w:cs="Times New Roman"/>
          <w:bCs/>
        </w:rPr>
        <w:t>带★招标商务要求，不允许有任何负偏离，否则将作投标无效处理。</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bCs/>
        </w:rPr>
        <w:t>5．</w:t>
      </w:r>
      <w:r>
        <w:rPr>
          <w:rFonts w:ascii="Times New Roman" w:hAnsi="Times New Roman" w:cs="Times New Roman"/>
        </w:rPr>
        <w:t>投标人所填写的“偏离情况”与评审委员会判定不一致时，以评审委员会意见为主。</w:t>
      </w:r>
    </w:p>
    <w:p>
      <w:pPr>
        <w:tabs>
          <w:tab w:val="clear" w:pos="426"/>
        </w:tabs>
        <w:spacing w:line="240" w:lineRule="auto"/>
        <w:ind w:firstLine="424" w:firstLineChars="202"/>
        <w:rPr>
          <w:rFonts w:hint="eastAsia"/>
        </w:rPr>
      </w:pPr>
      <w:r>
        <w:rPr>
          <w:rFonts w:ascii="Times New Roman" w:hAnsi="Times New Roman" w:cs="Times New Roman"/>
        </w:rPr>
        <w:t>6.交货期条款为不可负偏离条款，投标文件响应为“负偏离”的，投标文件将按无效投标处理。</w:t>
      </w: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62" w:name="_Toc14376"/>
      <w:r>
        <w:rPr>
          <w:rFonts w:hint="eastAsia"/>
          <w:b/>
          <w:sz w:val="24"/>
        </w:rPr>
        <w:t>格式13：投标人综合概况简表</w:t>
      </w:r>
      <w:bookmarkEnd w:id="162"/>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投标人综合概况简表</w:t>
      </w:r>
    </w:p>
    <w:p>
      <w:pPr>
        <w:widowControl w:val="0"/>
        <w:shd w:val="clear" w:color="auto" w:fill="auto"/>
        <w:tabs>
          <w:tab w:val="clear" w:pos="426"/>
        </w:tabs>
        <w:adjustRightInd/>
        <w:snapToGrid/>
        <w:rPr>
          <w:rFonts w:hint="eastAsia" w:cs="Arial"/>
          <w:b/>
          <w:szCs w:val="21"/>
        </w:rPr>
      </w:pPr>
      <w:r>
        <w:rPr>
          <w:rFonts w:hint="eastAsia" w:cs="Arial"/>
          <w:b/>
          <w:szCs w:val="21"/>
        </w:rPr>
        <w:t>一、</w:t>
      </w:r>
      <w:r>
        <w:rPr>
          <w:rFonts w:cs="Arial"/>
          <w:b/>
          <w:szCs w:val="21"/>
        </w:rPr>
        <w:t>公司基本情况</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hint="eastAsia" w:cs="Arial"/>
          <w:szCs w:val="21"/>
          <w:u w:val="single"/>
        </w:rPr>
        <w:t>___________________</w:t>
      </w:r>
      <w:r>
        <w:rPr>
          <w:rFonts w:cs="Arial"/>
          <w:szCs w:val="21"/>
          <w:u w:val="single"/>
        </w:rPr>
        <w:t>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公司开户银行名称及账号：</w:t>
      </w:r>
      <w:r>
        <w:rPr>
          <w:rFonts w:hint="eastAsia" w:cs="Arial"/>
          <w:szCs w:val="21"/>
          <w:u w:val="single"/>
        </w:rPr>
        <w:t>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营业注册执照号：</w:t>
      </w:r>
      <w:r>
        <w:rPr>
          <w:rFonts w:hint="eastAsia" w:cs="Arial"/>
          <w:szCs w:val="21"/>
          <w:u w:val="single"/>
        </w:rPr>
        <w:t>________________________________________________________________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公司简介</w:t>
      </w:r>
    </w:p>
    <w:p>
      <w:pPr>
        <w:tabs>
          <w:tab w:val="clear" w:pos="426"/>
        </w:tabs>
        <w:ind w:firstLine="426"/>
        <w:rPr>
          <w:rFonts w:hint="eastAsia"/>
        </w:rPr>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hint="eastAsia" w:cs="Arial"/>
          <w:szCs w:val="21"/>
        </w:rPr>
      </w:pPr>
      <w:r>
        <w:rPr>
          <w:rFonts w:hint="eastAsia"/>
        </w:rPr>
        <w:t>图片描述：</w:t>
      </w:r>
      <w:r>
        <w:rPr>
          <w:rFonts w:hint="eastAsia"/>
          <w:bCs/>
          <w:szCs w:val="21"/>
          <w:lang w:val="en-GB"/>
        </w:rPr>
        <w:t>经营场所、主要或关键产品介绍、生产场所及服务流程等。</w:t>
      </w:r>
    </w:p>
    <w:p>
      <w:pPr>
        <w:tabs>
          <w:tab w:val="clear" w:pos="426"/>
        </w:tabs>
        <w:spacing w:line="440" w:lineRule="exact"/>
        <w:rPr>
          <w:rFonts w:hint="eastAsia"/>
          <w:b/>
          <w:bCs/>
        </w:rPr>
      </w:pPr>
    </w:p>
    <w:p>
      <w:pPr>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63" w:name="_Toc22042"/>
      <w:r>
        <w:rPr>
          <w:rFonts w:hint="eastAsia"/>
          <w:b/>
          <w:sz w:val="24"/>
        </w:rPr>
        <w:t>格式14：企业类型声明函</w:t>
      </w:r>
      <w:bookmarkEnd w:id="163"/>
    </w:p>
    <w:p>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141"/>
          <w:rFonts w:ascii="Times New Roman" w:hAnsi="Times New Roman" w:cs="Times New Roman"/>
          <w:color w:val="auto"/>
        </w:rPr>
        <w:t>-</w:t>
      </w:r>
      <w:r>
        <w:fldChar w:fldCharType="begin"/>
      </w:r>
      <w:r>
        <w:instrText xml:space="preserve"> HYPERLINK "http://www.szsszx.com/Files/Editor/file/202106041655230146.rar" </w:instrText>
      </w:r>
      <w:r>
        <w:fldChar w:fldCharType="separate"/>
      </w:r>
      <w:r>
        <w:rPr>
          <w:rStyle w:val="141"/>
          <w:rFonts w:ascii="Times New Roman" w:hAnsi="Times New Roman" w:cs="Times New Roman"/>
          <w:bCs/>
          <w:color w:val="auto"/>
          <w:szCs w:val="21"/>
        </w:rPr>
        <w:t>点此下载</w:t>
      </w:r>
      <w:r>
        <w:rPr>
          <w:rStyle w:val="141"/>
          <w:rFonts w:ascii="Times New Roman" w:hAnsi="Times New Roman" w:cs="Times New Roman"/>
          <w:bCs/>
          <w:color w:val="auto"/>
          <w:szCs w:val="21"/>
        </w:rPr>
        <w:fldChar w:fldCharType="end"/>
      </w:r>
      <w:r>
        <w:rPr>
          <w:rStyle w:val="141"/>
          <w:rFonts w:ascii="Times New Roman" w:hAnsi="Times New Roman" w:cs="Times New Roman"/>
          <w:color w:val="auto"/>
        </w:rPr>
        <w:t>-</w:t>
      </w:r>
      <w:r>
        <w:rPr>
          <w:rFonts w:ascii="Times New Roman" w:hAnsi="Times New Roman" w:cs="Times New Roman"/>
          <w:bCs/>
          <w:szCs w:val="21"/>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hAnsi="Times New Roman" w:cs="Times New Roman"/>
          <w:bCs/>
          <w:szCs w:val="21"/>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rPr>
      </w:pPr>
      <w:r>
        <w:rPr>
          <w:rFonts w:ascii="Times New Roman" w:hAnsi="Times New Roman" w:cs="Times New Roman"/>
          <w:b/>
          <w:bCs/>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 xml:space="preserve">(采购单位名称) </w:t>
      </w:r>
      <w:r>
        <w:rPr>
          <w:rFonts w:ascii="Times New Roman" w:hAnsi="Times New Roman" w:cs="Times New Roman"/>
          <w:szCs w:val="21"/>
        </w:rPr>
        <w:t>的</w:t>
      </w:r>
      <w:r>
        <w:rPr>
          <w:rFonts w:ascii="Times New Roman" w:hAnsi="Times New Roman" w:cs="Times New Roman"/>
          <w:b/>
          <w:bCs/>
          <w:szCs w:val="21"/>
          <w:u w:val="single"/>
        </w:rPr>
        <w:t>（采购项目名称）</w:t>
      </w:r>
      <w:r>
        <w:rPr>
          <w:rFonts w:hint="eastAsia" w:ascii="Times New Roman" w:hAnsi="Times New Roman" w:cs="Times New Roman"/>
          <w:b/>
          <w:bCs/>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企业名称（盖章）：</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日期：</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二</w:t>
      </w:r>
      <w:r>
        <w:rPr>
          <w:rFonts w:ascii="Times New Roman" w:hAnsi="Times New Roman" w:cs="Times New Roman"/>
          <w:b/>
          <w:sz w:val="32"/>
          <w:szCs w:val="32"/>
        </w:rPr>
        <w:t>）省级以上监狱管理局、戒毒管理局（含新疆生产建设兵团）出具的属于监狱企业的证明文件（样表）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w:t>
      </w:r>
      <w:r>
        <w:rPr>
          <w:rFonts w:ascii="Times New Roman" w:hAnsi="Times New Roman" w:cs="Times New Roman"/>
          <w:b/>
          <w:bCs/>
          <w:szCs w:val="21"/>
        </w:rPr>
        <w:t>;□提供其他监狱企业制造的货物（承诺人在□处打√）</w:t>
      </w:r>
      <w:r>
        <w:rPr>
          <w:rFonts w:ascii="Times New Roman" w:hAnsi="Times New Roman" w:cs="Times New Roman"/>
          <w:szCs w:val="21"/>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三</w:t>
      </w:r>
      <w:r>
        <w:rPr>
          <w:rFonts w:ascii="Times New Roman" w:hAnsi="Times New Roman" w:cs="Times New Roman"/>
          <w:b/>
          <w:sz w:val="32"/>
          <w:szCs w:val="32"/>
        </w:rPr>
        <w:t>）含有小型、微型企业的联合体声明函（样表）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（供应商名称、供应商名称）</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w:t>
      </w:r>
      <w:r>
        <w:rPr>
          <w:rFonts w:ascii="Times New Roman" w:hAnsi="Times New Roman" w:cs="Times New Roman"/>
          <w:b/>
          <w:bCs/>
          <w:szCs w:val="21"/>
        </w:rPr>
        <w:t>□小微企业制造的货物</w:t>
      </w:r>
      <w:r>
        <w:rPr>
          <w:rFonts w:ascii="Times New Roman" w:hAnsi="Times New Roman" w:cs="Times New Roman"/>
          <w:szCs w:val="21"/>
        </w:rPr>
        <w:t>，□小微企业承担的工程、提供服务，</w:t>
      </w:r>
      <w:r>
        <w:rPr>
          <w:rFonts w:ascii="Times New Roman" w:hAnsi="Times New Roman" w:cs="Times New Roman"/>
          <w:b/>
          <w:bCs/>
          <w:szCs w:val="21"/>
        </w:rPr>
        <w:t>□提供其他小微企业制造的货物；不包括使用大型企业注册商标的货物</w:t>
      </w:r>
      <w:r>
        <w:rPr>
          <w:rFonts w:ascii="Times New Roman" w:hAnsi="Times New Roman" w:cs="Times New Roman"/>
          <w:szCs w:val="21"/>
        </w:rPr>
        <w:t>；请承诺人在□处打√），符合《政府采购促进中小企业发展暂行办法》(财库〔2011〕181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rPr>
          <w:rFonts w:hint="eastAsia"/>
          <w:szCs w:val="21"/>
        </w:rPr>
      </w:pPr>
      <w:r>
        <w:rPr>
          <w:rFonts w:hint="eastAsia"/>
          <w:szCs w:val="21"/>
        </w:rPr>
        <w:br w:type="page"/>
      </w:r>
    </w:p>
    <w:p>
      <w:pPr>
        <w:adjustRightInd/>
        <w:snapToGrid/>
        <w:spacing w:before="280" w:after="290" w:line="377" w:lineRule="auto"/>
        <w:outlineLvl w:val="2"/>
        <w:rPr>
          <w:rFonts w:hint="eastAsia"/>
          <w:b/>
          <w:sz w:val="24"/>
        </w:rPr>
      </w:pPr>
      <w:bookmarkStart w:id="164" w:name="_Toc29461"/>
      <w:r>
        <w:rPr>
          <w:rFonts w:hint="eastAsia"/>
          <w:b/>
          <w:sz w:val="24"/>
        </w:rPr>
        <w:t>格式15：残疾人福利性单位声明函</w:t>
      </w:r>
      <w:bookmarkEnd w:id="164"/>
    </w:p>
    <w:p>
      <w:pPr>
        <w:tabs>
          <w:tab w:val="clear" w:pos="426"/>
        </w:tabs>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填写指引：声明是残疾人福利性单位须填写《残疾人福利性单位声明函》的三项内容（填写位置的字体已加粗），具体参照以上《中小企业声明函》填写要求执行。</w:t>
      </w:r>
    </w:p>
    <w:p>
      <w:pPr>
        <w:rPr>
          <w:rFonts w:hint="eastAsia"/>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tabs>
          <w:tab w:val="clear" w:pos="426"/>
        </w:tabs>
        <w:spacing w:line="440" w:lineRule="exact"/>
        <w:rPr>
          <w:rFonts w:hint="eastAsia"/>
          <w:b/>
          <w:bCs/>
        </w:rPr>
      </w:pP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65" w:name="_Toc6565"/>
      <w:r>
        <w:rPr>
          <w:rFonts w:hint="eastAsia"/>
          <w:b/>
          <w:sz w:val="24"/>
        </w:rPr>
        <w:t>格式16：同类项目业绩情况</w:t>
      </w:r>
      <w:bookmarkEnd w:id="165"/>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序号</w:t>
            </w:r>
          </w:p>
        </w:tc>
        <w:tc>
          <w:tcPr>
            <w:tcW w:w="2021" w:type="dxa"/>
            <w:vAlign w:val="center"/>
          </w:tcPr>
          <w:p>
            <w:pPr>
              <w:widowControl w:val="0"/>
              <w:shd w:val="clear" w:color="auto" w:fill="auto"/>
              <w:tabs>
                <w:tab w:val="clear" w:pos="426"/>
              </w:tabs>
              <w:spacing w:line="240" w:lineRule="auto"/>
              <w:jc w:val="center"/>
              <w:rPr>
                <w:rFonts w:hint="eastAsia"/>
                <w:b/>
                <w:bCs/>
              </w:rPr>
            </w:pPr>
            <w:r>
              <w:rPr>
                <w:rFonts w:hint="eastAsia"/>
                <w:b/>
                <w:bCs/>
              </w:rPr>
              <w:t>项目名称</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合同金额</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签约日期</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完工验收结果</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1</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2</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3</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b/>
                <w:bCs/>
              </w:rPr>
              <w:t>……</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bl>
    <w:p>
      <w:pPr>
        <w:tabs>
          <w:tab w:val="clear" w:pos="426"/>
        </w:tabs>
        <w:spacing w:line="440" w:lineRule="exact"/>
        <w:rPr>
          <w:rFonts w:hint="eastAsia"/>
          <w:b/>
          <w:bCs/>
        </w:rPr>
      </w:pPr>
      <w:r>
        <w:rPr>
          <w:rFonts w:hint="eastAsia"/>
          <w:b/>
          <w:bCs/>
        </w:rPr>
        <w:t>备注：1.以上表格格式可根据评审表的要求调整，业绩证明材料及其他相关资料附后。</w:t>
      </w: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66" w:name="_Toc18338"/>
      <w:r>
        <w:rPr>
          <w:rFonts w:hint="eastAsia"/>
          <w:b/>
          <w:sz w:val="24"/>
        </w:rPr>
        <w:t>格式17：相关认证情况</w:t>
      </w:r>
      <w:bookmarkEnd w:id="166"/>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bookmarkEnd w:id="121"/>
      <w:bookmarkEnd w:id="122"/>
      <w:bookmarkEnd w:id="123"/>
      <w:bookmarkEnd w:id="124"/>
    </w:p>
    <w:p>
      <w:pPr>
        <w:pStyle w:val="81"/>
        <w:tabs>
          <w:tab w:val="clear" w:pos="426"/>
        </w:tabs>
      </w:pPr>
      <w:r>
        <w:br w:type="page"/>
      </w:r>
      <w:bookmarkStart w:id="167" w:name="_Toc530152521"/>
      <w:bookmarkStart w:id="168" w:name="_Toc14427253"/>
      <w:bookmarkStart w:id="169" w:name="_Toc18960"/>
      <w:r>
        <w:rPr>
          <w:rFonts w:hint="eastAsia"/>
        </w:rPr>
        <w:t>招标文件第二册（通用</w:t>
      </w:r>
      <w:bookmarkEnd w:id="167"/>
      <w:bookmarkEnd w:id="168"/>
      <w:r>
        <w:rPr>
          <w:rFonts w:hint="eastAsia"/>
        </w:rPr>
        <w:t>部分）</w:t>
      </w:r>
      <w:bookmarkEnd w:id="169"/>
    </w:p>
    <w:p>
      <w:pPr>
        <w:jc w:val="center"/>
        <w:rPr>
          <w:rFonts w:hint="eastAsia"/>
          <w:b/>
        </w:rPr>
      </w:pPr>
      <w:r>
        <w:rPr>
          <w:rFonts w:hint="eastAsia"/>
          <w:b/>
        </w:rPr>
        <w:t>（投标供应商须知）</w:t>
      </w:r>
    </w:p>
    <w:p>
      <w:pPr>
        <w:pStyle w:val="5"/>
        <w:rPr>
          <w:rFonts w:hint="eastAsia"/>
        </w:rPr>
      </w:pPr>
      <w:bookmarkStart w:id="170" w:name="_Toc529280581"/>
      <w:bookmarkStart w:id="171" w:name="_Toc530152522"/>
      <w:bookmarkStart w:id="172" w:name="_Toc14427254"/>
      <w:bookmarkStart w:id="173" w:name="_Toc2369"/>
      <w:r>
        <w:rPr>
          <w:rFonts w:hint="eastAsia"/>
        </w:rPr>
        <w:t>第一章 总则</w:t>
      </w:r>
      <w:bookmarkEnd w:id="170"/>
      <w:bookmarkEnd w:id="171"/>
      <w:bookmarkEnd w:id="172"/>
      <w:bookmarkEnd w:id="173"/>
    </w:p>
    <w:p>
      <w:pPr>
        <w:tabs>
          <w:tab w:val="clear" w:pos="426"/>
        </w:tabs>
        <w:rPr>
          <w:rFonts w:hint="eastAsia"/>
        </w:rPr>
      </w:pPr>
      <w:r>
        <w:rPr>
          <w:rFonts w:hint="eastAsia"/>
        </w:rPr>
        <w:t>1.通用条款说明</w:t>
      </w:r>
    </w:p>
    <w:p>
      <w:pPr>
        <w:tabs>
          <w:tab w:val="clear" w:pos="426"/>
        </w:tabs>
        <w:rPr>
          <w:rFonts w:hint="eastAsia"/>
        </w:rPr>
      </w:pPr>
      <w:r>
        <w:rPr>
          <w:rFonts w:hint="eastAsia"/>
        </w:rPr>
        <w:t>1.1采购代理机构发出招标文件通用条款版本，列出采购项目进行招标采购所适用的通用条款内容。如有需要，采购代理机构可以对这些条款增加附录或补充内容。</w:t>
      </w:r>
    </w:p>
    <w:p>
      <w:pPr>
        <w:tabs>
          <w:tab w:val="clear" w:pos="426"/>
        </w:tabs>
        <w:rPr>
          <w:rFonts w:hint="eastAsia"/>
        </w:rPr>
      </w:pPr>
      <w:r>
        <w:rPr>
          <w:rFonts w:hint="eastAsia"/>
        </w:rPr>
        <w:t>2</w:t>
      </w:r>
      <w:r>
        <w:t>．</w:t>
      </w:r>
      <w:r>
        <w:rPr>
          <w:rFonts w:hint="eastAsia"/>
        </w:rPr>
        <w:t>招标说明</w:t>
      </w:r>
    </w:p>
    <w:p>
      <w:pPr>
        <w:tabs>
          <w:tab w:val="clear" w:pos="426"/>
        </w:tabs>
        <w:rPr>
          <w:rFonts w:hint="eastAsia"/>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rFonts w:hint="eastAsia"/>
          <w:szCs w:val="21"/>
        </w:rPr>
      </w:pPr>
      <w:r>
        <w:rPr>
          <w:rFonts w:hint="eastAsia"/>
          <w:szCs w:val="21"/>
        </w:rPr>
        <w:t>本招标文件的解释权归属深圳市深水水务咨询有限公司。</w:t>
      </w:r>
    </w:p>
    <w:p>
      <w:pPr>
        <w:tabs>
          <w:tab w:val="clear" w:pos="426"/>
        </w:tabs>
        <w:rPr>
          <w:rFonts w:hint="eastAsia"/>
        </w:rPr>
      </w:pPr>
      <w:r>
        <w:t>3．定义</w:t>
      </w:r>
    </w:p>
    <w:p>
      <w:pPr>
        <w:tabs>
          <w:tab w:val="clear" w:pos="426"/>
        </w:tabs>
        <w:rPr>
          <w:rFonts w:hint="eastAsia"/>
        </w:rPr>
      </w:pPr>
      <w:r>
        <w:t>招标文件中下列术语应解释为：</w:t>
      </w:r>
    </w:p>
    <w:p>
      <w:pPr>
        <w:tabs>
          <w:tab w:val="clear" w:pos="426"/>
        </w:tabs>
        <w:rPr>
          <w:rFonts w:hint="eastAsia"/>
        </w:rPr>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rPr>
          <w:rFonts w:hint="eastAsia"/>
        </w:rPr>
      </w:pPr>
      <w:r>
        <w:t xml:space="preserve">3.2“采购人”或“采购单位”：系指利用财政性资金依法进行采购的国家机关、事业单位、团体组织； </w:t>
      </w:r>
    </w:p>
    <w:p>
      <w:pPr>
        <w:tabs>
          <w:tab w:val="clear" w:pos="426"/>
        </w:tabs>
        <w:rPr>
          <w:rFonts w:hint="eastAsia"/>
        </w:rPr>
      </w:pPr>
      <w:r>
        <w:t>3.3“投标供应商”或“投标方”，即供应商，是指参加投标竞争并愿意按照招标文件要求向采购人提供货物、工程或者服务的依法成立的法人、其他组织或者自然人；</w:t>
      </w:r>
    </w:p>
    <w:p>
      <w:pPr>
        <w:tabs>
          <w:tab w:val="clear" w:pos="426"/>
        </w:tabs>
        <w:rPr>
          <w:rFonts w:hint="eastAsia"/>
        </w:rPr>
      </w:pPr>
      <w:r>
        <w:t>3.4“评标委员会”和“谈判小组”是依据有关规定组建的专门负责本次招标其评标（谈判）工作的临时性机构；</w:t>
      </w:r>
    </w:p>
    <w:p>
      <w:pPr>
        <w:tabs>
          <w:tab w:val="clear" w:pos="426"/>
        </w:tabs>
        <w:rPr>
          <w:rFonts w:hint="eastAsia"/>
        </w:rPr>
      </w:pPr>
      <w:r>
        <w:t>3.5“日期”指</w:t>
      </w:r>
      <w:r>
        <w:rPr>
          <w:rFonts w:hint="eastAsia"/>
        </w:rPr>
        <w:t>公历日；</w:t>
      </w:r>
    </w:p>
    <w:p>
      <w:pPr>
        <w:tabs>
          <w:tab w:val="clear" w:pos="426"/>
        </w:tabs>
        <w:rPr>
          <w:rFonts w:hint="eastAsia"/>
        </w:rPr>
      </w:pPr>
      <w:r>
        <w:t>3.6“合同”指由本次招标所产生的合同或合约文件；</w:t>
      </w:r>
    </w:p>
    <w:p>
      <w:pPr>
        <w:tabs>
          <w:tab w:val="clear" w:pos="426"/>
        </w:tabs>
        <w:rPr>
          <w:rFonts w:hint="eastAsia"/>
        </w:rPr>
      </w:pPr>
      <w:r>
        <w:t>3.7招标文件中的标题或题名仅起引导作用，而不应视为对招标文件内容的理解和解释。</w:t>
      </w:r>
    </w:p>
    <w:p>
      <w:pPr>
        <w:tabs>
          <w:tab w:val="clear" w:pos="426"/>
        </w:tabs>
        <w:rPr>
          <w:rFonts w:hint="eastAsia"/>
        </w:rPr>
      </w:pPr>
      <w:r>
        <w:t>4.</w:t>
      </w:r>
      <w:r>
        <w:rPr>
          <w:rFonts w:hint="eastAsia"/>
        </w:rPr>
        <w:t>供应商责任</w:t>
      </w:r>
    </w:p>
    <w:p>
      <w:pPr>
        <w:tabs>
          <w:tab w:val="clear" w:pos="426"/>
        </w:tabs>
        <w:rPr>
          <w:rFonts w:hint="eastAsia"/>
        </w:rPr>
      </w:pPr>
      <w:r>
        <w:t>4.1欢迎诚信、有实力和有社会责任心的供应商参与采购事业。</w:t>
      </w:r>
    </w:p>
    <w:p>
      <w:pPr>
        <w:tabs>
          <w:tab w:val="clear" w:pos="426"/>
        </w:tabs>
        <w:rPr>
          <w:rFonts w:hint="eastAsia"/>
        </w:rPr>
      </w:pPr>
      <w: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rPr>
          <w:rFonts w:hint="eastAsia"/>
        </w:rPr>
      </w:pPr>
      <w:r>
        <w:t>5．合格的投标供应商</w:t>
      </w:r>
    </w:p>
    <w:p>
      <w:pPr>
        <w:widowControl w:val="0"/>
        <w:shd w:val="clear" w:color="auto" w:fill="auto"/>
        <w:tabs>
          <w:tab w:val="clear" w:pos="426"/>
        </w:tabs>
        <w:autoSpaceDE w:val="0"/>
        <w:autoSpaceDN w:val="0"/>
        <w:rPr>
          <w:rFonts w:hint="eastAsia"/>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rFonts w:hint="eastAsia"/>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rFonts w:hint="eastAsia"/>
          <w:szCs w:val="21"/>
        </w:rPr>
      </w:pPr>
      <w:r>
        <w:rPr>
          <w:szCs w:val="21"/>
        </w:rPr>
        <w:t>5.2.1 具有独立承担民事责任的能力。</w:t>
      </w:r>
    </w:p>
    <w:p>
      <w:pPr>
        <w:widowControl w:val="0"/>
        <w:shd w:val="clear" w:color="auto" w:fill="auto"/>
        <w:tabs>
          <w:tab w:val="clear" w:pos="426"/>
        </w:tabs>
        <w:autoSpaceDE w:val="0"/>
        <w:autoSpaceDN w:val="0"/>
        <w:rPr>
          <w:rFonts w:hint="eastAsia"/>
          <w:szCs w:val="21"/>
        </w:rPr>
      </w:pPr>
      <w:r>
        <w:rPr>
          <w:szCs w:val="21"/>
        </w:rPr>
        <w:t>5.2.2 具有良好的商业信誉和健全的财务会计制度</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5.2.3 具有履行合同所必需的</w:t>
      </w:r>
      <w:r>
        <w:rPr>
          <w:rFonts w:hint="eastAsia"/>
          <w:szCs w:val="21"/>
        </w:rPr>
        <w:t>设备</w:t>
      </w:r>
      <w:r>
        <w:rPr>
          <w:szCs w:val="21"/>
        </w:rPr>
        <w:t>和专业技术能力</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5.2.4 有依法缴纳税收和社会保障资金的良好记录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5.2.5 参加采购活动前三年内，在经营活动中没有重大违法记录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5.2.6 法律、行政法规规定的其他条件</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rFonts w:hint="eastAsia"/>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rFonts w:hint="eastAsia"/>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rFonts w:hint="eastAsia"/>
          <w:szCs w:val="21"/>
        </w:rPr>
      </w:pPr>
      <w:r>
        <w:rPr>
          <w:szCs w:val="21"/>
        </w:rPr>
        <w:t xml:space="preserve">5.3 </w:t>
      </w:r>
      <w:r>
        <w:rPr>
          <w:rFonts w:hint="eastAsia"/>
          <w:szCs w:val="21"/>
        </w:rPr>
        <w:t>中标供应商是指经法定程序确定并授予合同的投标供应商。</w:t>
      </w:r>
    </w:p>
    <w:p>
      <w:pPr>
        <w:tabs>
          <w:tab w:val="clear" w:pos="426"/>
        </w:tabs>
        <w:rPr>
          <w:rFonts w:hint="eastAsia"/>
        </w:rPr>
      </w:pPr>
      <w:r>
        <w:t>6．联合体投标</w:t>
      </w:r>
    </w:p>
    <w:p>
      <w:pPr>
        <w:tabs>
          <w:tab w:val="clear" w:pos="426"/>
        </w:tabs>
        <w:rPr>
          <w:rFonts w:hint="eastAsia"/>
        </w:rPr>
      </w:pPr>
      <w:r>
        <w:t>6.1　以下有关联合体投标的条款仅适用于允许投标供应商组成联合体投标的项目。</w:t>
      </w:r>
    </w:p>
    <w:p>
      <w:pPr>
        <w:tabs>
          <w:tab w:val="clear" w:pos="426"/>
        </w:tabs>
        <w:rPr>
          <w:rFonts w:hint="eastAsia"/>
        </w:rPr>
      </w:pPr>
      <w:r>
        <w:t>6.2　由两个或两个以上的自然人、法人或者其他组织可以组成一个联合体，以一个供应商的身份共同投标时，应符合以下原则：</w:t>
      </w:r>
    </w:p>
    <w:p>
      <w:pPr>
        <w:tabs>
          <w:tab w:val="clear" w:pos="426"/>
        </w:tabs>
        <w:rPr>
          <w:rFonts w:hint="eastAsia"/>
        </w:rPr>
      </w:pPr>
      <w:r>
        <w:t>6.2.</w:t>
      </w:r>
      <w:r>
        <w:rPr>
          <w:bCs/>
        </w:rPr>
        <w:t>1投标联合体应满足采购公告有关投标供应商资格要求中对联合体的要求；</w:t>
      </w:r>
    </w:p>
    <w:p>
      <w:pPr>
        <w:tabs>
          <w:tab w:val="clear" w:pos="426"/>
        </w:tabs>
        <w:rPr>
          <w:rFonts w:hint="eastAsia"/>
        </w:rPr>
      </w:pPr>
      <w: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rPr>
          <w:rFonts w:hint="eastAsia"/>
        </w:rPr>
      </w:pPr>
      <w:r>
        <w:t>6.2.3投标供应商的投标文件及中标后签署的合同协议对联合体各方均具法律约束力；</w:t>
      </w:r>
    </w:p>
    <w:p>
      <w:pPr>
        <w:tabs>
          <w:tab w:val="clear" w:pos="426"/>
        </w:tabs>
        <w:rPr>
          <w:rFonts w:hint="eastAsia"/>
        </w:rPr>
      </w:pPr>
      <w:r>
        <w:t>6.2.4联合体各方应当签订共同投标协议，明确约定各方拟承担的工作和责任，并将该共同投标协议随投标文件一并递交给代理机构；</w:t>
      </w:r>
    </w:p>
    <w:p>
      <w:pPr>
        <w:tabs>
          <w:tab w:val="clear" w:pos="426"/>
        </w:tabs>
        <w:rPr>
          <w:rFonts w:hint="eastAsia"/>
        </w:rPr>
      </w:pPr>
      <w: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rPr>
          <w:rFonts w:hint="eastAsia"/>
        </w:rPr>
      </w:pPr>
      <w: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rFonts w:hint="eastAsia"/>
        </w:rPr>
      </w:pPr>
      <w:r>
        <w:t>6.2.7除非另有规定或说明，本须知中“投标供应商”一词亦指联合体各方。</w:t>
      </w:r>
    </w:p>
    <w:p>
      <w:pPr>
        <w:tabs>
          <w:tab w:val="clear" w:pos="426"/>
        </w:tabs>
        <w:rPr>
          <w:rFonts w:hint="eastAsia"/>
        </w:rPr>
      </w:pPr>
      <w:r>
        <w:t xml:space="preserve">7. </w:t>
      </w:r>
      <w:r>
        <w:rPr>
          <w:rFonts w:hint="eastAsia"/>
        </w:rPr>
        <w:t>合格的服务和货物</w:t>
      </w:r>
    </w:p>
    <w:p>
      <w:pPr>
        <w:widowControl w:val="0"/>
        <w:shd w:val="clear" w:color="auto" w:fill="auto"/>
        <w:tabs>
          <w:tab w:val="clear" w:pos="426"/>
        </w:tabs>
        <w:autoSpaceDE w:val="0"/>
        <w:autoSpaceDN w:val="0"/>
        <w:rPr>
          <w:rFonts w:hint="eastAsia"/>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hint="eastAsia"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rFonts w:hint="eastAsia"/>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rFonts w:hint="eastAsia"/>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rFonts w:hint="eastAsia"/>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rPr>
          <w:rFonts w:hint="eastAsia"/>
        </w:rPr>
      </w:pPr>
      <w:r>
        <w:t>8．投标费用</w:t>
      </w:r>
    </w:p>
    <w:p>
      <w:pPr>
        <w:tabs>
          <w:tab w:val="clear" w:pos="426"/>
        </w:tabs>
        <w:rPr>
          <w:rFonts w:hint="eastAsia"/>
        </w:rPr>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rPr>
          <w:rFonts w:hint="eastAsia"/>
        </w:rPr>
      </w:pPr>
      <w:r>
        <w:t>9．踏勘现场</w:t>
      </w:r>
    </w:p>
    <w:p>
      <w:pPr>
        <w:tabs>
          <w:tab w:val="clear" w:pos="426"/>
        </w:tabs>
        <w:rPr>
          <w:rFonts w:hint="eastAsia"/>
        </w:rPr>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rPr>
          <w:rFonts w:hint="eastAsia"/>
        </w:rPr>
      </w:pPr>
      <w:r>
        <w:t>9.2投标供应商及其人员经过采购单位的允许，可以踏勘目的进入采购单位的项目现场。若本项目招标文件要求投标供应商于统一时间地点踏勘现场的，投标供应商按时前往。</w:t>
      </w:r>
    </w:p>
    <w:p>
      <w:pPr>
        <w:tabs>
          <w:tab w:val="clear" w:pos="426"/>
        </w:tabs>
        <w:rPr>
          <w:rFonts w:hint="eastAsia"/>
        </w:rPr>
      </w:pPr>
      <w:r>
        <w:t>9.3采购单位必须通过采购代理机构向投标供应商提供有关现场的资料和数据。</w:t>
      </w:r>
    </w:p>
    <w:p>
      <w:pPr>
        <w:tabs>
          <w:tab w:val="clear" w:pos="426"/>
        </w:tabs>
        <w:rPr>
          <w:rFonts w:hint="eastAsia"/>
        </w:rPr>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rPr>
          <w:rFonts w:hint="eastAsia"/>
        </w:rPr>
      </w:pPr>
      <w:r>
        <w:t xml:space="preserve">9.5 </w:t>
      </w:r>
      <w:r>
        <w:rPr>
          <w:rFonts w:hint="eastAsia"/>
        </w:rPr>
        <w:t>未参与现场踏勘不作为否定投标供应商资格的理由。</w:t>
      </w:r>
    </w:p>
    <w:p>
      <w:pPr>
        <w:tabs>
          <w:tab w:val="clear" w:pos="426"/>
        </w:tabs>
        <w:rPr>
          <w:rFonts w:hint="eastAsia"/>
        </w:rPr>
      </w:pPr>
      <w:r>
        <w:t>10．招标答疑</w:t>
      </w:r>
    </w:p>
    <w:p>
      <w:pPr>
        <w:tabs>
          <w:tab w:val="clear" w:pos="426"/>
        </w:tabs>
        <w:rPr>
          <w:rFonts w:hint="eastAsia"/>
        </w:rPr>
      </w:pPr>
      <w:r>
        <w:t>10.1招标答疑的目的是澄清、解答投标供应商在查阅招标文件后或现场踏勘中可能提出的与投标有关的疑问或询问。</w:t>
      </w:r>
    </w:p>
    <w:p>
      <w:pPr>
        <w:tabs>
          <w:tab w:val="clear" w:pos="426"/>
        </w:tabs>
        <w:rPr>
          <w:rFonts w:hint="eastAsia"/>
        </w:rPr>
      </w:pPr>
      <w:r>
        <w:t xml:space="preserve">10.2投标供应商提出的与投标有关的问题须在招标文件规定的答疑截止时间前以 </w:t>
      </w:r>
      <w:r>
        <w:rPr>
          <w:rFonts w:hint="eastAsia"/>
        </w:rPr>
        <w:t>“质疑函</w:t>
      </w:r>
      <w:r>
        <w:t>”</w:t>
      </w:r>
      <w:r>
        <w:rPr>
          <w:rFonts w:hint="eastAsia"/>
        </w:rPr>
        <w:t>的形式提交给采购代理机构，质疑函应该加盖质疑单位公章。</w:t>
      </w:r>
    </w:p>
    <w:p>
      <w:pPr>
        <w:tabs>
          <w:tab w:val="clear" w:pos="426"/>
        </w:tabs>
        <w:rPr>
          <w:rFonts w:hint="eastAsia"/>
        </w:rPr>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pPr>
        <w:tabs>
          <w:tab w:val="clear" w:pos="426"/>
        </w:tabs>
        <w:rPr>
          <w:rFonts w:hint="eastAsia"/>
        </w:rPr>
      </w:pPr>
      <w:r>
        <w:t>10.4如采购代理机构认为有必要组织现场答疑会，投标供应商应按照招标文件规定的时间或采购代理机构另行书面通知（包括网站发布的通知）的时间和地点，参与现场答疑会。</w:t>
      </w:r>
    </w:p>
    <w:p>
      <w:pPr>
        <w:tabs>
          <w:tab w:val="clear" w:pos="426"/>
        </w:tabs>
        <w:rPr>
          <w:rFonts w:hint="eastAsia"/>
        </w:rPr>
      </w:pPr>
      <w:r>
        <w:t>10.5未参与招标答疑不作为否定投标供应商资格的理由。</w:t>
      </w:r>
    </w:p>
    <w:p>
      <w:pPr>
        <w:pStyle w:val="5"/>
        <w:tabs>
          <w:tab w:val="clear" w:pos="426"/>
        </w:tabs>
        <w:rPr>
          <w:rFonts w:hint="eastAsia"/>
        </w:rPr>
      </w:pPr>
      <w:bookmarkStart w:id="174" w:name="_Toc529280582"/>
      <w:bookmarkStart w:id="175" w:name="_Toc14427255"/>
      <w:bookmarkStart w:id="176" w:name="_Toc530152523"/>
      <w:bookmarkStart w:id="177" w:name="_Toc30000"/>
      <w:r>
        <w:rPr>
          <w:rFonts w:hint="eastAsia"/>
        </w:rPr>
        <w:t>第二章 招标文件</w:t>
      </w:r>
      <w:bookmarkEnd w:id="174"/>
      <w:bookmarkEnd w:id="175"/>
      <w:bookmarkEnd w:id="176"/>
      <w:bookmarkEnd w:id="177"/>
    </w:p>
    <w:p>
      <w:pPr>
        <w:tabs>
          <w:tab w:val="clear" w:pos="426"/>
        </w:tabs>
        <w:rPr>
          <w:rFonts w:hint="eastAsia"/>
        </w:rPr>
      </w:pPr>
      <w:r>
        <w:t>11．招标文件的编制与组成</w:t>
      </w:r>
    </w:p>
    <w:p>
      <w:pPr>
        <w:tabs>
          <w:tab w:val="clear" w:pos="426"/>
        </w:tabs>
        <w:rPr>
          <w:rFonts w:hint="eastAsia"/>
        </w:rPr>
      </w:pPr>
      <w:r>
        <w:t>11.1招标文件除以下内容外，采购代理机构在招标（或谈判）期间发出的答疑纪要和其他补充修改函件，均是招标文件的组成部分，对投标供应商起约束作用；</w:t>
      </w:r>
    </w:p>
    <w:p>
      <w:pPr>
        <w:tabs>
          <w:tab w:val="clear" w:pos="426"/>
        </w:tabs>
        <w:rPr>
          <w:rFonts w:hint="eastAsia"/>
        </w:rPr>
      </w:pPr>
      <w:r>
        <w:rPr>
          <w:rFonts w:hint="eastAsia"/>
        </w:rPr>
        <w:t>招标文件包括下列内容：</w:t>
      </w:r>
    </w:p>
    <w:p>
      <w:pPr>
        <w:tabs>
          <w:tab w:val="clear" w:pos="426"/>
        </w:tabs>
        <w:rPr>
          <w:rFonts w:hint="eastAsia"/>
        </w:rPr>
      </w:pPr>
      <w:r>
        <w:rPr>
          <w:rFonts w:hint="eastAsia"/>
        </w:rPr>
        <w:t>项目关键信息</w:t>
      </w:r>
    </w:p>
    <w:p>
      <w:pPr>
        <w:tabs>
          <w:tab w:val="clear" w:pos="426"/>
        </w:tabs>
        <w:rPr>
          <w:rFonts w:hint="eastAsia"/>
        </w:rPr>
      </w:pPr>
      <w:r>
        <w:rPr>
          <w:rFonts w:hint="eastAsia"/>
        </w:rPr>
        <w:t>招标文件第一册（专用部分）</w:t>
      </w:r>
    </w:p>
    <w:p>
      <w:pPr>
        <w:tabs>
          <w:tab w:val="clear" w:pos="426"/>
        </w:tabs>
        <w:rPr>
          <w:rFonts w:hint="eastAsia"/>
        </w:rPr>
      </w:pPr>
      <w:r>
        <w:rPr>
          <w:rFonts w:hint="eastAsia"/>
        </w:rPr>
        <w:t>第一章 投标邀请</w:t>
      </w:r>
    </w:p>
    <w:p>
      <w:pPr>
        <w:tabs>
          <w:tab w:val="clear" w:pos="426"/>
        </w:tabs>
        <w:rPr>
          <w:rFonts w:hint="eastAsia"/>
        </w:rPr>
      </w:pPr>
      <w:r>
        <w:rPr>
          <w:rFonts w:hint="eastAsia"/>
        </w:rPr>
        <w:t>第二章 项目需求</w:t>
      </w:r>
    </w:p>
    <w:p>
      <w:pPr>
        <w:tabs>
          <w:tab w:val="clear" w:pos="426"/>
        </w:tabs>
        <w:rPr>
          <w:rFonts w:hint="eastAsia"/>
        </w:rPr>
      </w:pPr>
      <w:r>
        <w:rPr>
          <w:rFonts w:hint="eastAsia"/>
        </w:rPr>
        <w:t>第三章 定价方式、合同类型和风险管理措施</w:t>
      </w:r>
    </w:p>
    <w:p>
      <w:pPr>
        <w:tabs>
          <w:tab w:val="clear" w:pos="426"/>
        </w:tabs>
        <w:rPr>
          <w:rFonts w:hint="eastAsia"/>
        </w:rPr>
      </w:pPr>
      <w:r>
        <w:rPr>
          <w:rFonts w:hint="eastAsia"/>
        </w:rPr>
        <w:t>第四章 资格审查和评标方法</w:t>
      </w:r>
    </w:p>
    <w:p>
      <w:pPr>
        <w:tabs>
          <w:tab w:val="clear" w:pos="426"/>
        </w:tabs>
        <w:rPr>
          <w:rFonts w:hint="eastAsia"/>
        </w:rPr>
      </w:pPr>
      <w:r>
        <w:rPr>
          <w:rFonts w:hint="eastAsia"/>
        </w:rPr>
        <w:t>第五章 合同文本</w:t>
      </w:r>
    </w:p>
    <w:p>
      <w:pPr>
        <w:tabs>
          <w:tab w:val="clear" w:pos="426"/>
        </w:tabs>
        <w:rPr>
          <w:rFonts w:hint="eastAsia"/>
        </w:rPr>
      </w:pPr>
      <w:r>
        <w:rPr>
          <w:rFonts w:hint="eastAsia"/>
        </w:rPr>
        <w:t>第六章 投标资料表</w:t>
      </w:r>
    </w:p>
    <w:p>
      <w:pPr>
        <w:tabs>
          <w:tab w:val="clear" w:pos="426"/>
        </w:tabs>
        <w:rPr>
          <w:rFonts w:hint="eastAsia"/>
        </w:rPr>
      </w:pPr>
      <w:r>
        <w:rPr>
          <w:rFonts w:hint="eastAsia"/>
        </w:rPr>
        <w:t>第七章 投标文件格式</w:t>
      </w:r>
    </w:p>
    <w:p>
      <w:pPr>
        <w:tabs>
          <w:tab w:val="clear" w:pos="426"/>
        </w:tabs>
        <w:rPr>
          <w:rFonts w:hint="eastAsia"/>
        </w:rPr>
      </w:pPr>
      <w:r>
        <w:rPr>
          <w:rFonts w:hint="eastAsia"/>
        </w:rPr>
        <w:t>招标文件第二册（通用部分）</w:t>
      </w:r>
    </w:p>
    <w:p>
      <w:pPr>
        <w:tabs>
          <w:tab w:val="clear" w:pos="426"/>
        </w:tabs>
        <w:rPr>
          <w:rFonts w:hint="eastAsia"/>
        </w:rPr>
      </w:pPr>
      <w:r>
        <w:rPr>
          <w:rFonts w:hint="eastAsia"/>
        </w:rPr>
        <w:t>第一章 总则</w:t>
      </w:r>
    </w:p>
    <w:p>
      <w:pPr>
        <w:tabs>
          <w:tab w:val="clear" w:pos="426"/>
        </w:tabs>
        <w:rPr>
          <w:rFonts w:hint="eastAsia"/>
        </w:rPr>
      </w:pPr>
      <w:r>
        <w:rPr>
          <w:rFonts w:hint="eastAsia"/>
        </w:rPr>
        <w:t>第二章 招标文件</w:t>
      </w:r>
    </w:p>
    <w:p>
      <w:pPr>
        <w:tabs>
          <w:tab w:val="clear" w:pos="426"/>
        </w:tabs>
        <w:rPr>
          <w:rFonts w:hint="eastAsia"/>
        </w:rPr>
      </w:pPr>
      <w:r>
        <w:rPr>
          <w:rFonts w:hint="eastAsia"/>
        </w:rPr>
        <w:t>第三章 投标文件的编制与递交</w:t>
      </w:r>
    </w:p>
    <w:p>
      <w:pPr>
        <w:tabs>
          <w:tab w:val="clear" w:pos="426"/>
        </w:tabs>
        <w:rPr>
          <w:rFonts w:hint="eastAsia"/>
        </w:rPr>
      </w:pPr>
      <w:r>
        <w:rPr>
          <w:rFonts w:hint="eastAsia"/>
        </w:rPr>
        <w:t>第四章 开标</w:t>
      </w:r>
    </w:p>
    <w:p>
      <w:pPr>
        <w:tabs>
          <w:tab w:val="clear" w:pos="426"/>
        </w:tabs>
        <w:rPr>
          <w:rFonts w:hint="eastAsia"/>
        </w:rPr>
      </w:pPr>
      <w:r>
        <w:rPr>
          <w:rFonts w:hint="eastAsia"/>
        </w:rPr>
        <w:t>第五章 评标要求</w:t>
      </w:r>
    </w:p>
    <w:p>
      <w:pPr>
        <w:tabs>
          <w:tab w:val="clear" w:pos="426"/>
        </w:tabs>
        <w:rPr>
          <w:rFonts w:hint="eastAsia"/>
        </w:rPr>
      </w:pPr>
      <w:r>
        <w:rPr>
          <w:rFonts w:hint="eastAsia"/>
        </w:rPr>
        <w:t>第六章 评标程序及评标方法</w:t>
      </w:r>
    </w:p>
    <w:p>
      <w:pPr>
        <w:tabs>
          <w:tab w:val="clear" w:pos="426"/>
        </w:tabs>
        <w:rPr>
          <w:rFonts w:hint="eastAsia"/>
        </w:rPr>
      </w:pPr>
      <w:r>
        <w:rPr>
          <w:rFonts w:hint="eastAsia"/>
        </w:rPr>
        <w:t>第七章 定标及公示</w:t>
      </w:r>
    </w:p>
    <w:p>
      <w:pPr>
        <w:tabs>
          <w:tab w:val="clear" w:pos="426"/>
        </w:tabs>
        <w:rPr>
          <w:rFonts w:hint="eastAsia"/>
        </w:rPr>
      </w:pPr>
      <w:r>
        <w:rPr>
          <w:rFonts w:hint="eastAsia"/>
        </w:rPr>
        <w:t>第八章 公开招标失败的后续处理</w:t>
      </w:r>
    </w:p>
    <w:p>
      <w:pPr>
        <w:tabs>
          <w:tab w:val="clear" w:pos="426"/>
        </w:tabs>
        <w:rPr>
          <w:rFonts w:hint="eastAsia"/>
        </w:rPr>
      </w:pPr>
      <w:r>
        <w:rPr>
          <w:rFonts w:hint="eastAsia"/>
        </w:rPr>
        <w:t>第九章 合同的授予与备案</w:t>
      </w:r>
    </w:p>
    <w:p>
      <w:pPr>
        <w:tabs>
          <w:tab w:val="clear" w:pos="426"/>
        </w:tabs>
        <w:rPr>
          <w:rFonts w:hint="eastAsia"/>
        </w:rPr>
      </w:pPr>
      <w:r>
        <w:rPr>
          <w:rFonts w:hint="eastAsia"/>
        </w:rPr>
        <w:t>第十章 质疑受理</w:t>
      </w:r>
    </w:p>
    <w:p>
      <w:pPr>
        <w:tabs>
          <w:tab w:val="clear" w:pos="426"/>
        </w:tabs>
        <w:rPr>
          <w:rFonts w:hint="eastAsia"/>
        </w:rPr>
      </w:pPr>
      <w:r>
        <w:rPr>
          <w:rFonts w:hint="eastAsia"/>
        </w:rPr>
        <w:t>招标代理服务取费说明</w:t>
      </w:r>
    </w:p>
    <w:p>
      <w:pPr>
        <w:tabs>
          <w:tab w:val="clear" w:pos="426"/>
        </w:tabs>
        <w:rPr>
          <w:rFonts w:hint="eastAsia"/>
        </w:rPr>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rFonts w:hint="eastAsia"/>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rPr>
          <w:rFonts w:hint="eastAsia"/>
        </w:rPr>
      </w:pPr>
      <w:r>
        <w:t>12．招标文件的澄清</w:t>
      </w:r>
    </w:p>
    <w:p>
      <w:pPr>
        <w:tabs>
          <w:tab w:val="clear" w:pos="426"/>
        </w:tabs>
        <w:rPr>
          <w:rFonts w:hint="eastAsia"/>
        </w:rPr>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rPr>
          <w:rFonts w:hint="eastAsia"/>
        </w:rPr>
      </w:pPr>
      <w:r>
        <w:t>12.2对于没有提出澄清又参与了该项目投标的供应商将被视为完全认同该招标文件（含澄清纪要），投标截止期后不再受理针对招标文件的相关质疑或投诉。</w:t>
      </w:r>
    </w:p>
    <w:p>
      <w:pPr>
        <w:tabs>
          <w:tab w:val="clear" w:pos="426"/>
        </w:tabs>
        <w:rPr>
          <w:rFonts w:hint="eastAsia"/>
        </w:rPr>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rPr>
          <w:rFonts w:hint="eastAsia"/>
        </w:rPr>
      </w:pPr>
      <w:r>
        <w:t>13．招标文件的修改</w:t>
      </w:r>
    </w:p>
    <w:p>
      <w:pPr>
        <w:tabs>
          <w:tab w:val="clear" w:pos="426"/>
        </w:tabs>
        <w:rPr>
          <w:rFonts w:hint="eastAsia"/>
        </w:rPr>
      </w:pPr>
      <w:r>
        <w:t>13.1招标文件发出后，在投标截止日期前任何时候，确需要变更招标内容的，采购代理机构可主动地或在解答投标供应商提出的澄清问题时对招标文件进行修改；</w:t>
      </w:r>
    </w:p>
    <w:p>
      <w:pPr>
        <w:tabs>
          <w:tab w:val="clear" w:pos="426"/>
        </w:tabs>
        <w:rPr>
          <w:rFonts w:hint="eastAsia"/>
        </w:rPr>
      </w:pPr>
      <w:r>
        <w:t>13.2招标文件的修改以书面形式（包括网站公开发布方式）发送给所有投标供应商，招标文件的修改内容作为招标文件的组成部分，并具有约束力。</w:t>
      </w:r>
    </w:p>
    <w:p>
      <w:pPr>
        <w:tabs>
          <w:tab w:val="clear" w:pos="426"/>
        </w:tabs>
        <w:rPr>
          <w:rFonts w:hint="eastAsia"/>
        </w:rPr>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rFonts w:hint="eastAsia"/>
        </w:rPr>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rPr>
          <w:rFonts w:hint="eastAsia"/>
        </w:rPr>
      </w:pPr>
      <w:bookmarkStart w:id="178" w:name="_Toc32273"/>
      <w:bookmarkStart w:id="179" w:name="_Toc529280583"/>
      <w:bookmarkStart w:id="180" w:name="_Toc530152524"/>
      <w:bookmarkStart w:id="181" w:name="_Toc14427256"/>
      <w:r>
        <w:rPr>
          <w:rFonts w:hint="eastAsia"/>
        </w:rPr>
        <w:t>第三章 投标文件的编制与递交</w:t>
      </w:r>
      <w:bookmarkEnd w:id="178"/>
      <w:bookmarkEnd w:id="179"/>
      <w:bookmarkEnd w:id="180"/>
      <w:bookmarkEnd w:id="181"/>
    </w:p>
    <w:p>
      <w:pPr>
        <w:tabs>
          <w:tab w:val="clear" w:pos="426"/>
        </w:tabs>
        <w:rPr>
          <w:rFonts w:hint="eastAsia"/>
        </w:rPr>
      </w:pPr>
      <w:r>
        <w:t>14．投标文件的语言及度量单位</w:t>
      </w:r>
    </w:p>
    <w:p>
      <w:pPr>
        <w:tabs>
          <w:tab w:val="clear" w:pos="426"/>
        </w:tabs>
        <w:rPr>
          <w:rFonts w:hint="eastAsia"/>
        </w:rPr>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rPr>
          <w:rFonts w:hint="eastAsia"/>
        </w:rPr>
      </w:pPr>
      <w:r>
        <w:t xml:space="preserve">14.2 </w:t>
      </w:r>
      <w:r>
        <w:rPr>
          <w:rFonts w:hint="eastAsia"/>
        </w:rPr>
        <w:t>除技术规范另有规定外，投标文件使用的度量单位，均采用中华人民共和国法定计量单位。</w:t>
      </w:r>
    </w:p>
    <w:p>
      <w:pPr>
        <w:tabs>
          <w:tab w:val="clear" w:pos="426"/>
        </w:tabs>
        <w:rPr>
          <w:rFonts w:hint="eastAsia"/>
        </w:rPr>
      </w:pPr>
      <w:r>
        <w:t>15．投标文件的组成</w:t>
      </w:r>
    </w:p>
    <w:p>
      <w:pPr>
        <w:tabs>
          <w:tab w:val="clear" w:pos="426"/>
        </w:tabs>
        <w:rPr>
          <w:rFonts w:hint="eastAsia"/>
        </w:rPr>
      </w:pPr>
      <w:r>
        <w:rPr>
          <w:rFonts w:hint="eastAsia"/>
        </w:rPr>
        <w:t>具体内容请详见本项目专用条款的相关内容。</w:t>
      </w:r>
    </w:p>
    <w:p>
      <w:pPr>
        <w:tabs>
          <w:tab w:val="clear" w:pos="426"/>
        </w:tabs>
        <w:rPr>
          <w:rFonts w:hint="eastAsia"/>
        </w:rPr>
      </w:pPr>
      <w:r>
        <w:t xml:space="preserve">16. </w:t>
      </w:r>
      <w:r>
        <w:rPr>
          <w:rFonts w:hint="eastAsia"/>
        </w:rPr>
        <w:t>投标文件格式</w:t>
      </w:r>
    </w:p>
    <w:p>
      <w:pPr>
        <w:tabs>
          <w:tab w:val="clear" w:pos="426"/>
        </w:tabs>
        <w:rPr>
          <w:rFonts w:hint="eastAsia"/>
        </w:rPr>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rPr>
          <w:rFonts w:hint="eastAsia"/>
        </w:rPr>
      </w:pPr>
      <w:r>
        <w:t>17．投标货币</w:t>
      </w:r>
    </w:p>
    <w:p>
      <w:pPr>
        <w:tabs>
          <w:tab w:val="clear" w:pos="426"/>
        </w:tabs>
        <w:rPr>
          <w:rFonts w:hint="eastAsia"/>
        </w:rPr>
      </w:pPr>
      <w:r>
        <w:rPr>
          <w:rFonts w:hint="eastAsia"/>
        </w:rPr>
        <w:t>本项目的投标应以人民币计。</w:t>
      </w:r>
    </w:p>
    <w:p>
      <w:pPr>
        <w:widowControl w:val="0"/>
        <w:shd w:val="clear" w:color="auto" w:fill="auto"/>
        <w:tabs>
          <w:tab w:val="clear" w:pos="426"/>
        </w:tabs>
        <w:autoSpaceDE w:val="0"/>
        <w:autoSpaceDN w:val="0"/>
        <w:rPr>
          <w:rFonts w:hint="eastAsia"/>
        </w:rPr>
      </w:pPr>
      <w:r>
        <w:t xml:space="preserve">18. </w:t>
      </w:r>
      <w:r>
        <w:rPr>
          <w:rFonts w:hint="eastAsia"/>
        </w:rPr>
        <w:t>证明投标供应商合格和资格的文件</w:t>
      </w:r>
    </w:p>
    <w:p>
      <w:pPr>
        <w:widowControl w:val="0"/>
        <w:shd w:val="clear" w:color="auto" w:fill="auto"/>
        <w:tabs>
          <w:tab w:val="clear" w:pos="426"/>
        </w:tabs>
        <w:autoSpaceDE w:val="0"/>
        <w:autoSpaceDN w:val="0"/>
        <w:rPr>
          <w:rFonts w:hint="eastAsia"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rFonts w:hint="eastAsia"/>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rPr>
          <w:rFonts w:hint="eastAsia"/>
        </w:rPr>
      </w:pPr>
      <w:r>
        <w:t>19．证明投标文件投标技术方案的合格性和符合招标文件规定的文件要求</w:t>
      </w:r>
    </w:p>
    <w:p>
      <w:pPr>
        <w:tabs>
          <w:tab w:val="clear" w:pos="426"/>
        </w:tabs>
        <w:rPr>
          <w:rFonts w:hint="eastAsia"/>
        </w:rPr>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rPr>
          <w:rFonts w:hint="eastAsia"/>
        </w:rPr>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rPr>
          <w:rFonts w:hint="eastAsia"/>
        </w:rPr>
      </w:pPr>
      <w:r>
        <w:t>19.2.1主要技术指标和性能的详细说明。</w:t>
      </w:r>
    </w:p>
    <w:p>
      <w:pPr>
        <w:tabs>
          <w:tab w:val="clear" w:pos="426"/>
        </w:tabs>
        <w:rPr>
          <w:rFonts w:hint="eastAsia"/>
        </w:rPr>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rPr>
          <w:rFonts w:hint="eastAsia"/>
        </w:rPr>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rPr>
          <w:rFonts w:hint="eastAsia"/>
        </w:rPr>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rFonts w:hint="eastAsia"/>
        </w:rPr>
      </w:pPr>
      <w:r>
        <w:t>19.2.5我国政府机构出具的产品检验和核准证件应为证件正面、背面和附件标注的全部具体内容；产品检验和核准证件应能清晰的阅读、识别和判断，提供原件复印件。</w:t>
      </w:r>
    </w:p>
    <w:p>
      <w:pPr>
        <w:tabs>
          <w:tab w:val="clear" w:pos="426"/>
        </w:tabs>
        <w:rPr>
          <w:rFonts w:hint="eastAsia"/>
        </w:rPr>
      </w:pPr>
      <w:r>
        <w:t>19.3相关资料不符合19.2款要求的，评标委员会有权认定为投标技术方案不合格响应，其相关分数予以扣减或作废标处理。</w:t>
      </w:r>
    </w:p>
    <w:p>
      <w:pPr>
        <w:tabs>
          <w:tab w:val="clear" w:pos="426"/>
        </w:tabs>
        <w:rPr>
          <w:rFonts w:hint="eastAsia"/>
        </w:rPr>
      </w:pPr>
      <w: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rPr>
          <w:rFonts w:hint="eastAsia"/>
        </w:rPr>
      </w:pPr>
      <w:r>
        <w:t>19.5投标供应商在阐述上述第18.2时应注意采购单位在技术规格中指出的工艺、材料和</w:t>
      </w:r>
      <w:r>
        <w:rPr>
          <w:rFonts w:hint="eastAsia"/>
        </w:rPr>
        <w:t>设备</w:t>
      </w:r>
      <w:r>
        <w:t>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rPr>
          <w:rFonts w:hint="eastAsia"/>
        </w:rPr>
      </w:pPr>
      <w:r>
        <w:t>19.6为保证公平公正，除非另有规定或说明，投标供应商对同一货物或服务投标时，不得同时提供两套或两套以上的投标方案。</w:t>
      </w:r>
    </w:p>
    <w:p>
      <w:pPr>
        <w:tabs>
          <w:tab w:val="clear" w:pos="426"/>
        </w:tabs>
        <w:rPr>
          <w:rFonts w:hint="eastAsia"/>
        </w:rPr>
      </w:pPr>
      <w:r>
        <w:t>20．投标文件其他证明文件的要求</w:t>
      </w:r>
    </w:p>
    <w:p>
      <w:pPr>
        <w:tabs>
          <w:tab w:val="clear" w:pos="426"/>
        </w:tabs>
        <w:rPr>
          <w:rFonts w:hint="eastAsia"/>
        </w:rPr>
      </w:pPr>
      <w: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rPr>
          <w:rFonts w:hint="eastAsia"/>
        </w:rPr>
      </w:pPr>
      <w: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rPr>
          <w:rFonts w:hint="eastAsia"/>
        </w:rPr>
      </w:pPr>
      <w:r>
        <w:t>21．投标有效期</w:t>
      </w:r>
    </w:p>
    <w:p>
      <w:pPr>
        <w:tabs>
          <w:tab w:val="clear" w:pos="426"/>
        </w:tabs>
        <w:rPr>
          <w:rFonts w:hint="eastAsia"/>
        </w:rPr>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rPr>
          <w:rFonts w:hint="eastAsia"/>
        </w:rPr>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pPr>
        <w:tabs>
          <w:tab w:val="clear" w:pos="426"/>
        </w:tabs>
        <w:rPr>
          <w:rFonts w:hint="eastAsia"/>
        </w:rPr>
      </w:pPr>
      <w:r>
        <w:t>21.3 中标单位的投标书有效期，截止于完成本招标文件规定的全部项目内容，并通过竣工验收及保修结束。</w:t>
      </w:r>
    </w:p>
    <w:p>
      <w:pPr>
        <w:tabs>
          <w:tab w:val="clear" w:pos="426"/>
        </w:tabs>
        <w:rPr>
          <w:rFonts w:hint="eastAsia"/>
        </w:rPr>
      </w:pPr>
      <w:r>
        <w:t>22．投标保证金</w:t>
      </w:r>
    </w:p>
    <w:p>
      <w:pPr>
        <w:tabs>
          <w:tab w:val="clear" w:pos="426"/>
        </w:tabs>
        <w:rPr>
          <w:rFonts w:hint="eastAsia"/>
        </w:rPr>
      </w:pPr>
      <w:r>
        <w:t>22.1投标保证金的缴纳：</w:t>
      </w:r>
      <w:r>
        <w:rPr>
          <w:rFonts w:hint="eastAsia"/>
          <w:b/>
        </w:rPr>
        <w:t>（本项目不适用）</w:t>
      </w:r>
    </w:p>
    <w:p>
      <w:pPr>
        <w:tabs>
          <w:tab w:val="clear" w:pos="426"/>
        </w:tabs>
        <w:rPr>
          <w:rFonts w:hint="eastAsia"/>
        </w:rPr>
      </w:pPr>
      <w:r>
        <w:t>22.1.1缴纳投标保证金的方式：参与投标前须缴纳</w:t>
      </w:r>
      <w:r>
        <w:rPr>
          <w:rFonts w:hint="eastAsia"/>
        </w:rPr>
        <w:t>/</w:t>
      </w:r>
      <w:r>
        <w:t>万元保证金，落标或中标项目完成后返还，参与投标前未缴纳的，其投标将不予受理。</w:t>
      </w:r>
    </w:p>
    <w:p>
      <w:pPr>
        <w:tabs>
          <w:tab w:val="clear" w:pos="426"/>
        </w:tabs>
        <w:rPr>
          <w:rFonts w:hint="eastAsia"/>
        </w:rPr>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pPr>
        <w:tabs>
          <w:tab w:val="clear" w:pos="426"/>
        </w:tabs>
        <w:rPr>
          <w:rFonts w:hint="eastAsia"/>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pPr>
        <w:tabs>
          <w:tab w:val="clear" w:pos="426"/>
        </w:tabs>
        <w:rPr>
          <w:rFonts w:hint="eastAsia"/>
        </w:rPr>
      </w:pPr>
      <w:r>
        <w:t>22.3如下列任何情况发生时，投标保证金将被没收。</w:t>
      </w:r>
    </w:p>
    <w:p>
      <w:pPr>
        <w:tabs>
          <w:tab w:val="clear" w:pos="426"/>
        </w:tabs>
        <w:rPr>
          <w:rFonts w:hint="eastAsia"/>
        </w:rPr>
      </w:pPr>
      <w:r>
        <w:t>1）投标供应商在招标文件中规定的投标有效期内撤回其投标；</w:t>
      </w:r>
    </w:p>
    <w:p>
      <w:pPr>
        <w:tabs>
          <w:tab w:val="clear" w:pos="426"/>
        </w:tabs>
        <w:rPr>
          <w:rFonts w:hint="eastAsia"/>
        </w:rPr>
      </w:pPr>
      <w:r>
        <w:t>2）中标供应商在规定期限内未能根据本项通用条款第47条规定签订合同；</w:t>
      </w:r>
    </w:p>
    <w:p>
      <w:pPr>
        <w:tabs>
          <w:tab w:val="clear" w:pos="426"/>
        </w:tabs>
        <w:rPr>
          <w:rFonts w:hint="eastAsia"/>
        </w:rPr>
      </w:pPr>
      <w:r>
        <w:t>3）投标供应商提供虚假投标文件或虚假补充文件：</w:t>
      </w:r>
    </w:p>
    <w:p>
      <w:pPr>
        <w:tabs>
          <w:tab w:val="clear" w:pos="426"/>
        </w:tabs>
        <w:rPr>
          <w:rFonts w:hint="eastAsia"/>
        </w:rPr>
      </w:pPr>
      <w:r>
        <w:t>4）投标供应商以谋取中标为目的的技术规格模糊响应（如有意照搬照抄招标文件的技术要求）或虚假响应的；</w:t>
      </w:r>
    </w:p>
    <w:p>
      <w:pPr>
        <w:tabs>
          <w:tab w:val="clear" w:pos="426"/>
        </w:tabs>
        <w:rPr>
          <w:rFonts w:hint="eastAsia"/>
        </w:rPr>
      </w:pPr>
      <w:r>
        <w:t>5）投标供应商质疑投诉提供虚假情况。</w:t>
      </w:r>
    </w:p>
    <w:p>
      <w:pPr>
        <w:tabs>
          <w:tab w:val="clear" w:pos="426"/>
        </w:tabs>
        <w:rPr>
          <w:rFonts w:hint="eastAsia"/>
        </w:rPr>
      </w:pPr>
      <w:r>
        <w:t>22.4</w:t>
      </w:r>
      <w:r>
        <w:rPr>
          <w:rFonts w:hint="eastAsia"/>
        </w:rPr>
        <w:t>不再收取</w:t>
      </w:r>
      <w:r>
        <w:t>投标保证金</w:t>
      </w:r>
      <w:r>
        <w:rPr>
          <w:rFonts w:hint="eastAsia"/>
        </w:rPr>
        <w:t>。</w:t>
      </w:r>
    </w:p>
    <w:p>
      <w:pPr>
        <w:tabs>
          <w:tab w:val="clear" w:pos="426"/>
        </w:tabs>
        <w:rPr>
          <w:rFonts w:hint="eastAsia"/>
        </w:rPr>
      </w:pPr>
      <w:r>
        <w:t>23．投标供应商的替代方案</w:t>
      </w:r>
    </w:p>
    <w:p>
      <w:pPr>
        <w:tabs>
          <w:tab w:val="clear" w:pos="426"/>
        </w:tabs>
        <w:rPr>
          <w:rFonts w:hint="eastAsia"/>
        </w:rPr>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rFonts w:hint="eastAsia"/>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rPr>
          <w:rFonts w:hint="eastAsia"/>
        </w:rPr>
      </w:pPr>
      <w:r>
        <w:t xml:space="preserve">24． </w:t>
      </w:r>
      <w:r>
        <w:rPr>
          <w:rFonts w:hint="eastAsia"/>
        </w:rPr>
        <w:t>投标文件的密封、标记和装订</w:t>
      </w:r>
    </w:p>
    <w:p>
      <w:pPr>
        <w:widowControl w:val="0"/>
        <w:shd w:val="clear" w:color="auto" w:fill="auto"/>
        <w:tabs>
          <w:tab w:val="clear" w:pos="426"/>
        </w:tabs>
        <w:autoSpaceDE w:val="0"/>
        <w:autoSpaceDN w:val="0"/>
        <w:rPr>
          <w:rFonts w:hint="eastAsia"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rFonts w:hint="eastAsia"/>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A4篇幅装订成一册，装订应牢固不可拆卸。装订好的投标文件密封包装在一个外密封袋中，并在外密封袋上注明：</w:t>
      </w:r>
    </w:p>
    <w:p>
      <w:pPr>
        <w:tabs>
          <w:tab w:val="clear" w:pos="426"/>
        </w:tabs>
        <w:rPr>
          <w:rFonts w:hint="eastAsia"/>
        </w:rPr>
      </w:pPr>
      <w:r>
        <w:rPr>
          <w:rFonts w:hint="eastAsia"/>
        </w:rPr>
        <w:t>投标文件</w:t>
      </w:r>
    </w:p>
    <w:p>
      <w:pPr>
        <w:tabs>
          <w:tab w:val="clear" w:pos="426"/>
        </w:tabs>
        <w:rPr>
          <w:rFonts w:hint="eastAsia"/>
        </w:rPr>
      </w:pPr>
      <w:r>
        <w:rPr>
          <w:rFonts w:hint="eastAsia"/>
        </w:rPr>
        <w:t>项目编号：</w:t>
      </w:r>
    </w:p>
    <w:p>
      <w:pPr>
        <w:tabs>
          <w:tab w:val="clear" w:pos="426"/>
        </w:tabs>
        <w:rPr>
          <w:rFonts w:hint="eastAsia"/>
        </w:rPr>
      </w:pPr>
      <w:r>
        <w:rPr>
          <w:rFonts w:hint="eastAsia"/>
        </w:rPr>
        <w:t>项目名称：</w:t>
      </w:r>
    </w:p>
    <w:p>
      <w:pPr>
        <w:tabs>
          <w:tab w:val="clear" w:pos="426"/>
        </w:tabs>
        <w:rPr>
          <w:rFonts w:hint="eastAsia"/>
        </w:rPr>
      </w:pPr>
      <w:r>
        <w:rPr>
          <w:rFonts w:hint="eastAsia"/>
        </w:rPr>
        <w:t>投标供应商名称（盖章）：</w:t>
      </w:r>
    </w:p>
    <w:p>
      <w:pPr>
        <w:tabs>
          <w:tab w:val="clear" w:pos="426"/>
        </w:tabs>
        <w:rPr>
          <w:rFonts w:hint="eastAsia"/>
        </w:rPr>
      </w:pPr>
      <w:r>
        <w:rPr>
          <w:rFonts w:hint="eastAsia"/>
        </w:rPr>
        <w:t>投标截止时间：</w:t>
      </w:r>
      <w:r>
        <w:rPr>
          <w:u w:val="single"/>
        </w:rPr>
        <w:t>_______年______月______日______时______分（前不得开封）</w:t>
      </w:r>
      <w:r>
        <w:rPr>
          <w:rFonts w:hint="eastAsia"/>
        </w:rPr>
        <w:t>。</w:t>
      </w:r>
    </w:p>
    <w:p>
      <w:pPr>
        <w:tabs>
          <w:tab w:val="clear" w:pos="426"/>
        </w:tabs>
        <w:rPr>
          <w:rFonts w:hint="eastAsia"/>
        </w:rPr>
      </w:pPr>
      <w:r>
        <w:t xml:space="preserve">24.3  </w:t>
      </w:r>
      <w:r>
        <w:rPr>
          <w:rFonts w:hint="eastAsia"/>
        </w:rPr>
        <w:t>所有投标文件的密封袋的封口处均应加盖投标供应商公章。</w:t>
      </w:r>
    </w:p>
    <w:p>
      <w:pPr>
        <w:tabs>
          <w:tab w:val="clear" w:pos="426"/>
        </w:tabs>
        <w:rPr>
          <w:rFonts w:hint="eastAsia"/>
        </w:rPr>
      </w:pPr>
      <w:r>
        <w:t xml:space="preserve">24.4  </w:t>
      </w:r>
      <w:r>
        <w:rPr>
          <w:rFonts w:hint="eastAsia"/>
        </w:rPr>
        <w:t>对于因标书标识不清、装订不牢、密封不严等导致的不利后果由该投标供应商自负。</w:t>
      </w:r>
    </w:p>
    <w:p>
      <w:pPr>
        <w:tabs>
          <w:tab w:val="clear" w:pos="426"/>
        </w:tabs>
        <w:rPr>
          <w:rFonts w:hint="eastAsia"/>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pPr>
        <w:tabs>
          <w:tab w:val="clear" w:pos="426"/>
        </w:tabs>
        <w:rPr>
          <w:rFonts w:hint="eastAsia"/>
          <w:szCs w:val="21"/>
        </w:rPr>
      </w:pPr>
      <w:r>
        <w:rPr>
          <w:szCs w:val="21"/>
        </w:rPr>
        <w:t xml:space="preserve">24.6  </w:t>
      </w:r>
      <w:r>
        <w:rPr>
          <w:rFonts w:hint="eastAsia"/>
          <w:szCs w:val="21"/>
        </w:rPr>
        <w:t>邮寄、电报、电话、传真形式的投标概不接受。</w:t>
      </w:r>
    </w:p>
    <w:p>
      <w:pPr>
        <w:tabs>
          <w:tab w:val="clear" w:pos="426"/>
        </w:tabs>
        <w:rPr>
          <w:rFonts w:hint="eastAsia"/>
          <w:b/>
          <w:szCs w:val="21"/>
        </w:rPr>
      </w:pPr>
      <w:r>
        <w:rPr>
          <w:b/>
          <w:szCs w:val="21"/>
        </w:rPr>
        <w:t xml:space="preserve">24.7  </w:t>
      </w:r>
      <w:r>
        <w:rPr>
          <w:rFonts w:hint="eastAsia"/>
          <w:b/>
          <w:bCs/>
          <w:szCs w:val="21"/>
        </w:rPr>
        <w:t>投标文件电子版：电子光盘一张或U盘一个（WORD及投标文件正本盖章后的彩色复印件，复印件要求为</w:t>
      </w:r>
      <w:r>
        <w:rPr>
          <w:b/>
          <w:bCs/>
          <w:szCs w:val="21"/>
        </w:rPr>
        <w:t>PDF格式），请将该光盘放在开标信封中，并在光盘上标明项目编号、项目名称及投标供应商名称。</w:t>
      </w:r>
    </w:p>
    <w:p>
      <w:pPr>
        <w:tabs>
          <w:tab w:val="clear" w:pos="426"/>
        </w:tabs>
        <w:rPr>
          <w:rFonts w:hint="eastAsia"/>
          <w:szCs w:val="21"/>
        </w:rPr>
      </w:pPr>
      <w:r>
        <w:rPr>
          <w:szCs w:val="21"/>
        </w:rPr>
        <w:t xml:space="preserve">25． </w:t>
      </w:r>
      <w:r>
        <w:rPr>
          <w:rFonts w:hint="eastAsia"/>
          <w:szCs w:val="21"/>
        </w:rPr>
        <w:t>投标截止时间</w:t>
      </w:r>
    </w:p>
    <w:p>
      <w:pPr>
        <w:tabs>
          <w:tab w:val="clear" w:pos="426"/>
        </w:tabs>
        <w:rPr>
          <w:rFonts w:hint="eastAsia"/>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pPr>
        <w:tabs>
          <w:tab w:val="clear" w:pos="426"/>
        </w:tabs>
        <w:rPr>
          <w:rFonts w:hint="eastAsia"/>
          <w:szCs w:val="21"/>
        </w:rPr>
      </w:pPr>
      <w:r>
        <w:rPr>
          <w:szCs w:val="21"/>
        </w:rPr>
        <w:t>26．迟交的投标书</w:t>
      </w:r>
    </w:p>
    <w:p>
      <w:pPr>
        <w:tabs>
          <w:tab w:val="clear" w:pos="426"/>
        </w:tabs>
        <w:rPr>
          <w:rFonts w:hint="eastAsia"/>
          <w:szCs w:val="21"/>
        </w:rPr>
      </w:pPr>
      <w:r>
        <w:rPr>
          <w:szCs w:val="21"/>
        </w:rPr>
        <w:t xml:space="preserve">    按照本通用条款第25条规定，招标机构将拒绝并原封退回在其规定的投标截止期后收到的任何投标书。</w:t>
      </w:r>
    </w:p>
    <w:p>
      <w:pPr>
        <w:tabs>
          <w:tab w:val="clear" w:pos="426"/>
        </w:tabs>
        <w:rPr>
          <w:rFonts w:hint="eastAsia"/>
        </w:rPr>
      </w:pPr>
      <w:r>
        <w:t xml:space="preserve">27． </w:t>
      </w:r>
      <w:r>
        <w:rPr>
          <w:rFonts w:hint="eastAsia"/>
        </w:rPr>
        <w:t>投标文件的提交和截标时投标文件的数量要求</w:t>
      </w:r>
    </w:p>
    <w:p>
      <w:pPr>
        <w:tabs>
          <w:tab w:val="clear" w:pos="426"/>
        </w:tabs>
        <w:rPr>
          <w:rFonts w:hint="eastAsia"/>
        </w:rPr>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rPr>
          <w:rFonts w:hint="eastAsia"/>
        </w:rPr>
      </w:pPr>
      <w:r>
        <w:t>27.2  截标时</w:t>
      </w:r>
      <w:r>
        <w:rPr>
          <w:rFonts w:hint="eastAsia"/>
        </w:rPr>
        <w:t>递</w:t>
      </w:r>
      <w:r>
        <w:t>交标书的投标供应商数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投标供应商</w:t>
      </w:r>
      <w:r>
        <w:rPr>
          <w:rFonts w:hint="eastAsia"/>
        </w:rPr>
        <w:t>造成的损失。</w:t>
      </w:r>
    </w:p>
    <w:p>
      <w:pPr>
        <w:tabs>
          <w:tab w:val="clear" w:pos="426"/>
        </w:tabs>
        <w:rPr>
          <w:rFonts w:hint="eastAsia"/>
        </w:rPr>
      </w:pPr>
      <w:r>
        <w:t xml:space="preserve">28．  </w:t>
      </w:r>
      <w:r>
        <w:rPr>
          <w:rFonts w:hint="eastAsia"/>
        </w:rPr>
        <w:t>投标文件的修改或撤回</w:t>
      </w:r>
    </w:p>
    <w:p>
      <w:pPr>
        <w:tabs>
          <w:tab w:val="clear" w:pos="426"/>
        </w:tabs>
        <w:rPr>
          <w:rFonts w:hint="eastAsia"/>
        </w:rPr>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pPr>
        <w:tabs>
          <w:tab w:val="clear" w:pos="426"/>
        </w:tabs>
        <w:rPr>
          <w:rFonts w:hint="eastAsia"/>
        </w:rPr>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rPr>
          <w:rFonts w:hint="eastAsia"/>
        </w:rPr>
      </w:pPr>
      <w:r>
        <w:t xml:space="preserve">28.3  </w:t>
      </w:r>
      <w:r>
        <w:rPr>
          <w:rFonts w:hint="eastAsia"/>
        </w:rPr>
        <w:t>投标供应商的修改文件应按照本招标文件的规定进行编制、密封、标记和提交，并在密封袋上注明“投标修改”。</w:t>
      </w:r>
    </w:p>
    <w:p>
      <w:pPr>
        <w:tabs>
          <w:tab w:val="clear" w:pos="426"/>
        </w:tabs>
        <w:rPr>
          <w:rFonts w:hint="eastAsia"/>
        </w:rPr>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rPr>
          <w:rFonts w:hint="eastAsia"/>
        </w:rPr>
      </w:pPr>
      <w:r>
        <w:t xml:space="preserve">28.5  </w:t>
      </w:r>
      <w:r>
        <w:rPr>
          <w:rFonts w:hint="eastAsia"/>
        </w:rPr>
        <w:t>评标结束后，不论中标与否，投标供应商均不得收回投标文件。</w:t>
      </w:r>
    </w:p>
    <w:p>
      <w:pPr>
        <w:pStyle w:val="5"/>
        <w:tabs>
          <w:tab w:val="clear" w:pos="426"/>
        </w:tabs>
        <w:rPr>
          <w:rFonts w:hint="eastAsia"/>
        </w:rPr>
      </w:pPr>
      <w:bookmarkStart w:id="182" w:name="_Toc25044"/>
      <w:bookmarkStart w:id="183" w:name="_Toc530152525"/>
      <w:bookmarkStart w:id="184" w:name="_Toc529280584"/>
      <w:bookmarkStart w:id="185" w:name="_Toc14427257"/>
      <w:r>
        <w:rPr>
          <w:rFonts w:hint="eastAsia"/>
        </w:rPr>
        <w:t>第四章 开标</w:t>
      </w:r>
      <w:bookmarkEnd w:id="182"/>
      <w:bookmarkEnd w:id="183"/>
      <w:bookmarkEnd w:id="184"/>
      <w:bookmarkEnd w:id="185"/>
    </w:p>
    <w:p>
      <w:pPr>
        <w:tabs>
          <w:tab w:val="clear" w:pos="426"/>
        </w:tabs>
        <w:rPr>
          <w:rFonts w:hint="eastAsia"/>
        </w:rPr>
      </w:pPr>
      <w:r>
        <w:t>29．　开标</w:t>
      </w:r>
    </w:p>
    <w:p>
      <w:pPr>
        <w:tabs>
          <w:tab w:val="clear" w:pos="426"/>
        </w:tabs>
        <w:rPr>
          <w:rFonts w:hint="eastAsia"/>
        </w:rPr>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rPr>
          <w:rFonts w:hint="eastAsia"/>
        </w:rPr>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rPr>
          <w:rFonts w:hint="eastAsia"/>
        </w:rPr>
      </w:pPr>
      <w:r>
        <w:t xml:space="preserve">29.3  </w:t>
      </w:r>
      <w:r>
        <w:rPr>
          <w:rFonts w:hint="eastAsia"/>
        </w:rPr>
        <w:t>开标会由采购代理机构主持，开标程序如下：</w:t>
      </w:r>
    </w:p>
    <w:p>
      <w:pPr>
        <w:tabs>
          <w:tab w:val="clear" w:pos="426"/>
        </w:tabs>
        <w:rPr>
          <w:rFonts w:hint="eastAsia"/>
        </w:rPr>
      </w:pPr>
      <w:r>
        <w:t xml:space="preserve">29.3.1  采购代理机构核对法人代表或其授权代表身份证明，若不能提供相应的身份证明或不相符，则不能参与开标会议； </w:t>
      </w:r>
    </w:p>
    <w:p>
      <w:pPr>
        <w:tabs>
          <w:tab w:val="clear" w:pos="426"/>
        </w:tabs>
        <w:rPr>
          <w:rFonts w:hint="eastAsia"/>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rFonts w:hint="eastAsia"/>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rFonts w:hint="eastAsia"/>
          <w:szCs w:val="21"/>
        </w:rPr>
      </w:pPr>
      <w:r>
        <w:rPr>
          <w:rFonts w:hint="eastAsia"/>
          <w:szCs w:val="21"/>
        </w:rPr>
        <w:t>除了按照本通用条款第</w:t>
      </w:r>
      <w:r>
        <w:rPr>
          <w:szCs w:val="21"/>
        </w:rPr>
        <w:t>26条规定原封退回的投标之外，开标时将不得拒绝任何投标书。</w:t>
      </w:r>
    </w:p>
    <w:p>
      <w:pPr>
        <w:tabs>
          <w:tab w:val="clear" w:pos="426"/>
        </w:tabs>
        <w:rPr>
          <w:rFonts w:hint="eastAsia"/>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rFonts w:hint="eastAsia"/>
          <w:szCs w:val="21"/>
        </w:rPr>
      </w:pPr>
      <w:r>
        <w:rPr>
          <w:szCs w:val="21"/>
        </w:rPr>
        <w:t xml:space="preserve">29.3.5  </w:t>
      </w:r>
      <w:r>
        <w:rPr>
          <w:rFonts w:hint="eastAsia"/>
          <w:szCs w:val="21"/>
        </w:rPr>
        <w:t>按照投标供应商须知第</w:t>
      </w:r>
      <w:r>
        <w:rPr>
          <w:szCs w:val="21"/>
        </w:rPr>
        <w:t>28条规定，提交了可接受的“撤回”通知的投标将不予开封。</w:t>
      </w:r>
    </w:p>
    <w:p>
      <w:pPr>
        <w:tabs>
          <w:tab w:val="clear" w:pos="426"/>
        </w:tabs>
        <w:rPr>
          <w:rFonts w:hint="eastAsia"/>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rFonts w:hint="eastAsia"/>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pPr>
        <w:tabs>
          <w:tab w:val="clear" w:pos="426"/>
        </w:tabs>
        <w:rPr>
          <w:rFonts w:hint="eastAsia"/>
        </w:rPr>
      </w:pPr>
      <w:r>
        <w:t xml:space="preserve">29.3.8  </w:t>
      </w:r>
      <w:r>
        <w:rPr>
          <w:rFonts w:hint="eastAsia"/>
        </w:rPr>
        <w:t>供应商在开标过程中知道或者应知其权益受到损害时必须现场明确提出，未明确提出的，即视为认可开标结果。</w:t>
      </w:r>
    </w:p>
    <w:p>
      <w:pPr>
        <w:pStyle w:val="5"/>
        <w:tabs>
          <w:tab w:val="clear" w:pos="426"/>
        </w:tabs>
        <w:rPr>
          <w:rFonts w:hint="eastAsia"/>
        </w:rPr>
      </w:pPr>
      <w:bookmarkStart w:id="186" w:name="_Toc19980"/>
      <w:bookmarkStart w:id="187" w:name="_Toc14427258"/>
      <w:bookmarkStart w:id="188" w:name="_Toc529280585"/>
      <w:bookmarkStart w:id="189" w:name="_Toc530152526"/>
      <w:r>
        <w:rPr>
          <w:rFonts w:hint="eastAsia"/>
        </w:rPr>
        <w:t>第五章 评标要求</w:t>
      </w:r>
      <w:bookmarkEnd w:id="186"/>
      <w:bookmarkEnd w:id="187"/>
      <w:bookmarkEnd w:id="188"/>
      <w:bookmarkEnd w:id="189"/>
    </w:p>
    <w:p>
      <w:pPr>
        <w:tabs>
          <w:tab w:val="clear" w:pos="426"/>
        </w:tabs>
        <w:rPr>
          <w:rFonts w:hint="eastAsia"/>
        </w:rPr>
      </w:pPr>
      <w:r>
        <w:t>30．评标委员会组成</w:t>
      </w:r>
    </w:p>
    <w:p>
      <w:pPr>
        <w:tabs>
          <w:tab w:val="clear" w:pos="426"/>
        </w:tabs>
        <w:rPr>
          <w:rFonts w:hint="eastAsia"/>
        </w:rPr>
      </w:pPr>
      <w:r>
        <w:t>30.1开标结束后召开评标会议，评标委员会由采购代理机构依法组建，负责评标活动。</w:t>
      </w:r>
    </w:p>
    <w:p>
      <w:pPr>
        <w:tabs>
          <w:tab w:val="clear" w:pos="426"/>
        </w:tabs>
        <w:rPr>
          <w:rFonts w:hint="eastAsia"/>
        </w:rPr>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rPr>
          <w:rFonts w:hint="eastAsia"/>
        </w:rPr>
      </w:pPr>
      <w:r>
        <w:rPr>
          <w:rFonts w:hint="eastAsia"/>
        </w:rPr>
        <w:t>为保证评委人选的专业性，以及评标中的公平公正性，评标委员会成员从深圳市财政委员会评标专家库中随机抽取。</w:t>
      </w:r>
    </w:p>
    <w:p>
      <w:pPr>
        <w:tabs>
          <w:tab w:val="clear" w:pos="426"/>
        </w:tabs>
        <w:rPr>
          <w:rFonts w:hint="eastAsia"/>
        </w:rPr>
      </w:pPr>
      <w:r>
        <w:rPr>
          <w:rFonts w:hint="eastAsia"/>
        </w:rPr>
        <w:t>采购单位代表须持本单位签发的《评标授权书》参加评标。</w:t>
      </w:r>
    </w:p>
    <w:p>
      <w:pPr>
        <w:tabs>
          <w:tab w:val="clear" w:pos="426"/>
        </w:tabs>
        <w:rPr>
          <w:rFonts w:hint="eastAsia"/>
        </w:rPr>
      </w:pPr>
      <w:r>
        <w:rPr>
          <w:rFonts w:hint="eastAsia"/>
        </w:rPr>
        <w:t>采购单位无代表参与评标，应在开标前一天提交《采购单位不派评委参与项目评标承诺书》给采购代理机构。</w:t>
      </w:r>
    </w:p>
    <w:p>
      <w:pPr>
        <w:tabs>
          <w:tab w:val="clear" w:pos="426"/>
        </w:tabs>
        <w:rPr>
          <w:rFonts w:hint="eastAsia"/>
          <w:sz w:val="24"/>
        </w:rPr>
      </w:pPr>
      <w:r>
        <w:rPr>
          <w:rFonts w:hint="eastAsia"/>
        </w:rPr>
        <w:t>注：《评标授权书》《采购单位不派评委参与项目评标承诺书》模板由采购代理机构提供</w:t>
      </w:r>
      <w:r>
        <w:rPr>
          <w:rFonts w:hint="eastAsia"/>
          <w:sz w:val="24"/>
        </w:rPr>
        <w:t>。</w:t>
      </w:r>
    </w:p>
    <w:p>
      <w:pPr>
        <w:tabs>
          <w:tab w:val="clear" w:pos="426"/>
        </w:tabs>
        <w:rPr>
          <w:rFonts w:hint="eastAsia"/>
        </w:rPr>
      </w:pPr>
      <w:r>
        <w:t>30.2评标定标应当遵循公平、公正、科学、择优的原则。</w:t>
      </w:r>
    </w:p>
    <w:p>
      <w:pPr>
        <w:tabs>
          <w:tab w:val="clear" w:pos="426"/>
        </w:tabs>
        <w:rPr>
          <w:rFonts w:hint="eastAsia"/>
        </w:rPr>
      </w:pPr>
      <w:r>
        <w:t>30.3评标活动依法进行，任何单位和个人不得非法干预评标过程和结果。</w:t>
      </w:r>
    </w:p>
    <w:p>
      <w:pPr>
        <w:tabs>
          <w:tab w:val="clear" w:pos="426"/>
        </w:tabs>
        <w:rPr>
          <w:rFonts w:hint="eastAsia"/>
        </w:rPr>
      </w:pPr>
      <w:r>
        <w:t>30.4评标过程中不允许违背评标程序或采用招标文件未载明的评标方法或评标因素进行评标。</w:t>
      </w:r>
    </w:p>
    <w:p>
      <w:pPr>
        <w:tabs>
          <w:tab w:val="clear" w:pos="426"/>
        </w:tabs>
        <w:rPr>
          <w:rFonts w:hint="eastAsia"/>
        </w:rPr>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rPr>
          <w:rFonts w:hint="eastAsia"/>
        </w:rPr>
      </w:pPr>
      <w:r>
        <w:t>31．向评标委员会提供的资料</w:t>
      </w:r>
    </w:p>
    <w:p>
      <w:pPr>
        <w:tabs>
          <w:tab w:val="clear" w:pos="426"/>
        </w:tabs>
        <w:rPr>
          <w:rFonts w:hint="eastAsia"/>
        </w:rPr>
      </w:pPr>
      <w:r>
        <w:t>31.1公开发布的招标文件，包括图纸、服务清单、答疑文件等；</w:t>
      </w:r>
    </w:p>
    <w:p>
      <w:pPr>
        <w:tabs>
          <w:tab w:val="clear" w:pos="426"/>
        </w:tabs>
        <w:rPr>
          <w:rFonts w:hint="eastAsia"/>
        </w:rPr>
      </w:pPr>
      <w:r>
        <w:t>31.2其他评标必须的资料。</w:t>
      </w:r>
    </w:p>
    <w:p>
      <w:pPr>
        <w:tabs>
          <w:tab w:val="clear" w:pos="426"/>
        </w:tabs>
        <w:rPr>
          <w:rFonts w:hint="eastAsia"/>
        </w:rPr>
      </w:pPr>
      <w:r>
        <w:t>31.3评标委员会应当认真研究招标文件，至少应了解熟悉以下</w:t>
      </w:r>
      <w:r>
        <w:rPr>
          <w:rFonts w:hint="eastAsia"/>
        </w:rPr>
        <w:t>内容：</w:t>
      </w:r>
    </w:p>
    <w:p>
      <w:pPr>
        <w:tabs>
          <w:tab w:val="clear" w:pos="426"/>
        </w:tabs>
        <w:rPr>
          <w:rFonts w:hint="eastAsia"/>
        </w:rPr>
      </w:pPr>
      <w:r>
        <w:rPr>
          <w:rFonts w:hint="eastAsia"/>
        </w:rPr>
        <w:t>（1）招标的目的；</w:t>
      </w:r>
    </w:p>
    <w:p>
      <w:pPr>
        <w:tabs>
          <w:tab w:val="clear" w:pos="426"/>
        </w:tabs>
        <w:rPr>
          <w:rFonts w:hint="eastAsia"/>
        </w:rPr>
      </w:pPr>
      <w:r>
        <w:rPr>
          <w:rFonts w:hint="eastAsia"/>
        </w:rPr>
        <w:t>（2）招标项目需求的范围和性质；</w:t>
      </w:r>
    </w:p>
    <w:p>
      <w:pPr>
        <w:tabs>
          <w:tab w:val="clear" w:pos="426"/>
        </w:tabs>
        <w:rPr>
          <w:rFonts w:hint="eastAsia"/>
        </w:rPr>
      </w:pPr>
      <w:r>
        <w:rPr>
          <w:rFonts w:hint="eastAsia"/>
        </w:rPr>
        <w:t>（3）招标文件规定的投标供应商的资格、财政预算限额、商务条款；</w:t>
      </w:r>
    </w:p>
    <w:p>
      <w:pPr>
        <w:tabs>
          <w:tab w:val="clear" w:pos="426"/>
        </w:tabs>
        <w:rPr>
          <w:rFonts w:hint="eastAsia"/>
        </w:rPr>
      </w:pPr>
      <w:r>
        <w:rPr>
          <w:rFonts w:hint="eastAsia"/>
        </w:rPr>
        <w:t>（4）招标文件规定的评标程序、评标方法和评标因素；</w:t>
      </w:r>
    </w:p>
    <w:p>
      <w:pPr>
        <w:tabs>
          <w:tab w:val="clear" w:pos="426"/>
        </w:tabs>
        <w:rPr>
          <w:rFonts w:hint="eastAsia"/>
        </w:rPr>
      </w:pPr>
      <w:r>
        <w:rPr>
          <w:rFonts w:hint="eastAsia"/>
        </w:rPr>
        <w:t>（5）招标文件所列示的投标文件“资格、符合性评审条款”。</w:t>
      </w:r>
    </w:p>
    <w:p>
      <w:pPr>
        <w:tabs>
          <w:tab w:val="clear" w:pos="426"/>
        </w:tabs>
        <w:rPr>
          <w:rFonts w:hint="eastAsia"/>
        </w:rPr>
      </w:pPr>
      <w:r>
        <w:rPr>
          <w:rFonts w:hint="eastAsia"/>
        </w:rPr>
        <w:t>32．独立评标</w:t>
      </w:r>
    </w:p>
    <w:p>
      <w:pPr>
        <w:tabs>
          <w:tab w:val="clear" w:pos="426"/>
        </w:tabs>
        <w:rPr>
          <w:rFonts w:hint="eastAsia"/>
          <w:szCs w:val="21"/>
        </w:rPr>
      </w:pPr>
      <w:r>
        <w:rPr>
          <w:rFonts w:hint="eastAsia"/>
        </w:rPr>
        <w:t>32.1评标委员会成员的评标活动应当独立进行，并应遵循投标文件初审、澄清有关问题、比较与评价、确定中标候选供应商、编写评标报告的工作程序。</w:t>
      </w:r>
    </w:p>
    <w:p>
      <w:pPr>
        <w:pStyle w:val="5"/>
        <w:tabs>
          <w:tab w:val="clear" w:pos="426"/>
        </w:tabs>
        <w:rPr>
          <w:rFonts w:hint="eastAsia"/>
        </w:rPr>
      </w:pPr>
      <w:bookmarkStart w:id="190" w:name="_Toc530152527"/>
      <w:bookmarkStart w:id="191" w:name="_Toc529280586"/>
      <w:bookmarkStart w:id="192" w:name="_Toc14427259"/>
      <w:bookmarkStart w:id="193" w:name="_Toc19152"/>
      <w:r>
        <w:rPr>
          <w:rFonts w:hint="eastAsia"/>
        </w:rPr>
        <w:t>第六章 评标程序及评标方法</w:t>
      </w:r>
      <w:bookmarkEnd w:id="190"/>
      <w:bookmarkEnd w:id="191"/>
      <w:bookmarkEnd w:id="192"/>
      <w:bookmarkEnd w:id="193"/>
    </w:p>
    <w:p>
      <w:pPr>
        <w:tabs>
          <w:tab w:val="clear" w:pos="426"/>
        </w:tabs>
        <w:rPr>
          <w:rFonts w:hint="eastAsia"/>
        </w:rPr>
      </w:pPr>
      <w:r>
        <w:rPr>
          <w:rFonts w:hint="eastAsia"/>
        </w:rPr>
        <w:t>33．投标文件初审</w:t>
      </w:r>
    </w:p>
    <w:p>
      <w:pPr>
        <w:widowControl w:val="0"/>
        <w:shd w:val="clear" w:color="auto" w:fill="auto"/>
        <w:tabs>
          <w:tab w:val="clear" w:pos="426"/>
        </w:tabs>
        <w:autoSpaceDE w:val="0"/>
        <w:autoSpaceDN w:val="0"/>
        <w:rPr>
          <w:rFonts w:hint="eastAsia"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rFonts w:hint="eastAsia"/>
          <w:b/>
        </w:rPr>
      </w:pPr>
      <w:r>
        <w:rPr>
          <w:rFonts w:hint="eastAsia"/>
        </w:rPr>
        <w:t>33.2 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rPr>
          <w:rFonts w:hint="eastAsia"/>
        </w:rPr>
      </w:pPr>
      <w:r>
        <w:rPr>
          <w:rFonts w:hint="eastAsia"/>
        </w:rPr>
        <w:t>33.3 投标文件初审中关于供应商家数的计算。</w:t>
      </w:r>
    </w:p>
    <w:p>
      <w:pPr>
        <w:tabs>
          <w:tab w:val="clear" w:pos="426"/>
        </w:tabs>
        <w:rPr>
          <w:rFonts w:hint="eastAsia"/>
        </w:rPr>
      </w:pPr>
      <w:r>
        <w:rPr>
          <w:rFonts w:hint="eastAsia"/>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rPr>
          <w:rFonts w:hint="eastAsia"/>
        </w:rPr>
      </w:pPr>
      <w:r>
        <w:t>33.3.</w:t>
      </w:r>
      <w:r>
        <w:rPr>
          <w:rFonts w:hint="eastAsia"/>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rPr>
          <w:rFonts w:hint="eastAsia"/>
        </w:rPr>
      </w:pPr>
      <w:r>
        <w:t>33.3.</w:t>
      </w:r>
      <w:r>
        <w:rPr>
          <w:rFonts w:hint="eastAsia"/>
        </w:rPr>
        <w:t>3非单一产品采购项目，采购人应当根据采购项目技术构成、产品价格比重等合理确定核心产品，并在招标文件中载明。多家投标供应商提供的核心产品品牌相同的，按前两款规定处理。</w:t>
      </w:r>
    </w:p>
    <w:p>
      <w:pPr>
        <w:tabs>
          <w:tab w:val="clear" w:pos="426"/>
        </w:tabs>
        <w:rPr>
          <w:rFonts w:hint="eastAsia"/>
        </w:rPr>
      </w:pPr>
      <w:r>
        <w:rPr>
          <w:rFonts w:hint="eastAsia"/>
        </w:rPr>
        <w:t>33.3.4公开招标以外采购方式以及采购服务和工程涉及采购货物的项目，也按此方法计算供应商家数。</w:t>
      </w:r>
    </w:p>
    <w:p>
      <w:pPr>
        <w:tabs>
          <w:tab w:val="clear" w:pos="426"/>
        </w:tabs>
        <w:rPr>
          <w:rFonts w:hint="eastAsia"/>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rPr>
          <w:rFonts w:hint="eastAsia"/>
        </w:rPr>
      </w:pPr>
      <w:r>
        <w:rPr>
          <w:rFonts w:hint="eastAsia"/>
        </w:rPr>
        <w:t>34．澄清有关问题</w:t>
      </w:r>
    </w:p>
    <w:p>
      <w:pPr>
        <w:tabs>
          <w:tab w:val="clear" w:pos="426"/>
        </w:tabs>
        <w:rPr>
          <w:rFonts w:hint="eastAsia"/>
        </w:rPr>
      </w:pPr>
      <w:r>
        <w:rPr>
          <w:rFonts w:hint="eastAsia"/>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rFonts w:hint="eastAsia"/>
        </w:rPr>
      </w:pPr>
      <w:r>
        <w:rPr>
          <w:rFonts w:hint="eastAsia"/>
        </w:rPr>
        <w:t>35．错误的修正</w:t>
      </w:r>
    </w:p>
    <w:p>
      <w:pPr>
        <w:tabs>
          <w:tab w:val="clear" w:pos="426"/>
        </w:tabs>
        <w:rPr>
          <w:rFonts w:hint="eastAsia"/>
        </w:rPr>
      </w:pPr>
      <w:r>
        <w:rPr>
          <w:rFonts w:hint="eastAsia"/>
        </w:rPr>
        <w:t>35</w:t>
      </w:r>
      <w:r>
        <w:t xml:space="preserve">.1 </w:t>
      </w:r>
      <w:r>
        <w:rPr>
          <w:rFonts w:hint="eastAsia"/>
        </w:rPr>
        <w:t>评标委员会将审查投标文件是否完整、总体编排是否有序、文件签署是否合格、投标供应商是否提交了投标保证金、有无计算上的错误等。</w:t>
      </w:r>
    </w:p>
    <w:p>
      <w:pPr>
        <w:tabs>
          <w:tab w:val="clear" w:pos="426"/>
        </w:tabs>
        <w:rPr>
          <w:rFonts w:hint="eastAsia"/>
        </w:rPr>
      </w:pPr>
      <w:r>
        <w:rPr>
          <w:rFonts w:hint="eastAsia"/>
        </w:rPr>
        <w:t>35.2  算术错误将按以下方法更正（次序排先者优先）：</w:t>
      </w:r>
    </w:p>
    <w:p>
      <w:pPr>
        <w:tabs>
          <w:tab w:val="clear" w:pos="426"/>
        </w:tabs>
        <w:rPr>
          <w:rFonts w:hint="eastAsia"/>
        </w:rPr>
      </w:pPr>
      <w:r>
        <w:rPr>
          <w:rFonts w:hint="eastAsia"/>
        </w:rPr>
        <w:t>35.2.1投标文件中开标一览表（报价表）内容与投标文件中相应内容不一致的，以开标一览表（报价表）为准；</w:t>
      </w:r>
    </w:p>
    <w:p>
      <w:pPr>
        <w:tabs>
          <w:tab w:val="clear" w:pos="426"/>
        </w:tabs>
        <w:rPr>
          <w:rFonts w:hint="eastAsia"/>
        </w:rPr>
      </w:pPr>
      <w:r>
        <w:rPr>
          <w:rFonts w:hint="eastAsia"/>
        </w:rPr>
        <w:t>35.2.2大写金额和小写金额不一致的，以大写金额为准；</w:t>
      </w:r>
    </w:p>
    <w:p>
      <w:pPr>
        <w:tabs>
          <w:tab w:val="clear" w:pos="426"/>
        </w:tabs>
        <w:rPr>
          <w:rFonts w:hint="eastAsia"/>
        </w:rPr>
      </w:pPr>
      <w:r>
        <w:rPr>
          <w:rFonts w:hint="eastAsia"/>
        </w:rPr>
        <w:t>35.2.3单价金额小数点或者百分比有明显错位的，以开标一览表的总价为准，并修改单价；</w:t>
      </w:r>
    </w:p>
    <w:p>
      <w:pPr>
        <w:tabs>
          <w:tab w:val="clear" w:pos="426"/>
        </w:tabs>
        <w:rPr>
          <w:rFonts w:hint="eastAsia"/>
        </w:rPr>
      </w:pPr>
      <w:r>
        <w:rPr>
          <w:rFonts w:hint="eastAsia"/>
        </w:rPr>
        <w:t>35.2.4总价金额与按单价汇总金额不一致的，以单价金额计算结果为准；</w:t>
      </w:r>
    </w:p>
    <w:p>
      <w:pPr>
        <w:tabs>
          <w:tab w:val="clear" w:pos="426"/>
        </w:tabs>
        <w:rPr>
          <w:rFonts w:hint="eastAsia"/>
        </w:rPr>
      </w:pPr>
      <w:r>
        <w:rPr>
          <w:rFonts w:hint="eastAsia"/>
        </w:rPr>
        <w:t>35.2.5 对不同文字文本投标文件的解释发生异议的，以中文文本为准。</w:t>
      </w:r>
    </w:p>
    <w:p>
      <w:pPr>
        <w:tabs>
          <w:tab w:val="clear" w:pos="426"/>
        </w:tabs>
        <w:rPr>
          <w:rFonts w:hint="eastAsia"/>
        </w:rPr>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rPr>
          <w:rFonts w:hint="eastAsia"/>
        </w:rPr>
      </w:pPr>
      <w:r>
        <w:rPr>
          <w:rFonts w:hint="eastAsia"/>
        </w:rPr>
        <w:t>35.4  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rPr>
          <w:rFonts w:hint="eastAsia"/>
        </w:rPr>
      </w:pPr>
      <w:r>
        <w:rPr>
          <w:rFonts w:hint="eastAsia"/>
        </w:rPr>
        <w:t>35.5根据上述修正错误的原则及方法调整或修正投标文件的投标报价，投标供应商同意后，调整后的投标报价对投标供应商起约束作用。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rPr>
          <w:rFonts w:hint="eastAsia"/>
        </w:rPr>
      </w:pPr>
      <w:r>
        <w:rPr>
          <w:rFonts w:hint="eastAsia"/>
        </w:rPr>
        <w:t>36．投标文件的比较与评价</w:t>
      </w:r>
    </w:p>
    <w:p>
      <w:pPr>
        <w:tabs>
          <w:tab w:val="clear" w:pos="426"/>
        </w:tabs>
        <w:rPr>
          <w:rFonts w:hint="eastAsia"/>
        </w:rPr>
      </w:pPr>
      <w:r>
        <w:rPr>
          <w:rFonts w:hint="eastAsia"/>
        </w:rPr>
        <w:t>36.1评标委员会将参照相关法律、法规、规定，仅对通过资格性审查和符合性审查的投标文件进行综合比较与评价。</w:t>
      </w:r>
    </w:p>
    <w:p>
      <w:pPr>
        <w:tabs>
          <w:tab w:val="clear" w:pos="426"/>
        </w:tabs>
        <w:rPr>
          <w:rFonts w:hint="eastAsia"/>
        </w:rPr>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rPr>
          <w:rFonts w:hint="eastAsia"/>
        </w:rPr>
      </w:pPr>
      <w:r>
        <w:rPr>
          <w:rFonts w:hint="eastAsia"/>
        </w:rPr>
        <w:t>36.3 评标委员会应当对投标供应商的投标文件进行分析和比较。</w:t>
      </w:r>
    </w:p>
    <w:p>
      <w:pPr>
        <w:tabs>
          <w:tab w:val="clear" w:pos="426"/>
        </w:tabs>
        <w:rPr>
          <w:rFonts w:hint="eastAsia"/>
        </w:rPr>
      </w:pPr>
      <w:r>
        <w:rPr>
          <w:rFonts w:hint="eastAsia"/>
        </w:rPr>
        <w:t>36.4  评标委员会应当根据招标文件规定，对投标文件中的每项评审内容进行评审。</w:t>
      </w:r>
    </w:p>
    <w:p>
      <w:pPr>
        <w:tabs>
          <w:tab w:val="clear" w:pos="426"/>
        </w:tabs>
        <w:rPr>
          <w:rFonts w:hint="eastAsia"/>
          <w:kern w:val="10"/>
        </w:rPr>
      </w:pPr>
      <w:r>
        <w:rPr>
          <w:rFonts w:hint="eastAsia"/>
          <w:kern w:val="10"/>
        </w:rPr>
        <w:t>36.5  投标文件存在重大偏离的，应作废标处理。下列情况属于重大偏离：</w:t>
      </w:r>
    </w:p>
    <w:p>
      <w:pPr>
        <w:tabs>
          <w:tab w:val="clear" w:pos="426"/>
        </w:tabs>
        <w:rPr>
          <w:rFonts w:hint="eastAsia"/>
          <w:kern w:val="10"/>
        </w:rPr>
      </w:pPr>
      <w:r>
        <w:rPr>
          <w:rFonts w:hint="eastAsia"/>
          <w:kern w:val="10"/>
        </w:rPr>
        <w:t>36.5.1  投标供应商以他人的名义投标或出现下列串通投标、弄虚作假投标嫌疑的：</w:t>
      </w:r>
    </w:p>
    <w:p>
      <w:pPr>
        <w:tabs>
          <w:tab w:val="clear" w:pos="426"/>
        </w:tabs>
        <w:rPr>
          <w:rFonts w:hint="eastAsia"/>
          <w:kern w:val="10"/>
        </w:rPr>
      </w:pPr>
      <w:r>
        <w:rPr>
          <w:rFonts w:hint="eastAsia"/>
          <w:kern w:val="10"/>
        </w:rPr>
        <w:t xml:space="preserve">36.5.1.1  </w:t>
      </w:r>
      <w:r>
        <w:rPr>
          <w:kern w:val="10"/>
        </w:rPr>
        <w:t>不同投标供应商的投标文件内容存在非正常一致</w:t>
      </w:r>
      <w:r>
        <w:rPr>
          <w:rFonts w:hint="eastAsia"/>
          <w:kern w:val="10"/>
        </w:rPr>
        <w:t>的</w:t>
      </w:r>
      <w:r>
        <w:rPr>
          <w:kern w:val="10"/>
        </w:rPr>
        <w:t>；</w:t>
      </w:r>
    </w:p>
    <w:p>
      <w:pPr>
        <w:tabs>
          <w:tab w:val="clear" w:pos="426"/>
        </w:tabs>
        <w:rPr>
          <w:rFonts w:hint="eastAsia"/>
          <w:kern w:val="10"/>
        </w:rPr>
      </w:pPr>
      <w:r>
        <w:rPr>
          <w:rFonts w:hint="eastAsia"/>
          <w:kern w:val="10"/>
        </w:rPr>
        <w:t xml:space="preserve">36.5.1.2  </w:t>
      </w:r>
      <w:r>
        <w:rPr>
          <w:kern w:val="10"/>
        </w:rPr>
        <w:t>不同投标供应商的投标文件错漏之处一致的；</w:t>
      </w:r>
    </w:p>
    <w:p>
      <w:pPr>
        <w:tabs>
          <w:tab w:val="clear" w:pos="426"/>
        </w:tabs>
        <w:rPr>
          <w:rFonts w:hint="eastAsia"/>
          <w:kern w:val="10"/>
        </w:rPr>
      </w:pPr>
      <w:r>
        <w:rPr>
          <w:rFonts w:hint="eastAsia"/>
          <w:kern w:val="10"/>
        </w:rPr>
        <w:t xml:space="preserve">36.5.1.3  </w:t>
      </w:r>
      <w:r>
        <w:rPr>
          <w:kern w:val="10"/>
        </w:rPr>
        <w:t>不同投标供应商的投标报价或者报价组成异常一致或者呈规律性变化的；</w:t>
      </w:r>
    </w:p>
    <w:p>
      <w:pPr>
        <w:tabs>
          <w:tab w:val="clear" w:pos="426"/>
        </w:tabs>
        <w:rPr>
          <w:rFonts w:hint="eastAsia"/>
          <w:kern w:val="10"/>
        </w:rPr>
      </w:pPr>
      <w:r>
        <w:rPr>
          <w:rFonts w:hint="eastAsia"/>
          <w:kern w:val="10"/>
        </w:rPr>
        <w:t xml:space="preserve">36.5.1.4  </w:t>
      </w:r>
      <w:r>
        <w:rPr>
          <w:kern w:val="10"/>
        </w:rPr>
        <w:t>不同投标供应商的投标文件由同一单位或者同一个人编制的；</w:t>
      </w:r>
    </w:p>
    <w:p>
      <w:pPr>
        <w:tabs>
          <w:tab w:val="clear" w:pos="426"/>
        </w:tabs>
        <w:rPr>
          <w:rFonts w:hint="eastAsia"/>
          <w:kern w:val="10"/>
        </w:rPr>
      </w:pPr>
      <w:r>
        <w:rPr>
          <w:rFonts w:hint="eastAsia"/>
          <w:kern w:val="10"/>
        </w:rPr>
        <w:t xml:space="preserve">36.5.1.5  </w:t>
      </w:r>
      <w:r>
        <w:rPr>
          <w:kern w:val="10"/>
        </w:rPr>
        <w:t>不同投标供应商的投标文件载明的</w:t>
      </w:r>
      <w:r>
        <w:rPr>
          <w:rFonts w:hint="eastAsia"/>
          <w:kern w:val="10"/>
        </w:rPr>
        <w:t>项目负责人与主要技术人员</w:t>
      </w:r>
      <w:r>
        <w:rPr>
          <w:kern w:val="10"/>
        </w:rPr>
        <w:t>出现同一人的；</w:t>
      </w:r>
    </w:p>
    <w:p>
      <w:pPr>
        <w:tabs>
          <w:tab w:val="clear" w:pos="426"/>
        </w:tabs>
        <w:rPr>
          <w:rFonts w:hint="eastAsia"/>
          <w:kern w:val="10"/>
        </w:rPr>
      </w:pPr>
      <w:r>
        <w:rPr>
          <w:rFonts w:hint="eastAsia"/>
          <w:kern w:val="10"/>
        </w:rPr>
        <w:t xml:space="preserve">36.5.1.6  </w:t>
      </w:r>
      <w:r>
        <w:rPr>
          <w:kern w:val="10"/>
        </w:rPr>
        <w:t>不同投标供应商的投标文件相互混装的；</w:t>
      </w:r>
    </w:p>
    <w:p>
      <w:pPr>
        <w:tabs>
          <w:tab w:val="clear" w:pos="426"/>
        </w:tabs>
        <w:rPr>
          <w:rFonts w:hint="eastAsia"/>
          <w:kern w:val="10"/>
        </w:rPr>
      </w:pPr>
      <w:r>
        <w:rPr>
          <w:rFonts w:hint="eastAsia"/>
          <w:kern w:val="10"/>
        </w:rPr>
        <w:t xml:space="preserve">36.5.1.7  </w:t>
      </w:r>
      <w:r>
        <w:rPr>
          <w:kern w:val="10"/>
        </w:rPr>
        <w:t>不同投标供应商委托同一人投标的</w:t>
      </w:r>
      <w:r>
        <w:rPr>
          <w:rFonts w:hint="eastAsia"/>
          <w:kern w:val="10"/>
        </w:rPr>
        <w:t>；</w:t>
      </w:r>
    </w:p>
    <w:p>
      <w:pPr>
        <w:tabs>
          <w:tab w:val="clear" w:pos="426"/>
        </w:tabs>
        <w:rPr>
          <w:rFonts w:hint="eastAsia"/>
          <w:kern w:val="10"/>
        </w:rPr>
      </w:pPr>
      <w:r>
        <w:rPr>
          <w:rFonts w:hint="eastAsia"/>
          <w:kern w:val="10"/>
        </w:rPr>
        <w:t>36.5.1.8  不同投标供应商聘请同一人为其投标提供技术或者经济咨询服务的，但招标工程本身要求采用专有技术的除外；</w:t>
      </w:r>
    </w:p>
    <w:p>
      <w:pPr>
        <w:tabs>
          <w:tab w:val="clear" w:pos="426"/>
        </w:tabs>
        <w:rPr>
          <w:rFonts w:hint="eastAsia"/>
          <w:kern w:val="10"/>
        </w:rPr>
      </w:pPr>
      <w:r>
        <w:rPr>
          <w:rFonts w:hint="eastAsia"/>
          <w:kern w:val="10"/>
        </w:rPr>
        <w:t xml:space="preserve">36.5.1.9  </w:t>
      </w:r>
      <w:r>
        <w:rPr>
          <w:kern w:val="10"/>
        </w:rPr>
        <w:t>评标委员会认定的其他串通投标情形。</w:t>
      </w:r>
    </w:p>
    <w:p>
      <w:pPr>
        <w:tabs>
          <w:tab w:val="clear" w:pos="426"/>
        </w:tabs>
        <w:rPr>
          <w:rFonts w:hint="eastAsia"/>
        </w:rPr>
      </w:pPr>
      <w:r>
        <w:rPr>
          <w:rFonts w:hint="eastAsia"/>
          <w:kern w:val="10"/>
        </w:rPr>
        <w:t xml:space="preserve">36.5.2 </w:t>
      </w:r>
      <w:r>
        <w:rPr>
          <w:rFonts w:hint="eastAsia"/>
        </w:rPr>
        <w:t xml:space="preserve"> 投标文件不满足招标文件规定的任何一项实质性要求的；</w:t>
      </w:r>
    </w:p>
    <w:p>
      <w:pPr>
        <w:tabs>
          <w:tab w:val="clear" w:pos="426"/>
        </w:tabs>
        <w:rPr>
          <w:rFonts w:hint="eastAsia"/>
        </w:rPr>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rPr>
          <w:rFonts w:hint="eastAsia"/>
        </w:rPr>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评标委员会根据招标文件的规定对投标文件的投标价格进行调整，投标供应商不接受调整方式的，或不接受调整后的价格的；</w:t>
      </w:r>
    </w:p>
    <w:p>
      <w:pPr>
        <w:tabs>
          <w:tab w:val="clear" w:pos="426"/>
        </w:tabs>
        <w:rPr>
          <w:rFonts w:hint="eastAsia"/>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rFonts w:hint="eastAsia"/>
          <w:kern w:val="10"/>
        </w:rPr>
      </w:pPr>
      <w:r>
        <w:rPr>
          <w:rFonts w:hint="eastAsia"/>
          <w:kern w:val="10"/>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rPr>
          <w:rFonts w:hint="eastAsia"/>
        </w:rPr>
      </w:pPr>
      <w:r>
        <w:rPr>
          <w:rFonts w:hint="eastAsia"/>
        </w:rPr>
        <w:t>37.实地考察、演示或设备测试</w:t>
      </w:r>
    </w:p>
    <w:p>
      <w:pPr>
        <w:tabs>
          <w:tab w:val="clear" w:pos="426"/>
        </w:tabs>
        <w:rPr>
          <w:rFonts w:hint="eastAsia"/>
        </w:rPr>
      </w:pPr>
      <w:r>
        <w:rPr>
          <w:rFonts w:hint="eastAsia"/>
        </w:rPr>
        <w:t>37.1在招标过程中，评标委员会有权决定是否对本项目投标供应商进行现场勘察或实地考察或检验有关证明材料的原件。投标供应商应随时做好接受检查的准备。</w:t>
      </w:r>
    </w:p>
    <w:p>
      <w:pPr>
        <w:tabs>
          <w:tab w:val="clear" w:pos="426"/>
        </w:tabs>
        <w:rPr>
          <w:rFonts w:hint="eastAsia"/>
        </w:rPr>
      </w:pPr>
      <w:r>
        <w:rPr>
          <w:rFonts w:hint="eastAsia"/>
        </w:rPr>
        <w:t>37.2若招标文件要求进行现场演示或设备测试的，投标供应商应做好相应准备。</w:t>
      </w:r>
    </w:p>
    <w:p>
      <w:pPr>
        <w:tabs>
          <w:tab w:val="clear" w:pos="426"/>
        </w:tabs>
        <w:rPr>
          <w:rFonts w:hint="eastAsia"/>
        </w:rPr>
      </w:pPr>
      <w:r>
        <w:rPr>
          <w:rFonts w:hint="eastAsia"/>
        </w:rPr>
        <w:t>38．评标方法</w:t>
      </w:r>
    </w:p>
    <w:p>
      <w:pPr>
        <w:tabs>
          <w:tab w:val="clear" w:pos="426"/>
        </w:tabs>
        <w:rPr>
          <w:rFonts w:hint="eastAsia"/>
          <w:szCs w:val="21"/>
        </w:rPr>
      </w:pPr>
      <w:r>
        <w:rPr>
          <w:rFonts w:hint="eastAsia"/>
          <w:szCs w:val="21"/>
        </w:rPr>
        <w:t>38.1</w:t>
      </w:r>
      <w:r>
        <w:rPr>
          <w:rFonts w:hint="eastAsia"/>
        </w:rPr>
        <w:t>根据有关要求，</w:t>
      </w:r>
      <w:r>
        <w:rPr>
          <w:rFonts w:hint="eastAsia"/>
          <w:szCs w:val="21"/>
        </w:rPr>
        <w:t>项目评标方法根据是否是评定分离项目进行选择。</w:t>
      </w:r>
    </w:p>
    <w:p>
      <w:pPr>
        <w:tabs>
          <w:tab w:val="clear" w:pos="426"/>
        </w:tabs>
        <w:rPr>
          <w:rFonts w:hint="eastAsia"/>
        </w:rPr>
      </w:pPr>
      <w:r>
        <w:rPr>
          <w:rFonts w:hint="eastAsia"/>
        </w:rPr>
        <w:t>38.2非评定分离项目</w:t>
      </w:r>
    </w:p>
    <w:p>
      <w:pPr>
        <w:tabs>
          <w:tab w:val="clear" w:pos="426"/>
        </w:tabs>
        <w:rPr>
          <w:rFonts w:hint="eastAsia"/>
        </w:rPr>
      </w:pPr>
      <w:r>
        <w:rPr>
          <w:rFonts w:hint="eastAsia"/>
        </w:rPr>
        <w:t>非评定分离项目评分方法为最低评标价法、综合评标法、性价比法及法律、法规允许的其它评标办法。</w:t>
      </w:r>
    </w:p>
    <w:p>
      <w:pPr>
        <w:tabs>
          <w:tab w:val="clear" w:pos="426"/>
        </w:tabs>
        <w:rPr>
          <w:rFonts w:hint="eastAsia"/>
          <w:b/>
        </w:rPr>
      </w:pPr>
      <w:r>
        <w:rPr>
          <w:rFonts w:hint="eastAsia"/>
        </w:rPr>
        <w:t>38.2.1最低评标价法</w:t>
      </w:r>
    </w:p>
    <w:p>
      <w:pPr>
        <w:tabs>
          <w:tab w:val="clear" w:pos="426"/>
        </w:tabs>
        <w:rPr>
          <w:rFonts w:hint="eastAsia"/>
        </w:rPr>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rFonts w:hint="eastAsia"/>
          <w:b/>
        </w:rPr>
      </w:pPr>
      <w:r>
        <w:rPr>
          <w:rFonts w:hint="eastAsia"/>
        </w:rPr>
        <w:t>38.2.2综合评分法</w:t>
      </w:r>
    </w:p>
    <w:p>
      <w:pPr>
        <w:tabs>
          <w:tab w:val="clear" w:pos="426"/>
        </w:tabs>
        <w:rPr>
          <w:rFonts w:hint="eastAsia"/>
        </w:rPr>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rFonts w:hint="eastAsia"/>
          <w:b/>
          <w:bCs/>
        </w:rPr>
      </w:pPr>
      <w:r>
        <w:rPr>
          <w:rFonts w:hint="eastAsia"/>
        </w:rPr>
        <w:t>38.2.3</w:t>
      </w:r>
      <w:r>
        <w:rPr>
          <w:rFonts w:hint="eastAsia"/>
          <w:bCs/>
        </w:rPr>
        <w:t>性价比法</w:t>
      </w:r>
    </w:p>
    <w:p>
      <w:pPr>
        <w:tabs>
          <w:tab w:val="clear" w:pos="426"/>
        </w:tabs>
        <w:rPr>
          <w:rFonts w:hint="eastAsia"/>
        </w:rPr>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rPr>
          <w:rFonts w:hint="eastAsia"/>
        </w:rPr>
      </w:pPr>
      <w:r>
        <w:rPr>
          <w:rFonts w:hint="eastAsia"/>
        </w:rPr>
        <w:t>38.3评定分离项目</w:t>
      </w:r>
    </w:p>
    <w:p>
      <w:pPr>
        <w:tabs>
          <w:tab w:val="clear" w:pos="426"/>
        </w:tabs>
        <w:rPr>
          <w:rFonts w:hint="eastAsia"/>
        </w:rPr>
      </w:pPr>
      <w:r>
        <w:rPr>
          <w:rFonts w:hint="eastAsia"/>
        </w:rPr>
        <w:t>评定分离项目，评审委员会应当按照综合评分法、定性评审法、最低价法或者法律、法规及规章规定的其他评审方法对投标文件进行评审。</w:t>
      </w:r>
    </w:p>
    <w:p>
      <w:pPr>
        <w:tabs>
          <w:tab w:val="clear" w:pos="426"/>
        </w:tabs>
        <w:rPr>
          <w:rFonts w:hint="eastAsia"/>
          <w:b/>
        </w:rPr>
      </w:pPr>
      <w:r>
        <w:rPr>
          <w:rFonts w:hint="eastAsia"/>
        </w:rPr>
        <w:t>38.3.1综合评分法</w:t>
      </w:r>
    </w:p>
    <w:p>
      <w:pPr>
        <w:tabs>
          <w:tab w:val="clear" w:pos="426"/>
        </w:tabs>
        <w:rPr>
          <w:rFonts w:hint="eastAsia"/>
        </w:rPr>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rFonts w:hint="eastAsia"/>
          <w:sz w:val="18"/>
          <w:szCs w:val="18"/>
          <w:shd w:val="clear" w:color="auto" w:fill="FFFFFF"/>
        </w:rPr>
      </w:pPr>
      <w:r>
        <w:rPr>
          <w:rFonts w:hint="eastAsia"/>
        </w:rPr>
        <w:t>38.3.2</w:t>
      </w:r>
      <w:r>
        <w:rPr>
          <w:rFonts w:hint="eastAsia"/>
          <w:bCs/>
        </w:rPr>
        <w:t>定性评审法</w:t>
      </w:r>
    </w:p>
    <w:p>
      <w:pPr>
        <w:tabs>
          <w:tab w:val="clear" w:pos="426"/>
        </w:tabs>
        <w:rPr>
          <w:rFonts w:hint="eastAsia"/>
        </w:rPr>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rPr>
          <w:rFonts w:hint="eastAsia"/>
        </w:rPr>
      </w:pPr>
      <w:r>
        <w:rPr>
          <w:rFonts w:hint="eastAsia"/>
        </w:rPr>
        <w:t>38.3.3最低价法</w:t>
      </w:r>
    </w:p>
    <w:p>
      <w:pPr>
        <w:tabs>
          <w:tab w:val="clear" w:pos="426"/>
        </w:tabs>
        <w:rPr>
          <w:rFonts w:hint="eastAsia"/>
        </w:rPr>
      </w:pPr>
      <w:r>
        <w:rPr>
          <w:rFonts w:hint="eastAsia"/>
        </w:rPr>
        <w:t>最低价法是指以价格为主要因素确定候选中标供应商的评审方法。</w:t>
      </w:r>
    </w:p>
    <w:p>
      <w:pPr>
        <w:tabs>
          <w:tab w:val="clear" w:pos="426"/>
        </w:tabs>
        <w:rPr>
          <w:rFonts w:hint="eastAsia"/>
        </w:rPr>
      </w:pPr>
      <w:r>
        <w:rPr>
          <w:rFonts w:hint="eastAsia"/>
        </w:rPr>
        <w:t>38.4本项目采用的评标方法见本项目招标文件专用条款的相关内容。</w:t>
      </w:r>
    </w:p>
    <w:p>
      <w:pPr>
        <w:pStyle w:val="5"/>
        <w:tabs>
          <w:tab w:val="clear" w:pos="426"/>
        </w:tabs>
        <w:rPr>
          <w:rFonts w:hint="eastAsia"/>
        </w:rPr>
      </w:pPr>
      <w:bookmarkStart w:id="194" w:name="_Toc530152528"/>
      <w:bookmarkStart w:id="195" w:name="_Toc529280587"/>
      <w:bookmarkStart w:id="196" w:name="_Toc14427260"/>
      <w:bookmarkStart w:id="197" w:name="_Toc14446"/>
      <w:r>
        <w:rPr>
          <w:rFonts w:hint="eastAsia"/>
        </w:rPr>
        <w:t>第七章 定标及公示</w:t>
      </w:r>
      <w:bookmarkEnd w:id="194"/>
      <w:bookmarkEnd w:id="195"/>
      <w:bookmarkEnd w:id="196"/>
      <w:bookmarkEnd w:id="197"/>
    </w:p>
    <w:p>
      <w:pPr>
        <w:tabs>
          <w:tab w:val="clear" w:pos="426"/>
        </w:tabs>
        <w:rPr>
          <w:rFonts w:hint="eastAsia"/>
        </w:rPr>
      </w:pPr>
      <w:r>
        <w:rPr>
          <w:rFonts w:hint="eastAsia"/>
        </w:rPr>
        <w:t>39．定标方法</w:t>
      </w:r>
    </w:p>
    <w:p>
      <w:pPr>
        <w:tabs>
          <w:tab w:val="clear" w:pos="426"/>
        </w:tabs>
        <w:rPr>
          <w:rFonts w:hint="eastAsia"/>
        </w:rPr>
      </w:pPr>
      <w:r>
        <w:rPr>
          <w:rFonts w:hint="eastAsia"/>
        </w:rPr>
        <w:t>39</w:t>
      </w:r>
      <w:r>
        <w:t>.</w:t>
      </w:r>
      <w:r>
        <w:rPr>
          <w:rFonts w:hint="eastAsia"/>
        </w:rPr>
        <w:t>1项目定标方法根据是否是评定分离项目进行选择。</w:t>
      </w:r>
    </w:p>
    <w:p>
      <w:pPr>
        <w:tabs>
          <w:tab w:val="clear" w:pos="426"/>
        </w:tabs>
        <w:rPr>
          <w:rFonts w:hint="eastAsia"/>
        </w:rPr>
      </w:pPr>
      <w:r>
        <w:rPr>
          <w:rFonts w:hint="eastAsia"/>
        </w:rPr>
        <w:t>39</w:t>
      </w:r>
      <w:r>
        <w:t>.</w:t>
      </w:r>
      <w:r>
        <w:rPr>
          <w:rFonts w:hint="eastAsia"/>
        </w:rPr>
        <w:t>2非评定分离项目</w:t>
      </w:r>
    </w:p>
    <w:p>
      <w:pPr>
        <w:tabs>
          <w:tab w:val="clear" w:pos="426"/>
        </w:tabs>
        <w:rPr>
          <w:rFonts w:hint="eastAsia"/>
        </w:rPr>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rPr>
          <w:rFonts w:hint="eastAsia"/>
        </w:rPr>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rPr>
          <w:rFonts w:hint="eastAsia"/>
        </w:rPr>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pPr>
        <w:tabs>
          <w:tab w:val="clear" w:pos="426"/>
        </w:tabs>
        <w:rPr>
          <w:rFonts w:hint="eastAsia"/>
        </w:rPr>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rPr>
          <w:rFonts w:hint="eastAsia"/>
        </w:rPr>
      </w:pPr>
      <w:r>
        <w:rPr>
          <w:rFonts w:hint="eastAsia"/>
        </w:rPr>
        <w:t>39</w:t>
      </w:r>
      <w:r>
        <w:t>.</w:t>
      </w:r>
      <w:r>
        <w:rPr>
          <w:rFonts w:hint="eastAsia"/>
        </w:rPr>
        <w:t>3评定分离项目</w:t>
      </w:r>
    </w:p>
    <w:p>
      <w:pPr>
        <w:tabs>
          <w:tab w:val="clear" w:pos="426"/>
        </w:tabs>
        <w:rPr>
          <w:rFonts w:hint="eastAsia"/>
        </w:rPr>
      </w:pPr>
      <w:r>
        <w:rPr>
          <w:rFonts w:hint="eastAsia"/>
        </w:rPr>
        <w:t>适用评定分离的采购项目，采购人应当根据不同的项目选用自定法、抽签法、竞价法或者法律、法规及规章规定的其他定标方法确定中标供应商。</w:t>
      </w:r>
    </w:p>
    <w:p>
      <w:pPr>
        <w:tabs>
          <w:tab w:val="clear" w:pos="426"/>
        </w:tabs>
        <w:rPr>
          <w:rFonts w:hint="eastAsia"/>
        </w:rPr>
      </w:pPr>
      <w:r>
        <w:rPr>
          <w:rFonts w:hint="eastAsia"/>
        </w:rPr>
        <w:t>39</w:t>
      </w:r>
      <w:r>
        <w:t>.</w:t>
      </w:r>
      <w:r>
        <w:rPr>
          <w:rFonts w:hint="eastAsia"/>
        </w:rPr>
        <w:t>3.1自定法是指采购人组织定标委员会，由定标委员会在候选中标供应商中确定中标供应商。</w:t>
      </w:r>
    </w:p>
    <w:p>
      <w:pPr>
        <w:tabs>
          <w:tab w:val="clear" w:pos="426"/>
        </w:tabs>
        <w:rPr>
          <w:rFonts w:hint="eastAsia"/>
        </w:rPr>
      </w:pPr>
      <w:r>
        <w:rPr>
          <w:rFonts w:hint="eastAsia"/>
        </w:rPr>
        <w:t>39</w:t>
      </w:r>
      <w:r>
        <w:t>.</w:t>
      </w:r>
      <w:r>
        <w:rPr>
          <w:rFonts w:hint="eastAsia"/>
        </w:rPr>
        <w:t>3.2 抽签法是指候选中标供应商产生后，由采购人委托招标机构按照随机抽签的方式在候选中标供应商中确定中标供应商。 </w:t>
      </w:r>
    </w:p>
    <w:p>
      <w:pPr>
        <w:tabs>
          <w:tab w:val="clear" w:pos="426"/>
        </w:tabs>
        <w:rPr>
          <w:rFonts w:hint="eastAsia"/>
        </w:rPr>
      </w:pPr>
      <w:r>
        <w:rPr>
          <w:rFonts w:hint="eastAsia"/>
        </w:rPr>
        <w:t>39</w:t>
      </w:r>
      <w:r>
        <w:t>.</w:t>
      </w:r>
      <w:r>
        <w:rPr>
          <w:rFonts w:hint="eastAsia"/>
        </w:rPr>
        <w:t>3.3竞价法是指候选中标供应商产生后，由采购人委托招标机构组织候选中标供应商进行二次竞价，最终报价最低的为中标供应商</w:t>
      </w:r>
    </w:p>
    <w:p>
      <w:pPr>
        <w:tabs>
          <w:tab w:val="clear" w:pos="426"/>
        </w:tabs>
        <w:rPr>
          <w:rFonts w:hint="eastAsia"/>
        </w:rPr>
      </w:pPr>
      <w:r>
        <w:rPr>
          <w:rFonts w:hint="eastAsia"/>
        </w:rPr>
        <w:t>39.4本项目采用的定标方法见本项目招标文件专用条款的相关内容。</w:t>
      </w:r>
    </w:p>
    <w:p>
      <w:pPr>
        <w:tabs>
          <w:tab w:val="clear" w:pos="426"/>
        </w:tabs>
        <w:rPr>
          <w:rFonts w:hint="eastAsia"/>
        </w:rPr>
      </w:pPr>
      <w:r>
        <w:rPr>
          <w:rFonts w:hint="eastAsia"/>
        </w:rPr>
        <w:t>40．编写评标报告</w:t>
      </w:r>
    </w:p>
    <w:p>
      <w:pPr>
        <w:tabs>
          <w:tab w:val="clear" w:pos="426"/>
        </w:tabs>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rFonts w:hint="eastAsia"/>
        </w:rPr>
      </w:pPr>
      <w:r>
        <w:rPr>
          <w:rFonts w:hint="eastAsia"/>
        </w:rPr>
        <w:t>41．中标公告</w:t>
      </w:r>
    </w:p>
    <w:p>
      <w:pPr>
        <w:tabs>
          <w:tab w:val="clear" w:pos="426"/>
        </w:tabs>
        <w:rPr>
          <w:rFonts w:hint="eastAsia"/>
        </w:rPr>
      </w:pPr>
      <w:r>
        <w:rPr>
          <w:rFonts w:hint="eastAsia"/>
        </w:rPr>
        <w:t>41.1为体现“公开、公平、公正”的原则，评标结束后，将在深圳海关门户网  （</w:t>
      </w:r>
      <w:r>
        <w:t>http://shenzhen.customs.gov.cn</w:t>
      </w:r>
      <w:r>
        <w:rPr>
          <w:rFonts w:hint="eastAsia"/>
        </w:rPr>
        <w:t>）、中国政府采购网（http://www.ccgp.gov.cn）、采购代理机构官网：（</w:t>
      </w:r>
      <w:r>
        <w:t>http://www.szsszx.com/</w:t>
      </w:r>
      <w:r>
        <w:rPr>
          <w:rFonts w:hint="eastAsia"/>
        </w:rPr>
        <w:t>）上发布中标结果公告， 公示期为1个工作日。供应商如对评标结果有异议，请于公示期内，以书面的形式向我公司反映。若在公示期内未提出异议，则视为认同该评标结果。</w:t>
      </w:r>
    </w:p>
    <w:p>
      <w:pPr>
        <w:tabs>
          <w:tab w:val="clear" w:pos="426"/>
        </w:tabs>
        <w:rPr>
          <w:rFonts w:hint="eastAsia"/>
        </w:rPr>
      </w:pPr>
      <w:r>
        <w:rPr>
          <w:rFonts w:hint="eastAsia"/>
        </w:rPr>
        <w:t>41.2质疑投诉人应保证质疑投诉内容的真实性和可靠性，并承担相应的法律责任。</w:t>
      </w:r>
    </w:p>
    <w:p>
      <w:pPr>
        <w:tabs>
          <w:tab w:val="clear" w:pos="426"/>
        </w:tabs>
        <w:rPr>
          <w:rFonts w:hint="eastAsia"/>
        </w:rPr>
      </w:pPr>
      <w:r>
        <w:rPr>
          <w:rFonts w:hint="eastAsia"/>
        </w:rPr>
        <w:t>42．中标通知书</w:t>
      </w:r>
    </w:p>
    <w:p>
      <w:pPr>
        <w:tabs>
          <w:tab w:val="clear" w:pos="426"/>
        </w:tabs>
        <w:rPr>
          <w:rFonts w:hint="eastAsia"/>
        </w:rPr>
      </w:pPr>
      <w:r>
        <w:rPr>
          <w:rFonts w:hint="eastAsia"/>
        </w:rPr>
        <w:t>42</w:t>
      </w:r>
      <w:r>
        <w:t>.</w:t>
      </w:r>
      <w:r>
        <w:rPr>
          <w:rFonts w:hint="eastAsia"/>
        </w:rPr>
        <w:t>1中标公告公布后,公示期内无人投诉,请中标供应商凭单位证明及本人身份证到采购代理机构领取《中标通知书》。</w:t>
      </w:r>
    </w:p>
    <w:p>
      <w:pPr>
        <w:tabs>
          <w:tab w:val="clear" w:pos="426"/>
        </w:tabs>
        <w:rPr>
          <w:rFonts w:hint="eastAsia"/>
        </w:rPr>
      </w:pPr>
      <w:r>
        <w:rPr>
          <w:rFonts w:hint="eastAsia"/>
        </w:rPr>
        <w:t>42</w:t>
      </w:r>
      <w:r>
        <w:t>.2</w:t>
      </w:r>
      <w:r>
        <w:rPr>
          <w:rFonts w:hint="eastAsia"/>
        </w:rPr>
        <w:t>中标通知书是合同的重要组成部分。</w:t>
      </w:r>
    </w:p>
    <w:p>
      <w:pPr>
        <w:tabs>
          <w:tab w:val="clear" w:pos="426"/>
        </w:tabs>
        <w:rPr>
          <w:rFonts w:hint="eastAsia"/>
        </w:rPr>
      </w:pPr>
      <w:r>
        <w:rPr>
          <w:rFonts w:hint="eastAsia"/>
        </w:rPr>
        <w:t>42.3因质疑投诉或其它原因导致项目结果变更或采购终止的，我公司有权收回中标通知书或终止采购合同。</w:t>
      </w:r>
    </w:p>
    <w:p>
      <w:pPr>
        <w:pStyle w:val="5"/>
        <w:tabs>
          <w:tab w:val="clear" w:pos="426"/>
        </w:tabs>
        <w:rPr>
          <w:rFonts w:hint="eastAsia"/>
        </w:rPr>
      </w:pPr>
      <w:bookmarkStart w:id="198" w:name="_Toc2883"/>
      <w:bookmarkStart w:id="199" w:name="_Toc529280588"/>
      <w:bookmarkStart w:id="200" w:name="_Toc14427261"/>
      <w:bookmarkStart w:id="201" w:name="_Toc530152529"/>
      <w:r>
        <w:rPr>
          <w:rFonts w:hint="eastAsia"/>
        </w:rPr>
        <w:t>第八章 公开招标失败的后续处理</w:t>
      </w:r>
      <w:bookmarkEnd w:id="198"/>
      <w:bookmarkEnd w:id="199"/>
      <w:bookmarkEnd w:id="200"/>
      <w:bookmarkEnd w:id="201"/>
    </w:p>
    <w:p>
      <w:pPr>
        <w:rPr>
          <w:rFonts w:hAnsi="Times New Roman"/>
          <w:b/>
          <w:bCs/>
        </w:rPr>
      </w:pPr>
      <w:r>
        <w:rPr>
          <w:rFonts w:hint="eastAsia"/>
        </w:rPr>
        <w:t>43．公开招标失败的处理</w:t>
      </w:r>
    </w:p>
    <w:p>
      <w:pPr>
        <w:rPr>
          <w:rFonts w:hint="eastAsia"/>
          <w:szCs w:val="21"/>
        </w:rPr>
      </w:pPr>
      <w:r>
        <w:rPr>
          <w:rFonts w:hint="eastAsia" w:hAnsi="Times New Roman"/>
          <w:b/>
          <w:bCs/>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rPr>
          <w:rFonts w:hint="eastAsia"/>
        </w:rPr>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rPr>
          <w:rFonts w:hint="eastAsia"/>
        </w:rPr>
      </w:pPr>
      <w:r>
        <w:rPr>
          <w:rFonts w:hint="eastAsia"/>
        </w:rPr>
        <w:t>43.3评审委员会要在采购项目招标失败时，出具招标文件是否存在不合理条款的论证意见，要协助采购人、采购代理机构、财政部门答复质疑或处理投诉事项。</w:t>
      </w:r>
    </w:p>
    <w:p>
      <w:pPr>
        <w:tabs>
          <w:tab w:val="clear" w:pos="426"/>
        </w:tabs>
        <w:rPr>
          <w:rFonts w:hint="eastAsia"/>
        </w:rPr>
      </w:pPr>
      <w:r>
        <w:rPr>
          <w:rFonts w:hint="eastAsia"/>
        </w:rPr>
        <w:t>43.4重新组织采购有以下两种组织形式：</w:t>
      </w:r>
    </w:p>
    <w:p>
      <w:pPr>
        <w:tabs>
          <w:tab w:val="clear" w:pos="426"/>
        </w:tabs>
        <w:rPr>
          <w:rFonts w:hint="eastAsia"/>
        </w:rPr>
      </w:pPr>
      <w:r>
        <w:rPr>
          <w:rFonts w:hint="eastAsia"/>
        </w:rPr>
        <w:t>（1）由采购代理机构重新组织公开招标；</w:t>
      </w:r>
    </w:p>
    <w:p>
      <w:pPr>
        <w:tabs>
          <w:tab w:val="clear" w:pos="426"/>
        </w:tabs>
        <w:rPr>
          <w:rFonts w:hint="eastAsia"/>
        </w:rPr>
      </w:pPr>
      <w:r>
        <w:rPr>
          <w:rFonts w:hint="eastAsia"/>
        </w:rPr>
        <w:t>（2）根据实际情况需要向相关监督管理部门提出非公开招标方式申请，经相关监督管理部门批准公开招标失败采购项目可转为竞争性谈判或单一来源谈判方式采购。</w:t>
      </w:r>
    </w:p>
    <w:p>
      <w:pPr>
        <w:tabs>
          <w:tab w:val="clear" w:pos="426"/>
        </w:tabs>
        <w:rPr>
          <w:rFonts w:hint="eastAsia"/>
        </w:rPr>
      </w:pPr>
      <w:r>
        <w:rPr>
          <w:rFonts w:hint="eastAsia"/>
        </w:rPr>
        <w:t>43.5公开招标失败的采购项目重新组织公开招标，采购代理机构要重新按公开招标流程发布采购公告和招标文件、组成评标委员会等组织采购活动。</w:t>
      </w:r>
    </w:p>
    <w:p>
      <w:pPr>
        <w:tabs>
          <w:tab w:val="clear" w:pos="426"/>
        </w:tabs>
        <w:rPr>
          <w:rFonts w:hint="eastAsia"/>
        </w:rPr>
      </w:pPr>
      <w:r>
        <w:rPr>
          <w:rFonts w:hint="eastAsia"/>
        </w:rPr>
        <w:t>43.6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rFonts w:hint="eastAsia"/>
        </w:rPr>
      </w:pPr>
      <w:r>
        <w:rPr>
          <w:rFonts w:hint="eastAsia"/>
        </w:rPr>
        <w:t>44．公开招标失败项目转为竞争性谈判方式采购的</w:t>
      </w:r>
    </w:p>
    <w:p>
      <w:pPr>
        <w:tabs>
          <w:tab w:val="clear" w:pos="426"/>
        </w:tabs>
        <w:rPr>
          <w:rFonts w:hint="eastAsia"/>
        </w:rPr>
      </w:pPr>
      <w:r>
        <w:rPr>
          <w:rFonts w:hint="eastAsia"/>
        </w:rPr>
        <w:t>44.1谈判文件</w:t>
      </w:r>
    </w:p>
    <w:p>
      <w:pPr>
        <w:tabs>
          <w:tab w:val="clear" w:pos="426"/>
        </w:tabs>
        <w:rPr>
          <w:rFonts w:hint="eastAsia"/>
        </w:rPr>
      </w:pPr>
      <w:r>
        <w:rPr>
          <w:rFonts w:hint="eastAsia"/>
        </w:rPr>
        <w:t>44.1.1公开招标失败项目转为竞争性谈判方式采购的，原招标文件转为谈判文件。</w:t>
      </w:r>
    </w:p>
    <w:p>
      <w:pPr>
        <w:tabs>
          <w:tab w:val="clear" w:pos="426"/>
        </w:tabs>
        <w:rPr>
          <w:rFonts w:hint="eastAsia"/>
        </w:rPr>
      </w:pPr>
      <w:r>
        <w:rPr>
          <w:rFonts w:hint="eastAsia"/>
        </w:rPr>
        <w:t>44.2谈判小组</w:t>
      </w:r>
    </w:p>
    <w:p>
      <w:pPr>
        <w:tabs>
          <w:tab w:val="clear" w:pos="426"/>
        </w:tabs>
        <w:rPr>
          <w:rFonts w:hint="eastAsia"/>
        </w:rPr>
      </w:pPr>
      <w:r>
        <w:rPr>
          <w:rFonts w:hint="eastAsia"/>
        </w:rPr>
        <w:t>44.2.1公开招标失败项目转为竞争性谈判方式采购后，评标委员会转为谈判小组；专家可重新抽取也可继续采用评标委员会内专家。</w:t>
      </w:r>
    </w:p>
    <w:p>
      <w:pPr>
        <w:tabs>
          <w:tab w:val="clear" w:pos="426"/>
        </w:tabs>
        <w:rPr>
          <w:rFonts w:hint="eastAsia"/>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rPr>
          <w:rFonts w:hint="eastAsia"/>
        </w:rPr>
      </w:pPr>
      <w:r>
        <w:rPr>
          <w:rFonts w:hint="eastAsia"/>
        </w:rPr>
        <w:t>44.3谈判程序</w:t>
      </w:r>
    </w:p>
    <w:p>
      <w:pPr>
        <w:tabs>
          <w:tab w:val="clear" w:pos="426"/>
        </w:tabs>
        <w:rPr>
          <w:rFonts w:hint="eastAsia"/>
        </w:rPr>
      </w:pPr>
      <w:r>
        <w:rPr>
          <w:rFonts w:hint="eastAsia"/>
        </w:rPr>
        <w:t>44.3.1参加谈判的供应商和谈判小组成员填写谈判登记表，并交验证明文件（法定代表人证明书、法人授权委托书、被授权的谈判代表身份证原件）。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44.3</w:t>
      </w:r>
      <w:r>
        <w:t>.2</w:t>
      </w:r>
      <w:r>
        <w:rPr>
          <w:rFonts w:hint="eastAsia"/>
        </w:rPr>
        <w:t>谈判小组主持人宣布谈判规则和谈判纪律。</w:t>
      </w:r>
    </w:p>
    <w:p>
      <w:pPr>
        <w:tabs>
          <w:tab w:val="clear" w:pos="426"/>
        </w:tabs>
        <w:rPr>
          <w:rFonts w:hint="eastAsia"/>
        </w:rPr>
      </w:pPr>
      <w:r>
        <w:rPr>
          <w:rFonts w:hint="eastAsia"/>
        </w:rPr>
        <w:t>44.3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原招标文件或谈判邀请文件有实质性变动的，谈判小组应当通过采购代理机构通知所有参加谈判的供应商。</w:t>
      </w:r>
    </w:p>
    <w:p>
      <w:pPr>
        <w:tabs>
          <w:tab w:val="clear" w:pos="426"/>
        </w:tabs>
        <w:rPr>
          <w:rFonts w:hint="eastAsia"/>
        </w:rPr>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rPr>
          <w:rFonts w:hint="eastAsia"/>
        </w:rPr>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44.3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rFonts w:hint="eastAsia"/>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44.3.10谈判小组将对谈判过程进行记录，以存档备查。</w:t>
      </w:r>
    </w:p>
    <w:p>
      <w:pPr>
        <w:tabs>
          <w:tab w:val="clear" w:pos="426"/>
        </w:tabs>
        <w:rPr>
          <w:rFonts w:hint="eastAsia"/>
        </w:rPr>
      </w:pPr>
      <w:r>
        <w:rPr>
          <w:rFonts w:hint="eastAsia"/>
        </w:rPr>
        <w:t>44.4评标方法和定标原则</w:t>
      </w:r>
    </w:p>
    <w:p>
      <w:pPr>
        <w:tabs>
          <w:tab w:val="clear" w:pos="426"/>
        </w:tabs>
        <w:rPr>
          <w:rFonts w:hint="eastAsia"/>
        </w:rPr>
      </w:pPr>
      <w:r>
        <w:rPr>
          <w:rFonts w:hint="eastAsia"/>
        </w:rP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rPr>
          <w:rFonts w:hint="eastAsia"/>
        </w:rPr>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Cs/>
        </w:rPr>
        <w:t>最低评标价法</w:t>
      </w:r>
      <w:r>
        <w:rPr>
          <w:rFonts w:hint="eastAsia"/>
        </w:rPr>
        <w:t>进行评审。</w:t>
      </w:r>
    </w:p>
    <w:p>
      <w:pPr>
        <w:tabs>
          <w:tab w:val="clear" w:pos="426"/>
        </w:tabs>
        <w:rPr>
          <w:rFonts w:hint="eastAsia"/>
        </w:rPr>
      </w:pPr>
      <w:r>
        <w:rPr>
          <w:rFonts w:hint="eastAsia"/>
        </w:rPr>
        <w:t>44.4.3若要采用其他评标方法的，必须报经相关监督管理部门批准，谈判小组按批准的评标方法进行评审。谈判邀请文件中应注明批准的评标方法。</w:t>
      </w:r>
    </w:p>
    <w:p>
      <w:pPr>
        <w:tabs>
          <w:tab w:val="clear" w:pos="426"/>
        </w:tabs>
        <w:rPr>
          <w:rFonts w:hint="eastAsia"/>
        </w:rPr>
      </w:pPr>
      <w:r>
        <w:rPr>
          <w:rFonts w:hint="eastAsia"/>
        </w:rPr>
        <w:t>44.4.4谈判小组向采购代理机构提交书面评标报告，并推荐中标候选人或确定中标供应商。</w:t>
      </w:r>
    </w:p>
    <w:p>
      <w:pPr>
        <w:tabs>
          <w:tab w:val="clear" w:pos="426"/>
        </w:tabs>
        <w:rPr>
          <w:rFonts w:hint="eastAsia"/>
        </w:rPr>
      </w:pPr>
      <w:r>
        <w:rPr>
          <w:rFonts w:hint="eastAsia"/>
        </w:rPr>
        <w:t>45．公开招标失败项目转为单一来源谈判方式采购</w:t>
      </w:r>
    </w:p>
    <w:p>
      <w:pPr>
        <w:tabs>
          <w:tab w:val="clear" w:pos="426"/>
        </w:tabs>
        <w:rPr>
          <w:rFonts w:hint="eastAsia"/>
        </w:rPr>
      </w:pPr>
      <w:r>
        <w:rPr>
          <w:rFonts w:hint="eastAsia"/>
        </w:rPr>
        <w:t>45.1谈判文件</w:t>
      </w:r>
    </w:p>
    <w:p>
      <w:pPr>
        <w:tabs>
          <w:tab w:val="clear" w:pos="426"/>
        </w:tabs>
        <w:rPr>
          <w:rFonts w:hint="eastAsia"/>
        </w:rPr>
      </w:pPr>
      <w:r>
        <w:rPr>
          <w:rFonts w:hint="eastAsia"/>
        </w:rPr>
        <w:t>45.1.1公开招标失败项目转为单一来源谈判方式采购的，原招标文件转为谈判文件。</w:t>
      </w:r>
    </w:p>
    <w:p>
      <w:pPr>
        <w:tabs>
          <w:tab w:val="clear" w:pos="426"/>
        </w:tabs>
        <w:rPr>
          <w:rFonts w:hint="eastAsia"/>
        </w:rPr>
      </w:pPr>
      <w:r>
        <w:rPr>
          <w:rFonts w:hint="eastAsia"/>
        </w:rPr>
        <w:t>45.2谈判小组</w:t>
      </w:r>
    </w:p>
    <w:p>
      <w:pPr>
        <w:tabs>
          <w:tab w:val="clear" w:pos="426"/>
        </w:tabs>
        <w:rPr>
          <w:rFonts w:hint="eastAsia"/>
        </w:rPr>
      </w:pPr>
      <w:r>
        <w:rPr>
          <w:rFonts w:hint="eastAsia"/>
        </w:rPr>
        <w:t>45.2.1公开招标失败项目转为单一来源谈判方式采购后，评标委员会转为谈判小组，专家可重新抽取也可继续采用评标委员会内专家。</w:t>
      </w:r>
    </w:p>
    <w:p>
      <w:pPr>
        <w:tabs>
          <w:tab w:val="clear" w:pos="426"/>
        </w:tabs>
        <w:rPr>
          <w:rFonts w:hint="eastAsia"/>
        </w:rPr>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rPr>
          <w:rFonts w:hint="eastAsia"/>
        </w:rPr>
      </w:pPr>
      <w:r>
        <w:rPr>
          <w:rFonts w:hint="eastAsia"/>
        </w:rPr>
        <w:t>45.3谈判程序</w:t>
      </w:r>
    </w:p>
    <w:p>
      <w:pPr>
        <w:tabs>
          <w:tab w:val="clear" w:pos="426"/>
        </w:tabs>
        <w:rPr>
          <w:rFonts w:hint="eastAsia"/>
        </w:rPr>
      </w:pPr>
      <w:r>
        <w:rPr>
          <w:rFonts w:hint="eastAsia"/>
        </w:rPr>
        <w:t>45.3.1参加谈判的供应商和谈判小组成员填写谈判登记表，并交验证明文件（法定代表人证明书、法人授权委托书、被授权的谈判代表身份证原件）。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45.3</w:t>
      </w:r>
      <w:r>
        <w:t>.2</w:t>
      </w:r>
      <w:r>
        <w:rPr>
          <w:rFonts w:hint="eastAsia"/>
        </w:rPr>
        <w:t>谈判小组主持人宣布谈判规则和谈判纪律。</w:t>
      </w:r>
    </w:p>
    <w:p>
      <w:pPr>
        <w:tabs>
          <w:tab w:val="clear" w:pos="426"/>
        </w:tabs>
        <w:rPr>
          <w:rFonts w:hint="eastAsia"/>
        </w:rPr>
      </w:pPr>
      <w:r>
        <w:rPr>
          <w:rFonts w:hint="eastAsia"/>
        </w:rPr>
        <w:t>45.3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原招标文件或谈判邀请文件有实质性变动的，谈判小组应当通过采购代理机构通知供应商。</w:t>
      </w:r>
    </w:p>
    <w:p>
      <w:pPr>
        <w:tabs>
          <w:tab w:val="clear" w:pos="426"/>
        </w:tabs>
        <w:rPr>
          <w:rFonts w:hint="eastAsia"/>
        </w:rPr>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rPr>
          <w:rFonts w:hint="eastAsia"/>
        </w:rPr>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45.3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45.3.7谈判小组与单一来源供应商进行谈判。供应商有两次更改机会；供应商应在规定的时间内提出最后更改及书面承诺。</w:t>
      </w:r>
    </w:p>
    <w:p>
      <w:pPr>
        <w:tabs>
          <w:tab w:val="clear" w:pos="426"/>
        </w:tabs>
        <w:rPr>
          <w:rFonts w:hint="eastAsia"/>
          <w:szCs w:val="21"/>
        </w:rPr>
      </w:pPr>
      <w:r>
        <w:rPr>
          <w:rFonts w:hint="eastAsia"/>
          <w:szCs w:val="21"/>
        </w:rPr>
        <w:t>45.3.8有下列情形之一的，供应商的谈判结果作废标处理，</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45.3.10谈判小组将对谈判过程进行记录，以存档备查。</w:t>
      </w:r>
    </w:p>
    <w:p>
      <w:pPr>
        <w:tabs>
          <w:tab w:val="clear" w:pos="426"/>
        </w:tabs>
        <w:rPr>
          <w:rFonts w:hint="eastAsia"/>
        </w:rPr>
      </w:pPr>
      <w:r>
        <w:rPr>
          <w:rFonts w:hint="eastAsia"/>
        </w:rPr>
        <w:t>45.4评标方法和定标原则</w:t>
      </w:r>
    </w:p>
    <w:p>
      <w:pPr>
        <w:tabs>
          <w:tab w:val="clear" w:pos="426"/>
        </w:tabs>
        <w:rPr>
          <w:rFonts w:hint="eastAsia"/>
        </w:rPr>
      </w:pPr>
      <w:r>
        <w:rPr>
          <w:rFonts w:hint="eastAsia"/>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Cs/>
        </w:rPr>
        <w:t>最低评标价法</w:t>
      </w:r>
      <w:r>
        <w:rPr>
          <w:rFonts w:hint="eastAsia"/>
        </w:rPr>
        <w:t>进行评审。</w:t>
      </w:r>
    </w:p>
    <w:p>
      <w:pPr>
        <w:tabs>
          <w:tab w:val="clear" w:pos="426"/>
        </w:tabs>
        <w:rPr>
          <w:rFonts w:hint="eastAsia"/>
          <w:szCs w:val="21"/>
        </w:rPr>
      </w:pPr>
      <w:r>
        <w:rPr>
          <w:rFonts w:hint="eastAsia"/>
        </w:rPr>
        <w:t>45.4.2谈判小组向采购代理机构提交书面评标报告，并推荐中标候选人或确定中标供应商。</w:t>
      </w:r>
    </w:p>
    <w:p>
      <w:pPr>
        <w:pStyle w:val="5"/>
        <w:tabs>
          <w:tab w:val="clear" w:pos="426"/>
        </w:tabs>
        <w:rPr>
          <w:rFonts w:hint="eastAsia"/>
          <w:sz w:val="28"/>
          <w:szCs w:val="28"/>
        </w:rPr>
      </w:pPr>
      <w:bookmarkStart w:id="202" w:name="_Toc14427262"/>
      <w:bookmarkStart w:id="203" w:name="_Toc530152530"/>
      <w:bookmarkStart w:id="204" w:name="_Toc529280589"/>
      <w:bookmarkStart w:id="205" w:name="_Toc10600"/>
      <w:r>
        <w:rPr>
          <w:rFonts w:hint="eastAsia"/>
        </w:rPr>
        <w:t>第九章 合同的授予与备案</w:t>
      </w:r>
      <w:bookmarkEnd w:id="202"/>
      <w:bookmarkEnd w:id="203"/>
      <w:bookmarkEnd w:id="204"/>
      <w:bookmarkEnd w:id="205"/>
    </w:p>
    <w:p>
      <w:pPr>
        <w:tabs>
          <w:tab w:val="clear" w:pos="426"/>
        </w:tabs>
        <w:rPr>
          <w:rFonts w:hint="eastAsia"/>
        </w:rPr>
      </w:pPr>
      <w:r>
        <w:rPr>
          <w:rFonts w:hint="eastAsia"/>
        </w:rPr>
        <w:t>46．  履约担保</w:t>
      </w:r>
    </w:p>
    <w:p>
      <w:pPr>
        <w:tabs>
          <w:tab w:val="clear" w:pos="426"/>
        </w:tabs>
        <w:rPr>
          <w:rFonts w:hint="eastAsia"/>
        </w:rPr>
      </w:pPr>
      <w:r>
        <w:rPr>
          <w:rFonts w:hint="eastAsia"/>
        </w:rPr>
        <w:t>46.1  本项目履约担保的相关要求：详见“投标须知前附表”。</w:t>
      </w:r>
    </w:p>
    <w:p>
      <w:pPr>
        <w:tabs>
          <w:tab w:val="clear" w:pos="426"/>
        </w:tabs>
        <w:rPr>
          <w:rFonts w:hint="eastAsia"/>
        </w:rPr>
      </w:pPr>
      <w:r>
        <w:rPr>
          <w:rFonts w:hint="eastAsia"/>
        </w:rPr>
        <w:t>46.2  在签订合同前，中标供应商应按规定向采购人提交履约担保，采用履约保函形式的可参照使用本招标文件提供的格式。</w:t>
      </w:r>
    </w:p>
    <w:p>
      <w:pPr>
        <w:tabs>
          <w:tab w:val="clear" w:pos="426"/>
        </w:tabs>
        <w:rPr>
          <w:rFonts w:hint="eastAsia"/>
        </w:rPr>
      </w:pPr>
      <w:r>
        <w:rPr>
          <w:rFonts w:hint="eastAsia"/>
        </w:rPr>
        <w:t>46.3  联合体中标的，其履约担保由联合体牵头人提交，并应符合本节第42.1条、第45.2条的规定。</w:t>
      </w:r>
    </w:p>
    <w:p>
      <w:pPr>
        <w:tabs>
          <w:tab w:val="clear" w:pos="426"/>
        </w:tabs>
        <w:rPr>
          <w:rFonts w:hint="eastAsia"/>
        </w:rPr>
      </w:pPr>
      <w:r>
        <w:rPr>
          <w:rFonts w:hint="eastAsia"/>
        </w:rPr>
        <w:t>46.4  如果中标供应商拒不提交本节第42.1条、第42.2条要求的履约担保的，采购人可取消其中标资格，并没收其投标担保。</w:t>
      </w:r>
    </w:p>
    <w:p>
      <w:pPr>
        <w:tabs>
          <w:tab w:val="clear" w:pos="426"/>
        </w:tabs>
        <w:rPr>
          <w:rFonts w:hint="eastAsia"/>
        </w:rPr>
      </w:pPr>
      <w:r>
        <w:rPr>
          <w:rFonts w:hint="eastAsia"/>
        </w:rPr>
        <w:t>47．  签订合同</w:t>
      </w:r>
    </w:p>
    <w:p>
      <w:pPr>
        <w:tabs>
          <w:tab w:val="clear" w:pos="426"/>
        </w:tabs>
        <w:rPr>
          <w:rFonts w:hint="eastAsia"/>
        </w:rPr>
      </w:pPr>
      <w:r>
        <w:rPr>
          <w:rFonts w:hint="eastAsia"/>
        </w:rPr>
        <w:t>47.1  采购人和中标供应商应当按“投标须知前附表”的规定，依据招标文件和中标供应商的投标文件订立书面合同。</w:t>
      </w:r>
    </w:p>
    <w:p>
      <w:pPr>
        <w:tabs>
          <w:tab w:val="clear" w:pos="426"/>
        </w:tabs>
        <w:rPr>
          <w:rFonts w:hint="eastAsia"/>
        </w:rPr>
      </w:pPr>
      <w:r>
        <w:rPr>
          <w:rFonts w:hint="eastAsia"/>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rPr>
          <w:rFonts w:hint="eastAsia"/>
        </w:rPr>
      </w:pPr>
      <w:bookmarkStart w:id="206" w:name="_Toc530152531"/>
      <w:bookmarkStart w:id="207" w:name="_Toc14427263"/>
      <w:bookmarkStart w:id="208" w:name="_Toc3581"/>
      <w:bookmarkStart w:id="209" w:name="_Toc529280590"/>
      <w:r>
        <w:rPr>
          <w:rFonts w:hint="eastAsia"/>
        </w:rPr>
        <w:t>第十章 质疑受理</w:t>
      </w:r>
      <w:bookmarkEnd w:id="206"/>
      <w:bookmarkEnd w:id="207"/>
      <w:bookmarkEnd w:id="208"/>
      <w:bookmarkEnd w:id="209"/>
    </w:p>
    <w:p>
      <w:pPr>
        <w:tabs>
          <w:tab w:val="clear" w:pos="426"/>
        </w:tabs>
        <w:rPr>
          <w:rFonts w:hint="eastAsia"/>
        </w:rPr>
      </w:pPr>
      <w:r>
        <w:rPr>
          <w:rFonts w:hint="eastAsia"/>
        </w:rPr>
        <w:t>48.质疑受理机构</w:t>
      </w:r>
    </w:p>
    <w:p>
      <w:pPr>
        <w:tabs>
          <w:tab w:val="clear" w:pos="426"/>
        </w:tabs>
        <w:rPr>
          <w:rFonts w:hint="eastAsia"/>
          <w:sz w:val="22"/>
          <w:szCs w:val="22"/>
        </w:rPr>
      </w:pPr>
      <w:r>
        <w:rPr>
          <w:rFonts w:hint="eastAsia"/>
        </w:rPr>
        <w:t>采购代理机构及采购人</w:t>
      </w:r>
      <w:r>
        <w:t>负责受理和答复质疑</w:t>
      </w:r>
      <w:r>
        <w:rPr>
          <w:sz w:val="22"/>
          <w:szCs w:val="22"/>
        </w:rPr>
        <w:t>。</w:t>
      </w:r>
    </w:p>
    <w:p>
      <w:pPr>
        <w:tabs>
          <w:tab w:val="clear" w:pos="426"/>
        </w:tabs>
        <w:rPr>
          <w:rFonts w:hint="eastAsia"/>
        </w:rPr>
      </w:pPr>
      <w:r>
        <w:rPr>
          <w:rFonts w:hint="eastAsia"/>
        </w:rPr>
        <w:t>49.质疑处理原则</w:t>
      </w:r>
    </w:p>
    <w:p>
      <w:pPr>
        <w:tabs>
          <w:tab w:val="clear" w:pos="426"/>
        </w:tabs>
        <w:rPr>
          <w:rFonts w:hint="eastAsia"/>
        </w:rPr>
      </w:pPr>
      <w:r>
        <w:rPr>
          <w:rFonts w:hint="eastAsia"/>
        </w:rPr>
        <w:t>49.1</w:t>
      </w:r>
      <w:r>
        <w:t>质疑处理遵循公平、公正、规范、高效的原则。</w:t>
      </w:r>
    </w:p>
    <w:p>
      <w:pPr>
        <w:tabs>
          <w:tab w:val="clear" w:pos="426"/>
        </w:tabs>
        <w:rPr>
          <w:rFonts w:hint="eastAsia"/>
        </w:rPr>
      </w:pPr>
      <w:r>
        <w:rPr>
          <w:rFonts w:hint="eastAsia"/>
        </w:rPr>
        <w:t>49.2</w:t>
      </w:r>
      <w:r>
        <w:t>供应商质疑实行实名制和“谁质疑，谁举证”的原则，质疑应有具体的事项及事实根据。</w:t>
      </w:r>
    </w:p>
    <w:p>
      <w:pPr>
        <w:tabs>
          <w:tab w:val="clear" w:pos="426"/>
        </w:tabs>
        <w:rPr>
          <w:rFonts w:hint="eastAsia"/>
        </w:rPr>
      </w:pPr>
      <w:r>
        <w:rPr>
          <w:rFonts w:hint="eastAsia"/>
        </w:rPr>
        <w:t>50.质疑受理的时效和范围</w:t>
      </w:r>
    </w:p>
    <w:p>
      <w:pPr>
        <w:tabs>
          <w:tab w:val="clear" w:pos="426"/>
        </w:tabs>
        <w:rPr>
          <w:rFonts w:hint="eastAsia"/>
        </w:rPr>
      </w:pPr>
      <w:r>
        <w:rPr>
          <w:rFonts w:hint="eastAsia"/>
        </w:rPr>
        <w:t>50.1供应商认为采购文件、采购过程和中标、成交结果使自己权益受到损害的，可以在知道或者应知其权益受到损害之日起7个工作日内，以书面形式向采购代理机构提出质疑。</w:t>
      </w:r>
    </w:p>
    <w:p>
      <w:pPr>
        <w:tabs>
          <w:tab w:val="clear" w:pos="426"/>
        </w:tabs>
        <w:rPr>
          <w:rFonts w:hint="eastAsia"/>
        </w:rPr>
      </w:pPr>
      <w:r>
        <w:rPr>
          <w:rFonts w:hint="eastAsia"/>
        </w:rPr>
        <w:t>50.2供应商对采购文件有疑问的，采购代理机构及采购人按答疑程序处理；供应商对采购文件有异议的，按质疑程序处理。</w:t>
      </w:r>
    </w:p>
    <w:p>
      <w:pPr>
        <w:tabs>
          <w:tab w:val="clear" w:pos="426"/>
        </w:tabs>
        <w:rPr>
          <w:rFonts w:hint="eastAsia"/>
        </w:rPr>
      </w:pPr>
      <w:r>
        <w:rPr>
          <w:rFonts w:hint="eastAsia"/>
        </w:rPr>
        <w:t>51.质疑条件</w:t>
      </w:r>
    </w:p>
    <w:p>
      <w:pPr>
        <w:tabs>
          <w:tab w:val="clear" w:pos="426"/>
        </w:tabs>
        <w:rPr>
          <w:rFonts w:hint="eastAsia"/>
        </w:rPr>
      </w:pPr>
      <w:r>
        <w:rPr>
          <w:rFonts w:hint="eastAsia"/>
        </w:rPr>
        <w:t>51.1提出质疑的应是直接参与相应采购项目的供应商。以联合体形式参与的，由联合体共同提出；</w:t>
      </w:r>
    </w:p>
    <w:p>
      <w:pPr>
        <w:tabs>
          <w:tab w:val="clear" w:pos="426"/>
        </w:tabs>
        <w:rPr>
          <w:rFonts w:hint="eastAsia"/>
        </w:rPr>
      </w:pPr>
      <w:r>
        <w:rPr>
          <w:rFonts w:hint="eastAsia"/>
        </w:rPr>
        <w:t>51.2提供质疑的项目名称和编号、质疑供应商的单位名称、详细地址、邮政编码、联系人及联系电话等基本情况；</w:t>
      </w:r>
    </w:p>
    <w:p>
      <w:pPr>
        <w:tabs>
          <w:tab w:val="clear" w:pos="426"/>
        </w:tabs>
        <w:rPr>
          <w:rFonts w:hint="eastAsia"/>
        </w:rPr>
      </w:pPr>
      <w:r>
        <w:rPr>
          <w:rFonts w:hint="eastAsia"/>
        </w:rPr>
        <w:t>51.3有质疑的具体事项、请求及理由，并附相关证据材料；</w:t>
      </w:r>
    </w:p>
    <w:p>
      <w:pPr>
        <w:tabs>
          <w:tab w:val="clear" w:pos="426"/>
        </w:tabs>
        <w:rPr>
          <w:rFonts w:hint="eastAsia"/>
        </w:rPr>
      </w:pPr>
      <w:r>
        <w:rPr>
          <w:rFonts w:hint="eastAsia"/>
        </w:rPr>
        <w:t>51.4质疑书加盖公章，被授权人进行质疑的同时提交法人授权委托书；</w:t>
      </w:r>
    </w:p>
    <w:p>
      <w:pPr>
        <w:tabs>
          <w:tab w:val="clear" w:pos="426"/>
        </w:tabs>
        <w:rPr>
          <w:rFonts w:hint="eastAsia"/>
        </w:rPr>
      </w:pPr>
      <w:r>
        <w:rPr>
          <w:rFonts w:hint="eastAsia"/>
        </w:rPr>
        <w:t>51.5质疑材料中有外文资料的，应一并附上中文译本，并以中文译本为准。</w:t>
      </w:r>
    </w:p>
    <w:p>
      <w:pPr>
        <w:tabs>
          <w:tab w:val="clear" w:pos="426"/>
        </w:tabs>
        <w:rPr>
          <w:rFonts w:hint="eastAsia"/>
        </w:rPr>
      </w:pPr>
      <w:r>
        <w:rPr>
          <w:rFonts w:hint="eastAsia"/>
        </w:rPr>
        <w:t>51.6质疑不得超过质疑受理的时效和范围。</w:t>
      </w:r>
    </w:p>
    <w:p>
      <w:pPr>
        <w:tabs>
          <w:tab w:val="clear" w:pos="426"/>
        </w:tabs>
        <w:rPr>
          <w:rFonts w:hint="eastAsia"/>
        </w:rPr>
      </w:pPr>
      <w:r>
        <w:rPr>
          <w:rFonts w:hint="eastAsia"/>
        </w:rPr>
        <w:t>不符合上述条件的，我采购代理机构不予受理。</w:t>
      </w:r>
    </w:p>
    <w:p>
      <w:pPr>
        <w:tabs>
          <w:tab w:val="clear" w:pos="426"/>
        </w:tabs>
        <w:rPr>
          <w:rFonts w:hint="eastAsia"/>
        </w:rPr>
      </w:pPr>
      <w:r>
        <w:rPr>
          <w:rFonts w:hint="eastAsia"/>
        </w:rPr>
        <w:t>52.受理质疑办理程序</w:t>
      </w:r>
    </w:p>
    <w:p>
      <w:pPr>
        <w:tabs>
          <w:tab w:val="clear" w:pos="426"/>
        </w:tabs>
        <w:rPr>
          <w:rFonts w:hint="eastAsia"/>
        </w:rPr>
      </w:pPr>
      <w:r>
        <w:rPr>
          <w:rFonts w:hint="eastAsia"/>
        </w:rPr>
        <w:t>52.1先与质疑供应商进行沟通，以消除因误解或对采购规则和程序的不了解而引起的质疑。对沟通情况满意的，供应商撤回质疑，质疑处理程序终止。</w:t>
      </w:r>
    </w:p>
    <w:p>
      <w:pPr>
        <w:tabs>
          <w:tab w:val="clear" w:pos="426"/>
        </w:tabs>
        <w:rPr>
          <w:rFonts w:hint="eastAsia"/>
        </w:rPr>
      </w:pPr>
      <w:r>
        <w:rPr>
          <w:rFonts w:hint="eastAsia"/>
        </w:rPr>
        <w:t>52.2处理质疑一般进行书面审查；必要时听取各方当事人的陈述和申辩、进行相关调查；组织原评标委员会或谈判小组进行复议。</w:t>
      </w:r>
    </w:p>
    <w:p>
      <w:pPr>
        <w:tabs>
          <w:tab w:val="clear" w:pos="426"/>
        </w:tabs>
        <w:rPr>
          <w:rFonts w:hint="eastAsia"/>
        </w:rPr>
      </w:pPr>
      <w:r>
        <w:rPr>
          <w:rFonts w:hint="eastAsia"/>
        </w:rPr>
        <w:t>52.3在质疑处理期间，采购代理机构视情形决定暂停采购活动。</w:t>
      </w:r>
    </w:p>
    <w:p>
      <w:pPr>
        <w:tabs>
          <w:tab w:val="clear" w:pos="426"/>
        </w:tabs>
        <w:rPr>
          <w:rFonts w:hint="eastAsia"/>
        </w:rPr>
      </w:pPr>
      <w:r>
        <w:rPr>
          <w:rFonts w:hint="eastAsia"/>
        </w:rPr>
        <w:t>52.4采购代理机构原则上在质疑受理之日起7个工作日内书面答复质疑供应商。答复函以直接领取、传真或邮寄方式送达。</w:t>
      </w:r>
    </w:p>
    <w:p>
      <w:pPr>
        <w:tabs>
          <w:tab w:val="clear" w:pos="426"/>
        </w:tabs>
        <w:rPr>
          <w:rFonts w:hint="eastAsia"/>
        </w:rPr>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rPr>
          <w:rFonts w:hint="eastAsia"/>
        </w:rPr>
      </w:pPr>
      <w:r>
        <w:rPr>
          <w:rFonts w:hint="eastAsia"/>
        </w:rPr>
        <w:t>53.相关责任与义务</w:t>
      </w:r>
    </w:p>
    <w:p>
      <w:pPr>
        <w:tabs>
          <w:tab w:val="clear" w:pos="426"/>
        </w:tabs>
        <w:rPr>
          <w:rFonts w:hint="eastAsia"/>
        </w:rPr>
      </w:pPr>
      <w:r>
        <w:rPr>
          <w:rFonts w:hint="eastAsia"/>
        </w:rPr>
        <w:t>53.1采购单位、评标专家和相关供应商等当事人应积极配合采购代理机构进行质疑调查，如实反映情况，及时提供证明材料。</w:t>
      </w:r>
    </w:p>
    <w:p>
      <w:pPr>
        <w:tabs>
          <w:tab w:val="clear" w:pos="426"/>
        </w:tabs>
        <w:rPr>
          <w:rFonts w:hint="eastAsia"/>
        </w:rPr>
      </w:pPr>
      <w:r>
        <w:rPr>
          <w:rFonts w:hint="eastAsia"/>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rPr>
          <w:rFonts w:hint="eastAsia"/>
        </w:rPr>
      </w:pPr>
      <w:r>
        <w:rPr>
          <w:rFonts w:hint="eastAsia"/>
        </w:rPr>
        <w:t>53.2.1捏造事实或提供虚假证明材料的；</w:t>
      </w:r>
    </w:p>
    <w:p>
      <w:pPr>
        <w:tabs>
          <w:tab w:val="clear" w:pos="426"/>
        </w:tabs>
        <w:rPr>
          <w:rFonts w:hint="eastAsia"/>
        </w:rPr>
      </w:pPr>
      <w:r>
        <w:rPr>
          <w:rFonts w:hint="eastAsia"/>
        </w:rPr>
        <w:t>53.2.2假冒他人名义进行质疑的；</w:t>
      </w:r>
    </w:p>
    <w:p>
      <w:pPr>
        <w:tabs>
          <w:tab w:val="clear" w:pos="426"/>
        </w:tabs>
        <w:rPr>
          <w:rFonts w:hint="eastAsia"/>
        </w:rPr>
      </w:pPr>
      <w:r>
        <w:rPr>
          <w:rFonts w:hint="eastAsia"/>
        </w:rPr>
        <w:t>53.2.3拒不配合进行有关调查、情节严重的。</w:t>
      </w:r>
    </w:p>
    <w:p>
      <w:pPr>
        <w:tabs>
          <w:tab w:val="clear" w:pos="426"/>
        </w:tabs>
        <w:rPr>
          <w:rFonts w:hint="eastAsia"/>
          <w:b/>
        </w:rPr>
      </w:pPr>
      <w:r>
        <w:rPr>
          <w:rFonts w:hint="eastAsia"/>
        </w:rPr>
        <w:t xml:space="preserve">54．  </w:t>
      </w:r>
      <w:r>
        <w:rPr>
          <w:rFonts w:hint="eastAsia"/>
          <w:b/>
        </w:rPr>
        <w:t>其他</w:t>
      </w:r>
    </w:p>
    <w:p>
      <w:pPr>
        <w:tabs>
          <w:tab w:val="clear" w:pos="426"/>
        </w:tabs>
        <w:rPr>
          <w:rFonts w:hint="eastAsia"/>
        </w:rPr>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rPr>
          <w:rFonts w:hint="eastAsia"/>
        </w:rPr>
      </w:pPr>
      <w:r>
        <w:rPr>
          <w:rFonts w:hint="eastAsia"/>
        </w:rPr>
        <w:t>54.2 采购代理机构向投标供应商提供的资料和数据，是采购代理机构现有的能供投标供应商利用的资料，采购代理机构对投标供应商由此而作出的推论、理解和结论概不负责。</w:t>
      </w:r>
    </w:p>
    <w:p>
      <w:pPr>
        <w:tabs>
          <w:tab w:val="clear" w:pos="426"/>
        </w:tabs>
        <w:rPr>
          <w:rFonts w:hint="eastAsia"/>
        </w:rPr>
      </w:pPr>
      <w:r>
        <w:rPr>
          <w:rFonts w:hint="eastAsia"/>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rPr>
          <w:rFonts w:hint="eastAsia"/>
        </w:rPr>
      </w:pPr>
      <w:r>
        <w:rPr>
          <w:rFonts w:hint="eastAsia"/>
        </w:rPr>
        <w:t>54.4 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rPr>
          <w:rFonts w:hint="eastAsia"/>
        </w:rPr>
      </w:pPr>
      <w:r>
        <w:rPr>
          <w:rFonts w:hint="eastAsia"/>
        </w:rPr>
        <w:t>54.5 本招标文件所有的附件与本招标文件具有同等效力。</w:t>
      </w:r>
      <w:r>
        <w:br w:type="page"/>
      </w:r>
    </w:p>
    <w:p>
      <w:pPr>
        <w:pStyle w:val="81"/>
        <w:tabs>
          <w:tab w:val="clear" w:pos="426"/>
        </w:tabs>
      </w:pPr>
      <w:bookmarkStart w:id="210" w:name="_Toc3627284"/>
      <w:bookmarkStart w:id="211" w:name="_Toc14427264"/>
      <w:bookmarkStart w:id="212" w:name="_Toc23138"/>
      <w:r>
        <w:rPr>
          <w:rFonts w:hint="eastAsia"/>
        </w:rPr>
        <w:t>招标代理服务取费说明</w:t>
      </w:r>
      <w:bookmarkEnd w:id="210"/>
      <w:bookmarkEnd w:id="211"/>
      <w:bookmarkEnd w:id="212"/>
    </w:p>
    <w:p>
      <w:pPr>
        <w:tabs>
          <w:tab w:val="clear" w:pos="426"/>
        </w:tabs>
        <w:ind w:firstLine="440" w:firstLineChars="200"/>
        <w:rPr>
          <w:rFonts w:hint="eastAsia"/>
          <w:sz w:val="22"/>
        </w:rPr>
      </w:pPr>
      <w:r>
        <w:rPr>
          <w:rFonts w:hint="eastAsia"/>
          <w:sz w:val="22"/>
        </w:rPr>
        <w:t xml:space="preserve">招标代理服务收费以中标金额为计算基数，按差额定率累进法计算，向中标供应商收取，收费标准如下表所列： </w:t>
      </w:r>
    </w:p>
    <w:p>
      <w:pPr>
        <w:tabs>
          <w:tab w:val="clear" w:pos="426"/>
        </w:tabs>
        <w:ind w:firstLine="440" w:firstLineChars="200"/>
        <w:rPr>
          <w:rFonts w:hint="eastAsia"/>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rFonts w:hint="eastAsia"/>
                <w:szCs w:val="21"/>
              </w:rPr>
            </w:pPr>
            <w:r>
              <w:rPr>
                <w:rFonts w:hint="eastAsia"/>
                <w:szCs w:val="21"/>
              </w:rPr>
              <w:t>服务类型</w:t>
            </w:r>
          </w:p>
          <w:p>
            <w:pPr>
              <w:tabs>
                <w:tab w:val="clear" w:pos="426"/>
              </w:tabs>
              <w:spacing w:line="300" w:lineRule="auto"/>
              <w:jc w:val="center"/>
              <w:rPr>
                <w:rFonts w:hint="eastAsia"/>
                <w:szCs w:val="21"/>
              </w:rPr>
            </w:pPr>
            <w:r>
              <w:rPr>
                <w:rFonts w:hint="eastAsia"/>
                <w:szCs w:val="21"/>
              </w:rPr>
              <w:t>费率</w:t>
            </w:r>
          </w:p>
          <w:p>
            <w:pPr>
              <w:tabs>
                <w:tab w:val="clear" w:pos="426"/>
              </w:tabs>
              <w:spacing w:line="300" w:lineRule="auto"/>
              <w:rPr>
                <w:rFonts w:hint="eastAsia"/>
                <w:szCs w:val="21"/>
              </w:rPr>
            </w:pPr>
            <w:r>
              <w:rPr>
                <w:rFonts w:hint="eastAsia"/>
                <w:szCs w:val="21"/>
              </w:rPr>
              <w:t>中标金额</w:t>
            </w:r>
          </w:p>
        </w:tc>
        <w:tc>
          <w:tcPr>
            <w:tcW w:w="1845" w:type="dxa"/>
            <w:vAlign w:val="center"/>
          </w:tcPr>
          <w:p>
            <w:pPr>
              <w:spacing w:line="240" w:lineRule="auto"/>
              <w:jc w:val="center"/>
              <w:rPr>
                <w:rFonts w:hint="eastAsia"/>
                <w:szCs w:val="21"/>
              </w:rPr>
            </w:pPr>
            <w:r>
              <w:rPr>
                <w:rFonts w:hint="eastAsia"/>
                <w:szCs w:val="21"/>
              </w:rPr>
              <w:t>货物采购</w:t>
            </w:r>
          </w:p>
        </w:tc>
        <w:tc>
          <w:tcPr>
            <w:tcW w:w="1845" w:type="dxa"/>
            <w:vAlign w:val="center"/>
          </w:tcPr>
          <w:p>
            <w:pPr>
              <w:spacing w:line="240" w:lineRule="auto"/>
              <w:jc w:val="center"/>
              <w:rPr>
                <w:rFonts w:hint="eastAsia"/>
                <w:szCs w:val="21"/>
              </w:rPr>
            </w:pPr>
            <w:r>
              <w:rPr>
                <w:szCs w:val="21"/>
              </w:rPr>
              <w:t>服务采购</w:t>
            </w:r>
          </w:p>
        </w:tc>
        <w:tc>
          <w:tcPr>
            <w:tcW w:w="1846" w:type="dxa"/>
            <w:vAlign w:val="center"/>
          </w:tcPr>
          <w:p>
            <w:pPr>
              <w:spacing w:line="240" w:lineRule="auto"/>
              <w:jc w:val="center"/>
              <w:rPr>
                <w:rFonts w:hint="eastAsia"/>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rFonts w:hint="eastAsia"/>
                <w:szCs w:val="21"/>
              </w:rPr>
            </w:pPr>
            <w:r>
              <w:rPr>
                <w:rFonts w:hint="eastAsia"/>
                <w:szCs w:val="21"/>
              </w:rPr>
              <w:t>100万元以下</w:t>
            </w:r>
          </w:p>
        </w:tc>
        <w:tc>
          <w:tcPr>
            <w:tcW w:w="1845" w:type="dxa"/>
            <w:vAlign w:val="center"/>
          </w:tcPr>
          <w:p>
            <w:pPr>
              <w:spacing w:line="240" w:lineRule="auto"/>
              <w:jc w:val="center"/>
              <w:rPr>
                <w:rFonts w:hint="eastAsia"/>
                <w:szCs w:val="21"/>
              </w:rPr>
            </w:pPr>
            <w:r>
              <w:rPr>
                <w:rFonts w:hint="eastAsia"/>
                <w:szCs w:val="21"/>
              </w:rPr>
              <w:t>1.500%</w:t>
            </w:r>
          </w:p>
        </w:tc>
        <w:tc>
          <w:tcPr>
            <w:tcW w:w="1845" w:type="dxa"/>
            <w:vAlign w:val="center"/>
          </w:tcPr>
          <w:p>
            <w:pPr>
              <w:spacing w:line="240" w:lineRule="auto"/>
              <w:jc w:val="center"/>
              <w:rPr>
                <w:rFonts w:hint="eastAsia"/>
                <w:szCs w:val="21"/>
              </w:rPr>
            </w:pPr>
            <w:r>
              <w:rPr>
                <w:rFonts w:hint="eastAsia"/>
                <w:szCs w:val="21"/>
              </w:rPr>
              <w:t>1.500%</w:t>
            </w:r>
          </w:p>
        </w:tc>
        <w:tc>
          <w:tcPr>
            <w:tcW w:w="1846" w:type="dxa"/>
            <w:vAlign w:val="center"/>
          </w:tcPr>
          <w:p>
            <w:pPr>
              <w:spacing w:line="240" w:lineRule="auto"/>
              <w:jc w:val="center"/>
              <w:rPr>
                <w:rFonts w:hint="eastAsia"/>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100万元（含）-500万元</w:t>
            </w:r>
          </w:p>
        </w:tc>
        <w:tc>
          <w:tcPr>
            <w:tcW w:w="1845" w:type="dxa"/>
            <w:vAlign w:val="center"/>
          </w:tcPr>
          <w:p>
            <w:pPr>
              <w:spacing w:line="240" w:lineRule="auto"/>
              <w:jc w:val="center"/>
              <w:rPr>
                <w:rFonts w:hint="eastAsia"/>
                <w:szCs w:val="21"/>
              </w:rPr>
            </w:pPr>
            <w:r>
              <w:rPr>
                <w:rFonts w:hint="eastAsia"/>
                <w:szCs w:val="21"/>
              </w:rPr>
              <w:t>1.100%</w:t>
            </w:r>
          </w:p>
        </w:tc>
        <w:tc>
          <w:tcPr>
            <w:tcW w:w="1845" w:type="dxa"/>
            <w:vAlign w:val="center"/>
          </w:tcPr>
          <w:p>
            <w:pPr>
              <w:spacing w:line="240" w:lineRule="auto"/>
              <w:jc w:val="center"/>
              <w:rPr>
                <w:rFonts w:hint="eastAsia"/>
                <w:szCs w:val="21"/>
              </w:rPr>
            </w:pPr>
            <w:r>
              <w:rPr>
                <w:rFonts w:hint="eastAsia"/>
                <w:szCs w:val="21"/>
              </w:rPr>
              <w:t>0.800%</w:t>
            </w:r>
          </w:p>
        </w:tc>
        <w:tc>
          <w:tcPr>
            <w:tcW w:w="1846" w:type="dxa"/>
            <w:vAlign w:val="center"/>
          </w:tcPr>
          <w:p>
            <w:pPr>
              <w:spacing w:line="240" w:lineRule="auto"/>
              <w:jc w:val="center"/>
              <w:rPr>
                <w:rFonts w:hint="eastAsia"/>
                <w:szCs w:val="21"/>
              </w:rPr>
            </w:pPr>
            <w:r>
              <w:rPr>
                <w:rFonts w:hint="eastAsia"/>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500万元（含）-1000万元</w:t>
            </w:r>
          </w:p>
        </w:tc>
        <w:tc>
          <w:tcPr>
            <w:tcW w:w="1845" w:type="dxa"/>
            <w:vAlign w:val="center"/>
          </w:tcPr>
          <w:p>
            <w:pPr>
              <w:spacing w:line="240" w:lineRule="auto"/>
              <w:jc w:val="center"/>
              <w:rPr>
                <w:rFonts w:hint="eastAsia"/>
                <w:szCs w:val="21"/>
              </w:rPr>
            </w:pPr>
            <w:r>
              <w:rPr>
                <w:rFonts w:hint="eastAsia"/>
                <w:szCs w:val="21"/>
              </w:rPr>
              <w:t>0.800%</w:t>
            </w:r>
          </w:p>
        </w:tc>
        <w:tc>
          <w:tcPr>
            <w:tcW w:w="1845" w:type="dxa"/>
            <w:vAlign w:val="center"/>
          </w:tcPr>
          <w:p>
            <w:pPr>
              <w:spacing w:line="240" w:lineRule="auto"/>
              <w:jc w:val="center"/>
              <w:rPr>
                <w:rFonts w:hint="eastAsia"/>
                <w:szCs w:val="21"/>
              </w:rPr>
            </w:pPr>
            <w:r>
              <w:rPr>
                <w:rFonts w:hint="eastAsia"/>
                <w:szCs w:val="21"/>
              </w:rPr>
              <w:t>0.450%</w:t>
            </w:r>
          </w:p>
        </w:tc>
        <w:tc>
          <w:tcPr>
            <w:tcW w:w="1846" w:type="dxa"/>
            <w:vAlign w:val="center"/>
          </w:tcPr>
          <w:p>
            <w:pPr>
              <w:spacing w:line="240" w:lineRule="auto"/>
              <w:jc w:val="center"/>
              <w:rPr>
                <w:rFonts w:hint="eastAsia"/>
                <w:szCs w:val="21"/>
              </w:rPr>
            </w:pPr>
            <w:r>
              <w:rPr>
                <w:rFonts w:hint="eastAsia"/>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1000万元（含）-5000万元</w:t>
            </w:r>
          </w:p>
        </w:tc>
        <w:tc>
          <w:tcPr>
            <w:tcW w:w="1845" w:type="dxa"/>
            <w:vAlign w:val="center"/>
          </w:tcPr>
          <w:p>
            <w:pPr>
              <w:spacing w:line="240" w:lineRule="auto"/>
              <w:jc w:val="center"/>
              <w:rPr>
                <w:rFonts w:hint="eastAsia"/>
                <w:szCs w:val="21"/>
              </w:rPr>
            </w:pPr>
            <w:r>
              <w:rPr>
                <w:rFonts w:hint="eastAsia"/>
                <w:szCs w:val="21"/>
              </w:rPr>
              <w:t>0.500%</w:t>
            </w:r>
          </w:p>
        </w:tc>
        <w:tc>
          <w:tcPr>
            <w:tcW w:w="1845" w:type="dxa"/>
            <w:vAlign w:val="center"/>
          </w:tcPr>
          <w:p>
            <w:pPr>
              <w:spacing w:line="240" w:lineRule="auto"/>
              <w:jc w:val="center"/>
              <w:rPr>
                <w:rFonts w:hint="eastAsia"/>
                <w:szCs w:val="21"/>
              </w:rPr>
            </w:pPr>
            <w:r>
              <w:rPr>
                <w:rFonts w:hint="eastAsia"/>
                <w:szCs w:val="21"/>
              </w:rPr>
              <w:t>0.250%</w:t>
            </w:r>
          </w:p>
        </w:tc>
        <w:tc>
          <w:tcPr>
            <w:tcW w:w="1846" w:type="dxa"/>
            <w:vAlign w:val="center"/>
          </w:tcPr>
          <w:p>
            <w:pPr>
              <w:spacing w:line="240" w:lineRule="auto"/>
              <w:jc w:val="center"/>
              <w:rPr>
                <w:rFonts w:hint="eastAsia"/>
                <w:szCs w:val="21"/>
              </w:rPr>
            </w:pPr>
            <w:r>
              <w:rPr>
                <w:rFonts w:hint="eastAsia"/>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5000万元（含）-1亿元</w:t>
            </w:r>
          </w:p>
        </w:tc>
        <w:tc>
          <w:tcPr>
            <w:tcW w:w="1845" w:type="dxa"/>
            <w:vAlign w:val="center"/>
          </w:tcPr>
          <w:p>
            <w:pPr>
              <w:spacing w:line="240" w:lineRule="auto"/>
              <w:jc w:val="center"/>
              <w:rPr>
                <w:rFonts w:hint="eastAsia"/>
                <w:szCs w:val="21"/>
              </w:rPr>
            </w:pPr>
            <w:r>
              <w:rPr>
                <w:rFonts w:hint="eastAsia"/>
                <w:szCs w:val="21"/>
              </w:rPr>
              <w:t>0.250%</w:t>
            </w:r>
          </w:p>
        </w:tc>
        <w:tc>
          <w:tcPr>
            <w:tcW w:w="1845" w:type="dxa"/>
            <w:vAlign w:val="center"/>
          </w:tcPr>
          <w:p>
            <w:pPr>
              <w:spacing w:line="240" w:lineRule="auto"/>
              <w:jc w:val="center"/>
              <w:rPr>
                <w:rFonts w:hint="eastAsia"/>
                <w:szCs w:val="21"/>
              </w:rPr>
            </w:pPr>
            <w:r>
              <w:rPr>
                <w:rFonts w:hint="eastAsia"/>
                <w:szCs w:val="21"/>
              </w:rPr>
              <w:t>0.100%</w:t>
            </w:r>
          </w:p>
        </w:tc>
        <w:tc>
          <w:tcPr>
            <w:tcW w:w="1846" w:type="dxa"/>
            <w:vAlign w:val="center"/>
          </w:tcPr>
          <w:p>
            <w:pPr>
              <w:spacing w:line="240" w:lineRule="auto"/>
              <w:jc w:val="center"/>
              <w:rPr>
                <w:rFonts w:hint="eastAsia"/>
                <w:szCs w:val="21"/>
              </w:rPr>
            </w:pPr>
            <w:r>
              <w:rPr>
                <w:rFonts w:hint="eastAsia"/>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1亿元（含）-5亿元</w:t>
            </w:r>
          </w:p>
        </w:tc>
        <w:tc>
          <w:tcPr>
            <w:tcW w:w="1845" w:type="dxa"/>
            <w:vAlign w:val="center"/>
          </w:tcPr>
          <w:p>
            <w:pPr>
              <w:spacing w:line="240" w:lineRule="auto"/>
              <w:jc w:val="center"/>
              <w:rPr>
                <w:rFonts w:hint="eastAsia"/>
                <w:szCs w:val="21"/>
              </w:rPr>
            </w:pPr>
            <w:r>
              <w:rPr>
                <w:rFonts w:hint="eastAsia"/>
                <w:szCs w:val="21"/>
              </w:rPr>
              <w:t>0.050%</w:t>
            </w:r>
          </w:p>
        </w:tc>
        <w:tc>
          <w:tcPr>
            <w:tcW w:w="1845" w:type="dxa"/>
            <w:vAlign w:val="center"/>
          </w:tcPr>
          <w:p>
            <w:pPr>
              <w:spacing w:line="240" w:lineRule="auto"/>
              <w:jc w:val="center"/>
              <w:rPr>
                <w:rFonts w:hint="eastAsia"/>
                <w:szCs w:val="21"/>
              </w:rPr>
            </w:pPr>
            <w:r>
              <w:rPr>
                <w:rFonts w:hint="eastAsia"/>
                <w:szCs w:val="21"/>
              </w:rPr>
              <w:t>0.050%</w:t>
            </w:r>
          </w:p>
        </w:tc>
        <w:tc>
          <w:tcPr>
            <w:tcW w:w="1846" w:type="dxa"/>
            <w:vAlign w:val="center"/>
          </w:tcPr>
          <w:p>
            <w:pPr>
              <w:spacing w:line="240" w:lineRule="auto"/>
              <w:jc w:val="center"/>
              <w:rPr>
                <w:rFonts w:hint="eastAsia"/>
                <w:szCs w:val="21"/>
              </w:rPr>
            </w:pPr>
            <w:r>
              <w:rPr>
                <w:rFonts w:hint="eastAsia"/>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5亿元（含）-10亿元</w:t>
            </w:r>
          </w:p>
        </w:tc>
        <w:tc>
          <w:tcPr>
            <w:tcW w:w="1845" w:type="dxa"/>
            <w:vAlign w:val="center"/>
          </w:tcPr>
          <w:p>
            <w:pPr>
              <w:spacing w:line="240" w:lineRule="auto"/>
              <w:jc w:val="center"/>
              <w:rPr>
                <w:rFonts w:hint="eastAsia"/>
                <w:szCs w:val="21"/>
              </w:rPr>
            </w:pPr>
            <w:r>
              <w:rPr>
                <w:rFonts w:hint="eastAsia"/>
                <w:szCs w:val="21"/>
              </w:rPr>
              <w:t>0.035%</w:t>
            </w:r>
          </w:p>
        </w:tc>
        <w:tc>
          <w:tcPr>
            <w:tcW w:w="1845" w:type="dxa"/>
            <w:vAlign w:val="center"/>
          </w:tcPr>
          <w:p>
            <w:pPr>
              <w:spacing w:line="240" w:lineRule="auto"/>
              <w:jc w:val="center"/>
              <w:rPr>
                <w:rFonts w:hint="eastAsia"/>
                <w:szCs w:val="21"/>
              </w:rPr>
            </w:pPr>
            <w:r>
              <w:rPr>
                <w:rFonts w:hint="eastAsia"/>
                <w:szCs w:val="21"/>
              </w:rPr>
              <w:t>0.035%</w:t>
            </w:r>
          </w:p>
        </w:tc>
        <w:tc>
          <w:tcPr>
            <w:tcW w:w="1846" w:type="dxa"/>
            <w:vAlign w:val="center"/>
          </w:tcPr>
          <w:p>
            <w:pPr>
              <w:spacing w:line="240" w:lineRule="auto"/>
              <w:jc w:val="center"/>
              <w:rPr>
                <w:rFonts w:hint="eastAsia"/>
                <w:szCs w:val="21"/>
              </w:rPr>
            </w:pPr>
            <w:r>
              <w:rPr>
                <w:rFonts w:hint="eastAsia"/>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10亿元（含）-50亿元</w:t>
            </w:r>
          </w:p>
        </w:tc>
        <w:tc>
          <w:tcPr>
            <w:tcW w:w="1845" w:type="dxa"/>
            <w:vAlign w:val="center"/>
          </w:tcPr>
          <w:p>
            <w:pPr>
              <w:spacing w:line="240" w:lineRule="auto"/>
              <w:jc w:val="center"/>
              <w:rPr>
                <w:rFonts w:hint="eastAsia"/>
                <w:szCs w:val="21"/>
              </w:rPr>
            </w:pPr>
            <w:r>
              <w:rPr>
                <w:rFonts w:hint="eastAsia"/>
                <w:szCs w:val="21"/>
              </w:rPr>
              <w:t>0.008%</w:t>
            </w:r>
          </w:p>
        </w:tc>
        <w:tc>
          <w:tcPr>
            <w:tcW w:w="1845" w:type="dxa"/>
            <w:vAlign w:val="center"/>
          </w:tcPr>
          <w:p>
            <w:pPr>
              <w:spacing w:line="240" w:lineRule="auto"/>
              <w:jc w:val="center"/>
              <w:rPr>
                <w:rFonts w:hint="eastAsia"/>
                <w:szCs w:val="21"/>
              </w:rPr>
            </w:pPr>
            <w:r>
              <w:rPr>
                <w:rFonts w:hint="eastAsia"/>
                <w:szCs w:val="21"/>
              </w:rPr>
              <w:t>0.008%</w:t>
            </w:r>
          </w:p>
        </w:tc>
        <w:tc>
          <w:tcPr>
            <w:tcW w:w="1846" w:type="dxa"/>
            <w:vAlign w:val="center"/>
          </w:tcPr>
          <w:p>
            <w:pPr>
              <w:spacing w:line="240" w:lineRule="auto"/>
              <w:jc w:val="center"/>
              <w:rPr>
                <w:rFonts w:hint="eastAsia"/>
                <w:szCs w:val="21"/>
              </w:rPr>
            </w:pPr>
            <w:r>
              <w:rPr>
                <w:rFonts w:hint="eastAsia"/>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50亿元（含）-100亿元</w:t>
            </w:r>
          </w:p>
        </w:tc>
        <w:tc>
          <w:tcPr>
            <w:tcW w:w="1845" w:type="dxa"/>
            <w:vAlign w:val="center"/>
          </w:tcPr>
          <w:p>
            <w:pPr>
              <w:spacing w:line="240" w:lineRule="auto"/>
              <w:jc w:val="center"/>
              <w:rPr>
                <w:rFonts w:hint="eastAsia"/>
                <w:szCs w:val="21"/>
              </w:rPr>
            </w:pPr>
            <w:r>
              <w:rPr>
                <w:rFonts w:hint="eastAsia"/>
                <w:szCs w:val="21"/>
              </w:rPr>
              <w:t>0.006%</w:t>
            </w:r>
          </w:p>
        </w:tc>
        <w:tc>
          <w:tcPr>
            <w:tcW w:w="1845" w:type="dxa"/>
            <w:vAlign w:val="center"/>
          </w:tcPr>
          <w:p>
            <w:pPr>
              <w:spacing w:line="240" w:lineRule="auto"/>
              <w:jc w:val="center"/>
              <w:rPr>
                <w:rFonts w:hint="eastAsia"/>
                <w:szCs w:val="21"/>
              </w:rPr>
            </w:pPr>
            <w:r>
              <w:rPr>
                <w:rFonts w:hint="eastAsia"/>
                <w:szCs w:val="21"/>
              </w:rPr>
              <w:t>0.006%</w:t>
            </w:r>
          </w:p>
        </w:tc>
        <w:tc>
          <w:tcPr>
            <w:tcW w:w="1846" w:type="dxa"/>
            <w:vAlign w:val="center"/>
          </w:tcPr>
          <w:p>
            <w:pPr>
              <w:spacing w:line="240" w:lineRule="auto"/>
              <w:jc w:val="center"/>
              <w:rPr>
                <w:rFonts w:hint="eastAsia"/>
                <w:szCs w:val="21"/>
              </w:rPr>
            </w:pPr>
            <w:r>
              <w:rPr>
                <w:rFonts w:hint="eastAsia"/>
                <w:szCs w:val="21"/>
              </w:rPr>
              <w:t>0.006%</w:t>
            </w:r>
          </w:p>
        </w:tc>
      </w:tr>
    </w:tbl>
    <w:p>
      <w:pPr>
        <w:tabs>
          <w:tab w:val="clear" w:pos="426"/>
        </w:tabs>
        <w:ind w:left="424" w:leftChars="202" w:firstLine="440" w:firstLineChars="200"/>
        <w:rPr>
          <w:rFonts w:hint="eastAsia"/>
          <w:sz w:val="22"/>
        </w:rPr>
      </w:pPr>
      <w:r>
        <w:rPr>
          <w:rFonts w:hint="eastAsia"/>
          <w:sz w:val="22"/>
        </w:rPr>
        <w:t>以某5000万项目货物类招标为例：</w:t>
      </w:r>
    </w:p>
    <w:p>
      <w:pPr>
        <w:tabs>
          <w:tab w:val="clear" w:pos="426"/>
        </w:tabs>
        <w:ind w:left="424" w:leftChars="202" w:firstLine="440" w:firstLineChars="200"/>
        <w:rPr>
          <w:rFonts w:hint="eastAsia"/>
          <w:sz w:val="22"/>
        </w:rPr>
      </w:pPr>
      <w:r>
        <w:rPr>
          <w:rFonts w:hint="eastAsia"/>
          <w:sz w:val="22"/>
        </w:rPr>
        <w:t>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ind w:left="424" w:leftChars="202" w:firstLine="440" w:firstLineChars="200"/>
        <w:rPr>
          <w:rFonts w:hint="eastAsia"/>
          <w:sz w:val="22"/>
        </w:rPr>
      </w:pPr>
      <w:r>
        <w:rPr>
          <w:rFonts w:hint="eastAsia"/>
          <w:sz w:val="22"/>
        </w:rPr>
        <w:t xml:space="preserve">100万元×1.5%=1.5万元   </w:t>
      </w:r>
    </w:p>
    <w:p>
      <w:pPr>
        <w:tabs>
          <w:tab w:val="clear" w:pos="426"/>
        </w:tabs>
        <w:ind w:left="424" w:leftChars="202" w:firstLine="440" w:firstLineChars="200"/>
        <w:rPr>
          <w:rFonts w:hint="eastAsia"/>
          <w:sz w:val="22"/>
        </w:rPr>
      </w:pPr>
      <w:r>
        <w:rPr>
          <w:rFonts w:hint="eastAsia"/>
          <w:sz w:val="22"/>
        </w:rPr>
        <w:t>（500-100）万元×</w:t>
      </w:r>
      <w:r>
        <w:rPr>
          <w:sz w:val="22"/>
        </w:rPr>
        <w:t>1.1</w:t>
      </w:r>
      <w:r>
        <w:rPr>
          <w:rFonts w:hint="eastAsia"/>
          <w:sz w:val="22"/>
        </w:rPr>
        <w:t>%=</w:t>
      </w:r>
      <w:r>
        <w:rPr>
          <w:sz w:val="22"/>
        </w:rPr>
        <w:t>4.4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（1000-500）万元×</w:t>
      </w:r>
      <w:r>
        <w:rPr>
          <w:sz w:val="22"/>
        </w:rPr>
        <w:t>0.8</w:t>
      </w:r>
      <w:r>
        <w:rPr>
          <w:rFonts w:hint="eastAsia"/>
          <w:sz w:val="22"/>
        </w:rPr>
        <w:t>%=</w:t>
      </w:r>
      <w:r>
        <w:rPr>
          <w:sz w:val="22"/>
        </w:rPr>
        <w:t>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（5000-1000）万元×0.</w:t>
      </w:r>
      <w:r>
        <w:rPr>
          <w:sz w:val="22"/>
        </w:rPr>
        <w:t>5</w:t>
      </w:r>
      <w:r>
        <w:rPr>
          <w:rFonts w:hint="eastAsia"/>
          <w:sz w:val="22"/>
        </w:rPr>
        <w:t>%=</w:t>
      </w:r>
      <w:r>
        <w:rPr>
          <w:sz w:val="22"/>
        </w:rPr>
        <w:t>20</w:t>
      </w:r>
      <w:r>
        <w:rPr>
          <w:rFonts w:hint="eastAsia"/>
          <w:sz w:val="22"/>
        </w:rPr>
        <w:t>万元</w:t>
      </w:r>
    </w:p>
    <w:p>
      <w:pPr>
        <w:tabs>
          <w:tab w:val="clear" w:pos="426"/>
        </w:tabs>
        <w:ind w:left="424" w:leftChars="202" w:firstLine="440" w:firstLineChars="200"/>
        <w:rPr>
          <w:rFonts w:hint="eastAsia"/>
          <w:sz w:val="22"/>
        </w:rPr>
      </w:pPr>
      <w:r>
        <w:rPr>
          <w:rFonts w:hint="eastAsia"/>
          <w:sz w:val="22"/>
        </w:rPr>
        <w:t>因此，招标代理服务费为：1.5+</w:t>
      </w:r>
      <w:r>
        <w:rPr>
          <w:sz w:val="22"/>
        </w:rPr>
        <w:t>4.4</w:t>
      </w:r>
      <w:r>
        <w:rPr>
          <w:rFonts w:hint="eastAsia"/>
          <w:sz w:val="22"/>
        </w:rPr>
        <w:t>+</w:t>
      </w:r>
      <w:r>
        <w:rPr>
          <w:sz w:val="22"/>
        </w:rPr>
        <w:t>4</w:t>
      </w:r>
      <w:r>
        <w:rPr>
          <w:rFonts w:hint="eastAsia"/>
          <w:sz w:val="22"/>
        </w:rPr>
        <w:t>+</w:t>
      </w:r>
      <w:r>
        <w:rPr>
          <w:sz w:val="22"/>
        </w:rPr>
        <w:t>2</w:t>
      </w:r>
      <w:r>
        <w:rPr>
          <w:rFonts w:hint="eastAsia"/>
          <w:sz w:val="22"/>
        </w:rPr>
        <w:t>0=</w:t>
      </w:r>
      <w:r>
        <w:rPr>
          <w:sz w:val="22"/>
        </w:rPr>
        <w:t>29.9</w:t>
      </w:r>
      <w:r>
        <w:rPr>
          <w:rFonts w:hint="eastAsia"/>
          <w:sz w:val="22"/>
        </w:rPr>
        <w:t>万元。</w:t>
      </w:r>
    </w:p>
    <w:p>
      <w:pPr>
        <w:shd w:val="clear" w:color="auto" w:fill="auto"/>
        <w:tabs>
          <w:tab w:val="clear" w:pos="426"/>
        </w:tabs>
        <w:adjustRightInd/>
        <w:snapToGrid/>
        <w:spacing w:line="240" w:lineRule="auto"/>
        <w:jc w:val="left"/>
        <w:rPr>
          <w:rFonts w:ascii="Arial" w:hAnsi="Arial" w:cs="Times New Roman"/>
          <w:bCs/>
          <w:kern w:val="2"/>
          <w:sz w:val="36"/>
          <w:szCs w:val="32"/>
        </w:rPr>
      </w:pPr>
    </w:p>
    <w:sectPr>
      <w:pgSz w:w="11906" w:h="16838"/>
      <w:pgMar w:top="1134" w:right="1134" w:bottom="1134" w:left="1418" w:header="851" w:footer="992" w:gutter="0"/>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16</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5"/>
    <w:multiLevelType w:val="multilevel"/>
    <w:tmpl w:val="00000005"/>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5">
    <w:nsid w:val="726C71F1"/>
    <w:multiLevelType w:val="multilevel"/>
    <w:tmpl w:val="726C71F1"/>
    <w:lvl w:ilvl="0" w:tentative="0">
      <w:start w:val="1"/>
      <w:numFmt w:val="chineseCountingThousand"/>
      <w:pStyle w:val="55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82E"/>
    <w:rsid w:val="0002401D"/>
    <w:rsid w:val="000244E1"/>
    <w:rsid w:val="000245FE"/>
    <w:rsid w:val="000246D4"/>
    <w:rsid w:val="000252D1"/>
    <w:rsid w:val="00025673"/>
    <w:rsid w:val="00025E39"/>
    <w:rsid w:val="00026A09"/>
    <w:rsid w:val="00026CAC"/>
    <w:rsid w:val="00027092"/>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E77"/>
    <w:rsid w:val="000740B8"/>
    <w:rsid w:val="0007455E"/>
    <w:rsid w:val="000750DC"/>
    <w:rsid w:val="0007542D"/>
    <w:rsid w:val="00075C4A"/>
    <w:rsid w:val="00076BF2"/>
    <w:rsid w:val="00076EDC"/>
    <w:rsid w:val="00077188"/>
    <w:rsid w:val="00077784"/>
    <w:rsid w:val="00080925"/>
    <w:rsid w:val="0008103C"/>
    <w:rsid w:val="00081639"/>
    <w:rsid w:val="000818BE"/>
    <w:rsid w:val="00081A6E"/>
    <w:rsid w:val="000820FF"/>
    <w:rsid w:val="00082667"/>
    <w:rsid w:val="00082B2F"/>
    <w:rsid w:val="00082DBC"/>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A08"/>
    <w:rsid w:val="00087C7C"/>
    <w:rsid w:val="000909A1"/>
    <w:rsid w:val="00091179"/>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1055"/>
    <w:rsid w:val="000D1275"/>
    <w:rsid w:val="000D12AA"/>
    <w:rsid w:val="000D1330"/>
    <w:rsid w:val="000D1844"/>
    <w:rsid w:val="000D1A7D"/>
    <w:rsid w:val="000D1D09"/>
    <w:rsid w:val="000D20CD"/>
    <w:rsid w:val="000D2309"/>
    <w:rsid w:val="000D2390"/>
    <w:rsid w:val="000D23AD"/>
    <w:rsid w:val="000D2C15"/>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41C0"/>
    <w:rsid w:val="000E4687"/>
    <w:rsid w:val="000E48ED"/>
    <w:rsid w:val="000E49EB"/>
    <w:rsid w:val="000E4DE8"/>
    <w:rsid w:val="000E60B2"/>
    <w:rsid w:val="000E62FD"/>
    <w:rsid w:val="000E6681"/>
    <w:rsid w:val="000E69FE"/>
    <w:rsid w:val="000E6C5E"/>
    <w:rsid w:val="000E6C9A"/>
    <w:rsid w:val="000E6DB4"/>
    <w:rsid w:val="000E6EC0"/>
    <w:rsid w:val="000E7758"/>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7AA"/>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53DF"/>
    <w:rsid w:val="00115711"/>
    <w:rsid w:val="0011585F"/>
    <w:rsid w:val="00115973"/>
    <w:rsid w:val="00115A55"/>
    <w:rsid w:val="00115AD7"/>
    <w:rsid w:val="00116971"/>
    <w:rsid w:val="001172D4"/>
    <w:rsid w:val="00117316"/>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9A"/>
    <w:rsid w:val="001264D8"/>
    <w:rsid w:val="00126813"/>
    <w:rsid w:val="00126953"/>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46D"/>
    <w:rsid w:val="00140645"/>
    <w:rsid w:val="0014143D"/>
    <w:rsid w:val="00142838"/>
    <w:rsid w:val="00143156"/>
    <w:rsid w:val="00143282"/>
    <w:rsid w:val="00143653"/>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A9B"/>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C79"/>
    <w:rsid w:val="00183C8B"/>
    <w:rsid w:val="00183E75"/>
    <w:rsid w:val="00184125"/>
    <w:rsid w:val="00184225"/>
    <w:rsid w:val="00184465"/>
    <w:rsid w:val="001845CF"/>
    <w:rsid w:val="00184677"/>
    <w:rsid w:val="00184BF0"/>
    <w:rsid w:val="001851CF"/>
    <w:rsid w:val="001857BB"/>
    <w:rsid w:val="00185969"/>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862"/>
    <w:rsid w:val="001A398D"/>
    <w:rsid w:val="001A3AD6"/>
    <w:rsid w:val="001A3BEC"/>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5B57"/>
    <w:rsid w:val="001B5C8A"/>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0B"/>
    <w:rsid w:val="001C61B1"/>
    <w:rsid w:val="001C6AF5"/>
    <w:rsid w:val="001C725D"/>
    <w:rsid w:val="001C77E1"/>
    <w:rsid w:val="001C7ADA"/>
    <w:rsid w:val="001D08C2"/>
    <w:rsid w:val="001D12B2"/>
    <w:rsid w:val="001D1635"/>
    <w:rsid w:val="001D1872"/>
    <w:rsid w:val="001D1B74"/>
    <w:rsid w:val="001D1C05"/>
    <w:rsid w:val="001D1C72"/>
    <w:rsid w:val="001D1EE5"/>
    <w:rsid w:val="001D2C4D"/>
    <w:rsid w:val="001D2F0C"/>
    <w:rsid w:val="001D3351"/>
    <w:rsid w:val="001D3543"/>
    <w:rsid w:val="001D46EF"/>
    <w:rsid w:val="001D4AF5"/>
    <w:rsid w:val="001D4DEE"/>
    <w:rsid w:val="001D5600"/>
    <w:rsid w:val="001D58E5"/>
    <w:rsid w:val="001D5F4C"/>
    <w:rsid w:val="001D6191"/>
    <w:rsid w:val="001D650B"/>
    <w:rsid w:val="001D6CA4"/>
    <w:rsid w:val="001D76AD"/>
    <w:rsid w:val="001D785D"/>
    <w:rsid w:val="001D7943"/>
    <w:rsid w:val="001D7A5C"/>
    <w:rsid w:val="001E086E"/>
    <w:rsid w:val="001E08AE"/>
    <w:rsid w:val="001E17B2"/>
    <w:rsid w:val="001E1991"/>
    <w:rsid w:val="001E1B14"/>
    <w:rsid w:val="001E200A"/>
    <w:rsid w:val="001E2067"/>
    <w:rsid w:val="001E226F"/>
    <w:rsid w:val="001E24A9"/>
    <w:rsid w:val="001E2502"/>
    <w:rsid w:val="001E292F"/>
    <w:rsid w:val="001E2B40"/>
    <w:rsid w:val="001E2FC0"/>
    <w:rsid w:val="001E3202"/>
    <w:rsid w:val="001E328E"/>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94C"/>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CD"/>
    <w:rsid w:val="0024727D"/>
    <w:rsid w:val="00247343"/>
    <w:rsid w:val="002478E5"/>
    <w:rsid w:val="00247C53"/>
    <w:rsid w:val="0025073C"/>
    <w:rsid w:val="00250F42"/>
    <w:rsid w:val="00250FD2"/>
    <w:rsid w:val="00251A8F"/>
    <w:rsid w:val="002529C2"/>
    <w:rsid w:val="00253EA0"/>
    <w:rsid w:val="0025434B"/>
    <w:rsid w:val="00254439"/>
    <w:rsid w:val="00254B44"/>
    <w:rsid w:val="00254E99"/>
    <w:rsid w:val="00255460"/>
    <w:rsid w:val="00255BAF"/>
    <w:rsid w:val="0025614D"/>
    <w:rsid w:val="0025673C"/>
    <w:rsid w:val="0025674A"/>
    <w:rsid w:val="0025753B"/>
    <w:rsid w:val="00257AAE"/>
    <w:rsid w:val="0026010B"/>
    <w:rsid w:val="0026027A"/>
    <w:rsid w:val="002602E7"/>
    <w:rsid w:val="00260423"/>
    <w:rsid w:val="00260533"/>
    <w:rsid w:val="00260B94"/>
    <w:rsid w:val="00260ED8"/>
    <w:rsid w:val="002615F8"/>
    <w:rsid w:val="00261A54"/>
    <w:rsid w:val="00261C8F"/>
    <w:rsid w:val="00261D37"/>
    <w:rsid w:val="00261E00"/>
    <w:rsid w:val="00263081"/>
    <w:rsid w:val="00263607"/>
    <w:rsid w:val="00263874"/>
    <w:rsid w:val="00263AA1"/>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24E"/>
    <w:rsid w:val="00284163"/>
    <w:rsid w:val="00284F37"/>
    <w:rsid w:val="00285523"/>
    <w:rsid w:val="002857C6"/>
    <w:rsid w:val="002859F5"/>
    <w:rsid w:val="002865A0"/>
    <w:rsid w:val="002868A6"/>
    <w:rsid w:val="002868BE"/>
    <w:rsid w:val="00286EAA"/>
    <w:rsid w:val="0028710F"/>
    <w:rsid w:val="002872C3"/>
    <w:rsid w:val="00287B1D"/>
    <w:rsid w:val="002903E2"/>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4C57"/>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3178"/>
    <w:rsid w:val="002B37A1"/>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4F"/>
    <w:rsid w:val="002C4822"/>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159"/>
    <w:rsid w:val="002E38DB"/>
    <w:rsid w:val="002E39E2"/>
    <w:rsid w:val="002E4657"/>
    <w:rsid w:val="002E4708"/>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9D9"/>
    <w:rsid w:val="0030242B"/>
    <w:rsid w:val="00302595"/>
    <w:rsid w:val="00303041"/>
    <w:rsid w:val="003030F5"/>
    <w:rsid w:val="003036F3"/>
    <w:rsid w:val="00304222"/>
    <w:rsid w:val="0030463E"/>
    <w:rsid w:val="00304AB6"/>
    <w:rsid w:val="00304D17"/>
    <w:rsid w:val="00304ED6"/>
    <w:rsid w:val="00305EAA"/>
    <w:rsid w:val="003062A7"/>
    <w:rsid w:val="003064BF"/>
    <w:rsid w:val="00306521"/>
    <w:rsid w:val="00307223"/>
    <w:rsid w:val="00307B47"/>
    <w:rsid w:val="0031034B"/>
    <w:rsid w:val="003107C6"/>
    <w:rsid w:val="0031082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A06"/>
    <w:rsid w:val="00315CD2"/>
    <w:rsid w:val="0031615F"/>
    <w:rsid w:val="003163DC"/>
    <w:rsid w:val="00316600"/>
    <w:rsid w:val="003166C1"/>
    <w:rsid w:val="00316A8B"/>
    <w:rsid w:val="00316BF6"/>
    <w:rsid w:val="0031733B"/>
    <w:rsid w:val="00317756"/>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742"/>
    <w:rsid w:val="00325B63"/>
    <w:rsid w:val="00326196"/>
    <w:rsid w:val="00326240"/>
    <w:rsid w:val="003278A1"/>
    <w:rsid w:val="00327909"/>
    <w:rsid w:val="0032791F"/>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A2F"/>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F25"/>
    <w:rsid w:val="003700A3"/>
    <w:rsid w:val="00370217"/>
    <w:rsid w:val="00370B40"/>
    <w:rsid w:val="003721FB"/>
    <w:rsid w:val="0037240A"/>
    <w:rsid w:val="00372AE4"/>
    <w:rsid w:val="00372C5B"/>
    <w:rsid w:val="003730D6"/>
    <w:rsid w:val="00373411"/>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2306"/>
    <w:rsid w:val="003827EC"/>
    <w:rsid w:val="0038292B"/>
    <w:rsid w:val="00382B86"/>
    <w:rsid w:val="00383071"/>
    <w:rsid w:val="003832EF"/>
    <w:rsid w:val="003836DD"/>
    <w:rsid w:val="003837F4"/>
    <w:rsid w:val="003840D8"/>
    <w:rsid w:val="003845A4"/>
    <w:rsid w:val="003846D9"/>
    <w:rsid w:val="00384F9D"/>
    <w:rsid w:val="00384FED"/>
    <w:rsid w:val="0038564A"/>
    <w:rsid w:val="0038576C"/>
    <w:rsid w:val="00385800"/>
    <w:rsid w:val="00385B99"/>
    <w:rsid w:val="00385F39"/>
    <w:rsid w:val="0038680B"/>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2CD"/>
    <w:rsid w:val="003965D8"/>
    <w:rsid w:val="00396766"/>
    <w:rsid w:val="003968D5"/>
    <w:rsid w:val="00396B18"/>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B55"/>
    <w:rsid w:val="003A5C97"/>
    <w:rsid w:val="003A6627"/>
    <w:rsid w:val="003A6A5A"/>
    <w:rsid w:val="003A7025"/>
    <w:rsid w:val="003A72E9"/>
    <w:rsid w:val="003A7807"/>
    <w:rsid w:val="003B0173"/>
    <w:rsid w:val="003B0398"/>
    <w:rsid w:val="003B0DA5"/>
    <w:rsid w:val="003B0E74"/>
    <w:rsid w:val="003B25B0"/>
    <w:rsid w:val="003B36B9"/>
    <w:rsid w:val="003B3EB8"/>
    <w:rsid w:val="003B4A4A"/>
    <w:rsid w:val="003B4E74"/>
    <w:rsid w:val="003B53A5"/>
    <w:rsid w:val="003B59EE"/>
    <w:rsid w:val="003B5B72"/>
    <w:rsid w:val="003B5C06"/>
    <w:rsid w:val="003B5D98"/>
    <w:rsid w:val="003B5DD0"/>
    <w:rsid w:val="003B60F7"/>
    <w:rsid w:val="003B658D"/>
    <w:rsid w:val="003B68A6"/>
    <w:rsid w:val="003B6D71"/>
    <w:rsid w:val="003B6EF2"/>
    <w:rsid w:val="003B7E7A"/>
    <w:rsid w:val="003C0463"/>
    <w:rsid w:val="003C0599"/>
    <w:rsid w:val="003C05F5"/>
    <w:rsid w:val="003C0905"/>
    <w:rsid w:val="003C0F5F"/>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393"/>
    <w:rsid w:val="003D5413"/>
    <w:rsid w:val="003D54E0"/>
    <w:rsid w:val="003D56EA"/>
    <w:rsid w:val="003D5996"/>
    <w:rsid w:val="003D5D5D"/>
    <w:rsid w:val="003D6163"/>
    <w:rsid w:val="003D6407"/>
    <w:rsid w:val="003D647A"/>
    <w:rsid w:val="003D6A90"/>
    <w:rsid w:val="003D6B1D"/>
    <w:rsid w:val="003D6E30"/>
    <w:rsid w:val="003D70B5"/>
    <w:rsid w:val="003D7B41"/>
    <w:rsid w:val="003D7B45"/>
    <w:rsid w:val="003E03E3"/>
    <w:rsid w:val="003E05FE"/>
    <w:rsid w:val="003E0C43"/>
    <w:rsid w:val="003E0CD7"/>
    <w:rsid w:val="003E0DF7"/>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F0B"/>
    <w:rsid w:val="003E7503"/>
    <w:rsid w:val="003E7F82"/>
    <w:rsid w:val="003F0031"/>
    <w:rsid w:val="003F00D4"/>
    <w:rsid w:val="003F00DF"/>
    <w:rsid w:val="003F018C"/>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22B"/>
    <w:rsid w:val="00404737"/>
    <w:rsid w:val="00404D74"/>
    <w:rsid w:val="0040518A"/>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95D"/>
    <w:rsid w:val="00460190"/>
    <w:rsid w:val="004610C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8C8"/>
    <w:rsid w:val="00467BC2"/>
    <w:rsid w:val="00467C44"/>
    <w:rsid w:val="00467CFB"/>
    <w:rsid w:val="00470418"/>
    <w:rsid w:val="00470ED0"/>
    <w:rsid w:val="00470F62"/>
    <w:rsid w:val="00471065"/>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B25"/>
    <w:rsid w:val="00492C3E"/>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7512"/>
    <w:rsid w:val="00497818"/>
    <w:rsid w:val="00497D2A"/>
    <w:rsid w:val="004A0324"/>
    <w:rsid w:val="004A034D"/>
    <w:rsid w:val="004A065C"/>
    <w:rsid w:val="004A06B2"/>
    <w:rsid w:val="004A0BDB"/>
    <w:rsid w:val="004A0C25"/>
    <w:rsid w:val="004A0D4D"/>
    <w:rsid w:val="004A0D79"/>
    <w:rsid w:val="004A0E76"/>
    <w:rsid w:val="004A1222"/>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379"/>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E21"/>
    <w:rsid w:val="0052237A"/>
    <w:rsid w:val="00522423"/>
    <w:rsid w:val="00522DB0"/>
    <w:rsid w:val="00523306"/>
    <w:rsid w:val="00523B66"/>
    <w:rsid w:val="00523EB7"/>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592B"/>
    <w:rsid w:val="00565AC1"/>
    <w:rsid w:val="00565B0F"/>
    <w:rsid w:val="00565BF1"/>
    <w:rsid w:val="00565D0D"/>
    <w:rsid w:val="00566286"/>
    <w:rsid w:val="005668DF"/>
    <w:rsid w:val="00566920"/>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F9"/>
    <w:rsid w:val="00572E3E"/>
    <w:rsid w:val="00573335"/>
    <w:rsid w:val="00573345"/>
    <w:rsid w:val="00573619"/>
    <w:rsid w:val="005737F5"/>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0C9D"/>
    <w:rsid w:val="00591256"/>
    <w:rsid w:val="005917DF"/>
    <w:rsid w:val="00592899"/>
    <w:rsid w:val="00593386"/>
    <w:rsid w:val="00593C6E"/>
    <w:rsid w:val="00593F3D"/>
    <w:rsid w:val="0059424C"/>
    <w:rsid w:val="005943AE"/>
    <w:rsid w:val="0059442B"/>
    <w:rsid w:val="0059449D"/>
    <w:rsid w:val="005946CA"/>
    <w:rsid w:val="00594826"/>
    <w:rsid w:val="0059494C"/>
    <w:rsid w:val="005950D6"/>
    <w:rsid w:val="00595486"/>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7E3"/>
    <w:rsid w:val="005A496B"/>
    <w:rsid w:val="005A4CEF"/>
    <w:rsid w:val="005A5171"/>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B6"/>
    <w:rsid w:val="005B4A45"/>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70"/>
    <w:rsid w:val="00617A8B"/>
    <w:rsid w:val="00617C23"/>
    <w:rsid w:val="006200B8"/>
    <w:rsid w:val="0062040C"/>
    <w:rsid w:val="00620422"/>
    <w:rsid w:val="00620552"/>
    <w:rsid w:val="006208F9"/>
    <w:rsid w:val="00620A9B"/>
    <w:rsid w:val="00620CE4"/>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D54"/>
    <w:rsid w:val="00625FC9"/>
    <w:rsid w:val="00626A11"/>
    <w:rsid w:val="00626BE7"/>
    <w:rsid w:val="0062726B"/>
    <w:rsid w:val="00627ED6"/>
    <w:rsid w:val="006304D2"/>
    <w:rsid w:val="00630C76"/>
    <w:rsid w:val="006319CA"/>
    <w:rsid w:val="00633107"/>
    <w:rsid w:val="00633A3C"/>
    <w:rsid w:val="00634498"/>
    <w:rsid w:val="00634932"/>
    <w:rsid w:val="00634EC0"/>
    <w:rsid w:val="00635D83"/>
    <w:rsid w:val="0063627F"/>
    <w:rsid w:val="006362FE"/>
    <w:rsid w:val="006364D6"/>
    <w:rsid w:val="00636C26"/>
    <w:rsid w:val="006370A6"/>
    <w:rsid w:val="00637785"/>
    <w:rsid w:val="00637988"/>
    <w:rsid w:val="00637A76"/>
    <w:rsid w:val="00637EE5"/>
    <w:rsid w:val="00640F42"/>
    <w:rsid w:val="006411E4"/>
    <w:rsid w:val="0064140B"/>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874"/>
    <w:rsid w:val="00645FC8"/>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CD"/>
    <w:rsid w:val="006703D9"/>
    <w:rsid w:val="006704B8"/>
    <w:rsid w:val="006704F6"/>
    <w:rsid w:val="006708EA"/>
    <w:rsid w:val="00671091"/>
    <w:rsid w:val="00671AC7"/>
    <w:rsid w:val="00672154"/>
    <w:rsid w:val="00672B6A"/>
    <w:rsid w:val="00672D8D"/>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E0"/>
    <w:rsid w:val="00682221"/>
    <w:rsid w:val="006826B4"/>
    <w:rsid w:val="00682725"/>
    <w:rsid w:val="006828DF"/>
    <w:rsid w:val="00682AED"/>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B64"/>
    <w:rsid w:val="006B2BD2"/>
    <w:rsid w:val="006B3063"/>
    <w:rsid w:val="006B3086"/>
    <w:rsid w:val="006B3568"/>
    <w:rsid w:val="006B3D99"/>
    <w:rsid w:val="006B4547"/>
    <w:rsid w:val="006B5752"/>
    <w:rsid w:val="006B5BF9"/>
    <w:rsid w:val="006B63D8"/>
    <w:rsid w:val="006B6BD0"/>
    <w:rsid w:val="006B6F32"/>
    <w:rsid w:val="006B7130"/>
    <w:rsid w:val="006B7D4A"/>
    <w:rsid w:val="006B7E8A"/>
    <w:rsid w:val="006B7EF5"/>
    <w:rsid w:val="006C0D76"/>
    <w:rsid w:val="006C1401"/>
    <w:rsid w:val="006C201C"/>
    <w:rsid w:val="006C211C"/>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92C"/>
    <w:rsid w:val="006D3C1D"/>
    <w:rsid w:val="006D3C4F"/>
    <w:rsid w:val="006D44D0"/>
    <w:rsid w:val="006D471A"/>
    <w:rsid w:val="006D4C56"/>
    <w:rsid w:val="006D4F07"/>
    <w:rsid w:val="006D5625"/>
    <w:rsid w:val="006D57CB"/>
    <w:rsid w:val="006D5A82"/>
    <w:rsid w:val="006D5D92"/>
    <w:rsid w:val="006D60EE"/>
    <w:rsid w:val="006D6CDD"/>
    <w:rsid w:val="006D719D"/>
    <w:rsid w:val="006D7444"/>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753"/>
    <w:rsid w:val="007139C3"/>
    <w:rsid w:val="00713ADE"/>
    <w:rsid w:val="00713CE8"/>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720A"/>
    <w:rsid w:val="007573A5"/>
    <w:rsid w:val="007577CB"/>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BD"/>
    <w:rsid w:val="00764E4E"/>
    <w:rsid w:val="00764F70"/>
    <w:rsid w:val="00765CC3"/>
    <w:rsid w:val="00765DD8"/>
    <w:rsid w:val="007665F2"/>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BA1"/>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52F"/>
    <w:rsid w:val="007A4C77"/>
    <w:rsid w:val="007A4E17"/>
    <w:rsid w:val="007A520F"/>
    <w:rsid w:val="007A56E3"/>
    <w:rsid w:val="007A5704"/>
    <w:rsid w:val="007A5AF4"/>
    <w:rsid w:val="007A641B"/>
    <w:rsid w:val="007A660D"/>
    <w:rsid w:val="007A68DC"/>
    <w:rsid w:val="007A6D0D"/>
    <w:rsid w:val="007A79D8"/>
    <w:rsid w:val="007A7F6D"/>
    <w:rsid w:val="007B01C5"/>
    <w:rsid w:val="007B058B"/>
    <w:rsid w:val="007B0FBD"/>
    <w:rsid w:val="007B172E"/>
    <w:rsid w:val="007B1BAF"/>
    <w:rsid w:val="007B1C65"/>
    <w:rsid w:val="007B1E34"/>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FB"/>
    <w:rsid w:val="007D13E7"/>
    <w:rsid w:val="007D1991"/>
    <w:rsid w:val="007D1E37"/>
    <w:rsid w:val="007D2037"/>
    <w:rsid w:val="007D227D"/>
    <w:rsid w:val="007D232F"/>
    <w:rsid w:val="007D2385"/>
    <w:rsid w:val="007D2E2D"/>
    <w:rsid w:val="007D3D9D"/>
    <w:rsid w:val="007D3F52"/>
    <w:rsid w:val="007D45F8"/>
    <w:rsid w:val="007D48B3"/>
    <w:rsid w:val="007D4DCF"/>
    <w:rsid w:val="007D52CA"/>
    <w:rsid w:val="007D563E"/>
    <w:rsid w:val="007D577F"/>
    <w:rsid w:val="007D5B51"/>
    <w:rsid w:val="007D5BA5"/>
    <w:rsid w:val="007D5F71"/>
    <w:rsid w:val="007D5FC1"/>
    <w:rsid w:val="007D6485"/>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E3F"/>
    <w:rsid w:val="007E329D"/>
    <w:rsid w:val="007E3474"/>
    <w:rsid w:val="007E35DC"/>
    <w:rsid w:val="007E39E7"/>
    <w:rsid w:val="007E420B"/>
    <w:rsid w:val="007E47D2"/>
    <w:rsid w:val="007E4932"/>
    <w:rsid w:val="007E49D4"/>
    <w:rsid w:val="007E502C"/>
    <w:rsid w:val="007E598A"/>
    <w:rsid w:val="007E5A74"/>
    <w:rsid w:val="007E5BD7"/>
    <w:rsid w:val="007E6023"/>
    <w:rsid w:val="007E659E"/>
    <w:rsid w:val="007E69C0"/>
    <w:rsid w:val="007E75F0"/>
    <w:rsid w:val="007E7968"/>
    <w:rsid w:val="007E7E7A"/>
    <w:rsid w:val="007F013A"/>
    <w:rsid w:val="007F067A"/>
    <w:rsid w:val="007F0691"/>
    <w:rsid w:val="007F088F"/>
    <w:rsid w:val="007F1890"/>
    <w:rsid w:val="007F193D"/>
    <w:rsid w:val="007F1CE5"/>
    <w:rsid w:val="007F1FB0"/>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987"/>
    <w:rsid w:val="00805D36"/>
    <w:rsid w:val="00806336"/>
    <w:rsid w:val="00806579"/>
    <w:rsid w:val="008066F8"/>
    <w:rsid w:val="00806A84"/>
    <w:rsid w:val="00806F66"/>
    <w:rsid w:val="008073D2"/>
    <w:rsid w:val="0080750E"/>
    <w:rsid w:val="00807C6C"/>
    <w:rsid w:val="00807F4C"/>
    <w:rsid w:val="0081138B"/>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D7E"/>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3E0D"/>
    <w:rsid w:val="00894121"/>
    <w:rsid w:val="00894A90"/>
    <w:rsid w:val="00894CC7"/>
    <w:rsid w:val="00894EAA"/>
    <w:rsid w:val="00894FC1"/>
    <w:rsid w:val="00895433"/>
    <w:rsid w:val="00895C1C"/>
    <w:rsid w:val="00896ADB"/>
    <w:rsid w:val="008977CD"/>
    <w:rsid w:val="00897A3D"/>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8C8"/>
    <w:rsid w:val="008B69C4"/>
    <w:rsid w:val="008B7220"/>
    <w:rsid w:val="008B75D5"/>
    <w:rsid w:val="008B78D8"/>
    <w:rsid w:val="008B79AB"/>
    <w:rsid w:val="008B7BAA"/>
    <w:rsid w:val="008C00CA"/>
    <w:rsid w:val="008C0246"/>
    <w:rsid w:val="008C031A"/>
    <w:rsid w:val="008C08A5"/>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79"/>
    <w:rsid w:val="008C57A4"/>
    <w:rsid w:val="008C5C97"/>
    <w:rsid w:val="008C64E3"/>
    <w:rsid w:val="008C6EB6"/>
    <w:rsid w:val="008C725D"/>
    <w:rsid w:val="008C743F"/>
    <w:rsid w:val="008C74C6"/>
    <w:rsid w:val="008C769B"/>
    <w:rsid w:val="008C76BF"/>
    <w:rsid w:val="008C7741"/>
    <w:rsid w:val="008C7868"/>
    <w:rsid w:val="008C7883"/>
    <w:rsid w:val="008C78F9"/>
    <w:rsid w:val="008C7B5C"/>
    <w:rsid w:val="008D044B"/>
    <w:rsid w:val="008D0D1E"/>
    <w:rsid w:val="008D110C"/>
    <w:rsid w:val="008D1E79"/>
    <w:rsid w:val="008D25CD"/>
    <w:rsid w:val="008D29A6"/>
    <w:rsid w:val="008D2C75"/>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D08"/>
    <w:rsid w:val="008F0E05"/>
    <w:rsid w:val="008F0E9C"/>
    <w:rsid w:val="008F12B1"/>
    <w:rsid w:val="008F141E"/>
    <w:rsid w:val="008F1521"/>
    <w:rsid w:val="008F1F09"/>
    <w:rsid w:val="008F25A3"/>
    <w:rsid w:val="008F2838"/>
    <w:rsid w:val="008F2A9A"/>
    <w:rsid w:val="008F2CDD"/>
    <w:rsid w:val="008F41ED"/>
    <w:rsid w:val="008F4886"/>
    <w:rsid w:val="008F55DF"/>
    <w:rsid w:val="008F5988"/>
    <w:rsid w:val="008F6667"/>
    <w:rsid w:val="008F677B"/>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44A4"/>
    <w:rsid w:val="009246F6"/>
    <w:rsid w:val="00924B93"/>
    <w:rsid w:val="00924BF3"/>
    <w:rsid w:val="00924D48"/>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BC7"/>
    <w:rsid w:val="00944BF0"/>
    <w:rsid w:val="00945072"/>
    <w:rsid w:val="009450E6"/>
    <w:rsid w:val="009458E3"/>
    <w:rsid w:val="00946136"/>
    <w:rsid w:val="00946208"/>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10C3"/>
    <w:rsid w:val="00971262"/>
    <w:rsid w:val="009713DD"/>
    <w:rsid w:val="00971A57"/>
    <w:rsid w:val="00971C53"/>
    <w:rsid w:val="009725F2"/>
    <w:rsid w:val="00972DC6"/>
    <w:rsid w:val="00972F2E"/>
    <w:rsid w:val="0097311D"/>
    <w:rsid w:val="00973179"/>
    <w:rsid w:val="00974105"/>
    <w:rsid w:val="00974795"/>
    <w:rsid w:val="00974B4D"/>
    <w:rsid w:val="00975C75"/>
    <w:rsid w:val="00975D66"/>
    <w:rsid w:val="009761BB"/>
    <w:rsid w:val="00976390"/>
    <w:rsid w:val="00976582"/>
    <w:rsid w:val="0097766C"/>
    <w:rsid w:val="00977BCA"/>
    <w:rsid w:val="0098054A"/>
    <w:rsid w:val="009806FB"/>
    <w:rsid w:val="009809DE"/>
    <w:rsid w:val="00981000"/>
    <w:rsid w:val="0098177A"/>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B4"/>
    <w:rsid w:val="009A10A4"/>
    <w:rsid w:val="009A1411"/>
    <w:rsid w:val="009A1CD8"/>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48"/>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40AC"/>
    <w:rsid w:val="00A240FF"/>
    <w:rsid w:val="00A254E8"/>
    <w:rsid w:val="00A2594C"/>
    <w:rsid w:val="00A266C7"/>
    <w:rsid w:val="00A26C96"/>
    <w:rsid w:val="00A2732C"/>
    <w:rsid w:val="00A277C7"/>
    <w:rsid w:val="00A27A71"/>
    <w:rsid w:val="00A27F02"/>
    <w:rsid w:val="00A30047"/>
    <w:rsid w:val="00A301BA"/>
    <w:rsid w:val="00A310C7"/>
    <w:rsid w:val="00A311A8"/>
    <w:rsid w:val="00A31488"/>
    <w:rsid w:val="00A314E5"/>
    <w:rsid w:val="00A31CC5"/>
    <w:rsid w:val="00A31DF9"/>
    <w:rsid w:val="00A32078"/>
    <w:rsid w:val="00A32211"/>
    <w:rsid w:val="00A323FD"/>
    <w:rsid w:val="00A32462"/>
    <w:rsid w:val="00A326EF"/>
    <w:rsid w:val="00A32D14"/>
    <w:rsid w:val="00A33876"/>
    <w:rsid w:val="00A33D3A"/>
    <w:rsid w:val="00A34114"/>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510E"/>
    <w:rsid w:val="00A554CB"/>
    <w:rsid w:val="00A559F4"/>
    <w:rsid w:val="00A56001"/>
    <w:rsid w:val="00A56547"/>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84"/>
    <w:rsid w:val="00A67F13"/>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783"/>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356"/>
    <w:rsid w:val="00AB4419"/>
    <w:rsid w:val="00AB4AD8"/>
    <w:rsid w:val="00AB4E22"/>
    <w:rsid w:val="00AB5597"/>
    <w:rsid w:val="00AB5BAA"/>
    <w:rsid w:val="00AB66AC"/>
    <w:rsid w:val="00AB695B"/>
    <w:rsid w:val="00AB6DFC"/>
    <w:rsid w:val="00AB6EBB"/>
    <w:rsid w:val="00AB6FF1"/>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1B2"/>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24E"/>
    <w:rsid w:val="00AD752F"/>
    <w:rsid w:val="00AD79BB"/>
    <w:rsid w:val="00AD7D7F"/>
    <w:rsid w:val="00AE00CA"/>
    <w:rsid w:val="00AE0C89"/>
    <w:rsid w:val="00AE10C4"/>
    <w:rsid w:val="00AE1197"/>
    <w:rsid w:val="00AE1524"/>
    <w:rsid w:val="00AE1AE1"/>
    <w:rsid w:val="00AE254F"/>
    <w:rsid w:val="00AE260E"/>
    <w:rsid w:val="00AE2C77"/>
    <w:rsid w:val="00AE2D01"/>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F2E"/>
    <w:rsid w:val="00B022CF"/>
    <w:rsid w:val="00B02808"/>
    <w:rsid w:val="00B028B0"/>
    <w:rsid w:val="00B028BC"/>
    <w:rsid w:val="00B02BF0"/>
    <w:rsid w:val="00B02C08"/>
    <w:rsid w:val="00B02EE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346"/>
    <w:rsid w:val="00B10762"/>
    <w:rsid w:val="00B10AE6"/>
    <w:rsid w:val="00B10B50"/>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621F"/>
    <w:rsid w:val="00B3690C"/>
    <w:rsid w:val="00B370C8"/>
    <w:rsid w:val="00B371AD"/>
    <w:rsid w:val="00B37B57"/>
    <w:rsid w:val="00B40330"/>
    <w:rsid w:val="00B406E5"/>
    <w:rsid w:val="00B4180D"/>
    <w:rsid w:val="00B41B90"/>
    <w:rsid w:val="00B4283B"/>
    <w:rsid w:val="00B42868"/>
    <w:rsid w:val="00B4299A"/>
    <w:rsid w:val="00B42A94"/>
    <w:rsid w:val="00B42C20"/>
    <w:rsid w:val="00B42D9A"/>
    <w:rsid w:val="00B42F20"/>
    <w:rsid w:val="00B434EA"/>
    <w:rsid w:val="00B43697"/>
    <w:rsid w:val="00B43CED"/>
    <w:rsid w:val="00B444DD"/>
    <w:rsid w:val="00B44D47"/>
    <w:rsid w:val="00B44D96"/>
    <w:rsid w:val="00B4520E"/>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261"/>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573"/>
    <w:rsid w:val="00BB2B1F"/>
    <w:rsid w:val="00BB2F0B"/>
    <w:rsid w:val="00BB36C5"/>
    <w:rsid w:val="00BB4AB6"/>
    <w:rsid w:val="00BB4C56"/>
    <w:rsid w:val="00BB4F9A"/>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501"/>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07D7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556"/>
    <w:rsid w:val="00C25E6A"/>
    <w:rsid w:val="00C25E7D"/>
    <w:rsid w:val="00C25F06"/>
    <w:rsid w:val="00C265D4"/>
    <w:rsid w:val="00C26A80"/>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6B4"/>
    <w:rsid w:val="00C437D6"/>
    <w:rsid w:val="00C43C3F"/>
    <w:rsid w:val="00C4426C"/>
    <w:rsid w:val="00C4471A"/>
    <w:rsid w:val="00C449E2"/>
    <w:rsid w:val="00C44CC9"/>
    <w:rsid w:val="00C44E13"/>
    <w:rsid w:val="00C44FD9"/>
    <w:rsid w:val="00C45350"/>
    <w:rsid w:val="00C4555D"/>
    <w:rsid w:val="00C45DD1"/>
    <w:rsid w:val="00C45F6D"/>
    <w:rsid w:val="00C45FDE"/>
    <w:rsid w:val="00C4601D"/>
    <w:rsid w:val="00C4698B"/>
    <w:rsid w:val="00C46D3E"/>
    <w:rsid w:val="00C46FE3"/>
    <w:rsid w:val="00C473E7"/>
    <w:rsid w:val="00C47435"/>
    <w:rsid w:val="00C47478"/>
    <w:rsid w:val="00C47BD2"/>
    <w:rsid w:val="00C47EBB"/>
    <w:rsid w:val="00C50B75"/>
    <w:rsid w:val="00C50DFC"/>
    <w:rsid w:val="00C5135F"/>
    <w:rsid w:val="00C51880"/>
    <w:rsid w:val="00C51FA8"/>
    <w:rsid w:val="00C51FF0"/>
    <w:rsid w:val="00C5259A"/>
    <w:rsid w:val="00C5278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4E"/>
    <w:rsid w:val="00C579CF"/>
    <w:rsid w:val="00C6017A"/>
    <w:rsid w:val="00C602E6"/>
    <w:rsid w:val="00C6087E"/>
    <w:rsid w:val="00C608EF"/>
    <w:rsid w:val="00C60FC1"/>
    <w:rsid w:val="00C60FF0"/>
    <w:rsid w:val="00C612BB"/>
    <w:rsid w:val="00C612BF"/>
    <w:rsid w:val="00C619EE"/>
    <w:rsid w:val="00C6207E"/>
    <w:rsid w:val="00C625C7"/>
    <w:rsid w:val="00C628D3"/>
    <w:rsid w:val="00C630A6"/>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80B"/>
    <w:rsid w:val="00C90CF6"/>
    <w:rsid w:val="00C90D8A"/>
    <w:rsid w:val="00C90EF9"/>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EF9"/>
    <w:rsid w:val="00CB5A89"/>
    <w:rsid w:val="00CB5B31"/>
    <w:rsid w:val="00CB5BE7"/>
    <w:rsid w:val="00CB712E"/>
    <w:rsid w:val="00CB7234"/>
    <w:rsid w:val="00CB76B8"/>
    <w:rsid w:val="00CB7703"/>
    <w:rsid w:val="00CB783B"/>
    <w:rsid w:val="00CB7CF2"/>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2A3E"/>
    <w:rsid w:val="00CD31C1"/>
    <w:rsid w:val="00CD35E8"/>
    <w:rsid w:val="00CD35F1"/>
    <w:rsid w:val="00CD3EA4"/>
    <w:rsid w:val="00CD4704"/>
    <w:rsid w:val="00CD4AE1"/>
    <w:rsid w:val="00CD4B3B"/>
    <w:rsid w:val="00CD4C9C"/>
    <w:rsid w:val="00CD5401"/>
    <w:rsid w:val="00CD5716"/>
    <w:rsid w:val="00CD5927"/>
    <w:rsid w:val="00CD64BF"/>
    <w:rsid w:val="00CD6524"/>
    <w:rsid w:val="00CD68DD"/>
    <w:rsid w:val="00CD6C24"/>
    <w:rsid w:val="00CD6C94"/>
    <w:rsid w:val="00CD7649"/>
    <w:rsid w:val="00CD7760"/>
    <w:rsid w:val="00CD794A"/>
    <w:rsid w:val="00CD7B0E"/>
    <w:rsid w:val="00CD7B8B"/>
    <w:rsid w:val="00CD7D8E"/>
    <w:rsid w:val="00CE0513"/>
    <w:rsid w:val="00CE073C"/>
    <w:rsid w:val="00CE08C7"/>
    <w:rsid w:val="00CE0AAE"/>
    <w:rsid w:val="00CE1374"/>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A13"/>
    <w:rsid w:val="00D03F31"/>
    <w:rsid w:val="00D041BF"/>
    <w:rsid w:val="00D04451"/>
    <w:rsid w:val="00D04454"/>
    <w:rsid w:val="00D045FD"/>
    <w:rsid w:val="00D05061"/>
    <w:rsid w:val="00D0586B"/>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73E"/>
    <w:rsid w:val="00D2381C"/>
    <w:rsid w:val="00D23842"/>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5FC"/>
    <w:rsid w:val="00D3395C"/>
    <w:rsid w:val="00D33980"/>
    <w:rsid w:val="00D34412"/>
    <w:rsid w:val="00D34D6B"/>
    <w:rsid w:val="00D354AD"/>
    <w:rsid w:val="00D35628"/>
    <w:rsid w:val="00D35BAA"/>
    <w:rsid w:val="00D36072"/>
    <w:rsid w:val="00D36122"/>
    <w:rsid w:val="00D36D3C"/>
    <w:rsid w:val="00D36ED8"/>
    <w:rsid w:val="00D3756A"/>
    <w:rsid w:val="00D375DA"/>
    <w:rsid w:val="00D377AE"/>
    <w:rsid w:val="00D400D8"/>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0FE8"/>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FEA"/>
    <w:rsid w:val="00DB26C7"/>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4051"/>
    <w:rsid w:val="00DE4502"/>
    <w:rsid w:val="00DE4638"/>
    <w:rsid w:val="00DE4651"/>
    <w:rsid w:val="00DE4983"/>
    <w:rsid w:val="00DE6569"/>
    <w:rsid w:val="00DE66D7"/>
    <w:rsid w:val="00DE6A04"/>
    <w:rsid w:val="00DE6AA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F53"/>
    <w:rsid w:val="00E2040B"/>
    <w:rsid w:val="00E211FF"/>
    <w:rsid w:val="00E21463"/>
    <w:rsid w:val="00E21479"/>
    <w:rsid w:val="00E21BA1"/>
    <w:rsid w:val="00E21DB7"/>
    <w:rsid w:val="00E2256E"/>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476D1"/>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40EA"/>
    <w:rsid w:val="00E55339"/>
    <w:rsid w:val="00E55538"/>
    <w:rsid w:val="00E55ADF"/>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EFB"/>
    <w:rsid w:val="00E81B34"/>
    <w:rsid w:val="00E81B8E"/>
    <w:rsid w:val="00E81EBF"/>
    <w:rsid w:val="00E81ED7"/>
    <w:rsid w:val="00E8219D"/>
    <w:rsid w:val="00E82941"/>
    <w:rsid w:val="00E83371"/>
    <w:rsid w:val="00E83599"/>
    <w:rsid w:val="00E8377F"/>
    <w:rsid w:val="00E83C5F"/>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6DD"/>
    <w:rsid w:val="00E937CF"/>
    <w:rsid w:val="00E9427A"/>
    <w:rsid w:val="00E9439E"/>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D79"/>
    <w:rsid w:val="00EA0E71"/>
    <w:rsid w:val="00EA175D"/>
    <w:rsid w:val="00EA2523"/>
    <w:rsid w:val="00EA2EFA"/>
    <w:rsid w:val="00EA32BF"/>
    <w:rsid w:val="00EA3852"/>
    <w:rsid w:val="00EA456E"/>
    <w:rsid w:val="00EA50D6"/>
    <w:rsid w:val="00EA548E"/>
    <w:rsid w:val="00EA5714"/>
    <w:rsid w:val="00EA722D"/>
    <w:rsid w:val="00EA7662"/>
    <w:rsid w:val="00EA7EDF"/>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693"/>
    <w:rsid w:val="00EF57A5"/>
    <w:rsid w:val="00EF5811"/>
    <w:rsid w:val="00EF5987"/>
    <w:rsid w:val="00EF6556"/>
    <w:rsid w:val="00EF6F14"/>
    <w:rsid w:val="00EF713B"/>
    <w:rsid w:val="00EF7A1A"/>
    <w:rsid w:val="00EF7D09"/>
    <w:rsid w:val="00EF7E24"/>
    <w:rsid w:val="00F002EF"/>
    <w:rsid w:val="00F00927"/>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0FDD"/>
    <w:rsid w:val="00F61026"/>
    <w:rsid w:val="00F613D5"/>
    <w:rsid w:val="00F61567"/>
    <w:rsid w:val="00F61883"/>
    <w:rsid w:val="00F61C20"/>
    <w:rsid w:val="00F62057"/>
    <w:rsid w:val="00F62582"/>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6ED"/>
    <w:rsid w:val="00F8574D"/>
    <w:rsid w:val="00F85DEC"/>
    <w:rsid w:val="00F85FD9"/>
    <w:rsid w:val="00F8615F"/>
    <w:rsid w:val="00F86637"/>
    <w:rsid w:val="00F86D4E"/>
    <w:rsid w:val="00F86E6F"/>
    <w:rsid w:val="00F87BEF"/>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DE3"/>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0B"/>
    <w:rsid w:val="00FD40FF"/>
    <w:rsid w:val="00FD4A49"/>
    <w:rsid w:val="00FD4B8A"/>
    <w:rsid w:val="00FD56F2"/>
    <w:rsid w:val="00FD5E1C"/>
    <w:rsid w:val="00FD62EB"/>
    <w:rsid w:val="00FD6327"/>
    <w:rsid w:val="00FD63DF"/>
    <w:rsid w:val="00FD7339"/>
    <w:rsid w:val="00FD7945"/>
    <w:rsid w:val="00FD7B9D"/>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61DC"/>
    <w:rsid w:val="00FE6537"/>
    <w:rsid w:val="00FE67D0"/>
    <w:rsid w:val="00FE6D54"/>
    <w:rsid w:val="00FE782B"/>
    <w:rsid w:val="00FE7B01"/>
    <w:rsid w:val="00FE7D33"/>
    <w:rsid w:val="00FE7FD5"/>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1D8"/>
    <w:rsid w:val="00FF47A3"/>
    <w:rsid w:val="00FF4D23"/>
    <w:rsid w:val="00FF602B"/>
    <w:rsid w:val="00FF6353"/>
    <w:rsid w:val="00FF657E"/>
    <w:rsid w:val="00FF65F1"/>
    <w:rsid w:val="00FF6D9B"/>
    <w:rsid w:val="00FF704A"/>
    <w:rsid w:val="00FF7512"/>
    <w:rsid w:val="00FF7877"/>
    <w:rsid w:val="00FF7FC8"/>
    <w:rsid w:val="010D7DD7"/>
    <w:rsid w:val="01396E1E"/>
    <w:rsid w:val="01457570"/>
    <w:rsid w:val="01C20BC1"/>
    <w:rsid w:val="021A27AB"/>
    <w:rsid w:val="024F656F"/>
    <w:rsid w:val="03125B78"/>
    <w:rsid w:val="04BF3E97"/>
    <w:rsid w:val="05D9038E"/>
    <w:rsid w:val="06507E65"/>
    <w:rsid w:val="06B55883"/>
    <w:rsid w:val="074B3407"/>
    <w:rsid w:val="07574D9C"/>
    <w:rsid w:val="07DE090C"/>
    <w:rsid w:val="08290F2E"/>
    <w:rsid w:val="085F1E58"/>
    <w:rsid w:val="08E7715F"/>
    <w:rsid w:val="08EE6740"/>
    <w:rsid w:val="0906165B"/>
    <w:rsid w:val="09300E18"/>
    <w:rsid w:val="09647D8F"/>
    <w:rsid w:val="0A026946"/>
    <w:rsid w:val="0A1F007C"/>
    <w:rsid w:val="0A2A7FE0"/>
    <w:rsid w:val="0A410AF1"/>
    <w:rsid w:val="0A777171"/>
    <w:rsid w:val="0A856C30"/>
    <w:rsid w:val="0AF0634E"/>
    <w:rsid w:val="0B6D4760"/>
    <w:rsid w:val="0B8339ED"/>
    <w:rsid w:val="0BDC2E3E"/>
    <w:rsid w:val="0C290BC7"/>
    <w:rsid w:val="0CA737D5"/>
    <w:rsid w:val="0CBB6000"/>
    <w:rsid w:val="0CCE34EE"/>
    <w:rsid w:val="0CE410C9"/>
    <w:rsid w:val="0D1501C9"/>
    <w:rsid w:val="0D4B14D3"/>
    <w:rsid w:val="0E165CA5"/>
    <w:rsid w:val="0E21353B"/>
    <w:rsid w:val="0E4842B3"/>
    <w:rsid w:val="0E5369F5"/>
    <w:rsid w:val="0EA80944"/>
    <w:rsid w:val="0EC20200"/>
    <w:rsid w:val="0F113188"/>
    <w:rsid w:val="0FC1695C"/>
    <w:rsid w:val="0FD06B9F"/>
    <w:rsid w:val="10046336"/>
    <w:rsid w:val="10190EEA"/>
    <w:rsid w:val="11144CCC"/>
    <w:rsid w:val="11421D1E"/>
    <w:rsid w:val="115832F0"/>
    <w:rsid w:val="1232769D"/>
    <w:rsid w:val="1238019B"/>
    <w:rsid w:val="12803108"/>
    <w:rsid w:val="13613ABC"/>
    <w:rsid w:val="13655850"/>
    <w:rsid w:val="13857CA0"/>
    <w:rsid w:val="139A265D"/>
    <w:rsid w:val="13A445CA"/>
    <w:rsid w:val="13C52DC7"/>
    <w:rsid w:val="14185704"/>
    <w:rsid w:val="1473228E"/>
    <w:rsid w:val="14C33176"/>
    <w:rsid w:val="14CC7C00"/>
    <w:rsid w:val="14D27A24"/>
    <w:rsid w:val="161D2A4D"/>
    <w:rsid w:val="16426A1B"/>
    <w:rsid w:val="16A973E8"/>
    <w:rsid w:val="1717516A"/>
    <w:rsid w:val="172911EC"/>
    <w:rsid w:val="173F6692"/>
    <w:rsid w:val="17E82DB7"/>
    <w:rsid w:val="189F35B2"/>
    <w:rsid w:val="18C92972"/>
    <w:rsid w:val="195E0180"/>
    <w:rsid w:val="1A746368"/>
    <w:rsid w:val="1A9F789A"/>
    <w:rsid w:val="1AA87BD2"/>
    <w:rsid w:val="1B2304CB"/>
    <w:rsid w:val="1C263325"/>
    <w:rsid w:val="1C695E62"/>
    <w:rsid w:val="1E2C09AB"/>
    <w:rsid w:val="1E935967"/>
    <w:rsid w:val="1F3D06D2"/>
    <w:rsid w:val="1F795899"/>
    <w:rsid w:val="1FD40BF1"/>
    <w:rsid w:val="20261070"/>
    <w:rsid w:val="205F23C3"/>
    <w:rsid w:val="20D74DDE"/>
    <w:rsid w:val="20D84460"/>
    <w:rsid w:val="20F55B55"/>
    <w:rsid w:val="218B501C"/>
    <w:rsid w:val="22F34C27"/>
    <w:rsid w:val="23DB4E8E"/>
    <w:rsid w:val="242179DA"/>
    <w:rsid w:val="246761DA"/>
    <w:rsid w:val="2560231B"/>
    <w:rsid w:val="25B05051"/>
    <w:rsid w:val="26692359"/>
    <w:rsid w:val="270277E7"/>
    <w:rsid w:val="27B16E5E"/>
    <w:rsid w:val="280327F3"/>
    <w:rsid w:val="281335CC"/>
    <w:rsid w:val="28550131"/>
    <w:rsid w:val="288325A9"/>
    <w:rsid w:val="289E3C55"/>
    <w:rsid w:val="292672D4"/>
    <w:rsid w:val="2AF8398E"/>
    <w:rsid w:val="2AFB4FC0"/>
    <w:rsid w:val="2B3050F9"/>
    <w:rsid w:val="2B696A33"/>
    <w:rsid w:val="2C051F5E"/>
    <w:rsid w:val="2C0F48AC"/>
    <w:rsid w:val="2C637341"/>
    <w:rsid w:val="2CF84D34"/>
    <w:rsid w:val="2D6A3F24"/>
    <w:rsid w:val="2D716A26"/>
    <w:rsid w:val="2DE83A3A"/>
    <w:rsid w:val="2DFC4DDB"/>
    <w:rsid w:val="2E1F5933"/>
    <w:rsid w:val="2E5D51B2"/>
    <w:rsid w:val="2EBC05C2"/>
    <w:rsid w:val="2EC767E9"/>
    <w:rsid w:val="2F2B1BEC"/>
    <w:rsid w:val="2FC76FBB"/>
    <w:rsid w:val="2FCA6D0F"/>
    <w:rsid w:val="308A5DD7"/>
    <w:rsid w:val="30E43E01"/>
    <w:rsid w:val="31230234"/>
    <w:rsid w:val="314D1BDE"/>
    <w:rsid w:val="319B1E4E"/>
    <w:rsid w:val="31D37F49"/>
    <w:rsid w:val="31EF6F01"/>
    <w:rsid w:val="321D6FE5"/>
    <w:rsid w:val="324F174E"/>
    <w:rsid w:val="32AC6B69"/>
    <w:rsid w:val="32DA54BB"/>
    <w:rsid w:val="33226E62"/>
    <w:rsid w:val="33376F4A"/>
    <w:rsid w:val="33FE342B"/>
    <w:rsid w:val="34B424E6"/>
    <w:rsid w:val="34CF7D73"/>
    <w:rsid w:val="34E268A9"/>
    <w:rsid w:val="3529272A"/>
    <w:rsid w:val="353E42CE"/>
    <w:rsid w:val="35531555"/>
    <w:rsid w:val="357F234A"/>
    <w:rsid w:val="35A563B0"/>
    <w:rsid w:val="36002765"/>
    <w:rsid w:val="3667350A"/>
    <w:rsid w:val="3686688B"/>
    <w:rsid w:val="36AC716F"/>
    <w:rsid w:val="36EB330F"/>
    <w:rsid w:val="37B502A5"/>
    <w:rsid w:val="37BE0F45"/>
    <w:rsid w:val="380B09E4"/>
    <w:rsid w:val="38C22C79"/>
    <w:rsid w:val="39346C81"/>
    <w:rsid w:val="398544DB"/>
    <w:rsid w:val="3A4E1641"/>
    <w:rsid w:val="3A5E2E76"/>
    <w:rsid w:val="3A881CA1"/>
    <w:rsid w:val="3A8D5671"/>
    <w:rsid w:val="3A932EBB"/>
    <w:rsid w:val="3C94492D"/>
    <w:rsid w:val="3CE2756C"/>
    <w:rsid w:val="3D0F2205"/>
    <w:rsid w:val="3D5C388A"/>
    <w:rsid w:val="3D842BF3"/>
    <w:rsid w:val="3E1C2E2C"/>
    <w:rsid w:val="3E5A3954"/>
    <w:rsid w:val="3EA15EE7"/>
    <w:rsid w:val="3EA710F9"/>
    <w:rsid w:val="3F0F2990"/>
    <w:rsid w:val="3F20694C"/>
    <w:rsid w:val="3F227025"/>
    <w:rsid w:val="41173D7E"/>
    <w:rsid w:val="411A5A05"/>
    <w:rsid w:val="414904A5"/>
    <w:rsid w:val="442055BD"/>
    <w:rsid w:val="453666E3"/>
    <w:rsid w:val="45596713"/>
    <w:rsid w:val="45EF7078"/>
    <w:rsid w:val="46F55035"/>
    <w:rsid w:val="47501768"/>
    <w:rsid w:val="475950F1"/>
    <w:rsid w:val="47641DC7"/>
    <w:rsid w:val="47651B77"/>
    <w:rsid w:val="478974E3"/>
    <w:rsid w:val="47995DCD"/>
    <w:rsid w:val="47D77BCB"/>
    <w:rsid w:val="47F72214"/>
    <w:rsid w:val="47FB61A8"/>
    <w:rsid w:val="487B4BF3"/>
    <w:rsid w:val="48967C7F"/>
    <w:rsid w:val="48A4054C"/>
    <w:rsid w:val="48B87BF5"/>
    <w:rsid w:val="493D129C"/>
    <w:rsid w:val="49DB003F"/>
    <w:rsid w:val="49E65525"/>
    <w:rsid w:val="4A673681"/>
    <w:rsid w:val="4A9D1E36"/>
    <w:rsid w:val="4AB3357B"/>
    <w:rsid w:val="4BCE29F7"/>
    <w:rsid w:val="4BD034A7"/>
    <w:rsid w:val="4BD765E4"/>
    <w:rsid w:val="4C1E7FD0"/>
    <w:rsid w:val="4D3A37DB"/>
    <w:rsid w:val="4D7A7C15"/>
    <w:rsid w:val="4D9043BE"/>
    <w:rsid w:val="4DB415C8"/>
    <w:rsid w:val="4E74636C"/>
    <w:rsid w:val="4E7E4CAD"/>
    <w:rsid w:val="4ED43CAB"/>
    <w:rsid w:val="4F3D2C02"/>
    <w:rsid w:val="4F7379C3"/>
    <w:rsid w:val="4FD80B7D"/>
    <w:rsid w:val="500F5A41"/>
    <w:rsid w:val="50642410"/>
    <w:rsid w:val="50B21982"/>
    <w:rsid w:val="511E278C"/>
    <w:rsid w:val="518F170F"/>
    <w:rsid w:val="519A10DE"/>
    <w:rsid w:val="51B51175"/>
    <w:rsid w:val="528523B0"/>
    <w:rsid w:val="535D0132"/>
    <w:rsid w:val="541C0E3A"/>
    <w:rsid w:val="54437D45"/>
    <w:rsid w:val="54A15393"/>
    <w:rsid w:val="55540A0D"/>
    <w:rsid w:val="555E7D76"/>
    <w:rsid w:val="55A831A6"/>
    <w:rsid w:val="56113491"/>
    <w:rsid w:val="567770A7"/>
    <w:rsid w:val="56903F5F"/>
    <w:rsid w:val="56E821B5"/>
    <w:rsid w:val="57664335"/>
    <w:rsid w:val="582941A3"/>
    <w:rsid w:val="58626CF5"/>
    <w:rsid w:val="586316C4"/>
    <w:rsid w:val="58684954"/>
    <w:rsid w:val="58A0024F"/>
    <w:rsid w:val="58EF2522"/>
    <w:rsid w:val="594159E5"/>
    <w:rsid w:val="5A153E74"/>
    <w:rsid w:val="5ABA3CA0"/>
    <w:rsid w:val="5AC20D8A"/>
    <w:rsid w:val="5AE8674D"/>
    <w:rsid w:val="5B370E4D"/>
    <w:rsid w:val="5BE96B00"/>
    <w:rsid w:val="5C0F231B"/>
    <w:rsid w:val="5C621EFA"/>
    <w:rsid w:val="5D481B17"/>
    <w:rsid w:val="5D621140"/>
    <w:rsid w:val="5D6D2855"/>
    <w:rsid w:val="5D867E6A"/>
    <w:rsid w:val="5DC74F93"/>
    <w:rsid w:val="5DEA73A2"/>
    <w:rsid w:val="5E0E772A"/>
    <w:rsid w:val="5E362F0B"/>
    <w:rsid w:val="5E9D190F"/>
    <w:rsid w:val="5F051C85"/>
    <w:rsid w:val="5F7606F8"/>
    <w:rsid w:val="5FAE0E5F"/>
    <w:rsid w:val="5FD4310E"/>
    <w:rsid w:val="60CC2038"/>
    <w:rsid w:val="60ED3B56"/>
    <w:rsid w:val="610F0176"/>
    <w:rsid w:val="61720DAB"/>
    <w:rsid w:val="61C03E43"/>
    <w:rsid w:val="629D1EDE"/>
    <w:rsid w:val="62A911C3"/>
    <w:rsid w:val="62B22B7C"/>
    <w:rsid w:val="63251ED3"/>
    <w:rsid w:val="635665E4"/>
    <w:rsid w:val="63927420"/>
    <w:rsid w:val="646C194A"/>
    <w:rsid w:val="646D1D84"/>
    <w:rsid w:val="64B21544"/>
    <w:rsid w:val="650C50F9"/>
    <w:rsid w:val="652C01CB"/>
    <w:rsid w:val="65D06126"/>
    <w:rsid w:val="661F65EF"/>
    <w:rsid w:val="66301079"/>
    <w:rsid w:val="66666A8A"/>
    <w:rsid w:val="66680A54"/>
    <w:rsid w:val="66794A10"/>
    <w:rsid w:val="668F4233"/>
    <w:rsid w:val="67B87541"/>
    <w:rsid w:val="68080E6A"/>
    <w:rsid w:val="680C4CB4"/>
    <w:rsid w:val="686B482C"/>
    <w:rsid w:val="68D76D7C"/>
    <w:rsid w:val="68F77E6E"/>
    <w:rsid w:val="694E2184"/>
    <w:rsid w:val="69601EB7"/>
    <w:rsid w:val="698A6F34"/>
    <w:rsid w:val="69942B10"/>
    <w:rsid w:val="6A46671D"/>
    <w:rsid w:val="6A923CF1"/>
    <w:rsid w:val="6AEA1A38"/>
    <w:rsid w:val="6B064398"/>
    <w:rsid w:val="6B105217"/>
    <w:rsid w:val="6B387DCC"/>
    <w:rsid w:val="6BA11F09"/>
    <w:rsid w:val="6C101852"/>
    <w:rsid w:val="6C1E3A57"/>
    <w:rsid w:val="6C946514"/>
    <w:rsid w:val="6CBC6118"/>
    <w:rsid w:val="6CCD080F"/>
    <w:rsid w:val="6CE557BD"/>
    <w:rsid w:val="6D837F22"/>
    <w:rsid w:val="6DE704B1"/>
    <w:rsid w:val="6DEC3D19"/>
    <w:rsid w:val="6E3F653F"/>
    <w:rsid w:val="6E4448A1"/>
    <w:rsid w:val="6EB02F99"/>
    <w:rsid w:val="6EFA2466"/>
    <w:rsid w:val="6F0155A2"/>
    <w:rsid w:val="6F0E7CBF"/>
    <w:rsid w:val="6F7748A7"/>
    <w:rsid w:val="6F8739CA"/>
    <w:rsid w:val="700A0487"/>
    <w:rsid w:val="706109EE"/>
    <w:rsid w:val="706202C3"/>
    <w:rsid w:val="70B56644"/>
    <w:rsid w:val="70CC1BE0"/>
    <w:rsid w:val="71381023"/>
    <w:rsid w:val="713E4EC0"/>
    <w:rsid w:val="71551BD5"/>
    <w:rsid w:val="71601728"/>
    <w:rsid w:val="717A163C"/>
    <w:rsid w:val="71916451"/>
    <w:rsid w:val="71937CA2"/>
    <w:rsid w:val="72534E9D"/>
    <w:rsid w:val="731437CB"/>
    <w:rsid w:val="73155BD6"/>
    <w:rsid w:val="73267CCD"/>
    <w:rsid w:val="73AB60DD"/>
    <w:rsid w:val="73C7177C"/>
    <w:rsid w:val="73DE4104"/>
    <w:rsid w:val="743C0E2B"/>
    <w:rsid w:val="747A1864"/>
    <w:rsid w:val="7530273D"/>
    <w:rsid w:val="75471C28"/>
    <w:rsid w:val="75CC7809"/>
    <w:rsid w:val="76036E05"/>
    <w:rsid w:val="76083B2D"/>
    <w:rsid w:val="76BF71EE"/>
    <w:rsid w:val="76F1414E"/>
    <w:rsid w:val="77562203"/>
    <w:rsid w:val="77DA4962"/>
    <w:rsid w:val="796F65E1"/>
    <w:rsid w:val="79E157E7"/>
    <w:rsid w:val="7A1A69F1"/>
    <w:rsid w:val="7A5C5D83"/>
    <w:rsid w:val="7AEC5F63"/>
    <w:rsid w:val="7C6525CC"/>
    <w:rsid w:val="7C7326A1"/>
    <w:rsid w:val="7CA26617"/>
    <w:rsid w:val="7CEA1D6C"/>
    <w:rsid w:val="7D4F4AFF"/>
    <w:rsid w:val="7DC607F5"/>
    <w:rsid w:val="7DEE13E8"/>
    <w:rsid w:val="7EA22840"/>
    <w:rsid w:val="7F2063D5"/>
    <w:rsid w:val="7FAB54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53"/>
    <w:qFormat/>
    <w:uiPriority w:val="0"/>
    <w:pPr>
      <w:tabs>
        <w:tab w:val="left" w:pos="426"/>
      </w:tabs>
      <w:textAlignment w:val="baseline"/>
      <w:outlineLvl w:val="1"/>
    </w:pPr>
    <w:rPr>
      <w:bCs w:val="0"/>
      <w:kern w:val="0"/>
      <w:szCs w:val="20"/>
    </w:rPr>
  </w:style>
  <w:style w:type="paragraph" w:styleId="3">
    <w:name w:val="heading 3"/>
    <w:basedOn w:val="4"/>
    <w:next w:val="1"/>
    <w:link w:val="151"/>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rPr>
      <w:rFonts w:ascii="Times New Roman" w:hAns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820"/>
      </w:tabs>
      <w:spacing w:afterLines="50"/>
      <w:ind w:left="988" w:hanging="420"/>
    </w:pPr>
    <w:rPr>
      <w:sz w:val="24"/>
      <w:szCs w:val="20"/>
    </w:rPr>
  </w:style>
  <w:style w:type="paragraph" w:styleId="15">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0"/>
    <w:pPr>
      <w:tabs>
        <w:tab w:val="left" w:pos="360"/>
      </w:tabs>
      <w:ind w:left="360" w:hanging="36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62"/>
    <w:qFormat/>
    <w:uiPriority w:val="0"/>
    <w:pPr>
      <w:shd w:val="clear" w:color="auto" w:fill="000080"/>
    </w:pPr>
    <w:rPr>
      <w:rFonts w:ascii="Times New Roman" w:hAns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63"/>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5"/>
    <w:qFormat/>
    <w:uiPriority w:val="0"/>
    <w:pPr>
      <w:spacing w:after="120"/>
    </w:pPr>
    <w:rPr>
      <w:rFonts w:ascii="Times New Roman" w:hAnsi="Times New Roman" w:cs="Times New Roman"/>
      <w:kern w:val="2"/>
      <w:sz w:val="16"/>
      <w:szCs w:val="16"/>
    </w:rPr>
  </w:style>
  <w:style w:type="paragraph" w:styleId="30">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link w:val="167"/>
    <w:qFormat/>
    <w:uiPriority w:val="0"/>
    <w:rPr>
      <w:rFonts w:cs="Times New Roman"/>
      <w:b/>
      <w:bCs/>
      <w:sz w:val="24"/>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0"/>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0"/>
    <w:rPr>
      <w:rFonts w:ascii="Times New Roman" w:hAnsi="Times New Roman" w:cs="Times New Roman"/>
      <w:kern w:val="2"/>
      <w:sz w:val="18"/>
      <w:szCs w:val="18"/>
    </w:rPr>
  </w:style>
  <w:style w:type="paragraph" w:styleId="54">
    <w:name w:val="footer"/>
    <w:basedOn w:val="1"/>
    <w:link w:val="174"/>
    <w:qFormat/>
    <w:uiPriority w:val="0"/>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32"/>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unhideWhenUsed/>
    <w:qFormat/>
    <w:uiPriority w:val="0"/>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4"/>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0"/>
    <w:rPr>
      <w:rFonts w:ascii="宋体" w:hAnsi="宋体" w:eastAsia="黑体"/>
      <w:b/>
      <w:bCs/>
      <w:kern w:val="44"/>
      <w:sz w:val="28"/>
      <w:szCs w:val="28"/>
      <w:lang w:val="en-US" w:eastAsia="zh-CN" w:bidi="ar-SA"/>
    </w:rPr>
  </w:style>
  <w:style w:type="character" w:customStyle="1" w:styleId="153">
    <w:name w:val="标题 2 字符"/>
    <w:link w:val="5"/>
    <w:qFormat/>
    <w:uiPriority w:val="0"/>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8"/>
    <w:qFormat/>
    <w:uiPriority w:val="0"/>
    <w:rPr>
      <w:rFonts w:ascii="Arial" w:hAnsi="Arial" w:eastAsia="黑体"/>
      <w:b/>
      <w:kern w:val="2"/>
      <w:sz w:val="24"/>
    </w:rPr>
  </w:style>
  <w:style w:type="character" w:customStyle="1" w:styleId="157">
    <w:name w:val="标题 7 字符"/>
    <w:link w:val="9"/>
    <w:qFormat/>
    <w:uiPriority w:val="0"/>
    <w:rPr>
      <w:b/>
      <w:kern w:val="2"/>
      <w:sz w:val="24"/>
    </w:rPr>
  </w:style>
  <w:style w:type="character" w:customStyle="1" w:styleId="158">
    <w:name w:val="标题 8 字符"/>
    <w:link w:val="10"/>
    <w:qFormat/>
    <w:uiPriority w:val="0"/>
    <w:rPr>
      <w:rFonts w:ascii="Arial" w:hAnsi="Arial" w:eastAsia="黑体"/>
      <w:kern w:val="2"/>
      <w:sz w:val="24"/>
    </w:rPr>
  </w:style>
  <w:style w:type="character" w:customStyle="1" w:styleId="159">
    <w:name w:val="标题 9 字符"/>
    <w:link w:val="11"/>
    <w:qFormat/>
    <w:uiPriority w:val="0"/>
    <w:rPr>
      <w:rFonts w:ascii="Arial" w:hAnsi="Arial" w:eastAsia="黑体"/>
      <w:kern w:val="2"/>
      <w:sz w:val="21"/>
    </w:rPr>
  </w:style>
  <w:style w:type="character" w:customStyle="1" w:styleId="160">
    <w:name w:val="注释标题 字符"/>
    <w:link w:val="15"/>
    <w:qFormat/>
    <w:uiPriority w:val="0"/>
    <w:rPr>
      <w:kern w:val="2"/>
      <w:sz w:val="21"/>
      <w:szCs w:val="24"/>
    </w:rPr>
  </w:style>
  <w:style w:type="character" w:customStyle="1" w:styleId="161">
    <w:name w:val="电子邮件签名 字符"/>
    <w:link w:val="18"/>
    <w:qFormat/>
    <w:uiPriority w:val="0"/>
    <w:rPr>
      <w:kern w:val="2"/>
      <w:sz w:val="21"/>
      <w:szCs w:val="24"/>
    </w:rPr>
  </w:style>
  <w:style w:type="character" w:customStyle="1" w:styleId="162">
    <w:name w:val="文档结构图 字符"/>
    <w:link w:val="24"/>
    <w:qFormat/>
    <w:uiPriority w:val="0"/>
    <w:rPr>
      <w:kern w:val="2"/>
      <w:sz w:val="21"/>
      <w:szCs w:val="24"/>
      <w:shd w:val="clear" w:color="auto" w:fill="000080"/>
    </w:rPr>
  </w:style>
  <w:style w:type="character" w:customStyle="1" w:styleId="163">
    <w:name w:val="批注文字 字符"/>
    <w:link w:val="26"/>
    <w:qFormat/>
    <w:uiPriority w:val="99"/>
    <w:rPr>
      <w:rFonts w:ascii="宋体"/>
      <w:sz w:val="34"/>
      <w:shd w:val="clear" w:color="auto" w:fill="FFFFFF"/>
    </w:rPr>
  </w:style>
  <w:style w:type="character" w:customStyle="1" w:styleId="164">
    <w:name w:val="称呼 字符"/>
    <w:link w:val="28"/>
    <w:qFormat/>
    <w:uiPriority w:val="0"/>
    <w:rPr>
      <w:kern w:val="2"/>
      <w:sz w:val="21"/>
      <w:szCs w:val="24"/>
    </w:rPr>
  </w:style>
  <w:style w:type="character" w:customStyle="1" w:styleId="165">
    <w:name w:val="正文文本 3 字符"/>
    <w:link w:val="29"/>
    <w:qFormat/>
    <w:uiPriority w:val="0"/>
    <w:rPr>
      <w:kern w:val="2"/>
      <w:sz w:val="16"/>
      <w:szCs w:val="16"/>
    </w:rPr>
  </w:style>
  <w:style w:type="character" w:customStyle="1" w:styleId="166">
    <w:name w:val="结束语 字符"/>
    <w:link w:val="30"/>
    <w:qFormat/>
    <w:uiPriority w:val="0"/>
    <w:rPr>
      <w:kern w:val="2"/>
      <w:sz w:val="21"/>
      <w:szCs w:val="24"/>
    </w:rPr>
  </w:style>
  <w:style w:type="character" w:customStyle="1" w:styleId="167">
    <w:name w:val="正文文本 字符"/>
    <w:link w:val="32"/>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0"/>
    <w:rPr>
      <w:rFonts w:ascii="宋体" w:hAnsi="Courier New"/>
      <w:kern w:val="2"/>
      <w:sz w:val="21"/>
      <w:shd w:val="clear" w:color="auto" w:fill="FFFFFF"/>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0"/>
    <w:rPr>
      <w:kern w:val="2"/>
      <w:sz w:val="18"/>
      <w:szCs w:val="18"/>
    </w:rPr>
  </w:style>
  <w:style w:type="character" w:customStyle="1" w:styleId="174">
    <w:name w:val="页脚 字符"/>
    <w:link w:val="54"/>
    <w:qFormat/>
    <w:uiPriority w:val="0"/>
    <w:rPr>
      <w:kern w:val="2"/>
      <w:sz w:val="18"/>
      <w:szCs w:val="18"/>
    </w:rPr>
  </w:style>
  <w:style w:type="character" w:customStyle="1" w:styleId="175">
    <w:name w:val="页眉 字符"/>
    <w:link w:val="55"/>
    <w:qFormat/>
    <w:uiPriority w:val="0"/>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b/>
      <w:bCs/>
      <w:kern w:val="28"/>
      <w:sz w:val="28"/>
      <w:szCs w:val="32"/>
      <w:shd w:val="clear" w:color="auto" w:fill="FFFFFF"/>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4"/>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4"/>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cs="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0"/>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0"/>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批注文字 字符1"/>
    <w:qFormat/>
    <w:uiPriority w:val="0"/>
    <w:rPr>
      <w:rFonts w:ascii="宋体"/>
      <w:sz w:val="34"/>
      <w:shd w:val="clear" w:color="auto" w:fill="FFFFFF"/>
    </w:rPr>
  </w:style>
  <w:style w:type="paragraph" w:customStyle="1" w:styleId="543">
    <w:name w:val="修订2"/>
    <w:hidden/>
    <w:unhideWhenUsed/>
    <w:qFormat/>
    <w:uiPriority w:val="99"/>
    <w:rPr>
      <w:rFonts w:ascii="宋体" w:hAnsi="宋体" w:eastAsia="宋体" w:cs="宋体"/>
      <w:sz w:val="21"/>
      <w:szCs w:val="24"/>
      <w:lang w:val="en-US" w:eastAsia="zh-CN" w:bidi="ar-SA"/>
    </w:rPr>
  </w:style>
  <w:style w:type="paragraph" w:customStyle="1" w:styleId="544">
    <w:name w:val="修订3"/>
    <w:hidden/>
    <w:unhideWhenUsed/>
    <w:qFormat/>
    <w:uiPriority w:val="99"/>
    <w:rPr>
      <w:rFonts w:ascii="宋体" w:hAnsi="宋体" w:eastAsia="宋体" w:cs="宋体"/>
      <w:sz w:val="21"/>
      <w:szCs w:val="24"/>
      <w:lang w:val="en-US" w:eastAsia="zh-CN" w:bidi="ar-SA"/>
    </w:rPr>
  </w:style>
  <w:style w:type="character" w:customStyle="1" w:styleId="545">
    <w:name w:val="font41"/>
    <w:basedOn w:val="130"/>
    <w:qFormat/>
    <w:uiPriority w:val="0"/>
    <w:rPr>
      <w:rFonts w:hint="eastAsia" w:ascii="宋体" w:hAnsi="宋体" w:eastAsia="宋体" w:cs="宋体"/>
      <w:color w:val="000000"/>
      <w:sz w:val="20"/>
      <w:szCs w:val="20"/>
      <w:u w:val="none"/>
    </w:rPr>
  </w:style>
  <w:style w:type="table" w:customStyle="1" w:styleId="546">
    <w:name w:val="网格型2"/>
    <w:basedOn w:val="85"/>
    <w:qFormat/>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表格备注"/>
    <w:basedOn w:val="1"/>
    <w:link w:val="548"/>
    <w:qFormat/>
    <w:uiPriority w:val="0"/>
    <w:pPr>
      <w:spacing w:line="240" w:lineRule="auto"/>
      <w:ind w:firstLine="422" w:firstLineChars="200"/>
    </w:pPr>
    <w:rPr>
      <w:b/>
    </w:rPr>
  </w:style>
  <w:style w:type="character" w:customStyle="1" w:styleId="548">
    <w:name w:val="表格备注 字符"/>
    <w:basedOn w:val="130"/>
    <w:link w:val="547"/>
    <w:qFormat/>
    <w:uiPriority w:val="0"/>
    <w:rPr>
      <w:rFonts w:ascii="宋体" w:hAnsi="宋体" w:cs="宋体"/>
      <w:b/>
      <w:sz w:val="21"/>
      <w:szCs w:val="24"/>
      <w:shd w:val="clear" w:color="auto" w:fill="FFFFFF"/>
    </w:rPr>
  </w:style>
  <w:style w:type="paragraph" w:customStyle="1" w:styleId="549">
    <w:name w:val="0编制指引"/>
    <w:basedOn w:val="1"/>
    <w:link w:val="550"/>
    <w:qFormat/>
    <w:uiPriority w:val="0"/>
    <w:pPr>
      <w:tabs>
        <w:tab w:val="clear" w:pos="426"/>
      </w:tabs>
      <w:spacing w:line="240" w:lineRule="auto"/>
      <w:jc w:val="left"/>
      <w:outlineLvl w:val="4"/>
    </w:pPr>
    <w:rPr>
      <w:i/>
      <w:iCs/>
      <w:color w:val="00B050"/>
    </w:rPr>
  </w:style>
  <w:style w:type="character" w:customStyle="1" w:styleId="550">
    <w:name w:val="0编制指引 字符"/>
    <w:basedOn w:val="130"/>
    <w:link w:val="549"/>
    <w:qFormat/>
    <w:uiPriority w:val="0"/>
    <w:rPr>
      <w:rFonts w:ascii="宋体" w:hAnsi="宋体" w:cs="宋体"/>
      <w:i/>
      <w:iCs/>
      <w:color w:val="00B050"/>
      <w:sz w:val="21"/>
      <w:szCs w:val="24"/>
      <w:shd w:val="clear" w:color="auto" w:fill="FFFFFF"/>
    </w:rPr>
  </w:style>
  <w:style w:type="paragraph" w:customStyle="1" w:styleId="551">
    <w:name w:val="0五号正文"/>
    <w:basedOn w:val="1"/>
    <w:link w:val="552"/>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2">
    <w:name w:val="0五号正文 字符"/>
    <w:basedOn w:val="130"/>
    <w:link w:val="551"/>
    <w:qFormat/>
    <w:uiPriority w:val="0"/>
    <w:rPr>
      <w:rFonts w:ascii="宋体" w:hAnsi="宋体"/>
      <w:kern w:val="2"/>
      <w:sz w:val="21"/>
      <w:szCs w:val="21"/>
    </w:rPr>
  </w:style>
  <w:style w:type="paragraph" w:customStyle="1" w:styleId="553">
    <w:name w:val="修订4"/>
    <w:hidden/>
    <w:unhideWhenUsed/>
    <w:qFormat/>
    <w:uiPriority w:val="99"/>
    <w:rPr>
      <w:rFonts w:ascii="宋体" w:hAnsi="宋体" w:eastAsia="宋体" w:cs="宋体"/>
      <w:sz w:val="21"/>
      <w:szCs w:val="24"/>
      <w:lang w:val="en-US" w:eastAsia="zh-CN" w:bidi="ar-SA"/>
    </w:rPr>
  </w:style>
  <w:style w:type="paragraph" w:customStyle="1" w:styleId="554">
    <w:name w:val="Z3级左对齐标题"/>
    <w:basedOn w:val="1"/>
    <w:qFormat/>
    <w:uiPriority w:val="0"/>
    <w:pPr>
      <w:numPr>
        <w:ilvl w:val="0"/>
        <w:numId w:val="1"/>
      </w:numPr>
      <w:spacing w:before="280" w:after="290" w:line="377" w:lineRule="auto"/>
      <w:outlineLvl w:val="2"/>
    </w:pPr>
    <w:rPr>
      <w:b/>
      <w:sz w:val="24"/>
    </w:rPr>
  </w:style>
  <w:style w:type="paragraph" w:customStyle="1" w:styleId="555">
    <w:name w:val="修订5"/>
    <w:hidden/>
    <w:unhideWhenUsed/>
    <w:qFormat/>
    <w:uiPriority w:val="99"/>
    <w:rPr>
      <w:rFonts w:ascii="宋体" w:hAnsi="宋体" w:eastAsia="宋体" w:cs="宋体"/>
      <w:sz w:val="21"/>
      <w:szCs w:val="24"/>
      <w:lang w:val="en-US" w:eastAsia="zh-CN" w:bidi="ar-SA"/>
    </w:rPr>
  </w:style>
  <w:style w:type="paragraph" w:customStyle="1" w:styleId="556">
    <w:name w:val="修订6"/>
    <w:hidden/>
    <w:unhideWhenUsed/>
    <w:qFormat/>
    <w:uiPriority w:val="99"/>
    <w:rPr>
      <w:rFonts w:ascii="宋体" w:hAnsi="宋体" w:eastAsia="宋体" w:cs="宋体"/>
      <w:sz w:val="21"/>
      <w:szCs w:val="24"/>
      <w:lang w:val="en-US" w:eastAsia="zh-CN" w:bidi="ar-SA"/>
    </w:rPr>
  </w:style>
  <w:style w:type="paragraph" w:customStyle="1" w:styleId="557">
    <w:name w:val="修订7"/>
    <w:hidden/>
    <w:unhideWhenUsed/>
    <w:qFormat/>
    <w:uiPriority w:val="99"/>
    <w:rPr>
      <w:rFonts w:ascii="宋体" w:hAnsi="宋体" w:eastAsia="宋体" w:cs="宋体"/>
      <w:sz w:val="21"/>
      <w:szCs w:val="24"/>
      <w:lang w:val="en-US" w:eastAsia="zh-CN" w:bidi="ar-SA"/>
    </w:rPr>
  </w:style>
  <w:style w:type="paragraph" w:customStyle="1" w:styleId="558">
    <w:name w:val="修订8"/>
    <w:hidden/>
    <w:unhideWhenUsed/>
    <w:qFormat/>
    <w:uiPriority w:val="99"/>
    <w:rPr>
      <w:rFonts w:ascii="宋体" w:hAnsi="宋体" w:eastAsia="宋体" w:cs="宋体"/>
      <w:sz w:val="21"/>
      <w:szCs w:val="24"/>
      <w:lang w:val="en-US" w:eastAsia="zh-CN" w:bidi="ar-SA"/>
    </w:rPr>
  </w:style>
  <w:style w:type="paragraph" w:styleId="5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修订9"/>
    <w:hidden/>
    <w:unhideWhenUsed/>
    <w:qFormat/>
    <w:uiPriority w:val="99"/>
    <w:rPr>
      <w:rFonts w:ascii="宋体" w:hAnsi="宋体" w:eastAsia="宋体" w:cs="宋体"/>
      <w:sz w:val="21"/>
      <w:szCs w:val="24"/>
      <w:lang w:val="en-US" w:eastAsia="zh-CN" w:bidi="ar-SA"/>
    </w:rPr>
  </w:style>
  <w:style w:type="character" w:customStyle="1" w:styleId="561">
    <w:name w:val="font21"/>
    <w:basedOn w:val="130"/>
    <w:qFormat/>
    <w:uiPriority w:val="0"/>
    <w:rPr>
      <w:rFonts w:hint="eastAsia" w:ascii="宋体" w:hAnsi="宋体" w:eastAsia="宋体" w:cs="宋体"/>
      <w:b/>
      <w:bCs/>
      <w:color w:val="000000"/>
      <w:sz w:val="22"/>
      <w:szCs w:val="22"/>
      <w:u w:val="none"/>
    </w:rPr>
  </w:style>
  <w:style w:type="paragraph" w:customStyle="1" w:styleId="562">
    <w:name w:val="_Style 1"/>
    <w:basedOn w:val="1"/>
    <w:next w:val="1"/>
    <w:qFormat/>
    <w:uiPriority w:val="99"/>
    <w:pPr>
      <w:ind w:firstLine="420" w:firstLineChars="200"/>
    </w:pPr>
  </w:style>
  <w:style w:type="paragraph" w:customStyle="1" w:styleId="563">
    <w:name w:val="0表格正文"/>
    <w:basedOn w:val="1"/>
    <w:qFormat/>
    <w:uiPriority w:val="0"/>
    <w:pPr>
      <w:tabs>
        <w:tab w:val="clear" w:pos="426"/>
      </w:tabs>
      <w:spacing w:line="240" w:lineRule="auto"/>
      <w:jc w:val="left"/>
    </w:pPr>
    <w:rPr>
      <w:szCs w:val="21"/>
    </w:rPr>
  </w:style>
  <w:style w:type="paragraph" w:customStyle="1" w:styleId="564">
    <w:name w:val="修订10"/>
    <w:hidden/>
    <w:unhideWhenUsed/>
    <w:qFormat/>
    <w:uiPriority w:val="99"/>
    <w:rPr>
      <w:rFonts w:ascii="宋体" w:hAnsi="宋体" w:eastAsia="宋体" w:cs="宋体"/>
      <w:sz w:val="21"/>
      <w:szCs w:val="24"/>
      <w:lang w:val="en-US" w:eastAsia="zh-CN" w:bidi="ar-SA"/>
    </w:rPr>
  </w:style>
  <w:style w:type="paragraph" w:customStyle="1" w:styleId="565">
    <w:name w:val="修订12"/>
    <w:hidden/>
    <w:unhideWhenUsed/>
    <w:qFormat/>
    <w:uiPriority w:val="99"/>
    <w:rPr>
      <w:rFonts w:ascii="宋体" w:hAnsi="宋体" w:eastAsia="宋体" w:cs="宋体"/>
      <w:sz w:val="21"/>
      <w:szCs w:val="24"/>
      <w:lang w:val="en-US" w:eastAsia="zh-CN" w:bidi="ar-SA"/>
    </w:rPr>
  </w:style>
  <w:style w:type="paragraph" w:customStyle="1" w:styleId="566">
    <w:name w:val="样式 112 10 磅"/>
    <w:next w:val="4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7">
    <w:name w:val="样式 113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6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7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8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9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20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22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7">
    <w:name w:val="样式 123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2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9">
    <w:name w:val="样式 12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80">
    <w:name w:val="样式 4 10 磅2"/>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581">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样式 314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83">
    <w:name w:val="修订13"/>
    <w:hidden/>
    <w:unhideWhenUsed/>
    <w:qFormat/>
    <w:uiPriority w:val="99"/>
    <w:rPr>
      <w:rFonts w:ascii="宋体" w:hAnsi="宋体" w:eastAsia="宋体" w:cs="宋体"/>
      <w:sz w:val="21"/>
      <w:szCs w:val="24"/>
      <w:lang w:val="en-US" w:eastAsia="zh-CN" w:bidi="ar-SA"/>
    </w:rPr>
  </w:style>
  <w:style w:type="paragraph" w:customStyle="1" w:styleId="584">
    <w:name w:val="样式 26 10 磅"/>
    <w:basedOn w:val="1"/>
    <w:qFormat/>
    <w:uiPriority w:val="0"/>
    <w:rPr>
      <w:rFonts w:hAnsi="Times New Roman" w:cs="Times New Roman"/>
      <w:szCs w:val="21"/>
    </w:rPr>
  </w:style>
  <w:style w:type="paragraph" w:customStyle="1" w:styleId="585">
    <w:name w:val="样式 25 10 磅"/>
    <w:basedOn w:val="1"/>
    <w:qFormat/>
    <w:uiPriority w:val="0"/>
    <w:rPr>
      <w:rFonts w:hAnsi="Times New Roman" w:cs="Times New Roman"/>
      <w:szCs w:val="21"/>
    </w:rPr>
  </w:style>
  <w:style w:type="paragraph" w:customStyle="1" w:styleId="586">
    <w:name w:val="样式 24 10 磅"/>
    <w:basedOn w:val="1"/>
    <w:qFormat/>
    <w:uiPriority w:val="0"/>
    <w:rPr>
      <w:rFonts w:ascii="Calibri" w:hAnsi="Calibri" w:cs="Times New Roman"/>
      <w:szCs w:val="21"/>
    </w:rPr>
  </w:style>
  <w:style w:type="paragraph" w:customStyle="1" w:styleId="587">
    <w:name w:val="样式 23 10 磅"/>
    <w:basedOn w:val="1"/>
    <w:qFormat/>
    <w:uiPriority w:val="0"/>
    <w:rPr>
      <w:rFonts w:hAnsi="Times New Roman" w:cs="Times New Roman"/>
      <w:szCs w:val="21"/>
    </w:rPr>
  </w:style>
  <w:style w:type="paragraph" w:customStyle="1" w:styleId="588">
    <w:name w:val="样式 22 10 磅"/>
    <w:basedOn w:val="1"/>
    <w:qFormat/>
    <w:uiPriority w:val="0"/>
    <w:rPr>
      <w:rFonts w:hAnsi="Times New Roman" w:cs="Times New Roman"/>
      <w:szCs w:val="21"/>
    </w:rPr>
  </w:style>
  <w:style w:type="paragraph" w:customStyle="1" w:styleId="589">
    <w:name w:val="样式 21 10 磅"/>
    <w:basedOn w:val="1"/>
    <w:qFormat/>
    <w:uiPriority w:val="0"/>
    <w:rPr>
      <w:rFonts w:hAnsi="Times New Roman" w:cs="Times New Roman"/>
      <w:szCs w:val="21"/>
    </w:rPr>
  </w:style>
  <w:style w:type="paragraph" w:customStyle="1" w:styleId="590">
    <w:name w:val="样式 20 10 磅"/>
    <w:basedOn w:val="1"/>
    <w:qFormat/>
    <w:uiPriority w:val="0"/>
    <w:rPr>
      <w:rFonts w:hAnsi="Times New Roman" w:cs="Times New Roman"/>
      <w:szCs w:val="21"/>
    </w:rPr>
  </w:style>
  <w:style w:type="paragraph" w:customStyle="1" w:styleId="591">
    <w:name w:val="样式 19 10 磅"/>
    <w:basedOn w:val="1"/>
    <w:qFormat/>
    <w:uiPriority w:val="0"/>
    <w:rPr>
      <w:rFonts w:hAnsi="Times New Roman" w:cs="Times New Roman"/>
      <w:szCs w:val="21"/>
    </w:rPr>
  </w:style>
  <w:style w:type="paragraph" w:customStyle="1" w:styleId="592">
    <w:name w:val="样式 18 10 磅"/>
    <w:basedOn w:val="1"/>
    <w:qFormat/>
    <w:uiPriority w:val="0"/>
    <w:rPr>
      <w:rFonts w:hAnsi="Times New Roman" w:cs="Times New Roman"/>
      <w:szCs w:val="21"/>
    </w:rPr>
  </w:style>
  <w:style w:type="paragraph" w:customStyle="1" w:styleId="593">
    <w:name w:val="样式 17 10 磅"/>
    <w:basedOn w:val="1"/>
    <w:qFormat/>
    <w:uiPriority w:val="0"/>
    <w:rPr>
      <w:rFonts w:hAnsi="Times New Roman" w:cs="Times New Roman"/>
      <w:szCs w:val="21"/>
    </w:rPr>
  </w:style>
  <w:style w:type="paragraph" w:customStyle="1" w:styleId="594">
    <w:name w:val="样式 16 10 磅"/>
    <w:basedOn w:val="1"/>
    <w:qFormat/>
    <w:uiPriority w:val="0"/>
    <w:rPr>
      <w:rFonts w:hAnsi="Times New Roman" w:cs="Times New Roman"/>
      <w:szCs w:val="21"/>
    </w:rPr>
  </w:style>
  <w:style w:type="paragraph" w:customStyle="1" w:styleId="595">
    <w:name w:val="样式 15 10 磅"/>
    <w:basedOn w:val="1"/>
    <w:qFormat/>
    <w:uiPriority w:val="0"/>
    <w:rPr>
      <w:rFonts w:hAnsi="Times New Roman" w:cs="Times New Roman"/>
      <w:szCs w:val="21"/>
    </w:rPr>
  </w:style>
  <w:style w:type="paragraph" w:customStyle="1" w:styleId="596">
    <w:name w:val="样式 14 10 磅"/>
    <w:basedOn w:val="1"/>
    <w:qFormat/>
    <w:uiPriority w:val="0"/>
    <w:rPr>
      <w:rFonts w:hAnsi="Times New Roman" w:cs="Times New Roman"/>
      <w:szCs w:val="21"/>
    </w:rPr>
  </w:style>
  <w:style w:type="paragraph" w:customStyle="1" w:styleId="597">
    <w:name w:val="样式 13 10 磅"/>
    <w:basedOn w:val="1"/>
    <w:qFormat/>
    <w:uiPriority w:val="0"/>
    <w:rPr>
      <w:rFonts w:hAnsi="Times New Roman" w:cs="Times New Roman"/>
      <w:szCs w:val="21"/>
    </w:rPr>
  </w:style>
  <w:style w:type="paragraph" w:customStyle="1" w:styleId="598">
    <w:name w:val="样式 12 10 磅"/>
    <w:basedOn w:val="1"/>
    <w:qFormat/>
    <w:uiPriority w:val="0"/>
    <w:rPr>
      <w:rFonts w:hAnsi="Times New Roman" w:cs="Times New Roman"/>
      <w:szCs w:val="21"/>
    </w:rPr>
  </w:style>
  <w:style w:type="paragraph" w:customStyle="1" w:styleId="599">
    <w:name w:val="样式 11 10 磅"/>
    <w:basedOn w:val="1"/>
    <w:qFormat/>
    <w:uiPriority w:val="0"/>
    <w:rPr>
      <w:rFonts w:hAnsi="Times New Roman" w:cs="Times New Roman"/>
      <w:szCs w:val="21"/>
    </w:rPr>
  </w:style>
  <w:style w:type="paragraph" w:customStyle="1" w:styleId="600">
    <w:name w:val="样式 10 10 磅"/>
    <w:basedOn w:val="1"/>
    <w:qFormat/>
    <w:uiPriority w:val="0"/>
    <w:rPr>
      <w:rFonts w:hAnsi="Times New Roman" w:cs="Times New Roman"/>
      <w:szCs w:val="21"/>
    </w:rPr>
  </w:style>
  <w:style w:type="paragraph" w:customStyle="1" w:styleId="601">
    <w:name w:val="样式 9 10 磅"/>
    <w:basedOn w:val="1"/>
    <w:qFormat/>
    <w:uiPriority w:val="0"/>
    <w:rPr>
      <w:rFonts w:hAnsi="Times New Roman" w:cs="Times New Roman"/>
      <w:szCs w:val="21"/>
    </w:rPr>
  </w:style>
  <w:style w:type="paragraph" w:customStyle="1" w:styleId="602">
    <w:name w:val="样式 8 10 磅"/>
    <w:basedOn w:val="1"/>
    <w:qFormat/>
    <w:uiPriority w:val="0"/>
    <w:rPr>
      <w:rFonts w:hAnsi="Times New Roman" w:cs="Times New Roman"/>
      <w:szCs w:val="21"/>
    </w:rPr>
  </w:style>
  <w:style w:type="paragraph" w:customStyle="1" w:styleId="603">
    <w:name w:val="样式 47 10 磅"/>
    <w:basedOn w:val="1"/>
    <w:qFormat/>
    <w:uiPriority w:val="0"/>
    <w:rPr>
      <w:rFonts w:ascii="Times New Roman" w:hAnsi="Times New Roman" w:cs="Times New Roman"/>
      <w:szCs w:val="21"/>
    </w:rPr>
  </w:style>
  <w:style w:type="paragraph" w:customStyle="1" w:styleId="604">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6">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4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46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3">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修订14"/>
    <w:hidden/>
    <w:unhideWhenUsed/>
    <w:qFormat/>
    <w:uiPriority w:val="99"/>
    <w:rPr>
      <w:rFonts w:ascii="宋体" w:hAnsi="宋体" w:eastAsia="宋体" w:cs="宋体"/>
      <w:sz w:val="21"/>
      <w:szCs w:val="24"/>
      <w:lang w:val="en-US" w:eastAsia="zh-CN" w:bidi="ar-SA"/>
    </w:rPr>
  </w:style>
  <w:style w:type="paragraph" w:customStyle="1" w:styleId="619">
    <w:name w:val="样式 253 三号"/>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2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1">
    <w:name w:val="样式 3 三号"/>
    <w:qFormat/>
    <w:uiPriority w:val="0"/>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2">
    <w:name w:val="正文_2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正文_9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5">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1">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2">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5">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6">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5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9">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修订15"/>
    <w:hidden/>
    <w:semiHidden/>
    <w:qFormat/>
    <w:uiPriority w:val="99"/>
    <w:rPr>
      <w:rFonts w:ascii="宋体" w:hAnsi="宋体" w:eastAsia="宋体" w:cs="宋体"/>
      <w:sz w:val="21"/>
      <w:szCs w:val="24"/>
      <w:lang w:val="en-US" w:eastAsia="zh-CN" w:bidi="ar-SA"/>
    </w:rPr>
  </w:style>
  <w:style w:type="character" w:customStyle="1" w:styleId="641">
    <w:name w:val="未处理的提及2"/>
    <w:basedOn w:val="130"/>
    <w:semiHidden/>
    <w:unhideWhenUsed/>
    <w:qFormat/>
    <w:uiPriority w:val="99"/>
    <w:rPr>
      <w:color w:val="605E5C"/>
      <w:shd w:val="clear" w:color="auto" w:fill="E1DFDD"/>
    </w:rPr>
  </w:style>
  <w:style w:type="paragraph" w:customStyle="1" w:styleId="642">
    <w:name w:val="修订16"/>
    <w:hidden/>
    <w:unhideWhenUsed/>
    <w:qFormat/>
    <w:uiPriority w:val="99"/>
    <w:rPr>
      <w:rFonts w:ascii="宋体" w:hAnsi="宋体" w:eastAsia="宋体" w:cs="宋体"/>
      <w:sz w:val="21"/>
      <w:szCs w:val="24"/>
      <w:lang w:val="en-US" w:eastAsia="zh-CN" w:bidi="ar-SA"/>
    </w:rPr>
  </w:style>
  <w:style w:type="paragraph" w:customStyle="1" w:styleId="643">
    <w:name w:val="Revision"/>
    <w:hidden/>
    <w:unhideWhenUsed/>
    <w:uiPriority w:val="99"/>
    <w:rPr>
      <w:rFonts w:ascii="宋体" w:hAnsi="宋体" w:eastAsia="宋体" w:cs="宋体"/>
      <w:sz w:val="21"/>
      <w:szCs w:val="24"/>
      <w:lang w:val="en-US" w:eastAsia="zh-CN" w:bidi="ar-SA"/>
    </w:rPr>
  </w:style>
  <w:style w:type="character" w:customStyle="1" w:styleId="644">
    <w:name w:val="Unresolved Mention"/>
    <w:basedOn w:val="13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02CB8-ABDA-4F3B-97F9-DCDB18B915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48799</Words>
  <Characters>53572</Characters>
  <Lines>421</Lines>
  <Paragraphs>118</Paragraphs>
  <TotalTime>8</TotalTime>
  <ScaleCrop>false</ScaleCrop>
  <LinksUpToDate>false</LinksUpToDate>
  <CharactersWithSpaces>54418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2024-10-20T12:45:00Z</dcterms:created>
  <dc:creator>thsware</dc:creator>
  <cp:lastModifiedBy>微信用户</cp:lastModifiedBy>
  <cp:lastPrinted>2024-10-12T06:08:00Z</cp:lastPrinted>
  <dcterms:modified xsi:type="dcterms:W3CDTF">2024-10-21T11:04:16Z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DBFA66663BAE4D44B618E10D849AF054_13</vt:lpwstr>
  </property>
</Properties>
</file>