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SSZX2024-371</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气相及气质类设备采购项目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深圳海关食品检验检疫技术中心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8</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21</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23</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23</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24</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24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26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41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41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41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42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42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44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58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59</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65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66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67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68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70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71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73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74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75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76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76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77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78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79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82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83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84</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85</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85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87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89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93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94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95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98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99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102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102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105</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432592808"/>
      <w:bookmarkStart w:id="1" w:name="_Toc1594"/>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SSZX2024-371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气相及气质类设备采购项目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320" w:lineRule="exact"/>
              <w:rPr>
                <w:rFonts w:hint="eastAsia"/>
              </w:rPr>
            </w:pPr>
            <w:r>
              <w:rPr>
                <w:rFonts w:hint="eastAsia"/>
              </w:rPr>
              <w:t>总预算金额：337.000000万元（人民币叁佰叁拾柒万元整）</w:t>
            </w:r>
          </w:p>
          <w:p>
            <w:pPr>
              <w:tabs>
                <w:tab w:val="clear" w:pos="426"/>
              </w:tabs>
              <w:adjustRightInd/>
              <w:snapToGrid/>
              <w:spacing w:line="320" w:lineRule="exact"/>
              <w:rPr>
                <w:rFonts w:hint="eastAsia"/>
              </w:rPr>
            </w:pPr>
            <w:r>
              <w:rPr>
                <w:rFonts w:hint="eastAsia"/>
              </w:rPr>
              <w:t>01包：75.000000万元（人民币柒拾伍万元整）</w:t>
            </w:r>
          </w:p>
          <w:p>
            <w:pPr>
              <w:tabs>
                <w:tab w:val="clear" w:pos="426"/>
              </w:tabs>
              <w:adjustRightInd/>
              <w:snapToGrid/>
              <w:spacing w:line="320" w:lineRule="exact"/>
              <w:rPr>
                <w:rFonts w:hint="eastAsia"/>
              </w:rPr>
            </w:pPr>
            <w:r>
              <w:rPr>
                <w:rFonts w:hint="eastAsia"/>
              </w:rPr>
              <w:t>02包：41.000000万元（人民币肆拾壹万元整）</w:t>
            </w:r>
          </w:p>
          <w:p>
            <w:pPr>
              <w:tabs>
                <w:tab w:val="clear" w:pos="426"/>
              </w:tabs>
              <w:adjustRightInd/>
              <w:snapToGrid/>
              <w:spacing w:line="320" w:lineRule="exact"/>
              <w:rPr>
                <w:rFonts w:hint="eastAsia"/>
              </w:rPr>
            </w:pPr>
            <w:r>
              <w:rPr>
                <w:rFonts w:hint="eastAsia"/>
              </w:rPr>
              <w:t>03包：41.000000万元（人民币肆拾壹万元整）</w:t>
            </w:r>
          </w:p>
          <w:p>
            <w:pPr>
              <w:tabs>
                <w:tab w:val="clear" w:pos="426"/>
              </w:tabs>
              <w:adjustRightInd/>
              <w:snapToGrid/>
              <w:spacing w:line="320" w:lineRule="exact"/>
              <w:rPr>
                <w:rFonts w:hint="eastAsia"/>
              </w:rPr>
            </w:pPr>
            <w:r>
              <w:rPr>
                <w:rFonts w:hint="eastAsia"/>
              </w:rPr>
              <w:t>04包：85.000000万元（人民币捌拾伍万元整）</w:t>
            </w:r>
          </w:p>
          <w:p>
            <w:pPr>
              <w:tabs>
                <w:tab w:val="clear" w:pos="426"/>
              </w:tabs>
              <w:adjustRightInd/>
              <w:snapToGrid/>
              <w:spacing w:line="320" w:lineRule="exact"/>
              <w:rPr>
                <w:rFonts w:hint="eastAsia"/>
              </w:rPr>
            </w:pPr>
            <w:r>
              <w:rPr>
                <w:rFonts w:hint="eastAsia"/>
              </w:rPr>
              <w:t>05包：95.000000万元（人民币玖拾伍万元整）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320" w:lineRule="exact"/>
              <w:rPr>
                <w:rFonts w:hint="eastAsia"/>
              </w:rPr>
            </w:pPr>
            <w:r>
              <w:rPr>
                <w:rFonts w:hint="eastAsia"/>
              </w:rPr>
              <w:t>总限价：337.000000万元（人民币叁佰叁拾柒万元整）</w:t>
            </w:r>
          </w:p>
          <w:p>
            <w:pPr>
              <w:tabs>
                <w:tab w:val="clear" w:pos="426"/>
              </w:tabs>
              <w:adjustRightInd/>
              <w:snapToGrid/>
              <w:spacing w:line="320" w:lineRule="exact"/>
              <w:rPr>
                <w:rFonts w:hint="eastAsia"/>
              </w:rPr>
            </w:pPr>
            <w:r>
              <w:rPr>
                <w:rFonts w:hint="eastAsia"/>
              </w:rPr>
              <w:t>01包限价：75.000000万元（人民币柒拾伍万元整）</w:t>
            </w:r>
          </w:p>
          <w:p>
            <w:pPr>
              <w:tabs>
                <w:tab w:val="clear" w:pos="426"/>
              </w:tabs>
              <w:adjustRightInd/>
              <w:snapToGrid/>
              <w:spacing w:line="320" w:lineRule="exact"/>
              <w:rPr>
                <w:rFonts w:hint="eastAsia"/>
              </w:rPr>
            </w:pPr>
            <w:r>
              <w:rPr>
                <w:rFonts w:hint="eastAsia"/>
              </w:rPr>
              <w:t>02包限价：41.000000万元（人民币肆拾壹万元整）</w:t>
            </w:r>
          </w:p>
          <w:p>
            <w:pPr>
              <w:tabs>
                <w:tab w:val="clear" w:pos="426"/>
              </w:tabs>
              <w:adjustRightInd/>
              <w:snapToGrid/>
              <w:spacing w:line="320" w:lineRule="exact"/>
              <w:rPr>
                <w:rFonts w:hint="eastAsia"/>
              </w:rPr>
            </w:pPr>
            <w:r>
              <w:rPr>
                <w:rFonts w:hint="eastAsia"/>
              </w:rPr>
              <w:t>03包限价：41.000000万元（人民币肆拾壹万元整）</w:t>
            </w:r>
          </w:p>
          <w:p>
            <w:pPr>
              <w:tabs>
                <w:tab w:val="clear" w:pos="426"/>
              </w:tabs>
              <w:adjustRightInd/>
              <w:snapToGrid/>
              <w:spacing w:line="320" w:lineRule="exact"/>
              <w:rPr>
                <w:rFonts w:hint="eastAsia"/>
              </w:rPr>
            </w:pPr>
            <w:r>
              <w:rPr>
                <w:rFonts w:hint="eastAsia"/>
              </w:rPr>
              <w:t>04包限价：85.000000万元（人民币捌拾伍万元整）</w:t>
            </w:r>
          </w:p>
          <w:p>
            <w:pPr>
              <w:tabs>
                <w:tab w:val="clear" w:pos="426"/>
              </w:tabs>
              <w:adjustRightInd/>
              <w:snapToGrid/>
              <w:spacing w:line="320" w:lineRule="exact"/>
              <w:rPr>
                <w:rFonts w:hint="eastAsia"/>
              </w:rPr>
            </w:pPr>
            <w:r>
              <w:rPr>
                <w:rFonts w:hint="eastAsia"/>
              </w:rPr>
              <w:t>05包限价：95.000000万元（人民币玖拾伍万元整）</w:t>
            </w:r>
          </w:p>
          <w:p>
            <w:pPr>
              <w:tabs>
                <w:tab w:val="clear" w:pos="426"/>
              </w:tabs>
              <w:adjustRightInd/>
              <w:snapToGrid/>
              <w:spacing w:line="320" w:lineRule="exact"/>
              <w:rPr>
                <w:rFonts w:hint="eastAsia"/>
              </w:rPr>
            </w:pPr>
            <w:r>
              <w:rPr>
                <w:rFonts w:hint="eastAsia"/>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rPr>
                <w:rFonts w:hint="eastAsia"/>
              </w:rPr>
            </w:pPr>
            <w:r>
              <w:rPr>
                <w:rFonts w:hint="eastAsia"/>
              </w:rPr>
              <w:t>1.投标报价以人民币元为计算单位。</w:t>
            </w:r>
          </w:p>
          <w:p>
            <w:pPr>
              <w:tabs>
                <w:tab w:val="clear" w:pos="426"/>
              </w:tabs>
              <w:adjustRightInd/>
              <w:snapToGrid/>
              <w:spacing w:line="320" w:lineRule="exact"/>
              <w:rPr>
                <w:rFonts w:hint="eastAsia"/>
              </w:rPr>
            </w:pPr>
            <w:r>
              <w:rPr>
                <w:rFonts w:hint="eastAsia"/>
              </w:rPr>
              <w:t>2.本项目投标上限金额为本项目预算金额（包含分项预算、总预算金额）。</w:t>
            </w:r>
          </w:p>
          <w:p>
            <w:pPr>
              <w:tabs>
                <w:tab w:val="clear" w:pos="426"/>
              </w:tabs>
              <w:adjustRightInd/>
              <w:snapToGrid/>
              <w:spacing w:line="320" w:lineRule="exact"/>
              <w:rPr>
                <w:rFonts w:hint="eastAsia"/>
              </w:rPr>
            </w:pPr>
            <w:r>
              <w:rPr>
                <w:rFonts w:hint="eastAsia"/>
              </w:rPr>
              <w:t>3投标人报价应包含合同期内所有内容所产生的费用。</w:t>
            </w:r>
          </w:p>
          <w:p>
            <w:pPr>
              <w:tabs>
                <w:tab w:val="clear" w:pos="426"/>
              </w:tabs>
              <w:adjustRightInd/>
              <w:snapToGrid/>
              <w:spacing w:line="320" w:lineRule="exact"/>
              <w:rPr>
                <w:rFonts w:hint="eastAsia"/>
              </w:rPr>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p>
            <w:pPr>
              <w:tabs>
                <w:tab w:val="clear" w:pos="426"/>
              </w:tabs>
              <w:adjustRightInd/>
              <w:snapToGrid/>
              <w:spacing w:line="240" w:lineRule="auto"/>
              <w:rPr>
                <w:rFonts w:hint="eastAsia" w:asciiTheme="minorEastAsia" w:hAnsiTheme="minorEastAsia" w:eastAsiaTheme="minorEastAsia"/>
                <w:szCs w:val="21"/>
              </w:rPr>
            </w:pPr>
            <w:r>
              <w:rPr>
                <w:rFonts w:hint="eastAsia"/>
                <w:b/>
                <w:bCs/>
              </w:rPr>
              <w:t>备注：投标供应商制作标书时，若同时投标多个包，要求必须对每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17：30点</w:t>
            </w:r>
            <w:r>
              <w:rPr>
                <w:rFonts w:hint="eastAsia" w:asciiTheme="minorEastAsia" w:hAnsiTheme="minorEastAsia" w:eastAsiaTheme="minorEastAsia"/>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采购代理机构以各包中标金额为计算基数，按差额定率累进法计算，向各包中标供应商收取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432592813"/>
      <w:bookmarkStart w:id="4" w:name="_Toc265483798"/>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气相及气质类设备采购项目的潜在投标人应在深圳市罗湖区清水河街道清水河社区清水河一路112号罗湖投资控股大厦裙楼401获取招标文件，并于202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年*月*</w:t>
      </w:r>
      <w:r>
        <w:rPr>
          <w:rFonts w:hint="eastAsia" w:cs="Times New Roman"/>
          <w:bCs/>
          <w:kern w:val="2"/>
          <w:szCs w:val="21"/>
        </w:rPr>
        <w:t>日14点30分（北京时间）前递交投标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hint="eastAsia" w:cs="Times New Roman"/>
          <w:kern w:val="2"/>
          <w:szCs w:val="21"/>
        </w:rPr>
      </w:pPr>
    </w:p>
    <w:p>
      <w:pPr>
        <w:spacing w:line="240" w:lineRule="auto"/>
        <w:rPr>
          <w:rFonts w:hint="eastAsia"/>
          <w:b/>
          <w:kern w:val="2"/>
          <w:szCs w:val="21"/>
        </w:rPr>
      </w:pPr>
      <w:bookmarkStart w:id="7" w:name="_Toc35393621"/>
      <w:bookmarkStart w:id="8" w:name="_Toc28359002"/>
      <w:bookmarkStart w:id="9" w:name="_Toc35393790"/>
      <w:bookmarkStart w:id="10" w:name="_Toc28359079"/>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项目编号：SSZX2024-371</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项目名称：气相及气质类设备采购项目</w:t>
      </w:r>
    </w:p>
    <w:bookmarkEnd w:id="11"/>
    <w:p>
      <w:pPr>
        <w:widowControl w:val="0"/>
        <w:shd w:val="clear" w:color="auto" w:fill="auto"/>
        <w:tabs>
          <w:tab w:val="clear" w:pos="426"/>
        </w:tabs>
        <w:adjustRightInd/>
        <w:snapToGrid/>
        <w:spacing w:line="240" w:lineRule="auto"/>
        <w:ind w:firstLine="420" w:firstLineChars="200"/>
        <w:rPr>
          <w:rFonts w:hint="eastAsia"/>
          <w:szCs w:val="21"/>
        </w:rPr>
      </w:pPr>
      <w:r>
        <w:rPr>
          <w:rFonts w:hint="eastAsia" w:cs="Times New Roman"/>
          <w:kern w:val="2"/>
          <w:szCs w:val="21"/>
        </w:rPr>
        <w:t>预算金额：337.000000万元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最高限价：337.000000万元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49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0"/>
        <w:gridCol w:w="983"/>
        <w:gridCol w:w="2002"/>
        <w:gridCol w:w="710"/>
        <w:gridCol w:w="710"/>
        <w:gridCol w:w="1698"/>
        <w:gridCol w:w="1463"/>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包号</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标的序号</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8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76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c>
          <w:tcPr>
            <w:tcW w:w="7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预算金额</w:t>
            </w:r>
          </w:p>
          <w:p>
            <w:pPr>
              <w:spacing w:line="240" w:lineRule="auto"/>
              <w:jc w:val="center"/>
              <w:rPr>
                <w:rFonts w:hint="eastAsia"/>
                <w:szCs w:val="21"/>
              </w:rPr>
            </w:pPr>
            <w:r>
              <w:rPr>
                <w:rFonts w:hint="eastAsia"/>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01</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restart"/>
            <w:tcBorders>
              <w:top w:val="single" w:color="auto" w:sz="4" w:space="0"/>
              <w:left w:val="single" w:color="auto" w:sz="4" w:space="0"/>
              <w:right w:val="single" w:color="auto" w:sz="4" w:space="0"/>
            </w:tcBorders>
            <w:vAlign w:val="center"/>
          </w:tcPr>
          <w:p>
            <w:pPr>
              <w:pStyle w:val="425"/>
            </w:pPr>
            <w:r>
              <w:rPr>
                <w:rFonts w:hint="eastAsia"/>
              </w:rPr>
              <w:t>用于检测食品中农药残留及污染物，详见招标文件项目需求书。</w:t>
            </w:r>
          </w:p>
        </w:tc>
        <w:tc>
          <w:tcPr>
            <w:tcW w:w="764" w:type="pct"/>
            <w:vMerge w:val="restart"/>
            <w:tcBorders>
              <w:top w:val="single" w:color="auto" w:sz="4" w:space="0"/>
              <w:left w:val="single" w:color="auto" w:sz="4" w:space="0"/>
              <w:right w:val="single" w:color="auto" w:sz="4" w:space="0"/>
            </w:tcBorders>
            <w:vAlign w:val="center"/>
          </w:tcPr>
          <w:p>
            <w:pPr>
              <w:pStyle w:val="425"/>
            </w:pPr>
            <w:r>
              <w:rPr>
                <w:rFonts w:hint="eastAsia"/>
              </w:rPr>
              <w:t>拒绝进口</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75.000000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02</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2</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64"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41.000000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03</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3</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64"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41.000000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04</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4</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64"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85.000000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05</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5</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bottom w:val="single" w:color="auto" w:sz="4" w:space="0"/>
              <w:right w:val="single" w:color="auto" w:sz="4" w:space="0"/>
            </w:tcBorders>
            <w:vAlign w:val="center"/>
          </w:tcPr>
          <w:p>
            <w:pPr>
              <w:pStyle w:val="425"/>
            </w:pPr>
          </w:p>
        </w:tc>
        <w:tc>
          <w:tcPr>
            <w:tcW w:w="764" w:type="pct"/>
            <w:vMerge w:val="continue"/>
            <w:tcBorders>
              <w:left w:val="single" w:color="auto" w:sz="4" w:space="0"/>
              <w:bottom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95.000000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44" w:type="pct"/>
            <w:gridSpan w:val="7"/>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合计</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337.000000</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合同履行期限：合同签订后30日内完成交货。</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本项目</w:t>
      </w:r>
      <w:bookmarkStart w:id="12" w:name="_Hlk180012946"/>
      <w:r>
        <w:rPr>
          <w:rFonts w:hint="eastAsia" w:cs="Times New Roman"/>
          <w:kern w:val="2"/>
          <w:szCs w:val="21"/>
        </w:rPr>
        <w:t>（不接受）</w:t>
      </w:r>
      <w:bookmarkEnd w:id="12"/>
      <w:r>
        <w:rPr>
          <w:rFonts w:hint="eastAsia" w:cs="Times New Roman"/>
          <w:kern w:val="2"/>
          <w:szCs w:val="21"/>
        </w:rPr>
        <w:t>联合体投标。</w:t>
      </w:r>
      <w:bookmarkStart w:id="13" w:name="_Toc28359080"/>
      <w:bookmarkStart w:id="14" w:name="_Toc35393791"/>
      <w:bookmarkStart w:id="15" w:name="_Toc28359003"/>
      <w:bookmarkStart w:id="16" w:name="_Toc35393622"/>
    </w:p>
    <w:p>
      <w:pPr>
        <w:spacing w:line="240" w:lineRule="auto"/>
        <w:rPr>
          <w:rFonts w:hint="eastAsia"/>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7" w:name="_Toc28359004"/>
      <w:bookmarkStart w:id="18" w:name="_Toc35393623"/>
      <w:bookmarkStart w:id="19" w:name="_Toc35393792"/>
      <w:bookmarkStart w:id="20" w:name="_Toc28359081"/>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日至2024年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1" w:name="_Toc28359005"/>
      <w:bookmarkStart w:id="22" w:name="_Toc28359082"/>
      <w:bookmarkStart w:id="23" w:name="_Toc35393624"/>
      <w:bookmarkStart w:id="24" w:name="_Toc35393793"/>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tabs>
          <w:tab w:val="clear" w:pos="426"/>
        </w:tabs>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rPr>
        <w:t>*</w:t>
      </w:r>
      <w:r>
        <w:rPr>
          <w:rFonts w:hint="eastAsia" w:cs="Times New Roman"/>
          <w:bCs/>
          <w:kern w:val="2"/>
          <w:szCs w:val="21"/>
        </w:rPr>
        <w:t>月</w:t>
      </w:r>
      <w:r>
        <w:rPr>
          <w:rFonts w:hint="eastAsia" w:cs="Times New Roman"/>
          <w:kern w:val="2"/>
          <w:szCs w:val="21"/>
        </w:rPr>
        <w:t>*</w:t>
      </w:r>
      <w:r>
        <w:rPr>
          <w:rFonts w:hint="eastAsia" w:cs="Times New Roman"/>
          <w:bCs/>
          <w:kern w:val="2"/>
          <w:szCs w:val="21"/>
        </w:rPr>
        <w:t>日</w:t>
      </w:r>
      <w:r>
        <w:rPr>
          <w:rFonts w:cs="Times New Roman"/>
          <w:bCs/>
          <w:kern w:val="2"/>
          <w:szCs w:val="21"/>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年*月*日14点30分（北京时间）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5" w:name="_Toc28359084"/>
      <w:bookmarkStart w:id="26" w:name="_Toc35393625"/>
      <w:bookmarkStart w:id="27" w:name="_Toc28359007"/>
      <w:bookmarkStart w:id="28" w:name="_Toc35393794"/>
      <w:r>
        <w:rPr>
          <w:rFonts w:hint="eastAsia"/>
          <w:b/>
          <w:kern w:val="2"/>
          <w:szCs w:val="21"/>
        </w:rPr>
        <w:t>五、公告期限</w:t>
      </w:r>
      <w:bookmarkEnd w:id="25"/>
      <w:bookmarkEnd w:id="26"/>
      <w:bookmarkEnd w:id="27"/>
      <w:bookmarkEnd w:id="28"/>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自本公告发布之日起5个工作日。</w:t>
      </w:r>
      <w:bookmarkStart w:id="29" w:name="_Toc35393795"/>
      <w:bookmarkStart w:id="30" w:name="_Toc35393626"/>
    </w:p>
    <w:p>
      <w:pPr>
        <w:spacing w:line="240" w:lineRule="auto"/>
        <w:rPr>
          <w:rFonts w:hint="eastAsia"/>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2.特别说明：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（1）本项目共5个包，包划分详见招标文件第三章项目需求-一、货物清单一览表。</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（2）本项目通过公开招标各包确定1家中标供应商，投标供应商可选择1个包或多个包进行投标响应。</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（3）评标委员会依次评审01包、02包、03包、04包、05包。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每个包由评标委员会推荐评标总得分前三名的投标供应商作为候选中标供应商，每个包评标总得分第一名的投标供应商作为对应包的中标供应商，01包排名第一的中标供应商亦可作为02包的中标供应商，02包排名第一的中标供应商亦可作为03包的中标供应商，以此类推（兼投兼中原则）。</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3.投标文件提交方式补充说明：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hAnsi="Times New Roman" w:cs="Times New Roman"/>
          <w:kern w:val="2"/>
          <w:szCs w:val="21"/>
        </w:rPr>
        <w:t>4.</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2" w:name="_Toc28359008"/>
      <w:bookmarkStart w:id="33" w:name="_Toc28359085"/>
      <w:bookmarkStart w:id="34" w:name="_Toc35393796"/>
      <w:bookmarkStart w:id="35" w:name="_Toc35393627"/>
      <w:r>
        <w:rPr>
          <w:rFonts w:hint="eastAsia"/>
          <w:b/>
          <w:kern w:val="2"/>
          <w:szCs w:val="21"/>
        </w:rPr>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名称：深圳海关食品检验检疫技术中心</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tabs>
          <w:tab w:val="clear" w:pos="426"/>
        </w:tabs>
        <w:adjustRightInd/>
        <w:snapToGrid/>
        <w:spacing w:line="240" w:lineRule="auto"/>
        <w:ind w:left="495"/>
        <w:rPr>
          <w:rFonts w:hint="eastAsia" w:cs="Times New Roman"/>
          <w:kern w:val="2"/>
          <w:szCs w:val="21"/>
        </w:rPr>
      </w:pPr>
      <w:bookmarkStart w:id="36" w:name="_Toc28359086"/>
      <w:bookmarkStart w:id="37" w:name="_Toc28359009"/>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6"/>
      <w:bookmarkEnd w:id="37"/>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年*月*日</w:t>
      </w:r>
    </w:p>
    <w:bookmarkEnd w:id="6"/>
    <w:p>
      <w:pPr>
        <w:rPr>
          <w:rFonts w:hint="eastAsia"/>
        </w:rPr>
      </w:pPr>
      <w:r>
        <w:rPr>
          <w:rFonts w:hint="eastAsia"/>
        </w:rPr>
        <w:br w:type="page"/>
      </w:r>
    </w:p>
    <w:p>
      <w:pPr>
        <w:pStyle w:val="62"/>
      </w:pPr>
      <w:bookmarkStart w:id="38" w:name="_Toc13122"/>
      <w:r>
        <w:rPr>
          <w:rFonts w:hint="eastAsia"/>
        </w:rPr>
        <w:t>第二章 项目需求</w:t>
      </w:r>
      <w:bookmarkEnd w:id="38"/>
    </w:p>
    <w:p>
      <w:pPr>
        <w:numPr>
          <w:ilvl w:val="0"/>
          <w:numId w:val="2"/>
        </w:numPr>
        <w:adjustRightInd/>
        <w:snapToGrid/>
        <w:spacing w:before="280" w:after="290" w:line="377" w:lineRule="auto"/>
        <w:jc w:val="left"/>
        <w:outlineLvl w:val="2"/>
        <w:rPr>
          <w:rFonts w:hint="eastAsia"/>
          <w:b/>
          <w:sz w:val="24"/>
        </w:rPr>
      </w:pPr>
      <w:bookmarkStart w:id="39" w:name="_Toc15786"/>
      <w:bookmarkStart w:id="40" w:name="_Toc151386154"/>
      <w:bookmarkStart w:id="41" w:name="_Toc150960244"/>
      <w:r>
        <w:rPr>
          <w:b/>
          <w:sz w:val="24"/>
        </w:rPr>
        <w:t>货物清单</w:t>
      </w:r>
      <w:r>
        <w:rPr>
          <w:rFonts w:hint="eastAsia"/>
          <w:b/>
          <w:sz w:val="24"/>
        </w:rPr>
        <w:t>一览表</w:t>
      </w:r>
      <w:bookmarkEnd w:id="39"/>
      <w:bookmarkEnd w:id="40"/>
      <w:bookmarkEnd w:id="41"/>
    </w:p>
    <w:tbl>
      <w:tblPr>
        <w:tblStyle w:val="85"/>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50"/>
        <w:gridCol w:w="1650"/>
        <w:gridCol w:w="1140"/>
        <w:gridCol w:w="525"/>
        <w:gridCol w:w="1095"/>
        <w:gridCol w:w="155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240" w:lineRule="auto"/>
              <w:jc w:val="center"/>
              <w:rPr>
                <w:rFonts w:hint="eastAsia"/>
                <w:b/>
                <w:bCs/>
                <w:szCs w:val="21"/>
              </w:rPr>
            </w:pPr>
            <w:r>
              <w:rPr>
                <w:rFonts w:hint="eastAsia"/>
                <w:b/>
                <w:bCs/>
                <w:szCs w:val="21"/>
              </w:rPr>
              <w:t>包号</w:t>
            </w:r>
          </w:p>
        </w:tc>
        <w:tc>
          <w:tcPr>
            <w:tcW w:w="1250" w:type="dxa"/>
            <w:vAlign w:val="center"/>
          </w:tcPr>
          <w:p>
            <w:pPr>
              <w:spacing w:line="240" w:lineRule="auto"/>
              <w:jc w:val="center"/>
              <w:rPr>
                <w:rFonts w:hint="eastAsia"/>
                <w:b/>
                <w:bCs/>
                <w:szCs w:val="21"/>
              </w:rPr>
            </w:pPr>
            <w:r>
              <w:rPr>
                <w:rFonts w:hint="eastAsia"/>
                <w:b/>
                <w:bCs/>
                <w:szCs w:val="21"/>
              </w:rPr>
              <w:t>标的序号</w:t>
            </w:r>
          </w:p>
        </w:tc>
        <w:tc>
          <w:tcPr>
            <w:tcW w:w="1650" w:type="dxa"/>
            <w:vAlign w:val="center"/>
          </w:tcPr>
          <w:p>
            <w:pPr>
              <w:spacing w:line="240" w:lineRule="auto"/>
              <w:jc w:val="center"/>
              <w:rPr>
                <w:rFonts w:hint="eastAsia"/>
                <w:b/>
                <w:bCs/>
                <w:szCs w:val="21"/>
              </w:rPr>
            </w:pPr>
            <w:r>
              <w:rPr>
                <w:rFonts w:hint="eastAsia"/>
                <w:b/>
                <w:bCs/>
                <w:szCs w:val="21"/>
              </w:rPr>
              <w:t>货物（标的）名称</w:t>
            </w:r>
          </w:p>
        </w:tc>
        <w:tc>
          <w:tcPr>
            <w:tcW w:w="1140" w:type="dxa"/>
            <w:vAlign w:val="center"/>
          </w:tcPr>
          <w:p>
            <w:pPr>
              <w:spacing w:line="240" w:lineRule="auto"/>
              <w:jc w:val="center"/>
              <w:rPr>
                <w:rFonts w:hint="eastAsia"/>
                <w:b/>
                <w:bCs/>
                <w:szCs w:val="21"/>
              </w:rPr>
            </w:pPr>
            <w:r>
              <w:rPr>
                <w:rFonts w:hint="eastAsia"/>
                <w:b/>
                <w:bCs/>
                <w:szCs w:val="21"/>
              </w:rPr>
              <w:t>计量单位</w:t>
            </w:r>
          </w:p>
        </w:tc>
        <w:tc>
          <w:tcPr>
            <w:tcW w:w="525" w:type="dxa"/>
            <w:vAlign w:val="center"/>
          </w:tcPr>
          <w:p>
            <w:pPr>
              <w:spacing w:line="240" w:lineRule="auto"/>
              <w:jc w:val="center"/>
              <w:rPr>
                <w:rFonts w:hint="eastAsia"/>
                <w:b/>
                <w:bCs/>
                <w:szCs w:val="21"/>
              </w:rPr>
            </w:pPr>
            <w:r>
              <w:rPr>
                <w:rFonts w:hint="eastAsia"/>
                <w:b/>
                <w:bCs/>
                <w:szCs w:val="21"/>
              </w:rPr>
              <w:t>数量</w:t>
            </w:r>
          </w:p>
        </w:tc>
        <w:tc>
          <w:tcPr>
            <w:tcW w:w="1095" w:type="dxa"/>
            <w:vAlign w:val="center"/>
          </w:tcPr>
          <w:p>
            <w:pPr>
              <w:spacing w:line="240" w:lineRule="auto"/>
              <w:jc w:val="center"/>
              <w:rPr>
                <w:rFonts w:hint="eastAsia"/>
                <w:b/>
                <w:bCs/>
                <w:szCs w:val="21"/>
              </w:rPr>
            </w:pPr>
            <w:r>
              <w:rPr>
                <w:rFonts w:hint="eastAsia"/>
                <w:b/>
                <w:bCs/>
                <w:szCs w:val="21"/>
              </w:rPr>
              <w:t>是否进口</w:t>
            </w:r>
          </w:p>
        </w:tc>
        <w:tc>
          <w:tcPr>
            <w:tcW w:w="1551" w:type="dxa"/>
            <w:vAlign w:val="center"/>
          </w:tcPr>
          <w:p>
            <w:pPr>
              <w:spacing w:line="240" w:lineRule="auto"/>
              <w:jc w:val="center"/>
              <w:rPr>
                <w:rFonts w:hint="eastAsia"/>
                <w:b/>
                <w:bCs/>
                <w:szCs w:val="21"/>
              </w:rPr>
            </w:pPr>
            <w:r>
              <w:rPr>
                <w:rFonts w:hint="eastAsia"/>
                <w:b/>
                <w:bCs/>
                <w:szCs w:val="21"/>
              </w:rPr>
              <w:t>是否创新产品</w:t>
            </w:r>
          </w:p>
        </w:tc>
        <w:tc>
          <w:tcPr>
            <w:tcW w:w="1305" w:type="dxa"/>
            <w:vAlign w:val="center"/>
          </w:tcPr>
          <w:p>
            <w:pPr>
              <w:spacing w:line="240" w:lineRule="auto"/>
              <w:jc w:val="center"/>
              <w:rPr>
                <w:rFonts w:hint="eastAsia"/>
                <w:b/>
                <w:bCs/>
                <w:szCs w:val="21"/>
              </w:rPr>
            </w:pPr>
            <w:r>
              <w:rPr>
                <w:rFonts w:hint="eastAsia" w:cs="Times New Roman"/>
                <w:b/>
                <w:bCs/>
                <w:szCs w:val="21"/>
              </w:rPr>
              <w:t>财政</w:t>
            </w:r>
            <w:r>
              <w:rPr>
                <w:rFonts w:cs="Times New Roman"/>
                <w:b/>
                <w:bCs/>
                <w:szCs w:val="21"/>
              </w:rPr>
              <w:t>预算</w:t>
            </w:r>
            <w:r>
              <w:rPr>
                <w:rFonts w:hint="eastAsia" w:cs="Times New Roman"/>
                <w:b/>
                <w:bCs/>
                <w:szCs w:val="21"/>
              </w:rPr>
              <w:t>限</w:t>
            </w:r>
            <w:r>
              <w:rPr>
                <w:rFonts w:cs="Times New Roman"/>
                <w:b/>
                <w:bCs/>
                <w:szCs w:val="21"/>
              </w:rPr>
              <w:t>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01</w:t>
            </w:r>
          </w:p>
        </w:tc>
        <w:tc>
          <w:tcPr>
            <w:tcW w:w="1250" w:type="dxa"/>
            <w:vAlign w:val="center"/>
          </w:tcPr>
          <w:p>
            <w:pPr>
              <w:spacing w:line="240" w:lineRule="auto"/>
              <w:jc w:val="center"/>
              <w:rPr>
                <w:rFonts w:hint="eastAsia"/>
                <w:szCs w:val="21"/>
              </w:rPr>
            </w:pPr>
            <w:r>
              <w:rPr>
                <w:rFonts w:hint="eastAsia"/>
                <w:szCs w:val="21"/>
              </w:rPr>
              <w:t>1</w:t>
            </w:r>
          </w:p>
        </w:tc>
        <w:tc>
          <w:tcPr>
            <w:tcW w:w="1650" w:type="dxa"/>
            <w:vAlign w:val="center"/>
          </w:tcPr>
          <w:p>
            <w:pPr>
              <w:spacing w:line="240" w:lineRule="auto"/>
              <w:jc w:val="center"/>
              <w:rPr>
                <w:rFonts w:hint="eastAsia"/>
                <w:szCs w:val="21"/>
              </w:rPr>
            </w:pPr>
            <w:r>
              <w:rPr>
                <w:rFonts w:hint="eastAsia"/>
                <w:szCs w:val="21"/>
              </w:rPr>
              <w:t>气相色谱质谱联用仪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02</w:t>
            </w:r>
          </w:p>
        </w:tc>
        <w:tc>
          <w:tcPr>
            <w:tcW w:w="1250" w:type="dxa"/>
            <w:vAlign w:val="center"/>
          </w:tcPr>
          <w:p>
            <w:pPr>
              <w:spacing w:line="240" w:lineRule="auto"/>
              <w:jc w:val="center"/>
              <w:rPr>
                <w:rFonts w:hint="eastAsia"/>
                <w:szCs w:val="21"/>
              </w:rPr>
            </w:pPr>
            <w:r>
              <w:rPr>
                <w:rFonts w:hint="eastAsia"/>
                <w:szCs w:val="21"/>
              </w:rPr>
              <w:t>2</w:t>
            </w:r>
          </w:p>
        </w:tc>
        <w:tc>
          <w:tcPr>
            <w:tcW w:w="1650" w:type="dxa"/>
            <w:vAlign w:val="center"/>
          </w:tcPr>
          <w:p>
            <w:pPr>
              <w:spacing w:line="240" w:lineRule="auto"/>
              <w:jc w:val="center"/>
              <w:rPr>
                <w:rFonts w:hint="eastAsia"/>
                <w:szCs w:val="21"/>
              </w:rPr>
            </w:pPr>
            <w:r>
              <w:rPr>
                <w:rFonts w:hint="eastAsia"/>
                <w:szCs w:val="21"/>
              </w:rPr>
              <w:t>气相色谱仪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41.000000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03</w:t>
            </w:r>
          </w:p>
        </w:tc>
        <w:tc>
          <w:tcPr>
            <w:tcW w:w="1250" w:type="dxa"/>
            <w:vAlign w:val="center"/>
          </w:tcPr>
          <w:p>
            <w:pPr>
              <w:spacing w:line="240" w:lineRule="auto"/>
              <w:jc w:val="center"/>
              <w:rPr>
                <w:rFonts w:hint="eastAsia"/>
                <w:szCs w:val="21"/>
              </w:rPr>
            </w:pPr>
            <w:r>
              <w:rPr>
                <w:rFonts w:hint="eastAsia"/>
                <w:szCs w:val="21"/>
              </w:rPr>
              <w:t>3</w:t>
            </w:r>
          </w:p>
        </w:tc>
        <w:tc>
          <w:tcPr>
            <w:tcW w:w="1650" w:type="dxa"/>
            <w:vAlign w:val="center"/>
          </w:tcPr>
          <w:p>
            <w:pPr>
              <w:spacing w:line="240" w:lineRule="auto"/>
              <w:jc w:val="center"/>
              <w:rPr>
                <w:rFonts w:hint="eastAsia"/>
                <w:szCs w:val="21"/>
              </w:rPr>
            </w:pPr>
            <w:r>
              <w:rPr>
                <w:rFonts w:hint="eastAsia"/>
                <w:szCs w:val="21"/>
              </w:rPr>
              <w:t>气相色谱仪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pPr>
            <w:r>
              <w:rPr>
                <w:rFonts w:hint="eastAsia"/>
              </w:rPr>
              <w:t>41.000000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04</w:t>
            </w:r>
          </w:p>
        </w:tc>
        <w:tc>
          <w:tcPr>
            <w:tcW w:w="1250" w:type="dxa"/>
            <w:vAlign w:val="center"/>
          </w:tcPr>
          <w:p>
            <w:pPr>
              <w:spacing w:line="240" w:lineRule="auto"/>
              <w:jc w:val="center"/>
              <w:rPr>
                <w:rFonts w:hint="eastAsia"/>
                <w:szCs w:val="21"/>
              </w:rPr>
            </w:pPr>
            <w:r>
              <w:rPr>
                <w:rFonts w:hint="eastAsia"/>
                <w:szCs w:val="21"/>
              </w:rPr>
              <w:t>4</w:t>
            </w:r>
          </w:p>
        </w:tc>
        <w:tc>
          <w:tcPr>
            <w:tcW w:w="1650" w:type="dxa"/>
            <w:vAlign w:val="center"/>
          </w:tcPr>
          <w:p>
            <w:pPr>
              <w:spacing w:line="240" w:lineRule="auto"/>
              <w:jc w:val="center"/>
              <w:rPr>
                <w:rFonts w:hint="eastAsia"/>
                <w:szCs w:val="21"/>
              </w:rPr>
            </w:pPr>
            <w:r>
              <w:rPr>
                <w:rFonts w:hint="eastAsia"/>
                <w:szCs w:val="21"/>
              </w:rPr>
              <w:t>气相色谱质谱联用仪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pPr>
            <w:r>
              <w:rPr>
                <w:rFonts w:hint="eastAsia"/>
              </w:rPr>
              <w:t>85.000000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05</w:t>
            </w:r>
          </w:p>
        </w:tc>
        <w:tc>
          <w:tcPr>
            <w:tcW w:w="1250" w:type="dxa"/>
            <w:vAlign w:val="center"/>
          </w:tcPr>
          <w:p>
            <w:pPr>
              <w:spacing w:line="240" w:lineRule="auto"/>
              <w:jc w:val="center"/>
              <w:rPr>
                <w:rFonts w:hint="eastAsia"/>
                <w:szCs w:val="21"/>
              </w:rPr>
            </w:pPr>
            <w:r>
              <w:rPr>
                <w:rFonts w:hint="eastAsia"/>
                <w:szCs w:val="21"/>
              </w:rPr>
              <w:t>5</w:t>
            </w:r>
          </w:p>
        </w:tc>
        <w:tc>
          <w:tcPr>
            <w:tcW w:w="1650" w:type="dxa"/>
            <w:vAlign w:val="center"/>
          </w:tcPr>
          <w:p>
            <w:pPr>
              <w:spacing w:line="240" w:lineRule="auto"/>
              <w:jc w:val="center"/>
              <w:rPr>
                <w:rFonts w:hint="eastAsia"/>
                <w:szCs w:val="21"/>
              </w:rPr>
            </w:pPr>
            <w:r>
              <w:rPr>
                <w:rFonts w:hint="eastAsia"/>
                <w:szCs w:val="21"/>
              </w:rPr>
              <w:t>气相色谱质谱联用仪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pPr>
            <w:r>
              <w:rPr>
                <w:rFonts w:hint="eastAsia"/>
              </w:rPr>
              <w:t>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41" w:type="dxa"/>
            <w:gridSpan w:val="7"/>
            <w:vAlign w:val="center"/>
          </w:tcPr>
          <w:p>
            <w:pPr>
              <w:spacing w:line="240" w:lineRule="auto"/>
              <w:jc w:val="center"/>
              <w:rPr>
                <w:rFonts w:hint="eastAsia"/>
                <w:szCs w:val="21"/>
              </w:rPr>
            </w:pPr>
            <w:r>
              <w:rPr>
                <w:rFonts w:hint="eastAsia"/>
                <w:szCs w:val="21"/>
              </w:rPr>
              <w:t>合计</w:t>
            </w:r>
          </w:p>
        </w:tc>
        <w:tc>
          <w:tcPr>
            <w:tcW w:w="1305" w:type="dxa"/>
            <w:vAlign w:val="center"/>
          </w:tcPr>
          <w:p>
            <w:pPr>
              <w:pStyle w:val="425"/>
              <w:rPr>
                <w:szCs w:val="21"/>
              </w:rPr>
            </w:pPr>
            <w:r>
              <w:rPr>
                <w:rFonts w:hint="eastAsia"/>
              </w:rPr>
              <w:t>337.000000</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2" w:name="_Toc150960245"/>
      <w:bookmarkStart w:id="43" w:name="_Toc151386155"/>
      <w:bookmarkStart w:id="44" w:name="_Toc31434"/>
      <w:r>
        <w:rPr>
          <w:rFonts w:hint="eastAsia"/>
          <w:b/>
          <w:sz w:val="24"/>
        </w:rPr>
        <w:t>实质性响应条款</w:t>
      </w:r>
      <w:bookmarkEnd w:id="42"/>
      <w:bookmarkEnd w:id="43"/>
      <w:bookmarkEnd w:id="44"/>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5" w:name="_Toc150960246"/>
      <w:bookmarkStart w:id="46" w:name="_Toc151386156"/>
      <w:bookmarkStart w:id="47" w:name="_Toc27732"/>
      <w:r>
        <w:rPr>
          <w:rFonts w:hint="eastAsia"/>
          <w:b/>
          <w:sz w:val="24"/>
        </w:rPr>
        <w:t>技术要求</w:t>
      </w:r>
      <w:bookmarkEnd w:id="45"/>
      <w:bookmarkEnd w:id="46"/>
      <w:bookmarkEnd w:id="47"/>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包号：01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145"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1、柱箱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面板具有不小于7英寸触摸屏，无需物理按键即可实时访问仪器状态，配置和流路信息。可快速访问关键功能，例如编辑方法参数、诊断、维护、日志和帮助界面。所有气相和自动进样器设定值均显示在触摸屏、浏览器界面或数据系统中，并可进行编辑。</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1.3在实验室环境改变的情况下，大气压和温度补偿技术，可保证仪器获得稳定的保留时间和检测器基线。</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1.4 温度范围：最高温度≥450˚C，温度设置分辨率：0.1˚C。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1.5 温度稳定性：当环境温度变化1˚C时，优于0.01˚C。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▲1.6具有灵活的扩展功能，最多可同时安装和运行两个进样口和四个检测器。具有不少于四个气相色谱柱智能钥匙和两个USB端口。</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▲2.1.2快速扳转系统，更换衬管无需拆卸螺丝，方便易维护。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2.1.3最高使用温度≥400˚C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▲2.2.3最大升温速率：最大升温速率不小于880˚C/min</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3、二合一进样器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 液体自动进样器</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3.1.1位数：不少于160位</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3.1.2 进样体积：1.2μL到10,000μL</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 顶空进样器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3.2.1 样品位数：≥45位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3.2.2注射器加热温度：40～150˚C</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3.2.3 使用惰性载气吹扫，全流路无阀设计</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4、质谱检测器</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▲4.1质量数范围：0.9～1091amu </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4.2质量轴稳定性: 优于0.10amu/48小时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shd w:val="clear" w:color="auto" w:fill="FFFFFF"/>
              <w:adjustRightInd/>
              <w:snapToGrid/>
              <w:spacing w:line="240" w:lineRule="auto"/>
              <w:ind w:firstLine="0" w:firstLineChars="0"/>
              <w:rPr>
                <w:rFonts w:hint="eastAsia" w:cs="Times New Roman"/>
                <w:kern w:val="2"/>
                <w:szCs w:val="21"/>
              </w:rPr>
            </w:pPr>
            <w:r>
              <w:rPr>
                <w:rFonts w:hint="eastAsia" w:cs="Times New Roman"/>
                <w:kern w:val="2"/>
                <w:szCs w:val="21"/>
              </w:rPr>
              <w:t>★4.3 灵敏度：全扫描（EI源）：1pg八氟萘（OFN），信/噪比≥3000：1;</w:t>
            </w:r>
            <w:r>
              <w:rPr>
                <w:rFonts w:hint="eastAsia" w:cs="Times New Roman"/>
                <w:b/>
                <w:bCs/>
                <w:kern w:val="2"/>
                <w:szCs w:val="21"/>
              </w:rPr>
              <w:t>全扫描（CI源）：，信噪比≥2000：1</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4.4最大扫描速率：≥12,000amu/秒</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★4.5动态范围：全动态范围为10</w:t>
            </w:r>
            <w:r>
              <w:rPr>
                <w:rFonts w:cs="Times New Roman"/>
                <w:b/>
                <w:bCs/>
                <w:kern w:val="2"/>
                <w:szCs w:val="21"/>
                <w:vertAlign w:val="superscript"/>
              </w:rPr>
              <w:t>6</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4.6选择离子模式检测（SIM）</w:t>
            </w:r>
            <w:r>
              <w:rPr>
                <w:rFonts w:hint="eastAsia" w:cs="Times New Roman"/>
                <w:kern w:val="2"/>
                <w:szCs w:val="21"/>
                <w:lang w:eastAsia="zh-CN"/>
              </w:rPr>
              <w:t>不少于</w:t>
            </w:r>
            <w:r>
              <w:rPr>
                <w:rFonts w:hint="eastAsia" w:cs="Times New Roman"/>
                <w:kern w:val="2"/>
                <w:szCs w:val="21"/>
              </w:rPr>
              <w:t>100组，每组最多可选择60个离子</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4.7气质接口离子源温度: 独立控温，100～350℃</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4.8具有全扫描/选择离子检测同时采集功能</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▲4.9无损双灯丝设计，灯丝受长效保护，提高灯丝寿命，灯丝发射电流可达300uA</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▲4.10离子化能量：5～240eV或更高</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▲4.11质量分析器：整体石英镀金双曲面四极杆</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25" w:type="dxa"/>
          </w:tcPr>
          <w:p>
            <w:pPr>
              <w:widowControl/>
              <w:shd w:val="clear" w:color="auto" w:fill="FFFFFF"/>
              <w:adjustRightInd/>
              <w:snapToGrid/>
              <w:spacing w:line="240" w:lineRule="auto"/>
              <w:ind w:firstLine="0" w:firstLineChars="0"/>
              <w:rPr>
                <w:rFonts w:hint="eastAsia" w:cs="Times New Roman"/>
                <w:kern w:val="2"/>
                <w:szCs w:val="21"/>
              </w:rPr>
            </w:pPr>
            <w:r>
              <w:rPr>
                <w:rFonts w:hint="eastAsia" w:cs="Times New Roman"/>
                <w:kern w:val="2"/>
                <w:szCs w:val="21"/>
              </w:rPr>
              <w:t>▲4.12四极杆温度：独立控温（非预四极杆控温），最高</w:t>
            </w:r>
            <w:r>
              <w:rPr>
                <w:rFonts w:hint="eastAsia" w:cs="Times New Roman"/>
                <w:kern w:val="2"/>
                <w:szCs w:val="21"/>
                <w:lang w:val="en-US" w:eastAsia="zh-CN"/>
              </w:rPr>
              <w:t>温控温度</w:t>
            </w:r>
            <w:r>
              <w:rPr>
                <w:rFonts w:hint="eastAsia" w:cs="Times New Roman"/>
                <w:kern w:val="2"/>
                <w:szCs w:val="21"/>
              </w:rPr>
              <w:t>190˚C，软件可直接设定温度</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4.13真空系统：分子涡轮泵≥255L/s</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5、数据处理系统</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5.1气相色谱、质谱和质谱工作站之间的数据传输全部依靠自身安装的LAN网卡实现</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5.2软件：中/英文可选，全中文在线帮助软件</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5.3操作环境：Windows 10或者更高版本</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5.4色谱分析软件应包括：气相色谱质谱联用仪运行控制软件；数据采集、分析、储存及定性定量分析</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5.5气相色谱质谱具有保留时间锁定功能。此功能通过软件自动调整仪器工作参数，在五个不同条件下进样，分析锁定目标化合物而实现</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5.6仪器工作站</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5"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6.1气相色谱主机1套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6.2分流不分流进样口1套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6.4质谱主机1套（含EI离子源和CI离子源）</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6.5二合一自动进样器1套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6.6Nist谱库1套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6.7反吹模块1套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6.8工作站软件1套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6.9安装启动工具1套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6.10仪器工作站及高速数据处理输出系统各2套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6.11耗材1批（至少包括10μL进样针5支，顶空进样针5支，衬管O形圈5个，甲烷气捕集阱1个，调谐液1个，氦气通用捕集阱1个，氧气/水分捕集阱1个，灯丝组件CI源2个，灯丝组件EI源2个，泵油2L，载气净化器1个，色谱柱1个，柱螺帽10个，进样口衬管（高惰性、分流）10个，进样口衬管（高惰性、不分流）50个，分流平板进样口密封垫包括垫圈2个，气相安装工具包1套）</w:t>
            </w:r>
          </w:p>
        </w:tc>
        <w:tc>
          <w:tcPr>
            <w:tcW w:w="1145"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adjustRightInd/>
        <w:snapToGrid/>
        <w:spacing w:line="240" w:lineRule="auto"/>
        <w:ind w:firstLine="420" w:firstLineChars="200"/>
        <w:jc w:val="left"/>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包号：02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1.工作条件：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1.1运行环境温度：15˚C</w:t>
            </w:r>
            <w:r>
              <w:rPr>
                <w:rFonts w:hint="eastAsia" w:cs="Times New Roman"/>
                <w:kern w:val="2"/>
                <w:szCs w:val="21"/>
              </w:rPr>
              <w:t>～</w:t>
            </w:r>
            <w:r>
              <w:rPr>
                <w:rFonts w:cs="Times New Roman"/>
                <w:kern w:val="2"/>
                <w:szCs w:val="21"/>
              </w:rPr>
              <w:t>35˚C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1.2运行环境湿度：5%</w:t>
            </w:r>
            <w:r>
              <w:rPr>
                <w:rFonts w:hint="eastAsia" w:cs="Times New Roman"/>
                <w:kern w:val="2"/>
                <w:szCs w:val="21"/>
              </w:rPr>
              <w:t>～</w:t>
            </w:r>
            <w:r>
              <w:rPr>
                <w:rFonts w:cs="Times New Roman"/>
                <w:kern w:val="2"/>
                <w:szCs w:val="21"/>
              </w:rPr>
              <w:t>95%</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2.技术指标：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2.1整体性能指标：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2.2保留时间重现性：&lt;0.008%或小于0.008min</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2.3柱箱</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2.3.1温度范围：室温以上4˚C</w:t>
            </w:r>
            <w:r>
              <w:rPr>
                <w:rFonts w:hint="eastAsia" w:cs="Times New Roman"/>
                <w:kern w:val="2"/>
                <w:szCs w:val="21"/>
              </w:rPr>
              <w:t>～</w:t>
            </w:r>
            <w:r>
              <w:rPr>
                <w:rFonts w:cs="Times New Roman"/>
                <w:kern w:val="2"/>
                <w:szCs w:val="21"/>
              </w:rPr>
              <w:t>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2.3.2温度设置分辨率：1˚C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▲2.3.3电子流量控制（EPC）：所有气路系统都需具备电子流量/压力控制功能，以提高重现性，最多可安装8个EPC模块，可控制多达19个EPC 通道</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2.3.4峰面积重现性 &lt; 0.5% RSD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2.3.5触摸屏具有远程顾问的串行接口，使用触摸屏和浏览器界面可轻松访问维护和服务模式，可从本地用户界面、浏览器界面或网络化数据系统完成设定值和自动化控制。可启动时间编程，启动事件（开/关、方法启动等）, 所有GC和 ALS 设定值均显示在触摸屏中</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▲2.3.6液晶显示屏具有故障及维护引导式在线帮助操作及视频，可直接播放</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 xml:space="preserve">2.4进样口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2.4.1分流不分流进样口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2.4.1.1流量控制：具有恒流、恒压等操作模式的电子气路控制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 xml:space="preserve">2.4.1.2快速扳转系统，更换衬管无需拆卸螺丝，方便易维护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2.4.1.3最高使用温度</w:t>
            </w:r>
            <w:r>
              <w:rPr>
                <w:rFonts w:hint="eastAsia" w:cs="Times New Roman"/>
                <w:kern w:val="2"/>
                <w:szCs w:val="21"/>
              </w:rPr>
              <w:t>≥</w:t>
            </w:r>
            <w:r>
              <w:rPr>
                <w:rFonts w:cs="Times New Roman"/>
                <w:kern w:val="2"/>
                <w:szCs w:val="21"/>
              </w:rPr>
              <w:t xml:space="preserve">400˚C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cs="Times New Roman"/>
                <w:b/>
                <w:bCs/>
                <w:kern w:val="2"/>
                <w:szCs w:val="21"/>
              </w:rPr>
              <w:t>★2.4.1.4压力设定范围：最大值≥100psi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cs="Times New Roman"/>
                <w:b/>
                <w:bCs/>
                <w:kern w:val="2"/>
                <w:szCs w:val="21"/>
              </w:rPr>
              <w:t>★2.4.1.5 最大分流比＞12000：1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2.4.2多模式进样口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2.4.2.1可编程电子参数设定压力、流速、分流比，电子流量控制隔垫吹扫，最大压力可到100psi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2.4.2.2进样口可以程序升温阶数不少于8阶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 xml:space="preserve">▲2.4.2.3最大升温速率：最大升温速率不小于880˚C/min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2.5液体自动进样器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▲2.5.1自动进样器：位数≥165位，进样针无需水平运动，非多功能液体自动进样方式，验收指标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2.5.2进样量范围：0.1</w:t>
            </w:r>
            <w:r>
              <w:rPr>
                <w:rFonts w:hint="eastAsia" w:cs="Times New Roman"/>
                <w:kern w:val="2"/>
                <w:szCs w:val="21"/>
              </w:rPr>
              <w:t>～</w:t>
            </w:r>
            <w:r>
              <w:rPr>
                <w:rFonts w:cs="Times New Roman"/>
                <w:kern w:val="2"/>
                <w:szCs w:val="21"/>
              </w:rPr>
              <w:t>50u</w:t>
            </w:r>
            <w:r>
              <w:rPr>
                <w:rFonts w:hint="eastAsia" w:cs="Times New Roman"/>
                <w:kern w:val="2"/>
                <w:szCs w:val="21"/>
              </w:rPr>
              <w:t>L</w:t>
            </w:r>
            <w:r>
              <w:rPr>
                <w:rFonts w:cs="Times New Roman"/>
                <w:kern w:val="2"/>
                <w:szCs w:val="21"/>
              </w:rPr>
              <w:t>；</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2.6氢火焰检测器（FID）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2.6.1最低检测限：&lt;1.2pg碳/秒</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2.6.2电子压力/流量控制(EPC)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2.6.3最高使用温度：</w:t>
            </w:r>
            <w:r>
              <w:rPr>
                <w:rFonts w:hint="eastAsia" w:cs="Times New Roman"/>
                <w:kern w:val="2"/>
                <w:szCs w:val="21"/>
              </w:rPr>
              <w:t>≥</w:t>
            </w:r>
            <w:r>
              <w:rPr>
                <w:rFonts w:cs="Times New Roman"/>
                <w:kern w:val="2"/>
                <w:szCs w:val="21"/>
              </w:rPr>
              <w:t>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2.6.4线性动态范围：&gt;10</w:t>
            </w:r>
            <w:r>
              <w:rPr>
                <w:rFonts w:cs="Times New Roman"/>
                <w:kern w:val="2"/>
                <w:szCs w:val="21"/>
                <w:vertAlign w:val="superscript"/>
              </w:rPr>
              <w:t>7</w:t>
            </w:r>
            <w:r>
              <w:rPr>
                <w:rFonts w:cs="Times New Roman"/>
                <w:kern w:val="2"/>
                <w:szCs w:val="21"/>
              </w:rPr>
              <w:t xml:space="preserve">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2.6.5数据采集速率：最高1000Hz的数据采集频率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2.7电子捕获检测器（ECD）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▲2.7.1最低检测限：&lt;0.44fg/s(5fg/m</w:t>
            </w:r>
            <w:r>
              <w:rPr>
                <w:rFonts w:hint="eastAsia" w:cs="Times New Roman"/>
                <w:kern w:val="2"/>
                <w:szCs w:val="21"/>
              </w:rPr>
              <w:t>L</w:t>
            </w:r>
            <w:r>
              <w:rPr>
                <w:rFonts w:cs="Times New Roman"/>
                <w:kern w:val="2"/>
                <w:szCs w:val="21"/>
              </w:rPr>
              <w:t>)（六氯化苯）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cs="Times New Roman"/>
                <w:b/>
                <w:bCs/>
                <w:kern w:val="2"/>
                <w:szCs w:val="21"/>
              </w:rPr>
              <w:t>★2.7.2动态范围：5×10</w:t>
            </w:r>
            <w:r>
              <w:rPr>
                <w:rFonts w:cs="Times New Roman"/>
                <w:b/>
                <w:bCs/>
                <w:kern w:val="2"/>
                <w:szCs w:val="21"/>
                <w:vertAlign w:val="superscript"/>
              </w:rPr>
              <w:t>5</w:t>
            </w:r>
            <w:r>
              <w:rPr>
                <w:rFonts w:cs="Times New Roman"/>
                <w:b/>
                <w:bCs/>
                <w:kern w:val="2"/>
                <w:szCs w:val="21"/>
              </w:rPr>
              <w:t xml:space="preserve"> （六氯化苯）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2.7.3最高操作温度：400˚C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3.化学工作站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3.1软件：Windows 10操作环境：色谱分析软件包（应包括：本机运行控制软件；数据采集、分析、储存及定性定量分析）；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3.2全中文的操作界面以及所有在线帮助。</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cs="Times New Roman"/>
                <w:kern w:val="2"/>
                <w:szCs w:val="21"/>
              </w:rPr>
              <w:t>3.3仪器工作站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1气相色谱主机 1台；</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2分流/无分流进样口1套；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4FID检测器 1个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5ECD检测器1个；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6液体自动进样器1套；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7化学工作站1个；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8气相色谱安装工具包 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9氢气发生器1台（纯度大于10</w:t>
            </w:r>
            <w:r>
              <w:rPr>
                <w:rFonts w:cs="Times New Roman"/>
                <w:b/>
                <w:bCs/>
                <w:kern w:val="2"/>
                <w:szCs w:val="21"/>
                <w:vertAlign w:val="superscript"/>
              </w:rPr>
              <w:t>6</w:t>
            </w:r>
            <w:r>
              <w:rPr>
                <w:rFonts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10仪器工作站及高速数据处理输出系统各2套；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w:t>
            </w:r>
            <w:r>
              <w:rPr>
                <w:rFonts w:cs="Times New Roman"/>
                <w:b/>
                <w:bCs/>
                <w:kern w:val="2"/>
                <w:szCs w:val="21"/>
              </w:rPr>
              <w:t>11移动仪器工作站1套；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w:t>
            </w:r>
            <w:r>
              <w:rPr>
                <w:rFonts w:cs="Times New Roman"/>
                <w:b/>
                <w:bCs/>
                <w:kern w:val="2"/>
                <w:szCs w:val="21"/>
              </w:rPr>
              <w:t>12耗材1批（至少包括10μL进样针5支，顶空进样针5支，衬管O形圈5个，氧气/水分捕集阱1个，色谱柱1个，柱螺帽10个，进样口衬管（高惰性、分流）10个，进样口衬管（高惰性、不分流）50个，分流平板进样口密封垫包括垫圈2个，气相安装工具包1套）。</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adjustRightInd/>
        <w:snapToGrid/>
        <w:spacing w:line="240" w:lineRule="auto"/>
        <w:ind w:firstLine="420" w:firstLineChars="200"/>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包号：03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1.工作条件：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1.1运行环境温度：15˚C～35˚C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1.2运行环境湿度：5%～95%</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2.技术指标：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2.1整体性能指标：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2.2保留时间重现性：&lt;0.008%或&lt;0.008min</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2.3柱箱</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2.3.1温度范围：室温以上4˚C～450˚C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2.3.2温度设置分辨率：1˚C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▲2.3.3电子流量控制（EPC）：所有气路系统都需具备电子流量/压力控制功能，以提高重现性，最多可安装8个EPC模块，可控制多达19个EPC通道</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2.3.4峰面积重现性 &lt; 0.5% RSD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2.3.5触摸屏具有远程顾问的串行接口，使用触摸屏和浏览器界面可轻松访问维护和服务模式，可从本地用户界面、浏览器界面或网络化数据系统完成设定值和自动化控制。可启动时间编程，启动事件（开/关、方法启动等）, 所有GC和ALS 设定值均显示在触摸屏中</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▲2.3.6液晶显示屏具有故障及维护引导式在线帮助操作及视频，可直接播放</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2.4进样口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2.4.1分流不分流进样口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2.4.1.1流量控制：具有恒流、恒压等操作模式的电子气路控制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▲2.4.1.2快速扳转系统，更换衬管无需拆卸螺丝，方便易维护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2.4.1.3最高使用温度 ≥400˚C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★2.4.1.4压力设定范围：最大值≥100psi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★2.4.1.5 最大分流比＞12000：1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2.4.2多模式进样口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2.4.2.1可编程电子参数设定压力、流速、分流比，电子流量控制隔垫吹扫，最大压力可到100psi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▲2.4.2.2进样口可以程序升温阶数不少于8阶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▲2.4.2.3最大升温速率：最大升温速率不小于880˚C/min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2.5液体自动进样器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▲2.5.1自动进样器：位数≥165位，进样针无需水平运动，非多功能液体自动进样方式，验收指标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2.5.2进样量范围：0.1～50uL；</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2.6火焰光度检测器（FPD）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▲2.6.1动态范围：＞10</w:t>
            </w:r>
            <w:r>
              <w:rPr>
                <w:rFonts w:cs="Times New Roman"/>
                <w:kern w:val="2"/>
                <w:szCs w:val="21"/>
                <w:vertAlign w:val="superscript"/>
              </w:rPr>
              <w:t>3</w:t>
            </w:r>
            <w:r>
              <w:rPr>
                <w:rFonts w:hint="eastAsia" w:cs="Times New Roman"/>
                <w:kern w:val="2"/>
                <w:szCs w:val="21"/>
              </w:rPr>
              <w:t xml:space="preserve"> S，＞10</w:t>
            </w:r>
            <w:r>
              <w:rPr>
                <w:rFonts w:cs="Times New Roman"/>
                <w:kern w:val="2"/>
                <w:szCs w:val="21"/>
                <w:vertAlign w:val="superscript"/>
              </w:rPr>
              <w:t>4</w:t>
            </w:r>
            <w:r>
              <w:rPr>
                <w:rFonts w:hint="eastAsia" w:cs="Times New Roman"/>
                <w:kern w:val="2"/>
                <w:szCs w:val="21"/>
              </w:rPr>
              <w:t xml:space="preserve"> P</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2.6.2电子压力/流量控制(EPC)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2.6.3线性动态范围：&gt;10</w:t>
            </w:r>
            <w:r>
              <w:rPr>
                <w:rFonts w:cs="Times New Roman"/>
                <w:kern w:val="2"/>
                <w:szCs w:val="21"/>
                <w:vertAlign w:val="superscript"/>
              </w:rPr>
              <w:t>7</w:t>
            </w:r>
            <w:r>
              <w:rPr>
                <w:rFonts w:hint="eastAsia" w:cs="Times New Roman"/>
                <w:kern w:val="2"/>
                <w:szCs w:val="21"/>
              </w:rPr>
              <w:t xml:space="preserve">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2.6.4数据采集速率≥500Hz的数据采集频率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2.7电子捕获检测器（ECD）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▲2.7.1最低检测限：&lt;0.44fg/s(5fg/mL)（六氯化苯）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★2.7.2动态范围：5×10</w:t>
            </w:r>
            <w:r>
              <w:rPr>
                <w:rFonts w:cs="Times New Roman"/>
                <w:b/>
                <w:bCs/>
                <w:kern w:val="2"/>
                <w:szCs w:val="21"/>
                <w:vertAlign w:val="superscript"/>
              </w:rPr>
              <w:t>5</w:t>
            </w:r>
            <w:r>
              <w:rPr>
                <w:rFonts w:hint="eastAsia" w:cs="Times New Roman"/>
                <w:b/>
                <w:bCs/>
                <w:kern w:val="2"/>
                <w:szCs w:val="21"/>
              </w:rPr>
              <w:t xml:space="preserve"> （六氯化苯）</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2.7.3最高操作温度：400˚C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3.化学工作站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3.1软件：Windows 10操作环境：色谱分析软件包（应包括：本机运行控制软件；数据采集、分析、储存及定性定量分析）；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3.2全中文的操作界面以及所有在线帮助。</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3.3仪器工作站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4.1气相色谱主机 1台；</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4.2分流/无分流进样口，带EPC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4.4FPD检测器 1个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4.5ECD检测器1个；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4.6液体自动进样器1套；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4.7化学工作站1个；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4.8气相色谱安装工具包 1个；</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4.9氢气发生器1台（纯度大于10</w:t>
            </w:r>
            <w:r>
              <w:rPr>
                <w:rFonts w:cs="Times New Roman"/>
                <w:b/>
                <w:bCs/>
                <w:kern w:val="2"/>
                <w:szCs w:val="21"/>
                <w:vertAlign w:val="superscript"/>
              </w:rPr>
              <w:t>6</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4.10仪器工作站及高速数据处理输出系统各2套；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4.11耗材1批（至少包括10μL进样针5支，顶空进样针5支，衬管O形圈5个，氧气/水分捕集阱1个，色谱柱1个，柱螺帽10个，进样口衬管（高惰性、分流）10个，进样口衬管（高惰性、不分流）50个，分流平板进样口密封垫包括垫圈2个，气相安装工具包1套）。</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adjustRightInd/>
        <w:snapToGrid/>
        <w:spacing w:line="240" w:lineRule="auto"/>
        <w:ind w:firstLine="420" w:firstLineChars="200"/>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包号：04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1、柱箱</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面板具有不小于7英寸触摸屏，无需物理按键即可实时访问仪器状态，配置和流路信息。可快速访问关键功能，例如编辑方法参数、诊断、维护、日志和帮助界面。所有气相和自动进样器设定值均显示在触摸屏、浏览器界面或数据系统中，并可进行编辑。</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1.3在实验室环境改变的情况下，大气压和温度补偿技术，可保证仪器获得稳定的保留时间和检测器基线。</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1.4 温度范围：最高温度≥450˚C，温度设置分辨率：0.1˚C。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1.5 温度稳定性：当环境温度变化1˚C时，优于0.01˚C。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▲1.6具有灵活的扩展功能，最多可同时安装和运行两个进样口和四个检测器。具有不少于四个气相色谱柱智能钥匙和两个USB端口。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▲2.1.2快速扳转系统，更换衬管无需拆卸螺丝，方便易维护。</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2.1.3最高使用温度≥400˚C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▲2.2.3最大升温速率：最大升温速率不小于880˚C/min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 二合一进样器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 液体自动进样器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3.1.1位数：不少于160位</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3.1.2 进样体积：1.2μL到10,000μL</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 顶空进样器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3.2.1 样品位数：≥45位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3.2.2注射器加热温度：40～150˚C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3.2.3 使用惰性载气吹扫，全流路无阀设计</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4、质谱检测器</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▲4.1质量数范围 ：最小质量数低于1amu，最大质量数高于1050amu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4.2质量轴稳定性: 优于0.10amu/48小时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★4.3 灵敏度：全扫描（EI源）：1pg八氟萘（OFN），信/噪比≥3000：1;全扫描（CI源）：信噪比≥2000：1</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4.4最大扫描速率：≥12,000amu/秒</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★4.5动态范围：全动态范围为10</w:t>
            </w:r>
            <w:r>
              <w:rPr>
                <w:rFonts w:cs="Times New Roman"/>
                <w:b/>
                <w:bCs/>
                <w:kern w:val="2"/>
                <w:szCs w:val="21"/>
                <w:vertAlign w:val="superscript"/>
              </w:rPr>
              <w:t>6</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4.6选择离子模式检测（SIM）</w:t>
            </w:r>
            <w:r>
              <w:rPr>
                <w:rFonts w:hint="eastAsia" w:cs="Times New Roman"/>
                <w:kern w:val="2"/>
                <w:szCs w:val="21"/>
                <w:lang w:val="en-US" w:eastAsia="zh-CN"/>
              </w:rPr>
              <w:t>不少于</w:t>
            </w:r>
            <w:r>
              <w:rPr>
                <w:rFonts w:hint="eastAsia" w:cs="Times New Roman"/>
                <w:kern w:val="2"/>
                <w:szCs w:val="21"/>
              </w:rPr>
              <w:t>100组，每组最多可选择60个离子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4.7气质接口离子源温度: 独立控温，100～350˚C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4.8具有全扫描/选择离子检测同时采集功能</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▲4.9无损双灯丝设计，灯丝受长效保护，提高灯丝寿命，灯丝发射电流可达300uA</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▲4.10离子化能量：优于5～240eV</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▲4.11质量分析器：整体石英镀金双曲面四极杆</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▲4.12四极杆温度：独立控温（非预四极杆控温），最高</w:t>
            </w:r>
            <w:r>
              <w:rPr>
                <w:rFonts w:hint="eastAsia" w:cs="Times New Roman"/>
                <w:kern w:val="2"/>
                <w:szCs w:val="21"/>
                <w:lang w:val="en-US" w:eastAsia="zh-CN"/>
              </w:rPr>
              <w:t>温控温度</w:t>
            </w:r>
            <w:r>
              <w:rPr>
                <w:rFonts w:hint="eastAsia" w:cs="Times New Roman"/>
                <w:kern w:val="2"/>
                <w:szCs w:val="21"/>
              </w:rPr>
              <w:t>190˚C，软件可直接设定温度</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4.13真空系统：分子涡轮泵≥255L/s</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5、氢火焰检测器（FID）</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5.1最低检测限：&lt;1.2pg碳/秒</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 电子压力/流量控制(EPC)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5.3 最高使用温度：≥450˚C</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 线性动态范围：&gt;10</w:t>
            </w:r>
            <w:r>
              <w:rPr>
                <w:rFonts w:cs="Times New Roman"/>
                <w:kern w:val="2"/>
                <w:szCs w:val="21"/>
                <w:vertAlign w:val="superscript"/>
              </w:rPr>
              <w:t>7</w:t>
            </w:r>
            <w:r>
              <w:rPr>
                <w:rFonts w:hint="eastAsia" w:cs="Times New Roman"/>
                <w:kern w:val="2"/>
                <w:szCs w:val="21"/>
              </w:rPr>
              <w:t xml:space="preserve"> </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▲5.5 数据采集速率：最高1000Hz的数据采集频率</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6、数据处理系统</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▲6.1仪器随机的智能化功能，能够对用户的日常用电量和用气量进行记录统计，并绘制相关趋势图，帮助用户判断用电量和用气量的使用情况。（提供操作界面图作为证明文件）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6.2气相色谱、质谱和质谱工作站之间的数据传输全部依靠自身安装的LAN网卡实现</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6.3软件：中/英文可选，全中文在线帮助软件</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6.4操作环境：Windows 10 或者更高版本</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6.5色谱分析软件应包括：气相色谱质谱联用仪运行控制软件；数据采集、分析、储存及定性定量分析</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6.6气相色谱质谱具有保留时间锁定功能。此功能通过软件自动调整仪器工作参数，在五个不同条件下进样，分析锁定目标化合物而实现</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6.7仪器工作站</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7.1气相色谱主机1套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7.2分流不分流进样口1套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7.4质谱主机1套（含EI离子源</w:t>
            </w:r>
            <w:r>
              <w:rPr>
                <w:rFonts w:hint="eastAsia" w:cs="Times New Roman"/>
                <w:b/>
                <w:bCs/>
                <w:kern w:val="2"/>
                <w:szCs w:val="21"/>
                <w:lang w:val="en-US" w:eastAsia="zh-CN"/>
              </w:rPr>
              <w:t>和CI离子源</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7.5FID检测器1套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7.6Nist谱库1套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7.7反吹模块1套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7.8二合一自动进样器1套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7.9工作站软件1套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7.10安装启动工具1套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7.11仪器工作站及高速数据处理输出系统各2套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7.12耗材1批（至少包括10μL进样针10支，顶空进样针10支，衬管O形圈20个，甲烷气捕集阱1个，调谐液1个，氦气通用捕集阱1个，氧气/水分捕集阱1个，灯丝组件CI源2个，灯丝组件EI源2个，泵油2L，载气净化器1个，色谱柱DB-FFAP（60m*0.25mm*0.25μm）2根、HP-INNOWAX（60m*0.25mm*0.25μm）1根、CP-WAX 57CB（50m*0.25mm*0.25μm）1根、DB-5MS(60m*0.25mm*0.25μm)1根，通用柱螺帽5个，内螺帽4个，进样口衬管（高惰性、分流）20个，进样口衬管（高惰性、不分流）20个，分流平板进样口密封垫包括垫圈2个，镀金可塑金属密封垫圈2包，MS端柱螺帽2个，气相安装工具包1套）</w:t>
            </w:r>
          </w:p>
        </w:tc>
        <w:tc>
          <w:tcPr>
            <w:tcW w:w="0" w:type="auto"/>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包号：05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83"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1、柱箱</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面板具有不小于7英寸触摸屏，无需物理按键即可实时访问仪器状态，配置和流路信息。可快速访问关键功能，例如编辑方法参数、诊断、维护、日志和帮助界面。所有气相和自动进样器设定值均显示在触摸屏、浏览器界面或数据系统中，并可进行编辑</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1.3在实验室环境改变的情况下，大气压和温度补偿技术，可保证仪器获得稳定的保留时间和检测器基线</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1.4 温度范围：最高温度≥450˚C，温度设置分辨率：0.1˚C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1.5 温度稳定性：当环境温度变化 1˚C 时，优于0.01˚C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▲1.6具有灵活的扩展功能，最多可同时安装和运行两个进样口和四个检测器。具有不少于四个气相色谱柱智能钥匙和两个USB端口。</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▲2.1.2快速扳转系统，更换衬管无需拆卸螺丝，方便易维护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2.1.3最高使用温度≥400˚C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▲2.2.3最大升温速率：最大升温速率不小于880˚C/min</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3、液体自动进样器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▲3.1自动进样器：位数≥165位，进样针无需水平运动，非多功能液体自动进样方式，验收指标</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3.2进样量范围：0.1～50uL；</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4、吹扫捕集装置</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 40ml样品瓶位数：≥84位，采用样品环进样的形式</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4.2采用XYZ型平台，可进行电子调节，性能更加稳定</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4.3两个标准样品位，可以程序设定加入容积为1μL、2μL、5μL、10μL、20μL的标准液</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4.4具备自动系统检漏功能，内置诊断功能，保证一旦有泄漏出现，系统自动检漏</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▲4.5检测限：水样为25mL时，氯乙烯最低检测质量浓度≤0.237ug/L</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5、质谱检测器</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▲5.1质量数范围 ：0.9～1091amu </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5.2质量轴稳定性: 优于0.10amu/48小时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★5.3 灵敏度：全扫描（EI源）：1pg八氟萘（OFN），信/噪比≥3000：1</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5.4最大扫描速率：≥12,000amu/秒</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★5.5动态范围：全动态范围为10</w:t>
            </w:r>
            <w:r>
              <w:rPr>
                <w:rFonts w:cs="Times New Roman"/>
                <w:b/>
                <w:bCs/>
                <w:kern w:val="2"/>
                <w:szCs w:val="21"/>
                <w:vertAlign w:val="superscript"/>
              </w:rPr>
              <w:t>6</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5.6选择离子模式检测（SIM）</w:t>
            </w:r>
            <w:r>
              <w:rPr>
                <w:rFonts w:hint="eastAsia" w:cs="Times New Roman"/>
                <w:kern w:val="2"/>
                <w:szCs w:val="21"/>
                <w:lang w:val="en-US" w:eastAsia="zh-CN"/>
              </w:rPr>
              <w:t>不少于</w:t>
            </w:r>
            <w:r>
              <w:rPr>
                <w:rFonts w:hint="eastAsia" w:cs="Times New Roman"/>
                <w:kern w:val="2"/>
                <w:szCs w:val="21"/>
              </w:rPr>
              <w:t>100组，每组最多可选择60个离子</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5.7气质接口离子源温度: 独立控温，100～350˚C</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5.8具有全扫描/选择离子检测同时采集功能</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▲5.9无损双灯丝设计，灯丝受长效保护，提高灯丝寿命，灯丝发射电流可达300uA</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▲5.10离子化能量：5～240eV或更高</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▲5.11质量分析器：整体石英镀金双曲面四极杆</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▲5.12四极杆温度：独立控温（非预四极杆控温），最高</w:t>
            </w:r>
            <w:r>
              <w:rPr>
                <w:rFonts w:hint="eastAsia" w:cs="Times New Roman"/>
                <w:kern w:val="2"/>
                <w:szCs w:val="21"/>
                <w:lang w:val="en-US" w:eastAsia="zh-CN"/>
              </w:rPr>
              <w:t>温控温度</w:t>
            </w:r>
            <w:r>
              <w:rPr>
                <w:rFonts w:hint="eastAsia" w:cs="Times New Roman"/>
                <w:kern w:val="2"/>
                <w:szCs w:val="21"/>
              </w:rPr>
              <w:t>190˚C，软件可直接设定温度</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5.13真空系统：分子涡轮泵≥255L/s</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6、数据处理系统</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6.1气相色谱、质谱和质谱工作站之间的数据传输全部依靠自身安装的LAN网卡实现</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6.2软件：中/英文可选，全中文在线帮助软件</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6.3操作环境：Windows 10 或者更高版本</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6.4色谱分析软件应包括：气相色谱质谱联用仪运行控制软件；数据采集、分析、储存及定性定量分析</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6.5气相色谱质谱具有保留时间锁定功能。此功能通过软件自动调整仪器工作参数，在五个不同条件下进样，分析锁定目标化合物而实现</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6.6仪器工作站</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7.1气相色谱主机1套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7.2分流不分流进样口1套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7.3多模式进样口1套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7.4质谱主机1套（含EI离子源）</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7.5液体自动进样器1套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7.6吹扫捕集装置1套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7.7Nist谱库1套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7.8反吹模块1套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7.9工作站软件1套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7.10安装启动工具1套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7.11仪器工作站及高速数据处理输出系统各2套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7.12移动仪器工作站1套</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7.13耗材1批（至少包括10μL进样针5支，顶空进样针5支，衬管O形圈5个，调谐液1个，氦气通用捕集阱1个，氧气/水分捕集阱1个，灯丝组件EI源2个，泵油2L，吹扫管200个，载气净化器1个，色谱柱1个，柱螺帽10个，进样口衬管（高惰性、分流）10个，进样口衬管（高惰性、不分流）50个，分流平板进样口密封垫包括垫圈2个，气相安装工具包1套）</w:t>
            </w:r>
          </w:p>
        </w:tc>
        <w:tc>
          <w:tcPr>
            <w:tcW w:w="1083"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字体标注的技术条款为要求提供证明资料的条款，其余为未要求提供证明资料的条款，无需提供相关</w:t>
      </w:r>
      <w:bookmarkStart w:id="197" w:name="_GoBack"/>
      <w:bookmarkEnd w:id="197"/>
      <w:r>
        <w:rPr>
          <w:rFonts w:cs="Times New Roman"/>
          <w:b/>
          <w:bCs/>
          <w:kern w:val="2"/>
          <w:szCs w:val="21"/>
        </w:rPr>
        <w:t>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w:t>
      </w:r>
      <w:r>
        <w:rPr>
          <w:rFonts w:hint="eastAsia" w:cs="Times New Roman"/>
          <w:b/>
          <w:bCs/>
          <w:kern w:val="2"/>
          <w:szCs w:val="21"/>
          <w:lang w:val="en-US" w:eastAsia="zh-CN"/>
        </w:rPr>
        <w:t>技术参数内容</w:t>
      </w:r>
      <w:r>
        <w:rPr>
          <w:rFonts w:hint="eastAsia" w:cs="Times New Roman"/>
          <w:b/>
          <w:bCs/>
          <w:kern w:val="2"/>
          <w:szCs w:val="21"/>
        </w:rPr>
        <w:t>不参与评分。</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4.涉及区间的参数，产品参数区间包含招标要求视为正偏离，不能全部包含视为负偏离。例：区间要求为30-120℃,如投标文件响应为 20-125℃ 、10-121℃ 等情形均视正偏离。区间要求为30-120℃,如投标文件响应为30-110℃ 、20-120℃、30℃等情形均视负偏离。</w:t>
      </w:r>
    </w:p>
    <w:p>
      <w:pPr>
        <w:numPr>
          <w:ilvl w:val="0"/>
          <w:numId w:val="2"/>
        </w:numPr>
        <w:adjustRightInd/>
        <w:snapToGrid/>
        <w:spacing w:before="280" w:after="290" w:line="377" w:lineRule="auto"/>
        <w:jc w:val="left"/>
        <w:outlineLvl w:val="2"/>
        <w:rPr>
          <w:rFonts w:hint="eastAsia"/>
          <w:b/>
          <w:sz w:val="24"/>
        </w:rPr>
      </w:pPr>
      <w:bookmarkStart w:id="48" w:name="_Toc8996"/>
      <w:bookmarkStart w:id="49" w:name="_Toc150960247"/>
      <w:bookmarkStart w:id="50" w:name="_Toc151386157"/>
      <w:r>
        <w:rPr>
          <w:rFonts w:hint="eastAsia"/>
          <w:b/>
          <w:sz w:val="24"/>
        </w:rPr>
        <w:t>商务要求</w:t>
      </w:r>
      <w:bookmarkEnd w:id="48"/>
      <w:bookmarkEnd w:id="49"/>
      <w:bookmarkEnd w:id="50"/>
    </w:p>
    <w:p>
      <w:pPr>
        <w:widowControl w:val="0"/>
        <w:shd w:val="clear" w:color="auto" w:fill="auto"/>
        <w:tabs>
          <w:tab w:val="clear" w:pos="426"/>
        </w:tabs>
        <w:adjustRightInd/>
        <w:snapToGrid/>
        <w:spacing w:line="240" w:lineRule="auto"/>
        <w:ind w:firstLine="422" w:firstLineChars="200"/>
        <w:jc w:val="center"/>
        <w:rPr>
          <w:rFonts w:hint="eastAsia" w:cs="Times New Roman"/>
          <w:b/>
          <w:bCs/>
          <w:kern w:val="2"/>
          <w:szCs w:val="21"/>
        </w:rPr>
      </w:pPr>
      <w:r>
        <w:rPr>
          <w:rFonts w:hint="eastAsia" w:cs="Times New Roman"/>
          <w:b/>
          <w:bCs/>
          <w:kern w:val="2"/>
          <w:szCs w:val="21"/>
        </w:rPr>
        <w:t>01、02、03、04、05包 商务要求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交货期：合同签订后30个日历日内完成交货。</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lang w:eastAsia="zh-TW"/>
        </w:rPr>
        <w:t>★2.交货地点：</w:t>
      </w:r>
      <w:r>
        <w:rPr>
          <w:rFonts w:hint="eastAsia" w:cs="Times New Roman"/>
          <w:b/>
          <w:bCs/>
          <w:kern w:val="2"/>
          <w:szCs w:val="21"/>
        </w:rPr>
        <w:t>01-03、05包交货地点：</w:t>
      </w:r>
      <w:r>
        <w:rPr>
          <w:rFonts w:hint="eastAsia" w:cs="Times New Roman"/>
          <w:b/>
          <w:bCs/>
          <w:kern w:val="2"/>
          <w:szCs w:val="21"/>
          <w:lang w:eastAsia="zh-TW"/>
        </w:rPr>
        <w:t>深圳市福田区福强路1011号深圳海关福强路办公区A栋指定地点。</w:t>
      </w:r>
      <w:r>
        <w:rPr>
          <w:rFonts w:hint="eastAsia" w:cs="Times New Roman"/>
          <w:b/>
          <w:bCs/>
          <w:kern w:val="2"/>
          <w:szCs w:val="21"/>
        </w:rPr>
        <w:t>04包交货地点：深圳市南山区前湾一路深港青年梦工场B座6号楼指定地点。</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lang w:eastAsia="zh-TW"/>
        </w:rPr>
        <w:t>3.签定合同日期：自中标(成交)通知书发出之日起30个日历日日内。</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lang w:eastAsia="zh-TW"/>
        </w:rPr>
        <w:t>4.计量：提供验收前计量，计量机构由采购人指定（不额外收费）。</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★5.质量保证期：设备验收合格后，提供三年保修</w:t>
      </w:r>
      <w:r>
        <w:rPr>
          <w:rFonts w:hint="eastAsia" w:cs="Times New Roman"/>
          <w:kern w:val="2"/>
          <w:szCs w:val="21"/>
          <w:lang w:eastAsia="zh-TW"/>
        </w:rPr>
        <w:t>（不额外收费）</w:t>
      </w:r>
      <w:r>
        <w:rPr>
          <w:rFonts w:hint="eastAsia" w:cs="Times New Roman"/>
          <w:b/>
          <w:bCs/>
          <w:kern w:val="2"/>
          <w:szCs w:val="21"/>
          <w:lang w:eastAsia="zh-TW"/>
        </w:rPr>
        <w:t>。质量保证期</w:t>
      </w:r>
      <w:r>
        <w:rPr>
          <w:rFonts w:hint="eastAsia" w:cs="Times New Roman"/>
          <w:b/>
          <w:bCs/>
          <w:kern w:val="2"/>
          <w:szCs w:val="21"/>
        </w:rPr>
        <w:t>内</w:t>
      </w:r>
      <w:r>
        <w:rPr>
          <w:rFonts w:hint="eastAsia" w:cs="Times New Roman"/>
          <w:b/>
          <w:bCs/>
          <w:kern w:val="2"/>
          <w:szCs w:val="21"/>
          <w:lang w:eastAsia="zh-TW"/>
        </w:rPr>
        <w:t>提供仪器保修服务</w:t>
      </w:r>
      <w:r>
        <w:rPr>
          <w:rFonts w:hint="eastAsia" w:cs="Times New Roman"/>
          <w:b/>
          <w:bCs/>
          <w:kern w:val="2"/>
          <w:szCs w:val="21"/>
        </w:rPr>
        <w:t>，</w:t>
      </w:r>
      <w:r>
        <w:rPr>
          <w:rFonts w:hint="eastAsia" w:cs="Times New Roman"/>
          <w:b/>
          <w:bCs/>
          <w:kern w:val="2"/>
          <w:szCs w:val="21"/>
          <w:lang w:eastAsia="zh-TW"/>
        </w:rPr>
        <w:t>正常使用情况下的任何非人为故障维修</w:t>
      </w:r>
      <w:r>
        <w:rPr>
          <w:rFonts w:hint="eastAsia" w:cs="Times New Roman"/>
          <w:b/>
          <w:bCs/>
          <w:kern w:val="2"/>
          <w:szCs w:val="21"/>
        </w:rPr>
        <w:t>，</w:t>
      </w:r>
      <w:r>
        <w:rPr>
          <w:rFonts w:hint="eastAsia" w:cs="Times New Roman"/>
          <w:b/>
          <w:bCs/>
          <w:kern w:val="2"/>
          <w:szCs w:val="21"/>
          <w:lang w:eastAsia="zh-TW"/>
        </w:rPr>
        <w:t>每年一次全面的定期保养服务，采购人均无需另行支付费用</w:t>
      </w:r>
      <w:r>
        <w:rPr>
          <w:rFonts w:hint="eastAsia" w:cs="Times New Roman"/>
          <w:b/>
          <w:bCs/>
          <w:kern w:val="2"/>
          <w:szCs w:val="21"/>
        </w:rPr>
        <w:t>。</w:t>
      </w:r>
      <w:r>
        <w:rPr>
          <w:rFonts w:hint="eastAsia" w:cs="Times New Roman"/>
          <w:b/>
          <w:bCs/>
          <w:kern w:val="2"/>
          <w:szCs w:val="21"/>
          <w:lang w:eastAsia="zh-TW"/>
        </w:rPr>
        <w:t>工作站终身软件更新</w:t>
      </w:r>
      <w:r>
        <w:rPr>
          <w:rFonts w:hint="eastAsia" w:cs="Times New Roman"/>
          <w:b/>
          <w:bCs/>
          <w:kern w:val="2"/>
          <w:szCs w:val="21"/>
        </w:rPr>
        <w:t>，</w:t>
      </w:r>
      <w:r>
        <w:rPr>
          <w:rFonts w:hint="eastAsia" w:cs="Times New Roman"/>
          <w:b/>
          <w:bCs/>
          <w:kern w:val="2"/>
          <w:szCs w:val="21"/>
          <w:lang w:eastAsia="zh-TW"/>
        </w:rPr>
        <w:t>采购人均无需另行支付费用</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★6.维护响应：供应商提供三年7</w:t>
      </w:r>
      <w:r>
        <w:rPr>
          <w:rFonts w:hint="eastAsia" w:cs="Times New Roman"/>
          <w:b/>
          <w:bCs/>
          <w:kern w:val="2"/>
          <w:szCs w:val="21"/>
        </w:rPr>
        <w:t>*</w:t>
      </w:r>
      <w:r>
        <w:rPr>
          <w:rFonts w:hint="eastAsia" w:cs="Times New Roman"/>
          <w:b/>
          <w:bCs/>
          <w:kern w:val="2"/>
          <w:szCs w:val="21"/>
          <w:lang w:eastAsia="zh-TW"/>
        </w:rPr>
        <w:t>24小时的技术支持与售后服务，提供专线电话支持服务，2小时内响应，保证48小时内到达现场并解决故障，设备保修期时间从签署设备验收合格起计算</w:t>
      </w:r>
      <w:r>
        <w:rPr>
          <w:rFonts w:hint="eastAsia" w:cs="Times New Roman"/>
          <w:kern w:val="2"/>
          <w:szCs w:val="21"/>
          <w:lang w:eastAsia="zh-TW"/>
        </w:rPr>
        <w:t>（不额外收费）</w:t>
      </w:r>
      <w:r>
        <w:rPr>
          <w:rFonts w:hint="eastAsia" w:cs="Times New Roman"/>
          <w:b/>
          <w:bCs/>
          <w:kern w:val="2"/>
          <w:szCs w:val="21"/>
          <w:lang w:eastAsia="zh-TW"/>
        </w:rPr>
        <w:t>。</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lang w:eastAsia="zh-TW"/>
        </w:rPr>
        <w:t>7.提供3个国内培训名额(含培训费、食宿、交通等差旅费用)，培训不少于3天。</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8</w:t>
      </w:r>
      <w:r>
        <w:rPr>
          <w:rFonts w:hint="eastAsia" w:cs="Times New Roman"/>
          <w:b/>
          <w:bCs/>
          <w:kern w:val="2"/>
          <w:szCs w:val="21"/>
          <w:lang w:eastAsia="zh-TW"/>
        </w:rPr>
        <w:t>.履约验收方案：</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（1）货物运至采购人指定地点后，双方应派人员按照本合同规定对货物进行验收，中标人应提供交货清单等文件供采购人审查，采购人将按合同清单进行规格、数量、外观的检查。</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 xml:space="preserve">（2）收货后 </w:t>
      </w:r>
      <w:r>
        <w:rPr>
          <w:rFonts w:hint="eastAsia" w:cs="Times New Roman"/>
          <w:b/>
          <w:bCs/>
          <w:kern w:val="2"/>
          <w:szCs w:val="21"/>
        </w:rPr>
        <w:t>30</w:t>
      </w:r>
      <w:r>
        <w:rPr>
          <w:rFonts w:hint="eastAsia" w:cs="Times New Roman"/>
          <w:b/>
          <w:bCs/>
          <w:kern w:val="2"/>
          <w:szCs w:val="21"/>
          <w:lang w:eastAsia="zh-TW"/>
        </w:rPr>
        <w:t xml:space="preserve"> 个工作日内采购人与中标人进行到货验收工作。如验收合格，采购人应及时履行验收手续，双方签署设备到货验收报告；如验收不合格，采购人应以书面形式通知中标人原因，中标人收到通知后 10 个工作日内提供解决方案。</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3）在验收工作中，双方应于现场依据本合同规定的验收依据共同对商品的数量、型号规格、技术性能指标等进行验证。发现数量不足或有质量、技术等问题，中标人应按照合同要求采取补足、更换或退货等处理措施，并承担由此发生的一切费用和损失。</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（4）涉及设备安装调试的，中标人负责在采购人配合下完成所供设备安装调试并保证与用户原有设备互联互通，有关技术问题由中标人和制造商协同解决。安装调试后，双方签署设备安装调试验收报告。</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（5）采购人认为必要时，对大型或者复杂的货物采购项目，可以邀请国家认可的质量检测机构参加验收工作，相关验收意见作为验收报告的参考资料，相关费用由中标人承担。</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 xml:space="preserve">（6）验收标准以双方达成的对质量和技术标准的约定、中标人承诺的质量和技术标准、国家或行业规定的相关质量和技术标准中最高者为准，且应充分满足采购人使用要求。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9</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中标人提交单据：合同(正文部分复印件）、中标通知书（或成交通知书复印件）、发票（原件）、设备到货签收单（复印件）。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（4）因财政集中支付延误时间不计算在内。中标人提交付款单据延迟、缺失及账户信息错误的，采购人有权相应顺延付款期限，且采购人不承担延误付款责任。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rFonts w:hint="eastAsia"/>
          <w:b/>
          <w:sz w:val="24"/>
        </w:rPr>
      </w:pPr>
      <w:bookmarkStart w:id="52" w:name="_Toc27621"/>
      <w:bookmarkStart w:id="53" w:name="_Toc157893754"/>
      <w:bookmarkStart w:id="54" w:name="_Toc21605"/>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固定单价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5" w:name="_Toc18675"/>
      <w:bookmarkStart w:id="56" w:name="_Toc157893755"/>
      <w:bookmarkStart w:id="57" w:name="_Toc7208"/>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8" w:name="_Toc24693"/>
      <w:bookmarkStart w:id="59" w:name="_Toc157893757"/>
      <w:bookmarkStart w:id="60" w:name="_Toc32122"/>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65" w:name="_Toc11333"/>
      <w:bookmarkStart w:id="66" w:name="_Hlk180332423"/>
      <w:r>
        <w:rPr>
          <w:rFonts w:hint="eastAsia"/>
        </w:rPr>
        <w:t>前附表（三）综合评分法评分因素和权重分值表</w:t>
      </w:r>
      <w:bookmarkEnd w:id="65"/>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01包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bookmarkStart w:id="67" w:name="_Hlk180332363"/>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w:t>
            </w:r>
            <w:r>
              <w:rPr>
                <w:rFonts w:hint="eastAsia"/>
                <w:szCs w:val="21"/>
                <w:lang w:val="en-US" w:eastAsia="zh-CN"/>
              </w:rPr>
              <w:t>57</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bookmarkEnd w:id="67"/>
    </w:tbl>
    <w:p>
      <w:pPr>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02包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完全满足招标文件技术指标、参数要求，应答完整的得50分；以此为基础，投标人的技术响应低于招标文件中规定的“▲”技术要求每有一项减</w:t>
            </w:r>
            <w:r>
              <w:rPr>
                <w:rFonts w:hint="eastAsia"/>
                <w:szCs w:val="21"/>
                <w:lang w:val="en-US" w:eastAsia="zh-CN"/>
              </w:rPr>
              <w:t>4</w:t>
            </w:r>
            <w:r>
              <w:rPr>
                <w:rFonts w:hint="eastAsia"/>
                <w:szCs w:val="21"/>
              </w:rPr>
              <w:t xml:space="preserve">分；投标人一般技术响应低于招标文件规定的，每有一项减 </w:t>
            </w:r>
            <w:r>
              <w:rPr>
                <w:rFonts w:hint="eastAsia"/>
                <w:szCs w:val="21"/>
                <w:lang w:val="en-US" w:eastAsia="zh-CN"/>
              </w:rPr>
              <w:t>1</w:t>
            </w:r>
            <w:r>
              <w:rPr>
                <w:rFonts w:hint="eastAsia"/>
                <w:szCs w:val="21"/>
              </w:rPr>
              <w:t>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p>
    <w:p>
      <w:pPr>
        <w:tabs>
          <w:tab w:val="clear" w:pos="426"/>
        </w:tabs>
        <w:spacing w:line="240" w:lineRule="auto"/>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03包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完全满足招标文件技术指标、参数要求，应答完整的得50分；以此为基础，投标人的技术响应低于招标文件中规定的“▲”技术要求每有一项减</w:t>
            </w:r>
            <w:r>
              <w:rPr>
                <w:rFonts w:hint="eastAsia"/>
                <w:szCs w:val="21"/>
                <w:lang w:val="en-US" w:eastAsia="zh-CN"/>
              </w:rPr>
              <w:t>4</w:t>
            </w:r>
            <w:r>
              <w:rPr>
                <w:rFonts w:hint="eastAsia"/>
                <w:szCs w:val="21"/>
              </w:rPr>
              <w:t xml:space="preserve">分；投标人一般技术响应低于招标文件规定的，每有一项减 </w:t>
            </w:r>
            <w:r>
              <w:rPr>
                <w:rFonts w:hint="eastAsia"/>
                <w:szCs w:val="21"/>
                <w:lang w:val="en-US" w:eastAsia="zh-CN"/>
              </w:rPr>
              <w:t>0.67</w:t>
            </w:r>
            <w:r>
              <w:rPr>
                <w:rFonts w:hint="eastAsia"/>
                <w:szCs w:val="21"/>
              </w:rPr>
              <w:t>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p>
    <w:p>
      <w:pPr>
        <w:tabs>
          <w:tab w:val="clear" w:pos="426"/>
        </w:tabs>
        <w:spacing w:line="240" w:lineRule="auto"/>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04包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w:t>
            </w:r>
            <w:r>
              <w:rPr>
                <w:rFonts w:hint="eastAsia"/>
                <w:szCs w:val="21"/>
                <w:lang w:val="en-US" w:eastAsia="zh-CN"/>
              </w:rPr>
              <w:t>32</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p>
    <w:p>
      <w:pPr>
        <w:tabs>
          <w:tab w:val="clear" w:pos="426"/>
        </w:tabs>
        <w:spacing w:line="240" w:lineRule="auto"/>
        <w:rPr>
          <w:rFonts w:hint="eastAsia"/>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05包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w:t>
            </w:r>
            <w:r>
              <w:rPr>
                <w:rFonts w:hint="eastAsia"/>
                <w:szCs w:val="21"/>
                <w:lang w:val="en-US" w:eastAsia="zh-CN"/>
              </w:rPr>
              <w:t>38</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jc w:val="center"/>
        <w:rPr>
          <w:rFonts w:hint="eastAsia"/>
        </w:rPr>
      </w:pPr>
    </w:p>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bookmarkEnd w:id="66"/>
    <w:p>
      <w:pPr>
        <w:rPr>
          <w:rFonts w:hint="eastAsia"/>
        </w:rPr>
      </w:pPr>
    </w:p>
    <w:p>
      <w:pPr>
        <w:rPr>
          <w:rFonts w:hint="eastAsia"/>
        </w:rPr>
      </w:pPr>
    </w:p>
    <w:p>
      <w:pPr>
        <w:rPr>
          <w:rFonts w:hint="eastAsia"/>
        </w:rPr>
      </w:pPr>
      <w:r>
        <w:rPr>
          <w:rFonts w:hint="eastAsia"/>
        </w:rPr>
        <w:br w:type="page"/>
      </w:r>
    </w:p>
    <w:p>
      <w:pPr>
        <w:pStyle w:val="62"/>
      </w:pPr>
      <w:bookmarkStart w:id="68" w:name="_Toc26041"/>
      <w:r>
        <w:rPr>
          <w:rFonts w:hint="eastAsia"/>
        </w:rPr>
        <w:t>前附表（四）</w:t>
      </w:r>
      <w:bookmarkEnd w:id="68"/>
    </w:p>
    <w:p>
      <w:pPr>
        <w:adjustRightInd/>
        <w:snapToGrid/>
        <w:spacing w:before="280" w:after="290" w:line="377" w:lineRule="auto"/>
        <w:jc w:val="left"/>
        <w:outlineLvl w:val="2"/>
        <w:rPr>
          <w:rFonts w:hint="eastAsia"/>
          <w:b/>
          <w:sz w:val="24"/>
        </w:rPr>
      </w:pPr>
      <w:bookmarkStart w:id="69" w:name="_Toc12567"/>
      <w:r>
        <w:rPr>
          <w:rFonts w:hint="eastAsia"/>
          <w:b/>
          <w:sz w:val="24"/>
        </w:rPr>
        <w:t>1.资格审查</w:t>
      </w:r>
      <w:bookmarkEnd w:id="69"/>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0" w:name="_Toc1724"/>
      <w:r>
        <w:rPr>
          <w:rFonts w:hint="eastAsia"/>
          <w:b/>
          <w:sz w:val="24"/>
        </w:rPr>
        <w:t>2.评标方法</w:t>
      </w:r>
      <w:bookmarkEnd w:id="70"/>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2" w:firstLineChars="200"/>
        <w:rPr>
          <w:rFonts w:hint="eastAsia"/>
          <w:b/>
          <w:bCs/>
        </w:rPr>
      </w:pPr>
      <w:r>
        <w:rPr>
          <w:rFonts w:hint="eastAsia"/>
          <w:b/>
          <w:bCs/>
        </w:rPr>
        <w:t>（1）本项目共5个包，包划分详见招标文件第三章项目需求-一、货物清单一览表。</w:t>
      </w:r>
    </w:p>
    <w:p>
      <w:pPr>
        <w:tabs>
          <w:tab w:val="clear" w:pos="426"/>
        </w:tabs>
        <w:spacing w:line="300" w:lineRule="auto"/>
        <w:ind w:firstLine="422" w:firstLineChars="200"/>
        <w:rPr>
          <w:rFonts w:hint="eastAsia"/>
          <w:b/>
          <w:bCs/>
        </w:rPr>
      </w:pPr>
      <w:r>
        <w:rPr>
          <w:rFonts w:hint="eastAsia"/>
          <w:b/>
          <w:bCs/>
        </w:rPr>
        <w:t>（2）本项目通过公开招标每包确定1家中标供应商，投标供应商可选择1个包或多个包进行投标响应。</w:t>
      </w:r>
    </w:p>
    <w:p>
      <w:pPr>
        <w:tabs>
          <w:tab w:val="clear" w:pos="426"/>
        </w:tabs>
        <w:spacing w:line="300" w:lineRule="auto"/>
        <w:ind w:firstLine="422" w:firstLineChars="200"/>
        <w:rPr>
          <w:rFonts w:hint="eastAsia"/>
          <w:b/>
          <w:bCs/>
        </w:rPr>
      </w:pPr>
      <w:r>
        <w:rPr>
          <w:rFonts w:hint="eastAsia"/>
          <w:b/>
          <w:bCs/>
        </w:rPr>
        <w:t>（3）评标委员会依次评审01包、02包、03包、04包、05包。</w:t>
      </w:r>
    </w:p>
    <w:p>
      <w:pPr>
        <w:tabs>
          <w:tab w:val="clear" w:pos="426"/>
        </w:tabs>
        <w:spacing w:line="300" w:lineRule="auto"/>
        <w:ind w:firstLine="422" w:firstLineChars="200"/>
        <w:rPr>
          <w:rFonts w:hint="eastAsia"/>
          <w:b/>
          <w:bCs/>
        </w:rPr>
      </w:pPr>
      <w:r>
        <w:rPr>
          <w:rFonts w:hint="eastAsia"/>
          <w:b/>
          <w:bCs/>
        </w:rPr>
        <w:t>（4）每个包由评标委员会推荐评标总得分前三名的投标供应商作为候选中标供应商，每个包评标总得分第一名的投标供应商作为对应包的中标供应商，01包排名第一的中标供应商亦可作为02包的中标供应商，02排名第一的中标供应商亦可作为03包的中标供应商，以此类推（兼投兼中原则）。</w:t>
      </w:r>
    </w:p>
    <w:p>
      <w:pPr>
        <w:tabs>
          <w:tab w:val="clear" w:pos="426"/>
        </w:tabs>
        <w:spacing w:line="300" w:lineRule="auto"/>
        <w:ind w:firstLine="422" w:firstLineChars="200"/>
        <w:rPr>
          <w:rFonts w:hint="eastAsia"/>
          <w:b/>
          <w:bCs/>
        </w:rPr>
      </w:pPr>
      <w:r>
        <w:rPr>
          <w:rFonts w:hint="eastAsia"/>
          <w:b/>
          <w:bCs/>
        </w:rPr>
        <w:t>（5）根据公开招标竞争性原则，当某个包合格投标供应商数量小于3名时，该包废标，但不影响其他包；当5个包合格投标供应商数量均小于3名时，本项目废标，采购代理机构重新组织采购。</w:t>
      </w:r>
    </w:p>
    <w:p>
      <w:pPr>
        <w:tabs>
          <w:tab w:val="clear" w:pos="426"/>
        </w:tabs>
        <w:spacing w:line="300" w:lineRule="auto"/>
        <w:ind w:firstLine="420" w:firstLineChars="200"/>
        <w:rPr>
          <w:rFonts w:hint="eastAsia"/>
        </w:rPr>
      </w:pPr>
      <w:r>
        <w:rPr>
          <w:rFonts w:hint="eastAsia"/>
        </w:rPr>
        <w:t>（6）当某包合格投标供应商数量大于等于3名时，评标委员会依据本次评标所采用的综合评分法，按照招标文件中规定的各项因素进行量化打分，每个投标单位的总得分取算术平均值确定其评标总得分。</w:t>
      </w:r>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71" w:name="_Toc16831"/>
      <w:r>
        <w:rPr>
          <w:rFonts w:hint="eastAsia"/>
          <w:b/>
          <w:sz w:val="24"/>
        </w:rPr>
        <w:t>3.符合性审查</w:t>
      </w:r>
      <w:bookmarkEnd w:id="71"/>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2" w:name="_Toc29518"/>
      <w:r>
        <w:rPr>
          <w:rFonts w:hint="eastAsia"/>
          <w:b/>
          <w:sz w:val="24"/>
        </w:rPr>
        <w:t>4.比较与评价</w:t>
      </w:r>
      <w:bookmarkEnd w:id="72"/>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3" w:name="_Toc13196"/>
      <w:r>
        <w:rPr>
          <w:rFonts w:hint="eastAsia"/>
          <w:b/>
          <w:sz w:val="24"/>
        </w:rPr>
        <w:t>5.编写评标报告</w:t>
      </w:r>
      <w:bookmarkEnd w:id="73"/>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snapToGrid/>
        <w:spacing w:before="280" w:after="290" w:line="377" w:lineRule="auto"/>
        <w:jc w:val="left"/>
        <w:outlineLvl w:val="2"/>
        <w:rPr>
          <w:rFonts w:hint="eastAsia"/>
          <w:b/>
          <w:sz w:val="24"/>
        </w:rPr>
      </w:pPr>
      <w:bookmarkStart w:id="74" w:name="_Toc15875"/>
      <w:r>
        <w:rPr>
          <w:rFonts w:hint="eastAsia"/>
          <w:b/>
          <w:sz w:val="24"/>
        </w:rPr>
        <w:t>6.评标委员会对招标失败的论证意见</w:t>
      </w:r>
      <w:bookmarkEnd w:id="74"/>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5" w:name="_Toc432592812"/>
    </w:p>
    <w:bookmarkEnd w:id="75"/>
    <w:p>
      <w:pPr>
        <w:rPr>
          <w:rFonts w:hint="eastAsia"/>
        </w:rPr>
      </w:pPr>
      <w:bookmarkStart w:id="76" w:name="_Toc432592814"/>
      <w:r>
        <w:br w:type="page"/>
      </w:r>
      <w:bookmarkEnd w:id="76"/>
      <w:bookmarkStart w:id="77" w:name="_Toc530152519"/>
      <w:bookmarkStart w:id="78" w:name="_Toc398220525"/>
      <w:bookmarkStart w:id="79" w:name="_Toc432592816"/>
    </w:p>
    <w:bookmarkEnd w:id="77"/>
    <w:p>
      <w:pPr>
        <w:pStyle w:val="62"/>
      </w:pPr>
      <w:bookmarkStart w:id="80" w:name="_Toc7991"/>
      <w:r>
        <w:rPr>
          <w:rFonts w:hint="eastAsia"/>
        </w:rPr>
        <w:t>第五章 合同文本</w:t>
      </w:r>
      <w:bookmarkEnd w:id="80"/>
    </w:p>
    <w:bookmarkEnd w:id="78"/>
    <w:bookmarkEnd w:id="79"/>
    <w:p>
      <w:pPr>
        <w:pStyle w:val="425"/>
        <w:rPr>
          <w:rFonts w:hint="eastAsia" w:hAnsi="宋体"/>
          <w:b/>
          <w:bCs/>
          <w:sz w:val="28"/>
          <w:szCs w:val="28"/>
        </w:rPr>
      </w:pPr>
      <w:bookmarkStart w:id="81" w:name="_Toc398220526"/>
      <w:bookmarkStart w:id="82" w:name="_Toc432592818"/>
      <w:r>
        <w:rPr>
          <w:rFonts w:hint="eastAsia" w:hAnsi="宋体"/>
          <w:b/>
          <w:bCs/>
          <w:sz w:val="28"/>
          <w:szCs w:val="28"/>
        </w:rPr>
        <w:t>本合同实际签订将根据供应商响应情况对合同进行删减调整</w:t>
      </w:r>
    </w:p>
    <w:p>
      <w:pPr>
        <w:pStyle w:val="425"/>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01、02、03、04、05包</w:t>
      </w:r>
    </w:p>
    <w:p>
      <w:pPr>
        <w:pStyle w:val="425"/>
        <w:rPr>
          <w:rFonts w:eastAsia="方正小标宋_GBK"/>
          <w:sz w:val="36"/>
          <w:szCs w:val="36"/>
        </w:rPr>
      </w:pPr>
      <w:r>
        <w:rPr>
          <w:rFonts w:hint="eastAsia" w:eastAsia="方正小标宋_GBK"/>
          <w:sz w:val="36"/>
          <w:szCs w:val="36"/>
        </w:rPr>
        <w:t>气相及气质类设备采购项目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深圳海关食品检验检疫技术中心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气相及气质类设备采购项目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rPr>
      </w:pPr>
      <w:r>
        <w:rPr>
          <w:sz w:val="24"/>
        </w:rPr>
        <w:t>2.</w:t>
      </w:r>
      <w:r>
        <w:rPr>
          <w:rFonts w:hint="eastAsia"/>
          <w:sz w:val="24"/>
        </w:rPr>
        <w:t xml:space="preserve"> 设备全部到货并经甲方（用户）签收后，乙方向甲方提交下列单据之日起10个工作日内，甲</w:t>
      </w:r>
      <w:r>
        <w:rPr>
          <w:rFonts w:hint="eastAsia"/>
          <w:sz w:val="24"/>
          <w:szCs w:val="24"/>
        </w:rPr>
        <w:t>方向乙方支付合同总价</w:t>
      </w:r>
      <w:r>
        <w:rPr>
          <w:rFonts w:hint="eastAsia"/>
          <w:sz w:val="24"/>
          <w:szCs w:val="24"/>
          <w:u w:val="single"/>
        </w:rPr>
        <w:t>50</w:t>
      </w:r>
      <w:r>
        <w:rPr>
          <w:sz w:val="24"/>
          <w:szCs w:val="24"/>
        </w:rPr>
        <w:t>%合同款（金额</w:t>
      </w:r>
      <w:r>
        <w:rPr>
          <w:rFonts w:hint="eastAsia"/>
          <w:sz w:val="24"/>
          <w:szCs w:val="24"/>
        </w:rPr>
        <w:t xml:space="preserve">大写：            </w:t>
      </w:r>
      <w:r>
        <w:rPr>
          <w:sz w:val="24"/>
          <w:szCs w:val="24"/>
        </w:rPr>
        <w:t>）</w:t>
      </w:r>
      <w:r>
        <w:rPr>
          <w:sz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w:t>
      </w:r>
      <w:r>
        <w:rPr>
          <w:sz w:val="24"/>
        </w:rPr>
        <w:t>日内，甲方向乙方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乙方全称</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开户银行</w:t>
            </w:r>
          </w:p>
        </w:tc>
        <w:tc>
          <w:tcPr>
            <w:tcW w:w="6051"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spacing w:line="240" w:lineRule="auto"/>
              <w:jc w:val="left"/>
              <w:rPr>
                <w:snapToGrid w:val="0"/>
                <w:sz w:val="24"/>
                <w:szCs w:val="24"/>
              </w:rPr>
            </w:pPr>
            <w:r>
              <w:rPr>
                <w:snapToGrid w:val="0"/>
                <w:sz w:val="24"/>
                <w:szCs w:val="24"/>
              </w:rPr>
              <w:t>账号</w:t>
            </w:r>
          </w:p>
        </w:tc>
        <w:tc>
          <w:tcPr>
            <w:tcW w:w="6051" w:type="dxa"/>
            <w:vAlign w:val="center"/>
          </w:tcPr>
          <w:p>
            <w:pPr>
              <w:pStyle w:val="603"/>
              <w:autoSpaceDN w:val="0"/>
              <w:spacing w:line="240" w:lineRule="auto"/>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20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开户银行</w:t>
            </w:r>
          </w:p>
        </w:tc>
        <w:tc>
          <w:tcPr>
            <w:tcW w:w="5469" w:type="dxa"/>
            <w:vAlign w:val="center"/>
          </w:tcPr>
          <w:p>
            <w:pPr>
              <w:pStyle w:val="623"/>
              <w:autoSpaceDN w:val="0"/>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2386" w:type="dxa"/>
            <w:vAlign w:val="center"/>
          </w:tcPr>
          <w:p>
            <w:pPr>
              <w:pStyle w:val="623"/>
              <w:autoSpaceDN w:val="0"/>
              <w:jc w:val="left"/>
              <w:rPr>
                <w:snapToGrid w:val="0"/>
                <w:kern w:val="0"/>
                <w:sz w:val="24"/>
                <w:szCs w:val="24"/>
              </w:rPr>
            </w:pPr>
            <w:r>
              <w:rPr>
                <w:snapToGrid w:val="0"/>
                <w:kern w:val="0"/>
                <w:sz w:val="24"/>
                <w:szCs w:val="24"/>
              </w:rPr>
              <w:t>账号</w:t>
            </w:r>
          </w:p>
        </w:tc>
        <w:tc>
          <w:tcPr>
            <w:tcW w:w="5469" w:type="dxa"/>
            <w:vAlign w:val="center"/>
          </w:tcPr>
          <w:p>
            <w:pPr>
              <w:pStyle w:val="623"/>
              <w:autoSpaceDN w:val="0"/>
              <w:ind w:firstLine="480" w:firstLineChars="200"/>
              <w:jc w:val="left"/>
              <w:rPr>
                <w:snapToGrid w:val="0"/>
                <w:kern w:val="0"/>
                <w:sz w:val="24"/>
                <w:szCs w:val="24"/>
              </w:rPr>
            </w:pPr>
          </w:p>
        </w:tc>
      </w:tr>
    </w:tbl>
    <w:p>
      <w:pPr>
        <w:pStyle w:val="622"/>
        <w:spacing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rFonts w:eastAsia="宋体"/>
          <w:sz w:val="24"/>
          <w:szCs w:val="24"/>
        </w:rPr>
        <w:t>（三）</w:t>
      </w:r>
      <w:r>
        <w:rPr>
          <w:sz w:val="24"/>
        </w:rPr>
        <w:t>如乙方未能履行合同规定的义务，甲方有权按照本合同的约定从履约保证金中进行相应扣除。乙方应在甲方扣除履约保证金之日起10个工作日内，及时补充扣除部分金额。</w:t>
      </w:r>
    </w:p>
    <w:p>
      <w:pPr>
        <w:ind w:firstLine="480" w:firstLineChars="200"/>
        <w:rPr>
          <w:rFonts w:hint="eastAsia"/>
          <w:sz w:val="24"/>
        </w:rPr>
      </w:pPr>
      <w:r>
        <w:rPr>
          <w:sz w:val="24"/>
        </w:rPr>
        <w:t>（</w:t>
      </w:r>
      <w:r>
        <w:rPr>
          <w:rFonts w:hint="eastAsia"/>
          <w:sz w:val="24"/>
          <w:lang w:val="en-US" w:eastAsia="zh-CN"/>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hint="eastAsia" w:eastAsia="宋体"/>
          <w:sz w:val="24"/>
          <w:szCs w:val="24"/>
        </w:rPr>
        <w:t>个日历日</w:t>
      </w:r>
      <w:r>
        <w:rPr>
          <w:rFonts w:eastAsia="宋体"/>
          <w:sz w:val="24"/>
          <w:szCs w:val="24"/>
        </w:rPr>
        <w:t>内完成交货。</w:t>
      </w:r>
    </w:p>
    <w:p>
      <w:pPr>
        <w:pStyle w:val="626"/>
        <w:spacing w:line="360" w:lineRule="auto"/>
        <w:ind w:firstLine="480" w:firstLineChars="200"/>
        <w:rPr>
          <w:rFonts w:eastAsia="宋体"/>
          <w:sz w:val="24"/>
          <w:szCs w:val="24"/>
        </w:rPr>
      </w:pPr>
      <w:r>
        <w:rPr>
          <w:rFonts w:eastAsia="宋体"/>
          <w:sz w:val="24"/>
          <w:szCs w:val="24"/>
        </w:rPr>
        <w:t>（二）交货地点：01-03、05包交货地点：深圳市福田区福强路1011号深圳海关福强路办公区A栋指定地点。04包交货地点：深圳市南山区前湾一路深港青年梦工场B座6号楼指定地点。</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after="231"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w:t>
      </w:r>
      <w:r>
        <w:rPr>
          <w:rFonts w:hint="eastAsia" w:eastAsia="宋体"/>
          <w:sz w:val="24"/>
          <w:szCs w:val="24"/>
        </w:rPr>
        <w:t>收货</w:t>
      </w:r>
      <w:r>
        <w:rPr>
          <w:rFonts w:eastAsia="宋体"/>
          <w:sz w:val="24"/>
          <w:szCs w:val="24"/>
        </w:rPr>
        <w:t>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五</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（六）本合同项目所有货物质量保证期为：自双方签署设备验收合格报告之日起计算</w:t>
      </w:r>
      <w:r>
        <w:rPr>
          <w:rFonts w:hint="eastAsia"/>
          <w:sz w:val="24"/>
          <w:u w:val="single"/>
        </w:rPr>
        <w:t>整机三</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r>
        <w:rPr>
          <w:b/>
          <w:bCs/>
          <w:sz w:val="24"/>
        </w:rPr>
        <w:t>第十条 售后服务</w:t>
      </w:r>
    </w:p>
    <w:p>
      <w:pPr>
        <w:ind w:firstLine="480" w:firstLineChars="200"/>
        <w:rPr>
          <w:rFonts w:hint="eastAsia"/>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2 </w:t>
      </w:r>
      <w:r>
        <w:rPr>
          <w:sz w:val="24"/>
        </w:rPr>
        <w:t>小时内响应，保证_</w:t>
      </w:r>
      <w:r>
        <w:rPr>
          <w:rFonts w:hint="eastAsia"/>
          <w:sz w:val="24"/>
          <w:u w:val="single"/>
        </w:rPr>
        <w:t>48</w:t>
      </w:r>
      <w:r>
        <w:rPr>
          <w:sz w:val="24"/>
          <w:u w:val="single"/>
        </w:rPr>
        <w:t>_</w:t>
      </w:r>
      <w:r>
        <w:rPr>
          <w:sz w:val="24"/>
        </w:rPr>
        <w:t>_小时内到达现场并解决故障</w:t>
      </w:r>
      <w:r>
        <w:rPr>
          <w:rFonts w:hint="eastAsia"/>
          <w:sz w:val="24"/>
        </w:rPr>
        <w:t>（不额外收费）</w:t>
      </w:r>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bookmarkStart w:id="83" w:name="孔子"/>
      <w:bookmarkEnd w:id="83"/>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shd w:val="clear" w:color="auto" w:fill="auto"/>
        <w:tabs>
          <w:tab w:val="clear" w:pos="426"/>
        </w:tabs>
        <w:adjustRightInd/>
        <w:snapToGrid/>
        <w:spacing w:line="240" w:lineRule="auto"/>
        <w:jc w:val="left"/>
        <w:rPr>
          <w:rFonts w:ascii="Calibri" w:hAnsi="Calibri" w:cs="Times New Roman"/>
          <w:kern w:val="2"/>
        </w:rPr>
      </w:pPr>
      <w:r>
        <w:rPr>
          <w:rFonts w:ascii="Calibri" w:hAnsi="Calibri" w:cs="Times New Roman"/>
          <w:kern w:val="2"/>
        </w:rPr>
        <w:br w:type="page"/>
      </w:r>
    </w:p>
    <w:p>
      <w:pPr>
        <w:rPr>
          <w:rFonts w:hint="eastAsia"/>
          <w:sz w:val="24"/>
        </w:rPr>
      </w:pP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rFonts w:hint="eastAsia"/>
          <w:bCs/>
          <w:sz w:val="24"/>
        </w:rPr>
        <w:t>附件3：技术支持及售后服务方案</w:t>
      </w:r>
    </w:p>
    <w:p>
      <w:pPr>
        <w:widowControl w:val="0"/>
        <w:shd w:val="clear" w:color="auto" w:fill="auto"/>
        <w:tabs>
          <w:tab w:val="clear" w:pos="426"/>
        </w:tabs>
        <w:adjustRightInd/>
        <w:snapToGrid/>
        <w:spacing w:line="240" w:lineRule="auto"/>
        <w:rPr>
          <w:rFonts w:ascii="Calibri" w:hAnsi="Calibri" w:cs="Times New Roman"/>
          <w:kern w:val="2"/>
        </w:rPr>
      </w:pPr>
    </w:p>
    <w:p>
      <w:pPr>
        <w:pStyle w:val="62"/>
      </w:pPr>
      <w:r>
        <w:br w:type="page"/>
      </w:r>
      <w:bookmarkEnd w:id="81"/>
      <w:bookmarkEnd w:id="82"/>
      <w:bookmarkStart w:id="84" w:name="_Toc4933"/>
      <w:r>
        <w:rPr>
          <w:rFonts w:hint="eastAsia"/>
        </w:rPr>
        <w:t>第六章 投标资料表</w:t>
      </w:r>
      <w:bookmarkEnd w:id="84"/>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85" w:name="_Toc528170806"/>
      <w:bookmarkStart w:id="86" w:name="_Toc528675178"/>
      <w:bookmarkStart w:id="87" w:name="_Toc518464366"/>
    </w:p>
    <w:p>
      <w:pPr>
        <w:pStyle w:val="62"/>
      </w:pPr>
      <w:bookmarkStart w:id="88" w:name="_Toc25551"/>
      <w:r>
        <w:rPr>
          <w:rFonts w:hint="eastAsia"/>
        </w:rPr>
        <w:t>第七章 投标文件格式</w:t>
      </w:r>
      <w:bookmarkEnd w:id="88"/>
    </w:p>
    <w:p>
      <w:pPr>
        <w:adjustRightInd/>
        <w:snapToGrid/>
        <w:spacing w:before="280" w:after="290" w:line="377" w:lineRule="auto"/>
        <w:jc w:val="center"/>
        <w:outlineLvl w:val="2"/>
        <w:rPr>
          <w:rFonts w:hint="eastAsia"/>
          <w:b/>
          <w:sz w:val="24"/>
        </w:rPr>
      </w:pPr>
      <w:bookmarkStart w:id="89" w:name="_Toc20740"/>
      <w:r>
        <w:rPr>
          <w:rFonts w:hint="eastAsia"/>
          <w:b/>
          <w:sz w:val="24"/>
        </w:rPr>
        <w:t>投标文件编制说明</w:t>
      </w:r>
      <w:bookmarkEnd w:id="89"/>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ind w:firstLine="422" w:firstLineChars="200"/>
        <w:rPr>
          <w:rFonts w:hint="eastAsia"/>
          <w:b/>
          <w:bCs/>
        </w:rPr>
      </w:pPr>
      <w:r>
        <w:rPr>
          <w:rFonts w:hint="eastAsia"/>
          <w:b/>
          <w:bCs/>
        </w:rPr>
        <w:t>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85"/>
      <w:bookmarkEnd w:id="86"/>
      <w:bookmarkEnd w:id="87"/>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气相及气质类设备采购项目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90" w:name="_Toc528675179"/>
      <w:bookmarkStart w:id="91" w:name="_Toc518464367"/>
      <w:bookmarkStart w:id="92" w:name="_Toc528170807"/>
      <w:r>
        <w:rPr>
          <w:rFonts w:hint="eastAsia"/>
          <w:b/>
          <w:sz w:val="24"/>
        </w:rPr>
        <w:t>投标文件封面格式</w:t>
      </w:r>
      <w:bookmarkEnd w:id="90"/>
      <w:bookmarkEnd w:id="91"/>
      <w:bookmarkEnd w:id="92"/>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气相及气质类设备采购项目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3" w:name="_Toc528170808"/>
      <w:bookmarkStart w:id="94" w:name="_Toc518464368"/>
      <w:bookmarkStart w:id="95" w:name="_Toc528675180"/>
      <w:r>
        <w:rPr>
          <w:rFonts w:hint="eastAsia"/>
          <w:b/>
          <w:sz w:val="24"/>
        </w:rPr>
        <w:t>投标文件目录（目录格式自定）</w:t>
      </w:r>
      <w:bookmarkEnd w:id="93"/>
      <w:bookmarkEnd w:id="94"/>
      <w:bookmarkEnd w:id="95"/>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6" w:name="_Toc528675181"/>
      <w:bookmarkStart w:id="97" w:name="_Toc528170809"/>
      <w:bookmarkStart w:id="98" w:name="_Toc518464369"/>
      <w:r>
        <w:rPr>
          <w:rFonts w:hint="eastAsia"/>
          <w:b/>
          <w:sz w:val="24"/>
        </w:rPr>
        <w:t>评标指引表</w:t>
      </w:r>
      <w:bookmarkEnd w:id="96"/>
      <w:bookmarkEnd w:id="97"/>
      <w:bookmarkEnd w:id="98"/>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99" w:name="_Toc151386161"/>
      <w:bookmarkStart w:id="100" w:name="_Toc32283"/>
      <w:bookmarkStart w:id="101" w:name="_Toc150960251"/>
      <w:bookmarkStart w:id="102" w:name="_Toc50691037"/>
      <w:bookmarkStart w:id="103" w:name="_Toc43264518"/>
      <w:bookmarkStart w:id="104" w:name="_Toc43264525"/>
      <w:bookmarkStart w:id="105" w:name="_Toc50703730"/>
      <w:r>
        <w:rPr>
          <w:rFonts w:hint="eastAsia"/>
          <w:b/>
          <w:sz w:val="24"/>
        </w:rPr>
        <w:t>格式1：投标函</w:t>
      </w:r>
      <w:bookmarkEnd w:id="99"/>
      <w:bookmarkEnd w:id="100"/>
      <w:bookmarkEnd w:id="101"/>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06" w:name="_Toc201997950"/>
      <w:bookmarkStart w:id="107" w:name="_Toc201719122"/>
      <w:bookmarkStart w:id="108" w:name="_Toc201742865"/>
      <w:bookmarkStart w:id="109" w:name="_Toc201743120"/>
      <w:r>
        <w:rPr>
          <w:rFonts w:hint="eastAsia" w:cs="Times New Roman"/>
          <w:bCs/>
          <w:kern w:val="2"/>
          <w:sz w:val="32"/>
          <w:szCs w:val="32"/>
        </w:rPr>
        <w:t>投标函</w:t>
      </w:r>
      <w:bookmarkEnd w:id="106"/>
      <w:bookmarkEnd w:id="107"/>
      <w:bookmarkEnd w:id="108"/>
      <w:bookmarkEnd w:id="109"/>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10" w:name="_Toc151386163"/>
      <w:bookmarkStart w:id="111" w:name="_Toc150960253"/>
      <w:bookmarkStart w:id="112" w:name="_Toc50737329"/>
      <w:bookmarkStart w:id="113" w:name="_Toc275865607"/>
      <w:bookmarkStart w:id="114" w:name="_Toc52165081"/>
      <w:bookmarkStart w:id="115" w:name="_Toc50737297"/>
      <w:bookmarkStart w:id="116" w:name="_Toc50736477"/>
      <w:bookmarkStart w:id="117" w:name="_Toc480754205"/>
      <w:bookmarkStart w:id="118" w:name="_Toc52165080"/>
      <w:bookmarkStart w:id="119" w:name="_Toc50737328"/>
      <w:bookmarkStart w:id="120" w:name="_Toc50736476"/>
      <w:bookmarkStart w:id="121" w:name="_Toc50737296"/>
      <w:bookmarkStart w:id="122" w:name="_Toc50691034"/>
    </w:p>
    <w:p>
      <w:pPr>
        <w:adjustRightInd/>
        <w:snapToGrid/>
        <w:spacing w:before="280" w:after="290" w:line="377" w:lineRule="auto"/>
        <w:outlineLvl w:val="2"/>
        <w:rPr>
          <w:rFonts w:hint="eastAsia"/>
          <w:b/>
          <w:sz w:val="24"/>
        </w:rPr>
      </w:pPr>
      <w:bookmarkStart w:id="123" w:name="_Toc9501"/>
      <w:r>
        <w:rPr>
          <w:rFonts w:hint="eastAsia"/>
          <w:b/>
          <w:sz w:val="24"/>
        </w:rPr>
        <w:t>格式2：</w:t>
      </w:r>
      <w:bookmarkEnd w:id="110"/>
      <w:bookmarkEnd w:id="111"/>
      <w:r>
        <w:rPr>
          <w:rFonts w:hint="eastAsia"/>
          <w:b/>
          <w:sz w:val="24"/>
        </w:rPr>
        <w:t>法定代表人（单位负责人）证明书</w:t>
      </w:r>
      <w:bookmarkEnd w:id="123"/>
    </w:p>
    <w:bookmarkEnd w:id="112"/>
    <w:bookmarkEnd w:id="113"/>
    <w:bookmarkEnd w:id="114"/>
    <w:bookmarkEnd w:id="115"/>
    <w:bookmarkEnd w:id="116"/>
    <w:bookmarkEnd w:id="117"/>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18"/>
    <w:bookmarkEnd w:id="119"/>
    <w:bookmarkEnd w:id="120"/>
    <w:bookmarkEnd w:id="121"/>
    <w:bookmarkEnd w:id="122"/>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24" w:name="_Toc16372"/>
      <w:r>
        <w:rPr>
          <w:rFonts w:hint="eastAsia"/>
          <w:b/>
          <w:sz w:val="24"/>
        </w:rPr>
        <w:t>格式3：授权委托书</w:t>
      </w:r>
      <w:bookmarkEnd w:id="124"/>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25" w:name="_Toc12237"/>
      <w:r>
        <w:rPr>
          <w:rFonts w:hint="eastAsia"/>
          <w:b/>
          <w:sz w:val="24"/>
        </w:rPr>
        <w:t>格式4：资格条款偏离表</w:t>
      </w:r>
      <w:bookmarkEnd w:id="125"/>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本项目属于不专门面向中小企业采购的项目。</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26" w:name="_Toc3927"/>
      <w:r>
        <w:rPr>
          <w:rFonts w:hint="eastAsia"/>
          <w:b/>
          <w:sz w:val="24"/>
        </w:rPr>
        <w:t>格式5：法人或者其他组织的营业执照等证明文件</w:t>
      </w:r>
      <w:bookmarkEnd w:id="126"/>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27" w:name="_Toc151386165"/>
      <w:bookmarkStart w:id="128" w:name="_Toc150960255"/>
      <w:r>
        <w:rPr>
          <w:rFonts w:hint="eastAsia"/>
          <w:b/>
          <w:sz w:val="24"/>
        </w:rPr>
        <w:br w:type="page"/>
      </w:r>
    </w:p>
    <w:p>
      <w:pPr>
        <w:adjustRightInd/>
        <w:snapToGrid/>
        <w:spacing w:before="280" w:after="290" w:line="377" w:lineRule="auto"/>
        <w:outlineLvl w:val="2"/>
        <w:rPr>
          <w:rFonts w:hint="eastAsia"/>
          <w:b/>
          <w:sz w:val="24"/>
        </w:rPr>
      </w:pPr>
      <w:bookmarkStart w:id="129" w:name="_Toc21226"/>
      <w:r>
        <w:rPr>
          <w:rFonts w:hint="eastAsia"/>
          <w:b/>
          <w:sz w:val="24"/>
        </w:rPr>
        <w:t>格式6：投标人资格声明函</w:t>
      </w:r>
      <w:bookmarkEnd w:id="129"/>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0" w:name="_Toc21325"/>
      <w:r>
        <w:rPr>
          <w:rFonts w:hint="eastAsia"/>
          <w:b/>
          <w:sz w:val="24"/>
        </w:rPr>
        <w:t>格式7：开标一览表</w:t>
      </w:r>
      <w:bookmarkEnd w:id="127"/>
      <w:bookmarkEnd w:id="128"/>
      <w:bookmarkEnd w:id="130"/>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31" w:name="_Toc480789479"/>
      <w:bookmarkStart w:id="132" w:name="_Toc480756075"/>
      <w:bookmarkStart w:id="133" w:name="_Toc480755929"/>
      <w:bookmarkStart w:id="134" w:name="_Toc480754208"/>
      <w:r>
        <w:rPr>
          <w:rFonts w:hint="eastAsia" w:cs="Times New Roman"/>
          <w:bCs/>
          <w:kern w:val="2"/>
          <w:sz w:val="32"/>
          <w:szCs w:val="32"/>
        </w:rPr>
        <w:t>开标一览表</w:t>
      </w:r>
      <w:bookmarkEnd w:id="131"/>
      <w:bookmarkEnd w:id="132"/>
      <w:bookmarkEnd w:id="133"/>
      <w:bookmarkEnd w:id="134"/>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222"/>
        <w:gridCol w:w="4421"/>
        <w:gridCol w:w="22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1" w:type="pct"/>
            <w:vAlign w:val="center"/>
          </w:tcPr>
          <w:p>
            <w:pPr>
              <w:jc w:val="center"/>
              <w:rPr>
                <w:rFonts w:hint="eastAsia"/>
                <w:b/>
                <w:szCs w:val="21"/>
              </w:rPr>
            </w:pPr>
            <w:r>
              <w:rPr>
                <w:rFonts w:hint="eastAsia"/>
                <w:b/>
                <w:szCs w:val="21"/>
              </w:rPr>
              <w:t>序号</w:t>
            </w:r>
          </w:p>
        </w:tc>
        <w:tc>
          <w:tcPr>
            <w:tcW w:w="638" w:type="pct"/>
            <w:vAlign w:val="center"/>
          </w:tcPr>
          <w:p>
            <w:pPr>
              <w:jc w:val="center"/>
              <w:rPr>
                <w:rFonts w:hint="eastAsia"/>
                <w:b/>
                <w:szCs w:val="21"/>
              </w:rPr>
            </w:pPr>
            <w:r>
              <w:rPr>
                <w:rFonts w:hint="eastAsia"/>
                <w:b/>
                <w:szCs w:val="21"/>
              </w:rPr>
              <w:t>包号</w:t>
            </w:r>
          </w:p>
        </w:tc>
        <w:tc>
          <w:tcPr>
            <w:tcW w:w="2309" w:type="pct"/>
            <w:vAlign w:val="center"/>
          </w:tcPr>
          <w:p>
            <w:pPr>
              <w:jc w:val="center"/>
              <w:rPr>
                <w:rFonts w:hint="eastAsia"/>
                <w:b/>
                <w:szCs w:val="21"/>
              </w:rPr>
            </w:pPr>
            <w:r>
              <w:rPr>
                <w:rFonts w:hint="eastAsia"/>
                <w:b/>
                <w:szCs w:val="21"/>
              </w:rPr>
              <w:t>项目名称</w:t>
            </w:r>
          </w:p>
        </w:tc>
        <w:tc>
          <w:tcPr>
            <w:tcW w:w="1188" w:type="pct"/>
            <w:vAlign w:val="center"/>
          </w:tcPr>
          <w:p>
            <w:pPr>
              <w:jc w:val="center"/>
              <w:rPr>
                <w:rFonts w:hint="eastAsia"/>
                <w:b/>
                <w:szCs w:val="21"/>
              </w:rPr>
            </w:pPr>
            <w:r>
              <w:rPr>
                <w:rFonts w:hint="eastAsia"/>
                <w:b/>
                <w:szCs w:val="21"/>
              </w:rPr>
              <w:t>投标总价（元）</w:t>
            </w:r>
          </w:p>
        </w:tc>
        <w:tc>
          <w:tcPr>
            <w:tcW w:w="462"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1" w:type="pct"/>
            <w:vAlign w:val="center"/>
          </w:tcPr>
          <w:p>
            <w:pPr>
              <w:jc w:val="center"/>
              <w:rPr>
                <w:rFonts w:hint="eastAsia"/>
                <w:bCs/>
                <w:szCs w:val="21"/>
              </w:rPr>
            </w:pPr>
          </w:p>
        </w:tc>
        <w:tc>
          <w:tcPr>
            <w:tcW w:w="638" w:type="pct"/>
            <w:vAlign w:val="center"/>
          </w:tcPr>
          <w:p>
            <w:pPr>
              <w:jc w:val="center"/>
              <w:rPr>
                <w:rFonts w:hint="eastAsia"/>
                <w:b/>
                <w:szCs w:val="21"/>
              </w:rPr>
            </w:pPr>
          </w:p>
        </w:tc>
        <w:tc>
          <w:tcPr>
            <w:tcW w:w="2309" w:type="pct"/>
            <w:vAlign w:val="center"/>
          </w:tcPr>
          <w:p>
            <w:pPr>
              <w:jc w:val="center"/>
              <w:rPr>
                <w:rFonts w:hint="eastAsia"/>
                <w:b/>
                <w:szCs w:val="21"/>
              </w:rPr>
            </w:pPr>
          </w:p>
        </w:tc>
        <w:tc>
          <w:tcPr>
            <w:tcW w:w="1188"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462"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35" w:name="_Toc23484"/>
      <w:r>
        <w:rPr>
          <w:rFonts w:hint="eastAsia"/>
          <w:b/>
          <w:sz w:val="24"/>
        </w:rPr>
        <w:t>格式8：投标分项报价表</w:t>
      </w:r>
      <w:bookmarkEnd w:id="135"/>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6" w:name="_Toc9437"/>
      <w:r>
        <w:rPr>
          <w:rFonts w:hint="eastAsia"/>
          <w:b/>
          <w:sz w:val="24"/>
        </w:rPr>
        <w:t>格式9：</w:t>
      </w:r>
      <w:bookmarkEnd w:id="136"/>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7" w:name="OLE_LINK1"/>
      <w:r>
        <w:rPr>
          <w:rFonts w:hint="eastAsia" w:ascii="Times New Roman" w:hAnsi="Times New Roman" w:cs="Times New Roman"/>
          <w:bCs/>
          <w:kern w:val="2"/>
          <w:sz w:val="32"/>
          <w:szCs w:val="32"/>
        </w:rPr>
        <w:t>技术规格偏离表</w:t>
      </w:r>
    </w:p>
    <w:bookmarkEnd w:id="137"/>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38"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38"/>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39" w:name="OLE_LINK2"/>
      <w:r>
        <w:rPr>
          <w:rFonts w:hint="eastAsia" w:ascii="Times New Roman" w:hAnsi="Times New Roman" w:cs="Times New Roman"/>
          <w:bCs/>
        </w:rPr>
        <w:t>带★招标技术要求，不允许有任何负偏离，否则将作投标无效处理。</w:t>
      </w:r>
    </w:p>
    <w:bookmarkEnd w:id="139"/>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0" w:name="_Toc25758"/>
      <w:r>
        <w:rPr>
          <w:rFonts w:hint="eastAsia"/>
          <w:b/>
          <w:sz w:val="24"/>
        </w:rPr>
        <w:t>格式10：技术保障措施</w:t>
      </w:r>
      <w:bookmarkEnd w:id="140"/>
    </w:p>
    <w:p>
      <w:pPr>
        <w:adjustRightInd/>
        <w:snapToGrid/>
        <w:spacing w:before="280" w:after="290" w:line="377" w:lineRule="auto"/>
        <w:outlineLvl w:val="2"/>
        <w:rPr>
          <w:rFonts w:hint="eastAsia"/>
          <w:b/>
          <w:sz w:val="24"/>
        </w:rPr>
      </w:pPr>
      <w:bookmarkStart w:id="141" w:name="_Toc19609"/>
      <w:r>
        <w:rPr>
          <w:rFonts w:hint="eastAsia"/>
          <w:b/>
          <w:sz w:val="24"/>
        </w:rPr>
        <w:t>格式11：售后服务方案</w:t>
      </w:r>
      <w:bookmarkEnd w:id="141"/>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2" w:name="_Toc29923"/>
      <w:r>
        <w:rPr>
          <w:rFonts w:hint="eastAsia"/>
          <w:b/>
          <w:sz w:val="24"/>
        </w:rPr>
        <w:t>格式12：商务条款偏离表</w:t>
      </w:r>
      <w:bookmarkEnd w:id="142"/>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3" w:name="_Toc6533"/>
      <w:r>
        <w:rPr>
          <w:rFonts w:hint="eastAsia"/>
          <w:b/>
          <w:sz w:val="24"/>
        </w:rPr>
        <w:t>格式13：投标人综合概况简表</w:t>
      </w:r>
      <w:bookmarkEnd w:id="14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4" w:name="_Toc22664"/>
      <w:r>
        <w:rPr>
          <w:rFonts w:hint="eastAsia"/>
          <w:b/>
          <w:sz w:val="24"/>
        </w:rPr>
        <w:t>格式14：企业类型声明函</w:t>
      </w:r>
      <w:bookmarkEnd w:id="144"/>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45" w:name="_Toc17528"/>
      <w:r>
        <w:rPr>
          <w:rFonts w:hint="eastAsia"/>
          <w:b/>
          <w:sz w:val="24"/>
        </w:rPr>
        <w:t>格式15：残疾人福利性单位声明函</w:t>
      </w:r>
      <w:bookmarkEnd w:id="145"/>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6" w:name="_Toc14001"/>
      <w:r>
        <w:rPr>
          <w:rFonts w:hint="eastAsia"/>
          <w:b/>
          <w:sz w:val="24"/>
        </w:rPr>
        <w:t>格式16：同类项目业绩情况</w:t>
      </w:r>
      <w:bookmarkEnd w:id="146"/>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7" w:name="_Toc27416"/>
      <w:r>
        <w:rPr>
          <w:rFonts w:hint="eastAsia"/>
          <w:b/>
          <w:sz w:val="24"/>
        </w:rPr>
        <w:t>格式17：相关认证情况</w:t>
      </w:r>
      <w:bookmarkEnd w:id="147"/>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02"/>
      <w:bookmarkEnd w:id="103"/>
      <w:bookmarkEnd w:id="104"/>
      <w:bookmarkEnd w:id="105"/>
    </w:p>
    <w:p>
      <w:pPr>
        <w:pStyle w:val="81"/>
        <w:tabs>
          <w:tab w:val="clear" w:pos="426"/>
        </w:tabs>
      </w:pPr>
      <w:r>
        <w:br w:type="page"/>
      </w:r>
      <w:bookmarkStart w:id="148" w:name="_Toc530152521"/>
      <w:bookmarkStart w:id="149" w:name="_Toc14427253"/>
      <w:bookmarkStart w:id="150" w:name="_Toc25882"/>
      <w:r>
        <w:rPr>
          <w:rFonts w:hint="eastAsia"/>
        </w:rPr>
        <w:t>招标文件第二册（通用</w:t>
      </w:r>
      <w:bookmarkEnd w:id="148"/>
      <w:bookmarkEnd w:id="149"/>
      <w:r>
        <w:rPr>
          <w:rFonts w:hint="eastAsia"/>
        </w:rPr>
        <w:t>部分）</w:t>
      </w:r>
      <w:bookmarkEnd w:id="150"/>
    </w:p>
    <w:p>
      <w:pPr>
        <w:jc w:val="center"/>
        <w:rPr>
          <w:rFonts w:hint="eastAsia"/>
          <w:b/>
        </w:rPr>
      </w:pPr>
      <w:r>
        <w:rPr>
          <w:rFonts w:hint="eastAsia"/>
          <w:b/>
        </w:rPr>
        <w:t>（投标供应商须知）</w:t>
      </w:r>
    </w:p>
    <w:p>
      <w:pPr>
        <w:pStyle w:val="5"/>
        <w:rPr>
          <w:rFonts w:hint="eastAsia"/>
        </w:rPr>
      </w:pPr>
      <w:bookmarkStart w:id="151" w:name="_Toc18466"/>
      <w:bookmarkStart w:id="152" w:name="_Toc14427254"/>
      <w:bookmarkStart w:id="153" w:name="_Toc530152522"/>
      <w:bookmarkStart w:id="154" w:name="_Toc529280581"/>
      <w:r>
        <w:rPr>
          <w:rFonts w:hint="eastAsia"/>
        </w:rPr>
        <w:t>第一章 总则</w:t>
      </w:r>
      <w:bookmarkEnd w:id="151"/>
      <w:bookmarkEnd w:id="152"/>
      <w:bookmarkEnd w:id="153"/>
      <w:bookmarkEnd w:id="154"/>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55" w:name="_Toc530152523"/>
      <w:bookmarkStart w:id="156" w:name="_Toc14427255"/>
      <w:bookmarkStart w:id="157" w:name="_Toc10191"/>
      <w:bookmarkStart w:id="158" w:name="_Toc529280582"/>
      <w:r>
        <w:rPr>
          <w:rFonts w:hint="eastAsia"/>
        </w:rPr>
        <w:t>第二章 招标文件</w:t>
      </w:r>
      <w:bookmarkEnd w:id="155"/>
      <w:bookmarkEnd w:id="156"/>
      <w:bookmarkEnd w:id="157"/>
      <w:bookmarkEnd w:id="158"/>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59" w:name="_Toc15015"/>
      <w:bookmarkStart w:id="160" w:name="_Toc14427256"/>
      <w:bookmarkStart w:id="161" w:name="_Toc530152524"/>
      <w:bookmarkStart w:id="162" w:name="_Toc529280583"/>
      <w:r>
        <w:rPr>
          <w:rFonts w:hint="eastAsia"/>
        </w:rPr>
        <w:t>第三章 投标文件的编制与递交</w:t>
      </w:r>
      <w:bookmarkEnd w:id="159"/>
      <w:bookmarkEnd w:id="160"/>
      <w:bookmarkEnd w:id="161"/>
      <w:bookmarkEnd w:id="162"/>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w:t>
      </w:r>
      <w:bookmarkStart w:id="163" w:name="_Hlk180015173"/>
      <w:r>
        <w:rPr>
          <w:rFonts w:hint="eastAsia"/>
          <w:b/>
          <w:bCs/>
          <w:szCs w:val="21"/>
        </w:rPr>
        <w:t>或U盘一个</w:t>
      </w:r>
      <w:bookmarkEnd w:id="163"/>
      <w:r>
        <w:rPr>
          <w:rFonts w:hint="eastAsia"/>
          <w:b/>
          <w:bCs/>
          <w:szCs w:val="21"/>
        </w:rPr>
        <w:t>（</w:t>
      </w:r>
      <w:bookmarkStart w:id="164" w:name="_Hlk180015185"/>
      <w:r>
        <w:rPr>
          <w:rFonts w:hint="eastAsia"/>
          <w:b/>
          <w:bCs/>
          <w:szCs w:val="21"/>
        </w:rPr>
        <w:t>WORD及</w:t>
      </w:r>
      <w:bookmarkEnd w:id="164"/>
      <w:r>
        <w:rPr>
          <w:rFonts w:hint="eastAsia"/>
          <w:b/>
          <w:bCs/>
          <w:szCs w:val="21"/>
        </w:rPr>
        <w:t>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65" w:name="_Toc14427257"/>
      <w:bookmarkStart w:id="166" w:name="_Toc530152525"/>
      <w:bookmarkStart w:id="167" w:name="_Toc18415"/>
      <w:bookmarkStart w:id="168" w:name="_Toc529280584"/>
      <w:r>
        <w:rPr>
          <w:rFonts w:hint="eastAsia"/>
        </w:rPr>
        <w:t>第四章 开标</w:t>
      </w:r>
      <w:bookmarkEnd w:id="165"/>
      <w:bookmarkEnd w:id="166"/>
      <w:bookmarkEnd w:id="167"/>
      <w:bookmarkEnd w:id="168"/>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69" w:name="_Toc530152526"/>
      <w:bookmarkStart w:id="170" w:name="_Toc14427258"/>
      <w:bookmarkStart w:id="171" w:name="_Toc31833"/>
      <w:bookmarkStart w:id="172" w:name="_Toc529280585"/>
      <w:r>
        <w:rPr>
          <w:rFonts w:hint="eastAsia"/>
        </w:rPr>
        <w:t>第五章 评标要求</w:t>
      </w:r>
      <w:bookmarkEnd w:id="169"/>
      <w:bookmarkEnd w:id="170"/>
      <w:bookmarkEnd w:id="171"/>
      <w:bookmarkEnd w:id="172"/>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73" w:name="_Toc529280586"/>
      <w:bookmarkStart w:id="174" w:name="_Toc14427259"/>
      <w:bookmarkStart w:id="175" w:name="_Toc530152527"/>
      <w:bookmarkStart w:id="176" w:name="_Toc329"/>
      <w:r>
        <w:rPr>
          <w:rFonts w:hint="eastAsia"/>
        </w:rPr>
        <w:t>第六章 评标程序及评标方法</w:t>
      </w:r>
      <w:bookmarkEnd w:id="173"/>
      <w:bookmarkEnd w:id="174"/>
      <w:bookmarkEnd w:id="175"/>
      <w:bookmarkEnd w:id="176"/>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77" w:name="_Toc529280587"/>
      <w:bookmarkStart w:id="178" w:name="_Toc14427260"/>
      <w:bookmarkStart w:id="179" w:name="_Toc530152528"/>
      <w:bookmarkStart w:id="180" w:name="_Toc10018"/>
      <w:r>
        <w:rPr>
          <w:rFonts w:hint="eastAsia"/>
        </w:rPr>
        <w:t>第七章 定标及公示</w:t>
      </w:r>
      <w:bookmarkEnd w:id="177"/>
      <w:bookmarkEnd w:id="178"/>
      <w:bookmarkEnd w:id="179"/>
      <w:bookmarkEnd w:id="180"/>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w:t>
      </w:r>
      <w:bookmarkStart w:id="181" w:name="_Hlk180015219"/>
      <w:r>
        <w:rPr>
          <w:rFonts w:hint="eastAsia"/>
        </w:rPr>
        <w:t>、中国政府采购网（http://www.ccgp.gov.cn）</w:t>
      </w:r>
      <w:bookmarkEnd w:id="181"/>
      <w:r>
        <w:rPr>
          <w:rFonts w:hint="eastAsia"/>
        </w:rPr>
        <w:t>、采购代理机构官网：（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82" w:name="_Toc1549"/>
      <w:bookmarkStart w:id="183" w:name="_Toc529280588"/>
      <w:bookmarkStart w:id="184" w:name="_Toc530152529"/>
      <w:bookmarkStart w:id="185" w:name="_Toc14427261"/>
      <w:r>
        <w:rPr>
          <w:rFonts w:hint="eastAsia"/>
        </w:rPr>
        <w:t>第八章 公开招标失败的后续处理</w:t>
      </w:r>
      <w:bookmarkEnd w:id="182"/>
      <w:bookmarkEnd w:id="183"/>
      <w:bookmarkEnd w:id="184"/>
      <w:bookmarkEnd w:id="185"/>
    </w:p>
    <w:p>
      <w:pPr>
        <w:rPr>
          <w:rFonts w:hAnsi="Times New Roman"/>
        </w:rPr>
      </w:pPr>
      <w:r>
        <w:rPr>
          <w:rFonts w:hint="eastAsia"/>
        </w:rPr>
        <w:t>43．公开招标失败的处理</w:t>
      </w:r>
    </w:p>
    <w:p>
      <w:pPr>
        <w:rPr>
          <w:rFonts w:hint="eastAsia"/>
          <w:szCs w:val="21"/>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86" w:name="_Toc27804"/>
      <w:bookmarkStart w:id="187" w:name="_Toc530152530"/>
      <w:bookmarkStart w:id="188" w:name="_Toc14427262"/>
      <w:bookmarkStart w:id="189" w:name="_Toc529280589"/>
      <w:r>
        <w:rPr>
          <w:rFonts w:hint="eastAsia"/>
        </w:rPr>
        <w:t>第九章 合同的授予与备案</w:t>
      </w:r>
      <w:bookmarkEnd w:id="186"/>
      <w:bookmarkEnd w:id="187"/>
      <w:bookmarkEnd w:id="188"/>
      <w:bookmarkEnd w:id="189"/>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90" w:name="_Toc14427263"/>
      <w:bookmarkStart w:id="191" w:name="_Toc530152531"/>
      <w:bookmarkStart w:id="192" w:name="_Toc529280590"/>
      <w:bookmarkStart w:id="193" w:name="_Toc4334"/>
      <w:r>
        <w:rPr>
          <w:rFonts w:hint="eastAsia"/>
        </w:rPr>
        <w:t>第十章 质疑受理</w:t>
      </w:r>
      <w:bookmarkEnd w:id="190"/>
      <w:bookmarkEnd w:id="191"/>
      <w:bookmarkEnd w:id="192"/>
      <w:bookmarkEnd w:id="193"/>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194" w:name="_Toc14427264"/>
      <w:bookmarkStart w:id="195" w:name="_Toc3627284"/>
      <w:bookmarkStart w:id="196" w:name="_Toc13862"/>
      <w:r>
        <w:rPr>
          <w:rFonts w:hint="eastAsia"/>
        </w:rPr>
        <w:t>招标代理服务取费说明</w:t>
      </w:r>
      <w:bookmarkEnd w:id="194"/>
      <w:bookmarkEnd w:id="195"/>
      <w:bookmarkEnd w:id="196"/>
    </w:p>
    <w:p>
      <w:pPr>
        <w:tabs>
          <w:tab w:val="clear" w:pos="426"/>
        </w:tabs>
        <w:ind w:firstLine="440" w:firstLineChars="200"/>
        <w:rPr>
          <w:rFonts w:hint="eastAsia"/>
          <w:sz w:val="22"/>
        </w:rPr>
      </w:pPr>
      <w:r>
        <w:rPr>
          <w:rFonts w:hint="eastAsia"/>
          <w:sz w:val="22"/>
        </w:rPr>
        <w:t xml:space="preserve">招标代理服务收费以各包中标金额为计算基数，按差额定率累进法计算，向各包中标供应商收取，收费标准如下表所列：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以某包5000万项目货物类招标为例：</w:t>
      </w:r>
    </w:p>
    <w:p>
      <w:pPr>
        <w:tabs>
          <w:tab w:val="clear" w:pos="426"/>
        </w:tabs>
        <w:ind w:left="424" w:leftChars="202" w:firstLine="440" w:firstLineChars="200"/>
        <w:rPr>
          <w:rFonts w:hint="eastAsia"/>
          <w:sz w:val="22"/>
        </w:rPr>
      </w:pPr>
      <w:r>
        <w:rPr>
          <w:rFonts w:hint="eastAsia"/>
          <w:sz w:val="22"/>
        </w:rPr>
        <w:t>该包计算基准价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因此，该包招标代理服务费为：1.5+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p>
      <w:pPr>
        <w:rPr>
          <w:rFonts w:hint="eastAsia"/>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38</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9C1"/>
    <w:rsid w:val="00075C4A"/>
    <w:rsid w:val="00076BF2"/>
    <w:rsid w:val="00076D0C"/>
    <w:rsid w:val="00076EDC"/>
    <w:rsid w:val="00077188"/>
    <w:rsid w:val="00077784"/>
    <w:rsid w:val="00080925"/>
    <w:rsid w:val="00080BBB"/>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0C76"/>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3AC"/>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91C"/>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A71"/>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9E0"/>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BED"/>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3A36"/>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47"/>
    <w:rsid w:val="002341F6"/>
    <w:rsid w:val="0023440D"/>
    <w:rsid w:val="002347B1"/>
    <w:rsid w:val="00234DDE"/>
    <w:rsid w:val="0023552A"/>
    <w:rsid w:val="00235A21"/>
    <w:rsid w:val="00235D25"/>
    <w:rsid w:val="00235E13"/>
    <w:rsid w:val="002365B5"/>
    <w:rsid w:val="0023694C"/>
    <w:rsid w:val="002369A0"/>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40"/>
    <w:rsid w:val="00246CCD"/>
    <w:rsid w:val="0024727D"/>
    <w:rsid w:val="002478E5"/>
    <w:rsid w:val="00247C53"/>
    <w:rsid w:val="0025073C"/>
    <w:rsid w:val="00250F42"/>
    <w:rsid w:val="00250FD2"/>
    <w:rsid w:val="00251A8F"/>
    <w:rsid w:val="002529C2"/>
    <w:rsid w:val="00253EA0"/>
    <w:rsid w:val="0025434B"/>
    <w:rsid w:val="00254439"/>
    <w:rsid w:val="002545F4"/>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6AE"/>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AF3"/>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975"/>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33D"/>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4A9"/>
    <w:rsid w:val="00325742"/>
    <w:rsid w:val="00325B63"/>
    <w:rsid w:val="00326196"/>
    <w:rsid w:val="00326240"/>
    <w:rsid w:val="003278A1"/>
    <w:rsid w:val="00327909"/>
    <w:rsid w:val="0032791F"/>
    <w:rsid w:val="00327988"/>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72D"/>
    <w:rsid w:val="00384F9D"/>
    <w:rsid w:val="00384FED"/>
    <w:rsid w:val="0038564A"/>
    <w:rsid w:val="0038576C"/>
    <w:rsid w:val="00385800"/>
    <w:rsid w:val="00385B99"/>
    <w:rsid w:val="00385F39"/>
    <w:rsid w:val="0038680B"/>
    <w:rsid w:val="003872D0"/>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8CB"/>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2E"/>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EF9"/>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552"/>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7DA"/>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646"/>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4F11"/>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BA9"/>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461E"/>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6D9"/>
    <w:rsid w:val="00571718"/>
    <w:rsid w:val="0057178D"/>
    <w:rsid w:val="00571D59"/>
    <w:rsid w:val="00571DED"/>
    <w:rsid w:val="00571F91"/>
    <w:rsid w:val="005725C5"/>
    <w:rsid w:val="00572CF9"/>
    <w:rsid w:val="00572E3E"/>
    <w:rsid w:val="00573335"/>
    <w:rsid w:val="00573345"/>
    <w:rsid w:val="00573619"/>
    <w:rsid w:val="005737F5"/>
    <w:rsid w:val="00573C85"/>
    <w:rsid w:val="005740BB"/>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39C"/>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B84"/>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43"/>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CD4"/>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A1F"/>
    <w:rsid w:val="00640F42"/>
    <w:rsid w:val="006411E4"/>
    <w:rsid w:val="0064140B"/>
    <w:rsid w:val="006415C7"/>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B5"/>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835"/>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8DF"/>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867"/>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285"/>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2BE0"/>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78A"/>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E4"/>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56C"/>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2F80"/>
    <w:rsid w:val="007E329D"/>
    <w:rsid w:val="007E3474"/>
    <w:rsid w:val="007E35DC"/>
    <w:rsid w:val="007E39E7"/>
    <w:rsid w:val="007E3D35"/>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61B"/>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04DB"/>
    <w:rsid w:val="0081138B"/>
    <w:rsid w:val="00811D31"/>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D57"/>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8C3"/>
    <w:rsid w:val="008C6EB6"/>
    <w:rsid w:val="008C725D"/>
    <w:rsid w:val="008C743F"/>
    <w:rsid w:val="008C74C6"/>
    <w:rsid w:val="008C769B"/>
    <w:rsid w:val="008C76BF"/>
    <w:rsid w:val="008C7741"/>
    <w:rsid w:val="008C7752"/>
    <w:rsid w:val="008C7868"/>
    <w:rsid w:val="008C7883"/>
    <w:rsid w:val="008C78F9"/>
    <w:rsid w:val="008C7B5C"/>
    <w:rsid w:val="008C7C3A"/>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42F"/>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3846"/>
    <w:rsid w:val="00974105"/>
    <w:rsid w:val="00974795"/>
    <w:rsid w:val="00974B4D"/>
    <w:rsid w:val="00975C75"/>
    <w:rsid w:val="009761BB"/>
    <w:rsid w:val="00976390"/>
    <w:rsid w:val="00976582"/>
    <w:rsid w:val="0097766C"/>
    <w:rsid w:val="00977BCA"/>
    <w:rsid w:val="0098054A"/>
    <w:rsid w:val="009806FB"/>
    <w:rsid w:val="009809DE"/>
    <w:rsid w:val="00981000"/>
    <w:rsid w:val="0098177A"/>
    <w:rsid w:val="00981839"/>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BEA"/>
    <w:rsid w:val="00997F31"/>
    <w:rsid w:val="009A09B4"/>
    <w:rsid w:val="009A10A4"/>
    <w:rsid w:val="009A1411"/>
    <w:rsid w:val="009A1CD8"/>
    <w:rsid w:val="009A1F0C"/>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803"/>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B0C"/>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6A7"/>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A8C"/>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0F3"/>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52F"/>
    <w:rsid w:val="00AD79BB"/>
    <w:rsid w:val="00AD7D7F"/>
    <w:rsid w:val="00AE00CA"/>
    <w:rsid w:val="00AE0C89"/>
    <w:rsid w:val="00AE10C4"/>
    <w:rsid w:val="00AE1197"/>
    <w:rsid w:val="00AE1524"/>
    <w:rsid w:val="00AE1AE1"/>
    <w:rsid w:val="00AE254F"/>
    <w:rsid w:val="00AE260E"/>
    <w:rsid w:val="00AE2C77"/>
    <w:rsid w:val="00AE2D01"/>
    <w:rsid w:val="00AE2DF4"/>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16E8"/>
    <w:rsid w:val="00AF21D7"/>
    <w:rsid w:val="00AF222F"/>
    <w:rsid w:val="00AF2893"/>
    <w:rsid w:val="00AF28EB"/>
    <w:rsid w:val="00AF2ED6"/>
    <w:rsid w:val="00AF3178"/>
    <w:rsid w:val="00AF36B6"/>
    <w:rsid w:val="00AF36BA"/>
    <w:rsid w:val="00AF388E"/>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5AA1"/>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00F"/>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C2D"/>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56A"/>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095"/>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7C2"/>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3B6"/>
    <w:rsid w:val="00C35DE8"/>
    <w:rsid w:val="00C3608B"/>
    <w:rsid w:val="00C36203"/>
    <w:rsid w:val="00C3647A"/>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BCB"/>
    <w:rsid w:val="00C46D3E"/>
    <w:rsid w:val="00C46FE3"/>
    <w:rsid w:val="00C473E7"/>
    <w:rsid w:val="00C47435"/>
    <w:rsid w:val="00C47478"/>
    <w:rsid w:val="00C47BD2"/>
    <w:rsid w:val="00C47EBB"/>
    <w:rsid w:val="00C50B75"/>
    <w:rsid w:val="00C50DFC"/>
    <w:rsid w:val="00C5135F"/>
    <w:rsid w:val="00C51880"/>
    <w:rsid w:val="00C51FA8"/>
    <w:rsid w:val="00C51FF0"/>
    <w:rsid w:val="00C52031"/>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518"/>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3C37"/>
    <w:rsid w:val="00DE3E77"/>
    <w:rsid w:val="00DE4051"/>
    <w:rsid w:val="00DE4502"/>
    <w:rsid w:val="00DE4638"/>
    <w:rsid w:val="00DE4651"/>
    <w:rsid w:val="00DE4983"/>
    <w:rsid w:val="00DE6564"/>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0E4"/>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3DBB"/>
    <w:rsid w:val="00E540EA"/>
    <w:rsid w:val="00E55339"/>
    <w:rsid w:val="00E55538"/>
    <w:rsid w:val="00E55ADF"/>
    <w:rsid w:val="00E55B54"/>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A1B"/>
    <w:rsid w:val="00E83C5F"/>
    <w:rsid w:val="00E84955"/>
    <w:rsid w:val="00E84D64"/>
    <w:rsid w:val="00E8543E"/>
    <w:rsid w:val="00E855CE"/>
    <w:rsid w:val="00E8607A"/>
    <w:rsid w:val="00E8623F"/>
    <w:rsid w:val="00E8704B"/>
    <w:rsid w:val="00E87079"/>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CC1"/>
    <w:rsid w:val="00EA0D79"/>
    <w:rsid w:val="00EA0E71"/>
    <w:rsid w:val="00EA175D"/>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50E"/>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CF"/>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823"/>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A7D"/>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88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1F32AE7"/>
    <w:rsid w:val="024F656F"/>
    <w:rsid w:val="028B29C6"/>
    <w:rsid w:val="03125B78"/>
    <w:rsid w:val="0378292B"/>
    <w:rsid w:val="043A73AD"/>
    <w:rsid w:val="054B711F"/>
    <w:rsid w:val="05B9677F"/>
    <w:rsid w:val="05D9038E"/>
    <w:rsid w:val="06507E65"/>
    <w:rsid w:val="06B55883"/>
    <w:rsid w:val="06C44ED8"/>
    <w:rsid w:val="07574D9C"/>
    <w:rsid w:val="07DE090C"/>
    <w:rsid w:val="08290F2E"/>
    <w:rsid w:val="084E7AD1"/>
    <w:rsid w:val="085F1E58"/>
    <w:rsid w:val="08E7715F"/>
    <w:rsid w:val="08EE6740"/>
    <w:rsid w:val="0906165B"/>
    <w:rsid w:val="09300E18"/>
    <w:rsid w:val="09371E95"/>
    <w:rsid w:val="09581E0B"/>
    <w:rsid w:val="09647D8F"/>
    <w:rsid w:val="0A026946"/>
    <w:rsid w:val="0A1F007C"/>
    <w:rsid w:val="0A2362C0"/>
    <w:rsid w:val="0A2A7FE0"/>
    <w:rsid w:val="0A410AF1"/>
    <w:rsid w:val="0A577F3B"/>
    <w:rsid w:val="0A777171"/>
    <w:rsid w:val="0A856C30"/>
    <w:rsid w:val="0AF0634E"/>
    <w:rsid w:val="0B6D4760"/>
    <w:rsid w:val="0B8339ED"/>
    <w:rsid w:val="0C290BC7"/>
    <w:rsid w:val="0CA737D5"/>
    <w:rsid w:val="0CBB6000"/>
    <w:rsid w:val="0CCE34EE"/>
    <w:rsid w:val="0CE410C9"/>
    <w:rsid w:val="0D1501C9"/>
    <w:rsid w:val="0D4B14D3"/>
    <w:rsid w:val="0E165CA5"/>
    <w:rsid w:val="0E21353B"/>
    <w:rsid w:val="0E4842B3"/>
    <w:rsid w:val="0EA80944"/>
    <w:rsid w:val="0EC20200"/>
    <w:rsid w:val="0F113188"/>
    <w:rsid w:val="0FC1695C"/>
    <w:rsid w:val="0FD06B9F"/>
    <w:rsid w:val="10046336"/>
    <w:rsid w:val="10190EEA"/>
    <w:rsid w:val="11061043"/>
    <w:rsid w:val="11144CCC"/>
    <w:rsid w:val="11421D1E"/>
    <w:rsid w:val="115832F0"/>
    <w:rsid w:val="11936D99"/>
    <w:rsid w:val="119500A0"/>
    <w:rsid w:val="1238019B"/>
    <w:rsid w:val="12803108"/>
    <w:rsid w:val="13377E8D"/>
    <w:rsid w:val="13613ABC"/>
    <w:rsid w:val="13655850"/>
    <w:rsid w:val="13857CA0"/>
    <w:rsid w:val="139A265D"/>
    <w:rsid w:val="13C52DC7"/>
    <w:rsid w:val="14185704"/>
    <w:rsid w:val="14535FF1"/>
    <w:rsid w:val="1473228E"/>
    <w:rsid w:val="14C33176"/>
    <w:rsid w:val="14C57B77"/>
    <w:rsid w:val="14CC7C00"/>
    <w:rsid w:val="14D27A24"/>
    <w:rsid w:val="15671D54"/>
    <w:rsid w:val="161D2A4D"/>
    <w:rsid w:val="16426A1B"/>
    <w:rsid w:val="16A973E8"/>
    <w:rsid w:val="1717516A"/>
    <w:rsid w:val="172911EC"/>
    <w:rsid w:val="173F6692"/>
    <w:rsid w:val="17E82DB7"/>
    <w:rsid w:val="184110C0"/>
    <w:rsid w:val="189F35B2"/>
    <w:rsid w:val="18C92972"/>
    <w:rsid w:val="1A9F789A"/>
    <w:rsid w:val="1AA87BD2"/>
    <w:rsid w:val="1C263325"/>
    <w:rsid w:val="1CE94878"/>
    <w:rsid w:val="1D0B5F74"/>
    <w:rsid w:val="1D790876"/>
    <w:rsid w:val="1E2C09AB"/>
    <w:rsid w:val="1E935967"/>
    <w:rsid w:val="1EE47F71"/>
    <w:rsid w:val="1FD40BF1"/>
    <w:rsid w:val="20261070"/>
    <w:rsid w:val="205F23C3"/>
    <w:rsid w:val="20B61DE1"/>
    <w:rsid w:val="20D74DDE"/>
    <w:rsid w:val="20D84460"/>
    <w:rsid w:val="20F55B55"/>
    <w:rsid w:val="217B030D"/>
    <w:rsid w:val="218B501C"/>
    <w:rsid w:val="22486A69"/>
    <w:rsid w:val="22F34C27"/>
    <w:rsid w:val="23FA5EFD"/>
    <w:rsid w:val="242179DA"/>
    <w:rsid w:val="246761DA"/>
    <w:rsid w:val="24B20421"/>
    <w:rsid w:val="25A6613C"/>
    <w:rsid w:val="25B05051"/>
    <w:rsid w:val="25F932B3"/>
    <w:rsid w:val="26692359"/>
    <w:rsid w:val="270277E7"/>
    <w:rsid w:val="27B16E5E"/>
    <w:rsid w:val="27B256B8"/>
    <w:rsid w:val="281335CC"/>
    <w:rsid w:val="28550131"/>
    <w:rsid w:val="288325A9"/>
    <w:rsid w:val="289E3C55"/>
    <w:rsid w:val="28CC3239"/>
    <w:rsid w:val="292672D4"/>
    <w:rsid w:val="298A5504"/>
    <w:rsid w:val="2AF8398E"/>
    <w:rsid w:val="2AFB4FC0"/>
    <w:rsid w:val="2B3050F9"/>
    <w:rsid w:val="2B696A33"/>
    <w:rsid w:val="2C051F5E"/>
    <w:rsid w:val="2CF84D34"/>
    <w:rsid w:val="2D6A3F24"/>
    <w:rsid w:val="2D716A26"/>
    <w:rsid w:val="2DE83A3A"/>
    <w:rsid w:val="2DFC4DDB"/>
    <w:rsid w:val="2E1F5933"/>
    <w:rsid w:val="2E513789"/>
    <w:rsid w:val="2E782484"/>
    <w:rsid w:val="2EC767E9"/>
    <w:rsid w:val="2F2B1BEC"/>
    <w:rsid w:val="2F7013AD"/>
    <w:rsid w:val="2FC76FBB"/>
    <w:rsid w:val="308A5DD7"/>
    <w:rsid w:val="30CD0FD2"/>
    <w:rsid w:val="319B1E4E"/>
    <w:rsid w:val="31D37F49"/>
    <w:rsid w:val="321D6FE5"/>
    <w:rsid w:val="324F174E"/>
    <w:rsid w:val="32AC6B69"/>
    <w:rsid w:val="33376F4A"/>
    <w:rsid w:val="33EE38EC"/>
    <w:rsid w:val="34065991"/>
    <w:rsid w:val="34B424E6"/>
    <w:rsid w:val="34CF7D73"/>
    <w:rsid w:val="34E268A9"/>
    <w:rsid w:val="3529272A"/>
    <w:rsid w:val="35A563B0"/>
    <w:rsid w:val="36002765"/>
    <w:rsid w:val="3667350A"/>
    <w:rsid w:val="3686688B"/>
    <w:rsid w:val="36EB330F"/>
    <w:rsid w:val="375D2B5F"/>
    <w:rsid w:val="37B502A5"/>
    <w:rsid w:val="37BE0F45"/>
    <w:rsid w:val="380B09E4"/>
    <w:rsid w:val="38C22C79"/>
    <w:rsid w:val="38F13B07"/>
    <w:rsid w:val="39346C81"/>
    <w:rsid w:val="3A4E1641"/>
    <w:rsid w:val="3A5E2E76"/>
    <w:rsid w:val="3A881CA1"/>
    <w:rsid w:val="3A8D5671"/>
    <w:rsid w:val="3A92126D"/>
    <w:rsid w:val="3A932EBB"/>
    <w:rsid w:val="3C51415E"/>
    <w:rsid w:val="3C94492D"/>
    <w:rsid w:val="3D0F2205"/>
    <w:rsid w:val="3D5C388A"/>
    <w:rsid w:val="3D842BF3"/>
    <w:rsid w:val="3D8F3346"/>
    <w:rsid w:val="3E1C2E2C"/>
    <w:rsid w:val="3EA15EE7"/>
    <w:rsid w:val="3EA710F9"/>
    <w:rsid w:val="3F0F2990"/>
    <w:rsid w:val="3F227025"/>
    <w:rsid w:val="4099592E"/>
    <w:rsid w:val="41173D7E"/>
    <w:rsid w:val="414904A5"/>
    <w:rsid w:val="442055BD"/>
    <w:rsid w:val="44CD2405"/>
    <w:rsid w:val="453666E3"/>
    <w:rsid w:val="45EF7078"/>
    <w:rsid w:val="46D324F5"/>
    <w:rsid w:val="46F55035"/>
    <w:rsid w:val="47316E2A"/>
    <w:rsid w:val="47501768"/>
    <w:rsid w:val="475950F1"/>
    <w:rsid w:val="47641DC7"/>
    <w:rsid w:val="47651B77"/>
    <w:rsid w:val="478974E3"/>
    <w:rsid w:val="47995DCD"/>
    <w:rsid w:val="47F72214"/>
    <w:rsid w:val="47FB61A8"/>
    <w:rsid w:val="487B4BF3"/>
    <w:rsid w:val="48967C7F"/>
    <w:rsid w:val="48A4054C"/>
    <w:rsid w:val="48B87BF5"/>
    <w:rsid w:val="48EE5C03"/>
    <w:rsid w:val="493D129C"/>
    <w:rsid w:val="49E65525"/>
    <w:rsid w:val="4A673681"/>
    <w:rsid w:val="4A9D1E36"/>
    <w:rsid w:val="4AB3357B"/>
    <w:rsid w:val="4B306276"/>
    <w:rsid w:val="4BCE29F7"/>
    <w:rsid w:val="4BD765E4"/>
    <w:rsid w:val="4D3A37DB"/>
    <w:rsid w:val="4D6009E5"/>
    <w:rsid w:val="4DB415C8"/>
    <w:rsid w:val="4E74636C"/>
    <w:rsid w:val="4ED43CAB"/>
    <w:rsid w:val="4F7379C3"/>
    <w:rsid w:val="4FC95A80"/>
    <w:rsid w:val="4FD80B7D"/>
    <w:rsid w:val="500F5A41"/>
    <w:rsid w:val="50642410"/>
    <w:rsid w:val="50B21982"/>
    <w:rsid w:val="511E278C"/>
    <w:rsid w:val="51423D9D"/>
    <w:rsid w:val="528523B0"/>
    <w:rsid w:val="535D0132"/>
    <w:rsid w:val="541C0E3A"/>
    <w:rsid w:val="54437D45"/>
    <w:rsid w:val="54A15393"/>
    <w:rsid w:val="55435BC2"/>
    <w:rsid w:val="55540A0D"/>
    <w:rsid w:val="555E7D76"/>
    <w:rsid w:val="55BF2DE9"/>
    <w:rsid w:val="56113491"/>
    <w:rsid w:val="56E821B5"/>
    <w:rsid w:val="57107C5B"/>
    <w:rsid w:val="57664335"/>
    <w:rsid w:val="57751C2F"/>
    <w:rsid w:val="582941A3"/>
    <w:rsid w:val="58626CF5"/>
    <w:rsid w:val="586316C4"/>
    <w:rsid w:val="58684954"/>
    <w:rsid w:val="58A0024F"/>
    <w:rsid w:val="594159E5"/>
    <w:rsid w:val="59A844E3"/>
    <w:rsid w:val="5A153E74"/>
    <w:rsid w:val="5ABA3CA0"/>
    <w:rsid w:val="5AE8674D"/>
    <w:rsid w:val="5B370E4D"/>
    <w:rsid w:val="5BBC1352"/>
    <w:rsid w:val="5BE96B00"/>
    <w:rsid w:val="5C0F231B"/>
    <w:rsid w:val="5C621EFA"/>
    <w:rsid w:val="5C7D5034"/>
    <w:rsid w:val="5D2A46BB"/>
    <w:rsid w:val="5D481B17"/>
    <w:rsid w:val="5D6D2855"/>
    <w:rsid w:val="5DC74F93"/>
    <w:rsid w:val="5DEA73A2"/>
    <w:rsid w:val="5E0E772A"/>
    <w:rsid w:val="5E362F0B"/>
    <w:rsid w:val="5E9D190F"/>
    <w:rsid w:val="5F051C85"/>
    <w:rsid w:val="5F0E693E"/>
    <w:rsid w:val="5FAE0E5F"/>
    <w:rsid w:val="6014175D"/>
    <w:rsid w:val="60997EB4"/>
    <w:rsid w:val="60CC2038"/>
    <w:rsid w:val="60ED3B56"/>
    <w:rsid w:val="610F0176"/>
    <w:rsid w:val="61477910"/>
    <w:rsid w:val="61720DAB"/>
    <w:rsid w:val="61C03E43"/>
    <w:rsid w:val="6266098E"/>
    <w:rsid w:val="6283706E"/>
    <w:rsid w:val="629D1EDE"/>
    <w:rsid w:val="62A911C3"/>
    <w:rsid w:val="62AB2E4B"/>
    <w:rsid w:val="63251ED3"/>
    <w:rsid w:val="635665E4"/>
    <w:rsid w:val="63927420"/>
    <w:rsid w:val="646C194A"/>
    <w:rsid w:val="646D1D84"/>
    <w:rsid w:val="653C352F"/>
    <w:rsid w:val="65D06126"/>
    <w:rsid w:val="661F65EF"/>
    <w:rsid w:val="66301079"/>
    <w:rsid w:val="66666A8A"/>
    <w:rsid w:val="66680A54"/>
    <w:rsid w:val="66794A10"/>
    <w:rsid w:val="668F4233"/>
    <w:rsid w:val="677129C5"/>
    <w:rsid w:val="67B87541"/>
    <w:rsid w:val="68080E6A"/>
    <w:rsid w:val="680C4CB4"/>
    <w:rsid w:val="686B482C"/>
    <w:rsid w:val="68D76D7C"/>
    <w:rsid w:val="694E2184"/>
    <w:rsid w:val="69942B10"/>
    <w:rsid w:val="6A46671D"/>
    <w:rsid w:val="6A923CF1"/>
    <w:rsid w:val="6B064398"/>
    <w:rsid w:val="6B105217"/>
    <w:rsid w:val="6B387DCC"/>
    <w:rsid w:val="6BA11F09"/>
    <w:rsid w:val="6C101852"/>
    <w:rsid w:val="6C1E3A57"/>
    <w:rsid w:val="6C26490D"/>
    <w:rsid w:val="6C946514"/>
    <w:rsid w:val="6CBC6118"/>
    <w:rsid w:val="6CCD080F"/>
    <w:rsid w:val="6CD56718"/>
    <w:rsid w:val="6CE557BD"/>
    <w:rsid w:val="6D837F22"/>
    <w:rsid w:val="6DEC3D19"/>
    <w:rsid w:val="6E3F653F"/>
    <w:rsid w:val="6E4448A1"/>
    <w:rsid w:val="6EB02F99"/>
    <w:rsid w:val="6EFA2466"/>
    <w:rsid w:val="6F7748A7"/>
    <w:rsid w:val="6F8739CA"/>
    <w:rsid w:val="700A0487"/>
    <w:rsid w:val="706109EE"/>
    <w:rsid w:val="706202C3"/>
    <w:rsid w:val="70B56644"/>
    <w:rsid w:val="70CC1BE0"/>
    <w:rsid w:val="713E4EC0"/>
    <w:rsid w:val="71551BD5"/>
    <w:rsid w:val="71601728"/>
    <w:rsid w:val="716474BA"/>
    <w:rsid w:val="717A163C"/>
    <w:rsid w:val="71916451"/>
    <w:rsid w:val="72534E9D"/>
    <w:rsid w:val="72AF5315"/>
    <w:rsid w:val="731437CB"/>
    <w:rsid w:val="73155BD6"/>
    <w:rsid w:val="73267CCD"/>
    <w:rsid w:val="73564D4D"/>
    <w:rsid w:val="73AB60DD"/>
    <w:rsid w:val="74867B76"/>
    <w:rsid w:val="7530273D"/>
    <w:rsid w:val="75471C28"/>
    <w:rsid w:val="757F07CF"/>
    <w:rsid w:val="75CC7809"/>
    <w:rsid w:val="76036E05"/>
    <w:rsid w:val="76083B2D"/>
    <w:rsid w:val="76BF71EE"/>
    <w:rsid w:val="77562203"/>
    <w:rsid w:val="77675C2A"/>
    <w:rsid w:val="796F65E1"/>
    <w:rsid w:val="79E157E7"/>
    <w:rsid w:val="7A5C5D83"/>
    <w:rsid w:val="7C6525CC"/>
    <w:rsid w:val="7C7326A1"/>
    <w:rsid w:val="7CA26617"/>
    <w:rsid w:val="7CEA1D6C"/>
    <w:rsid w:val="7D225061"/>
    <w:rsid w:val="7D4F4AFF"/>
    <w:rsid w:val="7DC607F5"/>
    <w:rsid w:val="7DEE13E8"/>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paragraph" w:customStyle="1" w:styleId="641">
    <w:name w:val="修订16"/>
    <w:hidden/>
    <w:unhideWhenUsed/>
    <w:qFormat/>
    <w:uiPriority w:val="99"/>
    <w:rPr>
      <w:rFonts w:ascii="宋体" w:hAnsi="宋体" w:eastAsia="宋体" w:cs="宋体"/>
      <w:sz w:val="21"/>
      <w:szCs w:val="24"/>
      <w:lang w:val="en-US" w:eastAsia="zh-CN" w:bidi="ar-SA"/>
    </w:rPr>
  </w:style>
  <w:style w:type="paragraph" w:customStyle="1" w:styleId="642">
    <w:name w:val="Revision"/>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A0CD-1633-4277-A8BF-A76EAAD4F4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63454</Words>
  <Characters>70291</Characters>
  <Lines>551</Lines>
  <Paragraphs>155</Paragraphs>
  <TotalTime>0</TotalTime>
  <ScaleCrop>false</ScaleCrop>
  <LinksUpToDate>false</LinksUpToDate>
  <CharactersWithSpaces>71287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2024-10-17T08:10:00Z</dcterms:created>
  <dc:creator>thsware</dc:creator>
  <cp:lastModifiedBy>微信用户</cp:lastModifiedBy>
  <cp:lastPrinted>2024-10-12T06:08:00Z</cp:lastPrinted>
  <dcterms:modified xsi:type="dcterms:W3CDTF">2024-10-21T10:23:50Z</dcterms:modified>
  <dc:title>招  标　文　件</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2CAA61D15224451C864DCC09A02BACD3_13</vt:lpwstr>
  </property>
</Properties>
</file>