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lear" w:pos="426"/>
        </w:tabs>
      </w:pPr>
    </w:p>
    <w:p>
      <w:pPr>
        <w:tabs>
          <w:tab w:val="clear" w:pos="426"/>
        </w:tabs>
      </w:pPr>
    </w:p>
    <w:p>
      <w:pPr>
        <w:tabs>
          <w:tab w:val="clear" w:pos="426"/>
        </w:tabs>
        <w:jc w:val="right"/>
        <w:rPr>
          <w:b/>
          <w:u w:val="single"/>
        </w:rPr>
      </w:pPr>
      <w:r>
        <w:rPr>
          <w:rFonts w:hint="eastAsia"/>
        </w:rPr>
        <w:t xml:space="preserve">                                                     项目编号：</w:t>
      </w:r>
      <w:r>
        <w:rPr>
          <w:rFonts w:hint="eastAsia"/>
          <w:b/>
          <w:u w:val="single"/>
        </w:rPr>
        <w:t>SSZX2024-382</w:t>
      </w: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jc w:val="center"/>
        <w:rPr>
          <w:rFonts w:cs="Times New Roman"/>
          <w:spacing w:val="26"/>
          <w:kern w:val="2"/>
          <w:sz w:val="72"/>
          <w:szCs w:val="20"/>
        </w:rPr>
      </w:pPr>
    </w:p>
    <w:p>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pPr>
        <w:tabs>
          <w:tab w:val="clear" w:pos="426"/>
        </w:tabs>
      </w:pPr>
    </w:p>
    <w:p>
      <w:pPr>
        <w:tabs>
          <w:tab w:val="clear" w:pos="426"/>
        </w:tabs>
      </w:pPr>
    </w:p>
    <w:p>
      <w:pPr>
        <w:tabs>
          <w:tab w:val="clear" w:pos="426"/>
        </w:tabs>
      </w:pPr>
    </w:p>
    <w:p>
      <w:pPr>
        <w:tabs>
          <w:tab w:val="clear" w:pos="426"/>
        </w:tabs>
        <w:jc w:val="center"/>
        <w:rPr>
          <w:rFonts w:ascii="黑体" w:hAnsi="Arial" w:eastAsia="黑体" w:cs="Arial"/>
          <w:sz w:val="52"/>
          <w:szCs w:val="52"/>
        </w:rPr>
      </w:pPr>
      <w:r>
        <w:rPr>
          <w:rFonts w:hint="eastAsia" w:ascii="黑体" w:hAnsi="Arial" w:eastAsia="黑体" w:cs="Arial"/>
          <w:sz w:val="52"/>
          <w:szCs w:val="52"/>
        </w:rPr>
        <w:t>【货物类】</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widowControl w:val="0"/>
        <w:shd w:val="clear" w:color="auto" w:fill="auto"/>
        <w:tabs>
          <w:tab w:val="clear" w:pos="426"/>
        </w:tabs>
        <w:adjustRightInd/>
        <w:snapToGrid/>
        <w:spacing w:line="300" w:lineRule="auto"/>
        <w:ind w:left="1798" w:leftChars="142" w:hanging="1500" w:hangingChars="500"/>
        <w:rPr>
          <w:rFonts w:cs="Times New Roman"/>
          <w:kern w:val="2"/>
          <w:sz w:val="30"/>
          <w:szCs w:val="20"/>
          <w:u w:val="single"/>
        </w:rPr>
      </w:pPr>
      <w:r>
        <w:rPr>
          <w:rFonts w:hint="eastAsia" w:cs="Times New Roman"/>
          <w:kern w:val="2"/>
          <w:sz w:val="30"/>
          <w:szCs w:val="20"/>
        </w:rPr>
        <w:t>项目名称：</w:t>
      </w:r>
      <w:r>
        <w:rPr>
          <w:rFonts w:hint="eastAsia" w:cs="Times New Roman"/>
          <w:kern w:val="2"/>
          <w:sz w:val="30"/>
          <w:szCs w:val="20"/>
          <w:u w:val="single"/>
        </w:rPr>
        <w:t>深圳海关动植物检验检疫技术中心“荧光PCR仪”设备采购项目</w:t>
      </w:r>
    </w:p>
    <w:p>
      <w:pPr>
        <w:widowControl w:val="0"/>
        <w:shd w:val="clear" w:color="auto" w:fill="auto"/>
        <w:tabs>
          <w:tab w:val="clear" w:pos="426"/>
        </w:tabs>
        <w:adjustRightInd/>
        <w:snapToGrid/>
        <w:spacing w:line="300" w:lineRule="auto"/>
        <w:ind w:left="1798" w:leftChars="142"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深圳海关动植物检验检疫技术中心</w:t>
      </w:r>
    </w:p>
    <w:p>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pPr>
        <w:widowControl w:val="0"/>
        <w:shd w:val="clear" w:color="auto" w:fill="auto"/>
        <w:tabs>
          <w:tab w:val="clear" w:pos="426"/>
        </w:tabs>
        <w:adjustRightInd/>
        <w:snapToGrid/>
        <w:spacing w:line="300" w:lineRule="auto"/>
        <w:ind w:left="1498" w:leftChars="142" w:hanging="1200" w:hangingChars="400"/>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pPr>
        <w:tabs>
          <w:tab w:val="clear" w:pos="426"/>
        </w:tabs>
        <w:jc w:val="center"/>
        <w:rPr>
          <w:sz w:val="32"/>
          <w:szCs w:val="32"/>
        </w:rPr>
      </w:pPr>
      <w:r>
        <w:br w:type="page"/>
      </w:r>
      <w:r>
        <w:rPr>
          <w:rFonts w:hint="eastAsia"/>
          <w:b/>
          <w:sz w:val="32"/>
          <w:szCs w:val="32"/>
        </w:rPr>
        <w:t>目      录</w:t>
      </w:r>
    </w:p>
    <w:p>
      <w:pPr>
        <w:pStyle w:val="71"/>
        <w:tabs>
          <w:tab w:val="right" w:leader="dot" w:pos="8788"/>
          <w:tab w:val="clear" w:pos="8789"/>
        </w:tabs>
        <w:spacing w:line="240" w:lineRule="auto"/>
        <w:ind w:left="105"/>
        <w:rPr>
          <w:rFonts w:ascii="黑体" w:hAnsi="黑体" w:eastAsia="黑体" w:cs="黑体"/>
          <w:b/>
          <w:bCs/>
          <w:sz w:val="20"/>
          <w:szCs w:val="20"/>
        </w:rPr>
      </w:pPr>
      <w:r>
        <w:fldChar w:fldCharType="begin"/>
      </w:r>
      <w:r>
        <w:instrText xml:space="preserve"> TOC \o "1-3" \h \z \u </w:instrText>
      </w:r>
      <w:r>
        <w:fldChar w:fldCharType="separate"/>
      </w:r>
      <w:r>
        <w:fldChar w:fldCharType="begin"/>
      </w:r>
      <w:r>
        <w:instrText xml:space="preserve"> HYPERLINK \l "_Toc1594" </w:instrText>
      </w:r>
      <w:r>
        <w:fldChar w:fldCharType="separate"/>
      </w:r>
      <w:r>
        <w:rPr>
          <w:rFonts w:hint="eastAsia" w:ascii="黑体" w:hAnsi="黑体" w:eastAsia="黑体" w:cs="黑体"/>
          <w:b/>
          <w:bCs/>
          <w:sz w:val="20"/>
          <w:szCs w:val="20"/>
        </w:rPr>
        <w:t>项目关键信息</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_Toc1594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1</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rFonts w:ascii="黑体" w:hAnsi="黑体" w:eastAsia="黑体" w:cs="黑体"/>
          <w:b/>
          <w:bCs/>
          <w:sz w:val="20"/>
          <w:szCs w:val="20"/>
        </w:rPr>
      </w:pPr>
      <w:r>
        <w:fldChar w:fldCharType="begin"/>
      </w:r>
      <w:r>
        <w:instrText xml:space="preserve"> HYPERLINK \l "_Toc16410" </w:instrText>
      </w:r>
      <w:r>
        <w:fldChar w:fldCharType="separate"/>
      </w:r>
      <w:r>
        <w:rPr>
          <w:rFonts w:hint="eastAsia" w:ascii="黑体" w:hAnsi="黑体" w:eastAsia="黑体" w:cs="黑体"/>
          <w:b/>
          <w:bCs/>
          <w:sz w:val="20"/>
          <w:szCs w:val="20"/>
        </w:rPr>
        <w:t>招标文件第一册（专用部分）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_Toc16410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3</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"_Toc20258" </w:instrText>
      </w:r>
      <w:r>
        <w:fldChar w:fldCharType="separate"/>
      </w:r>
      <w:r>
        <w:rPr>
          <w:rFonts w:hint="eastAsia"/>
          <w:b/>
          <w:bCs/>
          <w:sz w:val="20"/>
          <w:szCs w:val="20"/>
        </w:rPr>
        <w:t>第一章 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_Toc20258 \h </w:instrText>
      </w:r>
      <w:r>
        <w:rPr>
          <w:rFonts w:hint="eastAsia"/>
          <w:b/>
          <w:bCs/>
          <w:sz w:val="20"/>
          <w:szCs w:val="20"/>
        </w:rPr>
        <w:fldChar w:fldCharType="separate"/>
      </w:r>
      <w:r>
        <w:rPr>
          <w:rFonts w:hint="eastAsia"/>
          <w:b/>
          <w:bCs/>
          <w:sz w:val="20"/>
          <w:szCs w:val="20"/>
        </w:rPr>
        <w:t>3</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"_Toc13122" </w:instrText>
      </w:r>
      <w:r>
        <w:fldChar w:fldCharType="separate"/>
      </w:r>
      <w:r>
        <w:rPr>
          <w:rFonts w:hint="eastAsia"/>
          <w:b/>
          <w:bCs/>
          <w:sz w:val="20"/>
          <w:szCs w:val="20"/>
        </w:rPr>
        <w:t>第二章 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_Toc13122 \h </w:instrText>
      </w:r>
      <w:r>
        <w:rPr>
          <w:rFonts w:hint="eastAsia"/>
          <w:b/>
          <w:bCs/>
          <w:sz w:val="20"/>
          <w:szCs w:val="20"/>
        </w:rPr>
        <w:fldChar w:fldCharType="separate"/>
      </w:r>
      <w:r>
        <w:rPr>
          <w:rFonts w:hint="eastAsia"/>
          <w:b/>
          <w:bCs/>
          <w:sz w:val="20"/>
          <w:szCs w:val="20"/>
        </w:rPr>
        <w:t>7</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i w:val="0"/>
          <w:iCs w:val="0"/>
          <w:sz w:val="20"/>
          <w:szCs w:val="20"/>
        </w:rPr>
      </w:pPr>
      <w:r>
        <w:fldChar w:fldCharType="begin"/>
      </w:r>
      <w:r>
        <w:instrText xml:space="preserve"> HYPERLINK \l "_Toc15786" </w:instrText>
      </w:r>
      <w:r>
        <w:fldChar w:fldCharType="separate"/>
      </w:r>
      <w:r>
        <w:rPr>
          <w:rFonts w:hint="eastAsia"/>
          <w:i w:val="0"/>
          <w:iCs w:val="0"/>
          <w:sz w:val="20"/>
          <w:szCs w:val="20"/>
        </w:rPr>
        <w:t xml:space="preserve">一、 </w:t>
      </w:r>
      <w:r>
        <w:rPr>
          <w:i w:val="0"/>
          <w:iCs w:val="0"/>
          <w:sz w:val="20"/>
          <w:szCs w:val="20"/>
        </w:rPr>
        <w:t>货物清单</w:t>
      </w:r>
      <w:r>
        <w:rPr>
          <w:rFonts w:hint="eastAsia"/>
          <w:i w:val="0"/>
          <w:iCs w:val="0"/>
          <w:sz w:val="20"/>
          <w:szCs w:val="20"/>
        </w:rPr>
        <w:t>一览表</w:t>
      </w:r>
      <w:r>
        <w:rPr>
          <w:i w:val="0"/>
          <w:iCs w:val="0"/>
          <w:sz w:val="20"/>
          <w:szCs w:val="20"/>
        </w:rPr>
        <w:tab/>
      </w:r>
      <w:r>
        <w:rPr>
          <w:i w:val="0"/>
          <w:iCs w:val="0"/>
          <w:sz w:val="20"/>
          <w:szCs w:val="20"/>
        </w:rPr>
        <w:fldChar w:fldCharType="begin"/>
      </w:r>
      <w:r>
        <w:rPr>
          <w:i w:val="0"/>
          <w:iCs w:val="0"/>
          <w:sz w:val="20"/>
          <w:szCs w:val="20"/>
        </w:rPr>
        <w:instrText xml:space="preserve"> PAGEREF _Toc15786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i w:val="0"/>
          <w:iCs w:val="0"/>
          <w:sz w:val="20"/>
          <w:szCs w:val="20"/>
        </w:rPr>
      </w:pPr>
      <w:r>
        <w:fldChar w:fldCharType="begin"/>
      </w:r>
      <w:r>
        <w:instrText xml:space="preserve"> HYPERLINK \l "_Toc31434" </w:instrText>
      </w:r>
      <w:r>
        <w:fldChar w:fldCharType="separate"/>
      </w:r>
      <w:r>
        <w:rPr>
          <w:rFonts w:hint="eastAsia"/>
          <w:i w:val="0"/>
          <w:iCs w:val="0"/>
          <w:sz w:val="20"/>
          <w:szCs w:val="20"/>
        </w:rPr>
        <w:t>二、 实质性响应条款</w:t>
      </w:r>
      <w:r>
        <w:rPr>
          <w:i w:val="0"/>
          <w:iCs w:val="0"/>
          <w:sz w:val="20"/>
          <w:szCs w:val="20"/>
        </w:rPr>
        <w:tab/>
      </w:r>
      <w:r>
        <w:rPr>
          <w:i w:val="0"/>
          <w:iCs w:val="0"/>
          <w:sz w:val="20"/>
          <w:szCs w:val="20"/>
        </w:rPr>
        <w:fldChar w:fldCharType="begin"/>
      </w:r>
      <w:r>
        <w:rPr>
          <w:i w:val="0"/>
          <w:iCs w:val="0"/>
          <w:sz w:val="20"/>
          <w:szCs w:val="20"/>
        </w:rPr>
        <w:instrText xml:space="preserve"> PAGEREF _Toc31434 \h </w:instrText>
      </w:r>
      <w:r>
        <w:rPr>
          <w:i w:val="0"/>
          <w:iCs w:val="0"/>
          <w:sz w:val="20"/>
          <w:szCs w:val="20"/>
        </w:rPr>
        <w:fldChar w:fldCharType="separate"/>
      </w:r>
      <w:r>
        <w:rPr>
          <w:i w:val="0"/>
          <w:iCs w:val="0"/>
          <w:sz w:val="20"/>
          <w:szCs w:val="20"/>
        </w:rPr>
        <w:t>7</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i w:val="0"/>
          <w:iCs w:val="0"/>
          <w:sz w:val="20"/>
          <w:szCs w:val="20"/>
        </w:rPr>
      </w:pPr>
      <w:r>
        <w:fldChar w:fldCharType="begin"/>
      </w:r>
      <w:r>
        <w:instrText xml:space="preserve"> HYPERLINK \l "_Toc27732" </w:instrText>
      </w:r>
      <w:r>
        <w:fldChar w:fldCharType="separate"/>
      </w:r>
      <w:r>
        <w:rPr>
          <w:rFonts w:hint="eastAsia"/>
          <w:i w:val="0"/>
          <w:iCs w:val="0"/>
          <w:sz w:val="20"/>
          <w:szCs w:val="20"/>
        </w:rPr>
        <w:t>三、 技术要求</w:t>
      </w:r>
      <w:r>
        <w:rPr>
          <w:i w:val="0"/>
          <w:iCs w:val="0"/>
          <w:sz w:val="20"/>
          <w:szCs w:val="20"/>
        </w:rPr>
        <w:tab/>
      </w:r>
      <w:r>
        <w:rPr>
          <w:i w:val="0"/>
          <w:iCs w:val="0"/>
          <w:sz w:val="20"/>
          <w:szCs w:val="20"/>
        </w:rPr>
        <w:fldChar w:fldCharType="begin"/>
      </w:r>
      <w:r>
        <w:rPr>
          <w:i w:val="0"/>
          <w:iCs w:val="0"/>
          <w:sz w:val="20"/>
          <w:szCs w:val="20"/>
        </w:rPr>
        <w:instrText xml:space="preserve"> PAGEREF _Toc27732 \h </w:instrText>
      </w:r>
      <w:r>
        <w:rPr>
          <w:i w:val="0"/>
          <w:iCs w:val="0"/>
          <w:sz w:val="20"/>
          <w:szCs w:val="20"/>
        </w:rPr>
        <w:fldChar w:fldCharType="separate"/>
      </w:r>
      <w:r>
        <w:rPr>
          <w:i w:val="0"/>
          <w:iCs w:val="0"/>
          <w:sz w:val="20"/>
          <w:szCs w:val="20"/>
        </w:rPr>
        <w:t>8</w:t>
      </w:r>
      <w:r>
        <w:rPr>
          <w:i w:val="0"/>
          <w:iCs w:val="0"/>
          <w:sz w:val="20"/>
          <w:szCs w:val="20"/>
        </w:rPr>
        <w:fldChar w:fldCharType="end"/>
      </w:r>
      <w:r>
        <w:rPr>
          <w:i w:val="0"/>
          <w:iCs w:val="0"/>
          <w:sz w:val="20"/>
          <w:szCs w:val="20"/>
        </w:rPr>
        <w:fldChar w:fldCharType="end"/>
      </w:r>
    </w:p>
    <w:p>
      <w:pPr>
        <w:pStyle w:val="43"/>
        <w:tabs>
          <w:tab w:val="right" w:leader="dot" w:pos="8788"/>
          <w:tab w:val="clear" w:pos="426"/>
        </w:tabs>
        <w:spacing w:line="240" w:lineRule="auto"/>
        <w:rPr>
          <w:i w:val="0"/>
          <w:iCs w:val="0"/>
          <w:sz w:val="20"/>
          <w:szCs w:val="20"/>
        </w:rPr>
      </w:pPr>
      <w:r>
        <w:fldChar w:fldCharType="begin"/>
      </w:r>
      <w:r>
        <w:instrText xml:space="preserve"> HYPERLINK \l "_Toc8996" </w:instrText>
      </w:r>
      <w:r>
        <w:fldChar w:fldCharType="separate"/>
      </w:r>
      <w:r>
        <w:rPr>
          <w:rFonts w:hint="eastAsia"/>
          <w:i w:val="0"/>
          <w:iCs w:val="0"/>
          <w:sz w:val="20"/>
          <w:szCs w:val="20"/>
        </w:rPr>
        <w:t>四、 商务要求</w:t>
      </w:r>
      <w:r>
        <w:rPr>
          <w:i w:val="0"/>
          <w:iCs w:val="0"/>
          <w:sz w:val="20"/>
          <w:szCs w:val="20"/>
        </w:rPr>
        <w:tab/>
      </w:r>
      <w:r>
        <w:rPr>
          <w:i w:val="0"/>
          <w:iCs w:val="0"/>
          <w:sz w:val="20"/>
          <w:szCs w:val="20"/>
        </w:rPr>
        <w:fldChar w:fldCharType="begin"/>
      </w:r>
      <w:r>
        <w:rPr>
          <w:i w:val="0"/>
          <w:iCs w:val="0"/>
          <w:sz w:val="20"/>
          <w:szCs w:val="20"/>
        </w:rPr>
        <w:instrText xml:space="preserve"> PAGEREF _Toc8996 \h </w:instrText>
      </w:r>
      <w:r>
        <w:rPr>
          <w:i w:val="0"/>
          <w:iCs w:val="0"/>
          <w:sz w:val="20"/>
          <w:szCs w:val="20"/>
        </w:rPr>
        <w:fldChar w:fldCharType="separate"/>
      </w:r>
      <w:r>
        <w:rPr>
          <w:i w:val="0"/>
          <w:iCs w:val="0"/>
          <w:sz w:val="20"/>
          <w:szCs w:val="20"/>
        </w:rPr>
        <w:t>14</w:t>
      </w:r>
      <w:r>
        <w:rPr>
          <w:i w:val="0"/>
          <w:iCs w:val="0"/>
          <w:sz w:val="20"/>
          <w:szCs w:val="20"/>
        </w:rPr>
        <w:fldChar w:fldCharType="end"/>
      </w:r>
      <w:r>
        <w:rPr>
          <w:i w:val="0"/>
          <w:iCs w:val="0"/>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"_Toc2525" </w:instrText>
      </w:r>
      <w:r>
        <w:fldChar w:fldCharType="separate"/>
      </w:r>
      <w:r>
        <w:rPr>
          <w:rFonts w:hint="eastAsia"/>
          <w:b/>
          <w:bCs/>
          <w:sz w:val="20"/>
          <w:szCs w:val="20"/>
        </w:rPr>
        <w:t>第三章 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_Toc2525 \h </w:instrText>
      </w:r>
      <w:r>
        <w:rPr>
          <w:rFonts w:hint="eastAsia"/>
          <w:b/>
          <w:bCs/>
          <w:sz w:val="20"/>
          <w:szCs w:val="20"/>
        </w:rPr>
        <w:fldChar w:fldCharType="separate"/>
      </w:r>
      <w:r>
        <w:rPr>
          <w:rFonts w:hint="eastAsia"/>
          <w:b/>
          <w:bCs/>
          <w:sz w:val="20"/>
          <w:szCs w:val="20"/>
        </w:rPr>
        <w:t>19</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"_Toc27621" </w:instrText>
      </w:r>
      <w:r>
        <w:fldChar w:fldCharType="separate"/>
      </w:r>
      <w:r>
        <w:rPr>
          <w:rFonts w:hint="eastAsia"/>
          <w:i w:val="0"/>
          <w:iCs w:val="0"/>
          <w:smallCaps/>
          <w:sz w:val="20"/>
          <w:szCs w:val="20"/>
        </w:rPr>
        <w:t>一、 定价方式</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_Toc27621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"_Toc7208" </w:instrText>
      </w:r>
      <w:r>
        <w:fldChar w:fldCharType="separate"/>
      </w:r>
      <w:r>
        <w:rPr>
          <w:rFonts w:hint="eastAsia"/>
          <w:i w:val="0"/>
          <w:iCs w:val="0"/>
          <w:smallCaps/>
          <w:sz w:val="20"/>
          <w:szCs w:val="20"/>
        </w:rPr>
        <w:t>二、 合同类型</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_Toc7208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"_Toc32122" </w:instrText>
      </w:r>
      <w:r>
        <w:fldChar w:fldCharType="separate"/>
      </w:r>
      <w:r>
        <w:rPr>
          <w:rFonts w:hint="eastAsia"/>
          <w:i w:val="0"/>
          <w:iCs w:val="0"/>
          <w:smallCaps/>
          <w:sz w:val="20"/>
          <w:szCs w:val="20"/>
        </w:rPr>
        <w:t>三、 风险管理措施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_Toc32122 \h </w:instrText>
      </w:r>
      <w:r>
        <w:rPr>
          <w:i w:val="0"/>
          <w:iCs w:val="0"/>
          <w:smallCaps/>
          <w:sz w:val="20"/>
          <w:szCs w:val="20"/>
        </w:rPr>
        <w:fldChar w:fldCharType="separate"/>
      </w:r>
      <w:r>
        <w:rPr>
          <w:i w:val="0"/>
          <w:iCs w:val="0"/>
          <w:smallCaps/>
          <w:sz w:val="20"/>
          <w:szCs w:val="20"/>
        </w:rPr>
        <w:t>19</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"_Toc25501" </w:instrText>
      </w:r>
      <w:r>
        <w:fldChar w:fldCharType="separate"/>
      </w:r>
      <w:r>
        <w:rPr>
          <w:rFonts w:hint="eastAsia"/>
          <w:b/>
          <w:bCs/>
          <w:sz w:val="20"/>
          <w:szCs w:val="20"/>
        </w:rPr>
        <w:t>第四章 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_Toc25501 \h </w:instrText>
      </w:r>
      <w:r>
        <w:rPr>
          <w:rFonts w:hint="eastAsia"/>
          <w:b/>
          <w:bCs/>
          <w:sz w:val="20"/>
          <w:szCs w:val="20"/>
        </w:rPr>
        <w:fldChar w:fldCharType="separate"/>
      </w:r>
      <w:r>
        <w:rPr>
          <w:rFonts w:hint="eastAsia"/>
          <w:b/>
          <w:bCs/>
          <w:sz w:val="20"/>
          <w:szCs w:val="20"/>
        </w:rPr>
        <w:t>20</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"_Toc12702" </w:instrText>
      </w:r>
      <w:r>
        <w:fldChar w:fldCharType="separate"/>
      </w:r>
      <w:r>
        <w:rPr>
          <w:rFonts w:hint="eastAsia"/>
          <w:i w:val="0"/>
          <w:iCs w:val="0"/>
          <w:smallCaps/>
          <w:sz w:val="20"/>
          <w:szCs w:val="20"/>
        </w:rPr>
        <w:t>前附表（一）</w:t>
      </w:r>
      <w:r>
        <w:rPr>
          <w:i w:val="0"/>
          <w:iCs w:val="0"/>
          <w:smallCaps/>
          <w:sz w:val="20"/>
          <w:szCs w:val="20"/>
        </w:rPr>
        <w:t>资格审查表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_Toc12702 \h </w:instrText>
      </w:r>
      <w:r>
        <w:rPr>
          <w:i w:val="0"/>
          <w:iCs w:val="0"/>
          <w:smallCaps/>
          <w:sz w:val="20"/>
          <w:szCs w:val="20"/>
        </w:rPr>
        <w:fldChar w:fldCharType="separate"/>
      </w:r>
      <w:r>
        <w:rPr>
          <w:i w:val="0"/>
          <w:iCs w:val="0"/>
          <w:smallCaps/>
          <w:sz w:val="20"/>
          <w:szCs w:val="20"/>
        </w:rPr>
        <w:t>20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"_Toc10832" </w:instrText>
      </w:r>
      <w:r>
        <w:fldChar w:fldCharType="separate"/>
      </w:r>
      <w:r>
        <w:rPr>
          <w:rFonts w:hint="eastAsia"/>
          <w:i w:val="0"/>
          <w:iCs w:val="0"/>
          <w:smallCaps/>
          <w:sz w:val="20"/>
          <w:szCs w:val="20"/>
        </w:rPr>
        <w:t>前附表（二）符合性审查表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_Toc10832 \h </w:instrText>
      </w:r>
      <w:r>
        <w:rPr>
          <w:i w:val="0"/>
          <w:iCs w:val="0"/>
          <w:smallCaps/>
          <w:sz w:val="20"/>
          <w:szCs w:val="20"/>
        </w:rPr>
        <w:fldChar w:fldCharType="separate"/>
      </w:r>
      <w:r>
        <w:rPr>
          <w:i w:val="0"/>
          <w:iCs w:val="0"/>
          <w:smallCaps/>
          <w:sz w:val="20"/>
          <w:szCs w:val="20"/>
        </w:rPr>
        <w:t>21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"_Toc11333" </w:instrText>
      </w:r>
      <w:r>
        <w:fldChar w:fldCharType="separate"/>
      </w:r>
      <w:r>
        <w:rPr>
          <w:rFonts w:hint="eastAsia"/>
          <w:i w:val="0"/>
          <w:iCs w:val="0"/>
          <w:smallCaps/>
          <w:sz w:val="20"/>
          <w:szCs w:val="20"/>
        </w:rPr>
        <w:t>前附表（三）综合评分法评分因素和权重分值表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_Toc11333 \h </w:instrText>
      </w:r>
      <w:r>
        <w:rPr>
          <w:i w:val="0"/>
          <w:iCs w:val="0"/>
          <w:smallCaps/>
          <w:sz w:val="20"/>
          <w:szCs w:val="20"/>
        </w:rPr>
        <w:fldChar w:fldCharType="separate"/>
      </w:r>
      <w:r>
        <w:rPr>
          <w:i w:val="0"/>
          <w:iCs w:val="0"/>
          <w:smallCaps/>
          <w:sz w:val="20"/>
          <w:szCs w:val="20"/>
        </w:rPr>
        <w:t>22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"_Toc26041" </w:instrText>
      </w:r>
      <w:r>
        <w:fldChar w:fldCharType="separate"/>
      </w:r>
      <w:r>
        <w:rPr>
          <w:rFonts w:hint="eastAsia"/>
          <w:i w:val="0"/>
          <w:iCs w:val="0"/>
          <w:smallCaps/>
          <w:sz w:val="20"/>
          <w:szCs w:val="20"/>
        </w:rPr>
        <w:t>前附表（四）</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_Toc26041 \h </w:instrText>
      </w:r>
      <w:r>
        <w:rPr>
          <w:i w:val="0"/>
          <w:iCs w:val="0"/>
          <w:smallCaps/>
          <w:sz w:val="20"/>
          <w:szCs w:val="20"/>
        </w:rPr>
        <w:fldChar w:fldCharType="separate"/>
      </w:r>
      <w:r>
        <w:rPr>
          <w:i w:val="0"/>
          <w:iCs w:val="0"/>
          <w:smallCaps/>
          <w:sz w:val="20"/>
          <w:szCs w:val="20"/>
        </w:rPr>
        <w:t>28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"_Toc12567" </w:instrText>
      </w:r>
      <w:r>
        <w:fldChar w:fldCharType="separate"/>
      </w:r>
      <w:r>
        <w:rPr>
          <w:rFonts w:hint="eastAsia"/>
          <w:i w:val="0"/>
          <w:iCs w:val="0"/>
          <w:smallCaps/>
          <w:sz w:val="20"/>
          <w:szCs w:val="20"/>
        </w:rPr>
        <w:t>1.资格审查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_Toc12567 \h </w:instrText>
      </w:r>
      <w:r>
        <w:rPr>
          <w:i w:val="0"/>
          <w:iCs w:val="0"/>
          <w:smallCaps/>
          <w:sz w:val="20"/>
          <w:szCs w:val="20"/>
        </w:rPr>
        <w:fldChar w:fldCharType="separate"/>
      </w:r>
      <w:r>
        <w:rPr>
          <w:i w:val="0"/>
          <w:iCs w:val="0"/>
          <w:smallCaps/>
          <w:sz w:val="20"/>
          <w:szCs w:val="20"/>
        </w:rPr>
        <w:t>28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"_Toc1724" </w:instrText>
      </w:r>
      <w:r>
        <w:fldChar w:fldCharType="separate"/>
      </w:r>
      <w:r>
        <w:rPr>
          <w:rFonts w:hint="eastAsia"/>
          <w:i w:val="0"/>
          <w:iCs w:val="0"/>
          <w:smallCaps/>
          <w:sz w:val="20"/>
          <w:szCs w:val="20"/>
        </w:rPr>
        <w:t>2.评标方法</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_Toc1724 \h </w:instrText>
      </w:r>
      <w:r>
        <w:rPr>
          <w:i w:val="0"/>
          <w:iCs w:val="0"/>
          <w:smallCaps/>
          <w:sz w:val="20"/>
          <w:szCs w:val="20"/>
        </w:rPr>
        <w:fldChar w:fldCharType="separate"/>
      </w:r>
      <w:r>
        <w:rPr>
          <w:i w:val="0"/>
          <w:iCs w:val="0"/>
          <w:smallCaps/>
          <w:sz w:val="20"/>
          <w:szCs w:val="20"/>
        </w:rPr>
        <w:t>28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"_Toc16831" </w:instrText>
      </w:r>
      <w:r>
        <w:fldChar w:fldCharType="separate"/>
      </w:r>
      <w:r>
        <w:rPr>
          <w:rFonts w:hint="eastAsia"/>
          <w:i w:val="0"/>
          <w:iCs w:val="0"/>
          <w:smallCaps/>
          <w:sz w:val="20"/>
          <w:szCs w:val="20"/>
        </w:rPr>
        <w:t>3.符合性审查</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_Toc16831 \h </w:instrText>
      </w:r>
      <w:r>
        <w:rPr>
          <w:i w:val="0"/>
          <w:iCs w:val="0"/>
          <w:smallCaps/>
          <w:sz w:val="20"/>
          <w:szCs w:val="20"/>
        </w:rPr>
        <w:fldChar w:fldCharType="separate"/>
      </w:r>
      <w:r>
        <w:rPr>
          <w:i w:val="0"/>
          <w:iCs w:val="0"/>
          <w:smallCaps/>
          <w:sz w:val="20"/>
          <w:szCs w:val="20"/>
        </w:rPr>
        <w:t>29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"_Toc29518" </w:instrText>
      </w:r>
      <w:r>
        <w:fldChar w:fldCharType="separate"/>
      </w:r>
      <w:r>
        <w:rPr>
          <w:rFonts w:hint="eastAsia"/>
          <w:i w:val="0"/>
          <w:iCs w:val="0"/>
          <w:smallCaps/>
          <w:sz w:val="20"/>
          <w:szCs w:val="20"/>
        </w:rPr>
        <w:t>4.比较与评价</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_Toc29518 \h </w:instrText>
      </w:r>
      <w:r>
        <w:rPr>
          <w:i w:val="0"/>
          <w:iCs w:val="0"/>
          <w:smallCaps/>
          <w:sz w:val="20"/>
          <w:szCs w:val="20"/>
        </w:rPr>
        <w:fldChar w:fldCharType="separate"/>
      </w:r>
      <w:r>
        <w:rPr>
          <w:i w:val="0"/>
          <w:iCs w:val="0"/>
          <w:smallCaps/>
          <w:sz w:val="20"/>
          <w:szCs w:val="20"/>
        </w:rPr>
        <w:t>29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"_Toc13196" </w:instrText>
      </w:r>
      <w:r>
        <w:fldChar w:fldCharType="separate"/>
      </w:r>
      <w:r>
        <w:rPr>
          <w:rFonts w:hint="eastAsia"/>
          <w:i w:val="0"/>
          <w:iCs w:val="0"/>
          <w:smallCaps/>
          <w:sz w:val="20"/>
          <w:szCs w:val="20"/>
        </w:rPr>
        <w:t>5.编写评标报告</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_Toc13196 \h </w:instrText>
      </w:r>
      <w:r>
        <w:rPr>
          <w:i w:val="0"/>
          <w:iCs w:val="0"/>
          <w:smallCaps/>
          <w:sz w:val="20"/>
          <w:szCs w:val="20"/>
        </w:rPr>
        <w:fldChar w:fldCharType="separate"/>
      </w:r>
      <w:r>
        <w:rPr>
          <w:i w:val="0"/>
          <w:iCs w:val="0"/>
          <w:smallCaps/>
          <w:sz w:val="20"/>
          <w:szCs w:val="20"/>
        </w:rPr>
        <w:t>30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"_Toc15875" </w:instrText>
      </w:r>
      <w:r>
        <w:fldChar w:fldCharType="separate"/>
      </w:r>
      <w:r>
        <w:rPr>
          <w:rFonts w:hint="eastAsia"/>
          <w:i w:val="0"/>
          <w:iCs w:val="0"/>
          <w:smallCaps/>
          <w:sz w:val="20"/>
          <w:szCs w:val="20"/>
        </w:rPr>
        <w:t>6.评标委员会对招标失败的论证意见</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_Toc15875 \h </w:instrText>
      </w:r>
      <w:r>
        <w:rPr>
          <w:i w:val="0"/>
          <w:iCs w:val="0"/>
          <w:smallCaps/>
          <w:sz w:val="20"/>
          <w:szCs w:val="20"/>
        </w:rPr>
        <w:fldChar w:fldCharType="separate"/>
      </w:r>
      <w:r>
        <w:rPr>
          <w:i w:val="0"/>
          <w:iCs w:val="0"/>
          <w:smallCaps/>
          <w:sz w:val="20"/>
          <w:szCs w:val="20"/>
        </w:rPr>
        <w:t>30</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"_Toc7991" </w:instrText>
      </w:r>
      <w:r>
        <w:fldChar w:fldCharType="separate"/>
      </w:r>
      <w:r>
        <w:rPr>
          <w:rFonts w:hint="eastAsia"/>
          <w:b/>
          <w:bCs/>
          <w:sz w:val="20"/>
          <w:szCs w:val="20"/>
        </w:rPr>
        <w:t>第五章 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_Toc7991 \h </w:instrText>
      </w:r>
      <w:r>
        <w:rPr>
          <w:rFonts w:hint="eastAsia"/>
          <w:b/>
          <w:bCs/>
          <w:sz w:val="20"/>
          <w:szCs w:val="20"/>
        </w:rPr>
        <w:fldChar w:fldCharType="separate"/>
      </w:r>
      <w:r>
        <w:rPr>
          <w:rFonts w:hint="eastAsia"/>
          <w:b/>
          <w:bCs/>
          <w:sz w:val="20"/>
          <w:szCs w:val="20"/>
        </w:rPr>
        <w:t>31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"_Toc4933" </w:instrText>
      </w:r>
      <w:r>
        <w:fldChar w:fldCharType="separate"/>
      </w:r>
      <w:r>
        <w:rPr>
          <w:rFonts w:hint="eastAsia"/>
          <w:b/>
          <w:bCs/>
          <w:sz w:val="20"/>
          <w:szCs w:val="20"/>
        </w:rPr>
        <w:t>第六章 投标资料表</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_Toc4933 \h </w:instrText>
      </w:r>
      <w:r>
        <w:rPr>
          <w:rFonts w:hint="eastAsia"/>
          <w:b/>
          <w:bCs/>
          <w:sz w:val="20"/>
          <w:szCs w:val="20"/>
        </w:rPr>
        <w:fldChar w:fldCharType="separate"/>
      </w:r>
      <w:r>
        <w:rPr>
          <w:rFonts w:hint="eastAsia"/>
          <w:b/>
          <w:bCs/>
          <w:sz w:val="20"/>
          <w:szCs w:val="20"/>
        </w:rPr>
        <w:t>59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"_Toc25551" </w:instrText>
      </w:r>
      <w:r>
        <w:fldChar w:fldCharType="separate"/>
      </w:r>
      <w:r>
        <w:rPr>
          <w:rFonts w:hint="eastAsia"/>
          <w:b/>
          <w:bCs/>
          <w:sz w:val="20"/>
          <w:szCs w:val="20"/>
        </w:rPr>
        <w:t>第七章 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_Toc25551 \h </w:instrText>
      </w:r>
      <w:r>
        <w:rPr>
          <w:rFonts w:hint="eastAsia"/>
          <w:b/>
          <w:bCs/>
          <w:sz w:val="20"/>
          <w:szCs w:val="20"/>
        </w:rPr>
        <w:fldChar w:fldCharType="separate"/>
      </w:r>
      <w:r>
        <w:rPr>
          <w:rFonts w:hint="eastAsia"/>
          <w:b/>
          <w:bCs/>
          <w:sz w:val="20"/>
          <w:szCs w:val="20"/>
        </w:rPr>
        <w:t>60</w:t>
      </w:r>
      <w:r>
        <w:rPr>
          <w:rFonts w:hint="eastAsia"/>
          <w:b/>
          <w:bCs/>
          <w:sz w:val="20"/>
          <w:szCs w:val="20"/>
        </w:rPr>
        <w:fldChar w:fldCharType="end"/>
      </w:r>
      <w:r>
        <w:rPr>
          <w:rFonts w:hint="eastAsia"/>
          <w:b/>
          <w:bC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"_Toc20740" </w:instrText>
      </w:r>
      <w:r>
        <w:fldChar w:fldCharType="separate"/>
      </w:r>
      <w:r>
        <w:rPr>
          <w:rFonts w:hint="eastAsia"/>
          <w:i w:val="0"/>
          <w:iCs w:val="0"/>
          <w:smallCaps/>
          <w:sz w:val="20"/>
          <w:szCs w:val="20"/>
        </w:rPr>
        <w:t>投标文件编制说明</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_Toc20740 \h </w:instrText>
      </w:r>
      <w:r>
        <w:rPr>
          <w:i w:val="0"/>
          <w:iCs w:val="0"/>
          <w:smallCaps/>
          <w:sz w:val="20"/>
          <w:szCs w:val="20"/>
        </w:rPr>
        <w:fldChar w:fldCharType="separate"/>
      </w:r>
      <w:r>
        <w:rPr>
          <w:i w:val="0"/>
          <w:iCs w:val="0"/>
          <w:smallCaps/>
          <w:sz w:val="20"/>
          <w:szCs w:val="20"/>
        </w:rPr>
        <w:t>60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"_Toc32283" </w:instrText>
      </w:r>
      <w:r>
        <w:fldChar w:fldCharType="separate"/>
      </w:r>
      <w:r>
        <w:rPr>
          <w:rFonts w:hint="eastAsia"/>
          <w:i w:val="0"/>
          <w:iCs w:val="0"/>
          <w:smallCaps/>
          <w:sz w:val="20"/>
          <w:szCs w:val="20"/>
        </w:rPr>
        <w:t>格式1：投标函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_Toc32283 \h </w:instrText>
      </w:r>
      <w:r>
        <w:rPr>
          <w:i w:val="0"/>
          <w:iCs w:val="0"/>
          <w:smallCaps/>
          <w:sz w:val="20"/>
          <w:szCs w:val="20"/>
        </w:rPr>
        <w:fldChar w:fldCharType="separate"/>
      </w:r>
      <w:r>
        <w:rPr>
          <w:i w:val="0"/>
          <w:iCs w:val="0"/>
          <w:smallCaps/>
          <w:sz w:val="20"/>
          <w:szCs w:val="20"/>
        </w:rPr>
        <w:t>66</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"_Toc9501" </w:instrText>
      </w:r>
      <w:r>
        <w:fldChar w:fldCharType="separate"/>
      </w:r>
      <w:r>
        <w:rPr>
          <w:rFonts w:hint="eastAsia"/>
          <w:i w:val="0"/>
          <w:iCs w:val="0"/>
          <w:smallCaps/>
          <w:sz w:val="20"/>
          <w:szCs w:val="20"/>
        </w:rPr>
        <w:t>格式2：法定代表人（单位负责人）证明书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_Toc9501 \h </w:instrText>
      </w:r>
      <w:r>
        <w:rPr>
          <w:i w:val="0"/>
          <w:iCs w:val="0"/>
          <w:smallCaps/>
          <w:sz w:val="20"/>
          <w:szCs w:val="20"/>
        </w:rPr>
        <w:fldChar w:fldCharType="separate"/>
      </w:r>
      <w:r>
        <w:rPr>
          <w:i w:val="0"/>
          <w:iCs w:val="0"/>
          <w:smallCaps/>
          <w:sz w:val="20"/>
          <w:szCs w:val="20"/>
        </w:rPr>
        <w:t>67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"_Toc16372" </w:instrText>
      </w:r>
      <w:r>
        <w:fldChar w:fldCharType="separate"/>
      </w:r>
      <w:r>
        <w:rPr>
          <w:rFonts w:hint="eastAsia"/>
          <w:i w:val="0"/>
          <w:iCs w:val="0"/>
          <w:smallCaps/>
          <w:sz w:val="20"/>
          <w:szCs w:val="20"/>
        </w:rPr>
        <w:t>格式3：授权委托书</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_Toc16372 \h </w:instrText>
      </w:r>
      <w:r>
        <w:rPr>
          <w:i w:val="0"/>
          <w:iCs w:val="0"/>
          <w:smallCaps/>
          <w:sz w:val="20"/>
          <w:szCs w:val="20"/>
        </w:rPr>
        <w:fldChar w:fldCharType="separate"/>
      </w:r>
      <w:r>
        <w:rPr>
          <w:i w:val="0"/>
          <w:iCs w:val="0"/>
          <w:smallCaps/>
          <w:sz w:val="20"/>
          <w:szCs w:val="20"/>
        </w:rPr>
        <w:t>68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"_Toc12237" </w:instrText>
      </w:r>
      <w:r>
        <w:fldChar w:fldCharType="separate"/>
      </w:r>
      <w:r>
        <w:rPr>
          <w:rFonts w:hint="eastAsia"/>
          <w:i w:val="0"/>
          <w:iCs w:val="0"/>
          <w:smallCaps/>
          <w:sz w:val="20"/>
          <w:szCs w:val="20"/>
        </w:rPr>
        <w:t>格式4：资格条款偏离表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_Toc12237 \h </w:instrText>
      </w:r>
      <w:r>
        <w:rPr>
          <w:i w:val="0"/>
          <w:iCs w:val="0"/>
          <w:smallCaps/>
          <w:sz w:val="20"/>
          <w:szCs w:val="20"/>
        </w:rPr>
        <w:fldChar w:fldCharType="separate"/>
      </w:r>
      <w:r>
        <w:rPr>
          <w:i w:val="0"/>
          <w:iCs w:val="0"/>
          <w:smallCaps/>
          <w:sz w:val="20"/>
          <w:szCs w:val="20"/>
        </w:rPr>
        <w:t>69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"_Toc3927" </w:instrText>
      </w:r>
      <w:r>
        <w:fldChar w:fldCharType="separate"/>
      </w:r>
      <w:r>
        <w:rPr>
          <w:rFonts w:hint="eastAsia"/>
          <w:i w:val="0"/>
          <w:iCs w:val="0"/>
          <w:smallCaps/>
          <w:sz w:val="20"/>
          <w:szCs w:val="20"/>
        </w:rPr>
        <w:t>格式5：法人或者其他组织的营业执照等证明文件</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_Toc3927 \h </w:instrText>
      </w:r>
      <w:r>
        <w:rPr>
          <w:i w:val="0"/>
          <w:iCs w:val="0"/>
          <w:smallCaps/>
          <w:sz w:val="20"/>
          <w:szCs w:val="20"/>
        </w:rPr>
        <w:fldChar w:fldCharType="separate"/>
      </w:r>
      <w:r>
        <w:rPr>
          <w:i w:val="0"/>
          <w:iCs w:val="0"/>
          <w:smallCaps/>
          <w:sz w:val="20"/>
          <w:szCs w:val="20"/>
        </w:rPr>
        <w:t>71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"_Toc21226" </w:instrText>
      </w:r>
      <w:r>
        <w:fldChar w:fldCharType="separate"/>
      </w:r>
      <w:r>
        <w:rPr>
          <w:rFonts w:hint="eastAsia"/>
          <w:i w:val="0"/>
          <w:iCs w:val="0"/>
          <w:smallCaps/>
          <w:sz w:val="20"/>
          <w:szCs w:val="20"/>
        </w:rPr>
        <w:t>格式6：投标人资格声明函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_Toc21226 \h </w:instrText>
      </w:r>
      <w:r>
        <w:rPr>
          <w:i w:val="0"/>
          <w:iCs w:val="0"/>
          <w:smallCaps/>
          <w:sz w:val="20"/>
          <w:szCs w:val="20"/>
        </w:rPr>
        <w:fldChar w:fldCharType="separate"/>
      </w:r>
      <w:r>
        <w:rPr>
          <w:i w:val="0"/>
          <w:iCs w:val="0"/>
          <w:smallCaps/>
          <w:sz w:val="20"/>
          <w:szCs w:val="20"/>
        </w:rPr>
        <w:t>72</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"_Toc21325" </w:instrText>
      </w:r>
      <w:r>
        <w:fldChar w:fldCharType="separate"/>
      </w:r>
      <w:r>
        <w:rPr>
          <w:rFonts w:hint="eastAsia"/>
          <w:i w:val="0"/>
          <w:iCs w:val="0"/>
          <w:smallCaps/>
          <w:sz w:val="20"/>
          <w:szCs w:val="20"/>
        </w:rPr>
        <w:t>格式7：开标一览表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_Toc21325 \h </w:instrText>
      </w:r>
      <w:r>
        <w:rPr>
          <w:i w:val="0"/>
          <w:iCs w:val="0"/>
          <w:smallCaps/>
          <w:sz w:val="20"/>
          <w:szCs w:val="20"/>
        </w:rPr>
        <w:fldChar w:fldCharType="separate"/>
      </w:r>
      <w:r>
        <w:rPr>
          <w:i w:val="0"/>
          <w:iCs w:val="0"/>
          <w:smallCaps/>
          <w:sz w:val="20"/>
          <w:szCs w:val="20"/>
        </w:rPr>
        <w:t>74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"_Toc23484" </w:instrText>
      </w:r>
      <w:r>
        <w:fldChar w:fldCharType="separate"/>
      </w:r>
      <w:r>
        <w:rPr>
          <w:rFonts w:hint="eastAsia"/>
          <w:i w:val="0"/>
          <w:iCs w:val="0"/>
          <w:smallCaps/>
          <w:sz w:val="20"/>
          <w:szCs w:val="20"/>
        </w:rPr>
        <w:t>格式8：投标分项报价表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_Toc23484 \h </w:instrText>
      </w:r>
      <w:r>
        <w:rPr>
          <w:i w:val="0"/>
          <w:iCs w:val="0"/>
          <w:smallCaps/>
          <w:sz w:val="20"/>
          <w:szCs w:val="20"/>
        </w:rPr>
        <w:fldChar w:fldCharType="separate"/>
      </w:r>
      <w:r>
        <w:rPr>
          <w:i w:val="0"/>
          <w:iCs w:val="0"/>
          <w:smallCaps/>
          <w:sz w:val="20"/>
          <w:szCs w:val="20"/>
        </w:rPr>
        <w:t>75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"_Toc9437" </w:instrText>
      </w:r>
      <w:r>
        <w:fldChar w:fldCharType="separate"/>
      </w:r>
      <w:r>
        <w:rPr>
          <w:rFonts w:hint="eastAsia"/>
          <w:i w:val="0"/>
          <w:iCs w:val="0"/>
          <w:smallCaps/>
          <w:sz w:val="20"/>
          <w:szCs w:val="20"/>
        </w:rPr>
        <w:t>格式9：技术规格偏离表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_Toc9437 \h </w:instrText>
      </w:r>
      <w:r>
        <w:rPr>
          <w:i w:val="0"/>
          <w:iCs w:val="0"/>
          <w:smallCaps/>
          <w:sz w:val="20"/>
          <w:szCs w:val="20"/>
        </w:rPr>
        <w:fldChar w:fldCharType="separate"/>
      </w:r>
      <w:r>
        <w:rPr>
          <w:i w:val="0"/>
          <w:iCs w:val="0"/>
          <w:smallCaps/>
          <w:sz w:val="20"/>
          <w:szCs w:val="20"/>
        </w:rPr>
        <w:t>77</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"_Toc25758" </w:instrText>
      </w:r>
      <w:r>
        <w:fldChar w:fldCharType="separate"/>
      </w:r>
      <w:r>
        <w:rPr>
          <w:rFonts w:hint="eastAsia"/>
          <w:i w:val="0"/>
          <w:iCs w:val="0"/>
          <w:smallCaps/>
          <w:sz w:val="20"/>
          <w:szCs w:val="20"/>
        </w:rPr>
        <w:t>格式10：技术保障措施</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_Toc25758 \h </w:instrText>
      </w:r>
      <w:r>
        <w:rPr>
          <w:i w:val="0"/>
          <w:iCs w:val="0"/>
          <w:smallCaps/>
          <w:sz w:val="20"/>
          <w:szCs w:val="20"/>
        </w:rPr>
        <w:fldChar w:fldCharType="separate"/>
      </w:r>
      <w:r>
        <w:rPr>
          <w:i w:val="0"/>
          <w:iCs w:val="0"/>
          <w:smallCaps/>
          <w:sz w:val="20"/>
          <w:szCs w:val="20"/>
        </w:rPr>
        <w:t>78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"_Toc19609" </w:instrText>
      </w:r>
      <w:r>
        <w:fldChar w:fldCharType="separate"/>
      </w:r>
      <w:r>
        <w:rPr>
          <w:rFonts w:hint="eastAsia"/>
          <w:i w:val="0"/>
          <w:iCs w:val="0"/>
          <w:smallCaps/>
          <w:sz w:val="20"/>
          <w:szCs w:val="20"/>
        </w:rPr>
        <w:t>格式11：售后服务方案</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_Toc19609 \h </w:instrText>
      </w:r>
      <w:r>
        <w:rPr>
          <w:i w:val="0"/>
          <w:iCs w:val="0"/>
          <w:smallCaps/>
          <w:sz w:val="20"/>
          <w:szCs w:val="20"/>
        </w:rPr>
        <w:fldChar w:fldCharType="separate"/>
      </w:r>
      <w:r>
        <w:rPr>
          <w:i w:val="0"/>
          <w:iCs w:val="0"/>
          <w:smallCaps/>
          <w:sz w:val="20"/>
          <w:szCs w:val="20"/>
        </w:rPr>
        <w:t>78</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"_Toc29923" </w:instrText>
      </w:r>
      <w:r>
        <w:fldChar w:fldCharType="separate"/>
      </w:r>
      <w:r>
        <w:rPr>
          <w:rFonts w:hint="eastAsia"/>
          <w:i w:val="0"/>
          <w:iCs w:val="0"/>
          <w:smallCaps/>
          <w:sz w:val="20"/>
          <w:szCs w:val="20"/>
        </w:rPr>
        <w:t>格式12：商务条款偏离表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_Toc29923 \h </w:instrText>
      </w:r>
      <w:r>
        <w:rPr>
          <w:i w:val="0"/>
          <w:iCs w:val="0"/>
          <w:smallCaps/>
          <w:sz w:val="20"/>
          <w:szCs w:val="20"/>
        </w:rPr>
        <w:fldChar w:fldCharType="separate"/>
      </w:r>
      <w:r>
        <w:rPr>
          <w:i w:val="0"/>
          <w:iCs w:val="0"/>
          <w:smallCaps/>
          <w:sz w:val="20"/>
          <w:szCs w:val="20"/>
        </w:rPr>
        <w:t>79</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"_Toc6533" </w:instrText>
      </w:r>
      <w:r>
        <w:fldChar w:fldCharType="separate"/>
      </w:r>
      <w:r>
        <w:rPr>
          <w:rFonts w:hint="eastAsia"/>
          <w:i w:val="0"/>
          <w:iCs w:val="0"/>
          <w:smallCaps/>
          <w:sz w:val="20"/>
          <w:szCs w:val="20"/>
        </w:rPr>
        <w:t>格式13：投标人综合概况简表</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_Toc6533 \h </w:instrText>
      </w:r>
      <w:r>
        <w:rPr>
          <w:i w:val="0"/>
          <w:iCs w:val="0"/>
          <w:smallCaps/>
          <w:sz w:val="20"/>
          <w:szCs w:val="20"/>
        </w:rPr>
        <w:fldChar w:fldCharType="separate"/>
      </w:r>
      <w:r>
        <w:rPr>
          <w:i w:val="0"/>
          <w:iCs w:val="0"/>
          <w:smallCaps/>
          <w:sz w:val="20"/>
          <w:szCs w:val="20"/>
        </w:rPr>
        <w:t>80</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"_Toc22664" </w:instrText>
      </w:r>
      <w:r>
        <w:fldChar w:fldCharType="separate"/>
      </w:r>
      <w:r>
        <w:rPr>
          <w:rFonts w:hint="eastAsia"/>
          <w:i w:val="0"/>
          <w:iCs w:val="0"/>
          <w:smallCaps/>
          <w:sz w:val="20"/>
          <w:szCs w:val="20"/>
        </w:rPr>
        <w:t>格式14：企业类型声明函（可选）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_Toc22664 \h </w:instrText>
      </w:r>
      <w:r>
        <w:rPr>
          <w:i w:val="0"/>
          <w:iCs w:val="0"/>
          <w:smallCaps/>
          <w:sz w:val="20"/>
          <w:szCs w:val="20"/>
        </w:rPr>
        <w:fldChar w:fldCharType="separate"/>
      </w:r>
      <w:r>
        <w:rPr>
          <w:i w:val="0"/>
          <w:iCs w:val="0"/>
          <w:smallCaps/>
          <w:sz w:val="20"/>
          <w:szCs w:val="20"/>
        </w:rPr>
        <w:t>81</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"_Toc17528" </w:instrText>
      </w:r>
      <w:r>
        <w:fldChar w:fldCharType="separate"/>
      </w:r>
      <w:r>
        <w:rPr>
          <w:rFonts w:hint="eastAsia"/>
          <w:i w:val="0"/>
          <w:iCs w:val="0"/>
          <w:smallCaps/>
          <w:sz w:val="20"/>
          <w:szCs w:val="20"/>
        </w:rPr>
        <w:t>格式15：残疾人福利性单位声明函（可选）</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_Toc17528 \h </w:instrText>
      </w:r>
      <w:r>
        <w:rPr>
          <w:i w:val="0"/>
          <w:iCs w:val="0"/>
          <w:smallCaps/>
          <w:sz w:val="20"/>
          <w:szCs w:val="20"/>
        </w:rPr>
        <w:fldChar w:fldCharType="separate"/>
      </w:r>
      <w:r>
        <w:rPr>
          <w:i w:val="0"/>
          <w:iCs w:val="0"/>
          <w:smallCaps/>
          <w:sz w:val="20"/>
          <w:szCs w:val="20"/>
        </w:rPr>
        <w:t>84</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"_Toc14001" </w:instrText>
      </w:r>
      <w:r>
        <w:fldChar w:fldCharType="separate"/>
      </w:r>
      <w:r>
        <w:rPr>
          <w:rFonts w:hint="eastAsia"/>
          <w:i w:val="0"/>
          <w:iCs w:val="0"/>
          <w:smallCaps/>
          <w:sz w:val="20"/>
          <w:szCs w:val="20"/>
        </w:rPr>
        <w:t>格式16：同类项目业绩情况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_Toc14001 \h </w:instrText>
      </w:r>
      <w:r>
        <w:rPr>
          <w:i w:val="0"/>
          <w:iCs w:val="0"/>
          <w:smallCaps/>
          <w:sz w:val="20"/>
          <w:szCs w:val="20"/>
        </w:rPr>
        <w:fldChar w:fldCharType="separate"/>
      </w:r>
      <w:r>
        <w:rPr>
          <w:i w:val="0"/>
          <w:iCs w:val="0"/>
          <w:smallCaps/>
          <w:sz w:val="20"/>
          <w:szCs w:val="20"/>
        </w:rPr>
        <w:t>85</w:t>
      </w:r>
      <w:r>
        <w:rPr>
          <w:i w:val="0"/>
          <w:iCs w:val="0"/>
          <w:smallCaps/>
          <w:sz w:val="20"/>
          <w:szCs w:val="20"/>
        </w:rPr>
        <w:fldChar w:fldCharType="end"/>
      </w:r>
      <w:r>
        <w:rPr>
          <w:i w:val="0"/>
          <w:iCs w:val="0"/>
          <w:smallCaps/>
          <w:sz w:val="20"/>
          <w:szCs w:val="20"/>
        </w:rPr>
        <w:fldChar w:fldCharType="end"/>
      </w:r>
    </w:p>
    <w:p>
      <w:pPr>
        <w:pStyle w:val="43"/>
        <w:tabs>
          <w:tab w:val="right" w:leader="dot" w:pos="8788"/>
          <w:tab w:val="clear" w:pos="426"/>
        </w:tabs>
        <w:spacing w:line="240" w:lineRule="auto"/>
        <w:rPr>
          <w:i w:val="0"/>
          <w:iCs w:val="0"/>
          <w:smallCaps/>
          <w:sz w:val="20"/>
          <w:szCs w:val="20"/>
        </w:rPr>
      </w:pPr>
      <w:r>
        <w:fldChar w:fldCharType="begin"/>
      </w:r>
      <w:r>
        <w:instrText xml:space="preserve"> HYPERLINK \l "_Toc27416" </w:instrText>
      </w:r>
      <w:r>
        <w:fldChar w:fldCharType="separate"/>
      </w:r>
      <w:r>
        <w:rPr>
          <w:rFonts w:hint="eastAsia"/>
          <w:i w:val="0"/>
          <w:iCs w:val="0"/>
          <w:smallCaps/>
          <w:sz w:val="20"/>
          <w:szCs w:val="20"/>
        </w:rPr>
        <w:t>格式17：相关认证情况</w:t>
      </w:r>
      <w:r>
        <w:rPr>
          <w:i w:val="0"/>
          <w:iCs w:val="0"/>
          <w:smallCaps/>
          <w:sz w:val="20"/>
          <w:szCs w:val="20"/>
        </w:rPr>
        <w:tab/>
      </w:r>
      <w:r>
        <w:rPr>
          <w:i w:val="0"/>
          <w:iCs w:val="0"/>
          <w:smallCaps/>
          <w:sz w:val="20"/>
          <w:szCs w:val="20"/>
        </w:rPr>
        <w:fldChar w:fldCharType="begin"/>
      </w:r>
      <w:r>
        <w:rPr>
          <w:i w:val="0"/>
          <w:iCs w:val="0"/>
          <w:smallCaps/>
          <w:sz w:val="20"/>
          <w:szCs w:val="20"/>
        </w:rPr>
        <w:instrText xml:space="preserve"> PAGEREF _Toc27416 \h </w:instrText>
      </w:r>
      <w:r>
        <w:rPr>
          <w:i w:val="0"/>
          <w:iCs w:val="0"/>
          <w:smallCaps/>
          <w:sz w:val="20"/>
          <w:szCs w:val="20"/>
        </w:rPr>
        <w:fldChar w:fldCharType="separate"/>
      </w:r>
      <w:r>
        <w:rPr>
          <w:i w:val="0"/>
          <w:iCs w:val="0"/>
          <w:smallCaps/>
          <w:sz w:val="20"/>
          <w:szCs w:val="20"/>
        </w:rPr>
        <w:t>86</w:t>
      </w:r>
      <w:r>
        <w:rPr>
          <w:i w:val="0"/>
          <w:iCs w:val="0"/>
          <w:smallCaps/>
          <w:sz w:val="20"/>
          <w:szCs w:val="20"/>
        </w:rPr>
        <w:fldChar w:fldCharType="end"/>
      </w:r>
      <w:r>
        <w:rPr>
          <w:i w:val="0"/>
          <w:iCs w:val="0"/>
          <w:smallCaps/>
          <w:sz w:val="20"/>
          <w:szCs w:val="20"/>
        </w:rPr>
        <w:fldChar w:fldCharType="end"/>
      </w:r>
    </w:p>
    <w:p>
      <w:pPr>
        <w:pStyle w:val="71"/>
        <w:tabs>
          <w:tab w:val="right" w:leader="dot" w:pos="8788"/>
          <w:tab w:val="clear" w:pos="8789"/>
        </w:tabs>
        <w:spacing w:line="240" w:lineRule="auto"/>
        <w:ind w:left="105"/>
        <w:rPr>
          <w:rFonts w:ascii="黑体" w:hAnsi="黑体" w:eastAsia="黑体" w:cs="黑体"/>
          <w:b/>
          <w:bCs/>
          <w:sz w:val="20"/>
          <w:szCs w:val="20"/>
        </w:rPr>
      </w:pPr>
      <w:r>
        <w:fldChar w:fldCharType="begin"/>
      </w:r>
      <w:r>
        <w:instrText xml:space="preserve"> HYPERLINK \l "_Toc25882" </w:instrText>
      </w:r>
      <w:r>
        <w:fldChar w:fldCharType="separate"/>
      </w:r>
      <w:r>
        <w:rPr>
          <w:rFonts w:hint="eastAsia" w:ascii="黑体" w:hAnsi="黑体" w:eastAsia="黑体" w:cs="黑体"/>
          <w:b/>
          <w:bCs/>
          <w:sz w:val="20"/>
          <w:szCs w:val="20"/>
        </w:rPr>
        <w:t>招标文件第二册（通用部分）</w:t>
      </w:r>
      <w:r>
        <w:rPr>
          <w:rFonts w:hint="eastAsia" w:ascii="黑体" w:hAnsi="黑体" w:eastAsia="黑体" w:cs="黑体"/>
          <w:b/>
          <w:bCs/>
          <w:sz w:val="20"/>
          <w:szCs w:val="20"/>
        </w:rPr>
        <w:tab/>
      </w:r>
      <w:r>
        <w:rPr>
          <w:rFonts w:hint="eastAsia" w:ascii="黑体" w:hAnsi="黑体" w:eastAsia="黑体" w:cs="黑体"/>
          <w:b/>
          <w:bCs/>
          <w:sz w:val="20"/>
          <w:szCs w:val="20"/>
        </w:rPr>
        <w:fldChar w:fldCharType="begin"/>
      </w:r>
      <w:r>
        <w:rPr>
          <w:rFonts w:hint="eastAsia" w:ascii="黑体" w:hAnsi="黑体" w:eastAsia="黑体" w:cs="黑体"/>
          <w:b/>
          <w:bCs/>
          <w:sz w:val="20"/>
          <w:szCs w:val="20"/>
        </w:rPr>
        <w:instrText xml:space="preserve"> PAGEREF _Toc25882 \h </w:instrText>
      </w:r>
      <w:r>
        <w:rPr>
          <w:rFonts w:hint="eastAsia" w:ascii="黑体" w:hAnsi="黑体" w:eastAsia="黑体" w:cs="黑体"/>
          <w:b/>
          <w:bCs/>
          <w:sz w:val="20"/>
          <w:szCs w:val="20"/>
        </w:rPr>
        <w:fldChar w:fldCharType="separate"/>
      </w:r>
      <w:r>
        <w:rPr>
          <w:rFonts w:hint="eastAsia" w:ascii="黑体" w:hAnsi="黑体" w:eastAsia="黑体" w:cs="黑体"/>
          <w:b/>
          <w:bCs/>
          <w:sz w:val="20"/>
          <w:szCs w:val="20"/>
        </w:rPr>
        <w:t>87</w:t>
      </w:r>
      <w:r>
        <w:rPr>
          <w:rFonts w:hint="eastAsia" w:ascii="黑体" w:hAnsi="黑体" w:eastAsia="黑体" w:cs="黑体"/>
          <w:b/>
          <w:bCs/>
          <w:sz w:val="20"/>
          <w:szCs w:val="20"/>
        </w:rPr>
        <w:fldChar w:fldCharType="end"/>
      </w:r>
      <w:r>
        <w:rPr>
          <w:rFonts w:hint="eastAsia" w:ascii="黑体" w:hAnsi="黑体" w:eastAsia="黑体" w:cs="黑体"/>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"_Toc18466" </w:instrText>
      </w:r>
      <w:r>
        <w:fldChar w:fldCharType="separate"/>
      </w:r>
      <w:r>
        <w:rPr>
          <w:rFonts w:hint="eastAsia"/>
          <w:b/>
          <w:bCs/>
          <w:sz w:val="20"/>
          <w:szCs w:val="20"/>
        </w:rPr>
        <w:t>第一章 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_Toc18466 \h </w:instrText>
      </w:r>
      <w:r>
        <w:rPr>
          <w:rFonts w:hint="eastAsia"/>
          <w:b/>
          <w:bCs/>
          <w:sz w:val="20"/>
          <w:szCs w:val="20"/>
        </w:rPr>
        <w:fldChar w:fldCharType="separate"/>
      </w:r>
      <w:r>
        <w:rPr>
          <w:rFonts w:hint="eastAsia"/>
          <w:b/>
          <w:bCs/>
          <w:sz w:val="20"/>
          <w:szCs w:val="20"/>
        </w:rPr>
        <w:t>87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"_Toc10191" </w:instrText>
      </w:r>
      <w:r>
        <w:fldChar w:fldCharType="separate"/>
      </w:r>
      <w:r>
        <w:rPr>
          <w:rFonts w:hint="eastAsia"/>
          <w:b/>
          <w:bCs/>
          <w:sz w:val="20"/>
          <w:szCs w:val="20"/>
        </w:rPr>
        <w:t>第二章 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_Toc10191 \h </w:instrText>
      </w:r>
      <w:r>
        <w:rPr>
          <w:rFonts w:hint="eastAsia"/>
          <w:b/>
          <w:bCs/>
          <w:sz w:val="20"/>
          <w:szCs w:val="20"/>
        </w:rPr>
        <w:fldChar w:fldCharType="separate"/>
      </w:r>
      <w:r>
        <w:rPr>
          <w:rFonts w:hint="eastAsia"/>
          <w:b/>
          <w:bCs/>
          <w:sz w:val="20"/>
          <w:szCs w:val="20"/>
        </w:rPr>
        <w:t>89</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"_Toc15015" </w:instrText>
      </w:r>
      <w:r>
        <w:fldChar w:fldCharType="separate"/>
      </w:r>
      <w:r>
        <w:rPr>
          <w:rFonts w:hint="eastAsia"/>
          <w:b/>
          <w:bCs/>
          <w:sz w:val="20"/>
          <w:szCs w:val="20"/>
        </w:rPr>
        <w:t>第三章 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_Toc15015 \h </w:instrText>
      </w:r>
      <w:r>
        <w:rPr>
          <w:rFonts w:hint="eastAsia"/>
          <w:b/>
          <w:bCs/>
          <w:sz w:val="20"/>
          <w:szCs w:val="20"/>
        </w:rPr>
        <w:fldChar w:fldCharType="separate"/>
      </w:r>
      <w:r>
        <w:rPr>
          <w:rFonts w:hint="eastAsia"/>
          <w:b/>
          <w:bCs/>
          <w:sz w:val="20"/>
          <w:szCs w:val="20"/>
        </w:rPr>
        <w:t>91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"_Toc18415" </w:instrText>
      </w:r>
      <w:r>
        <w:fldChar w:fldCharType="separate"/>
      </w:r>
      <w:r>
        <w:rPr>
          <w:rFonts w:hint="eastAsia"/>
          <w:b/>
          <w:bCs/>
          <w:sz w:val="20"/>
          <w:szCs w:val="20"/>
        </w:rPr>
        <w:t>第四章 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_Toc18415 \h </w:instrText>
      </w:r>
      <w:r>
        <w:rPr>
          <w:rFonts w:hint="eastAsia"/>
          <w:b/>
          <w:bCs/>
          <w:sz w:val="20"/>
          <w:szCs w:val="20"/>
        </w:rPr>
        <w:fldChar w:fldCharType="separate"/>
      </w:r>
      <w:r>
        <w:rPr>
          <w:rFonts w:hint="eastAsia"/>
          <w:b/>
          <w:bCs/>
          <w:sz w:val="20"/>
          <w:szCs w:val="20"/>
        </w:rPr>
        <w:t>95</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"_Toc31833" </w:instrText>
      </w:r>
      <w:r>
        <w:fldChar w:fldCharType="separate"/>
      </w:r>
      <w:r>
        <w:rPr>
          <w:rFonts w:hint="eastAsia"/>
          <w:b/>
          <w:bCs/>
          <w:sz w:val="20"/>
          <w:szCs w:val="20"/>
        </w:rPr>
        <w:t>第五章 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_Toc31833 \h </w:instrText>
      </w:r>
      <w:r>
        <w:rPr>
          <w:rFonts w:hint="eastAsia"/>
          <w:b/>
          <w:bCs/>
          <w:sz w:val="20"/>
          <w:szCs w:val="20"/>
        </w:rPr>
        <w:fldChar w:fldCharType="separate"/>
      </w:r>
      <w:r>
        <w:rPr>
          <w:rFonts w:hint="eastAsia"/>
          <w:b/>
          <w:bCs/>
          <w:sz w:val="20"/>
          <w:szCs w:val="20"/>
        </w:rPr>
        <w:t>96</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"_Toc329" </w:instrText>
      </w:r>
      <w:r>
        <w:fldChar w:fldCharType="separate"/>
      </w:r>
      <w:r>
        <w:rPr>
          <w:rFonts w:hint="eastAsia"/>
          <w:b/>
          <w:bCs/>
          <w:sz w:val="20"/>
          <w:szCs w:val="20"/>
        </w:rPr>
        <w:t>第六章 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_Toc329 \h </w:instrText>
      </w:r>
      <w:r>
        <w:rPr>
          <w:rFonts w:hint="eastAsia"/>
          <w:b/>
          <w:bCs/>
          <w:sz w:val="20"/>
          <w:szCs w:val="20"/>
        </w:rPr>
        <w:fldChar w:fldCharType="separate"/>
      </w:r>
      <w:r>
        <w:rPr>
          <w:rFonts w:hint="eastAsia"/>
          <w:b/>
          <w:bCs/>
          <w:sz w:val="20"/>
          <w:szCs w:val="20"/>
        </w:rPr>
        <w:t>97</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"_Toc10018" </w:instrText>
      </w:r>
      <w:r>
        <w:fldChar w:fldCharType="separate"/>
      </w:r>
      <w:r>
        <w:rPr>
          <w:rFonts w:hint="eastAsia"/>
          <w:b/>
          <w:bCs/>
          <w:sz w:val="20"/>
          <w:szCs w:val="20"/>
        </w:rPr>
        <w:t>第七章 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_Toc10018 \h </w:instrText>
      </w:r>
      <w:r>
        <w:rPr>
          <w:rFonts w:hint="eastAsia"/>
          <w:b/>
          <w:bCs/>
          <w:sz w:val="20"/>
          <w:szCs w:val="20"/>
        </w:rPr>
        <w:fldChar w:fldCharType="separate"/>
      </w:r>
      <w:r>
        <w:rPr>
          <w:rFonts w:hint="eastAsia"/>
          <w:b/>
          <w:bCs/>
          <w:sz w:val="20"/>
          <w:szCs w:val="20"/>
        </w:rPr>
        <w:t>100</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"_Toc1549" </w:instrText>
      </w:r>
      <w:r>
        <w:fldChar w:fldCharType="separate"/>
      </w:r>
      <w:r>
        <w:rPr>
          <w:rFonts w:hint="eastAsia"/>
          <w:b/>
          <w:bCs/>
          <w:sz w:val="20"/>
          <w:szCs w:val="20"/>
        </w:rPr>
        <w:t>第八章 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_Toc1549 \h </w:instrText>
      </w:r>
      <w:r>
        <w:rPr>
          <w:rFonts w:hint="eastAsia"/>
          <w:b/>
          <w:bCs/>
          <w:sz w:val="20"/>
          <w:szCs w:val="20"/>
        </w:rPr>
        <w:fldChar w:fldCharType="separate"/>
      </w:r>
      <w:r>
        <w:rPr>
          <w:rFonts w:hint="eastAsia"/>
          <w:b/>
          <w:bCs/>
          <w:sz w:val="20"/>
          <w:szCs w:val="20"/>
        </w:rPr>
        <w:t>101</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"_Toc27804" </w:instrText>
      </w:r>
      <w:r>
        <w:fldChar w:fldCharType="separate"/>
      </w:r>
      <w:r>
        <w:rPr>
          <w:rFonts w:hint="eastAsia"/>
          <w:b/>
          <w:bCs/>
          <w:sz w:val="20"/>
          <w:szCs w:val="20"/>
        </w:rPr>
        <w:t>第九章 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_Toc27804 \h </w:instrText>
      </w:r>
      <w:r>
        <w:rPr>
          <w:rFonts w:hint="eastAsia"/>
          <w:b/>
          <w:bCs/>
          <w:sz w:val="20"/>
          <w:szCs w:val="20"/>
        </w:rPr>
        <w:fldChar w:fldCharType="separate"/>
      </w:r>
      <w:r>
        <w:rPr>
          <w:rFonts w:hint="eastAsia"/>
          <w:b/>
          <w:bCs/>
          <w:sz w:val="20"/>
          <w:szCs w:val="20"/>
        </w:rPr>
        <w:t>104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"_Toc4334" </w:instrText>
      </w:r>
      <w:r>
        <w:fldChar w:fldCharType="separate"/>
      </w:r>
      <w:r>
        <w:rPr>
          <w:rFonts w:hint="eastAsia"/>
          <w:b/>
          <w:bCs/>
          <w:sz w:val="20"/>
          <w:szCs w:val="20"/>
        </w:rPr>
        <w:t>第十章 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_Toc4334 \h </w:instrText>
      </w:r>
      <w:r>
        <w:rPr>
          <w:rFonts w:hint="eastAsia"/>
          <w:b/>
          <w:bCs/>
          <w:sz w:val="20"/>
          <w:szCs w:val="20"/>
        </w:rPr>
        <w:fldChar w:fldCharType="separate"/>
      </w:r>
      <w:r>
        <w:rPr>
          <w:rFonts w:hint="eastAsia"/>
          <w:b/>
          <w:bCs/>
          <w:sz w:val="20"/>
          <w:szCs w:val="20"/>
        </w:rPr>
        <w:t>104</w:t>
      </w:r>
      <w:r>
        <w:rPr>
          <w:rFonts w:hint="eastAsia"/>
          <w:b/>
          <w:bCs/>
          <w:sz w:val="20"/>
          <w:szCs w:val="20"/>
        </w:rPr>
        <w:fldChar w:fldCharType="end"/>
      </w:r>
      <w:r>
        <w:rPr>
          <w:rFonts w:hint="eastAsia"/>
          <w:b/>
          <w:bCs/>
          <w:sz w:val="20"/>
          <w:szCs w:val="20"/>
        </w:rPr>
        <w:fldChar w:fldCharType="end"/>
      </w:r>
    </w:p>
    <w:p>
      <w:pPr>
        <w:pStyle w:val="71"/>
        <w:tabs>
          <w:tab w:val="right" w:leader="dot" w:pos="8788"/>
          <w:tab w:val="clear" w:pos="8789"/>
        </w:tabs>
        <w:spacing w:line="240" w:lineRule="auto"/>
        <w:ind w:left="105"/>
        <w:rPr>
          <w:b/>
          <w:bCs/>
          <w:sz w:val="20"/>
          <w:szCs w:val="20"/>
        </w:rPr>
      </w:pPr>
      <w:r>
        <w:fldChar w:fldCharType="begin"/>
      </w:r>
      <w:r>
        <w:instrText xml:space="preserve"> HYPERLINK \l "_Toc13862" </w:instrText>
      </w:r>
      <w:r>
        <w:fldChar w:fldCharType="separate"/>
      </w:r>
      <w:r>
        <w:rPr>
          <w:rFonts w:hint="eastAsia"/>
          <w:b/>
          <w:bCs/>
          <w:sz w:val="20"/>
          <w:szCs w:val="20"/>
        </w:rPr>
        <w:t>招标代理服务取费说明</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_Toc13862 \h </w:instrText>
      </w:r>
      <w:r>
        <w:rPr>
          <w:rFonts w:hint="eastAsia"/>
          <w:b/>
          <w:bCs/>
          <w:sz w:val="20"/>
          <w:szCs w:val="20"/>
        </w:rPr>
        <w:fldChar w:fldCharType="separate"/>
      </w:r>
      <w:r>
        <w:rPr>
          <w:rFonts w:hint="eastAsia"/>
          <w:b/>
          <w:bCs/>
          <w:sz w:val="20"/>
          <w:szCs w:val="20"/>
        </w:rPr>
        <w:t>107</w:t>
      </w:r>
      <w:r>
        <w:rPr>
          <w:rFonts w:hint="eastAsia"/>
          <w:b/>
          <w:bCs/>
          <w:sz w:val="20"/>
          <w:szCs w:val="20"/>
        </w:rPr>
        <w:fldChar w:fldCharType="end"/>
      </w:r>
      <w:r>
        <w:rPr>
          <w:rFonts w:hint="eastAsia"/>
          <w:b/>
          <w:bCs/>
          <w:sz w:val="20"/>
          <w:szCs w:val="20"/>
        </w:rPr>
        <w:fldChar w:fldCharType="end"/>
      </w:r>
    </w:p>
    <w:p>
      <w:pPr>
        <w:tabs>
          <w:tab w:val="right" w:leader="dot" w:pos="8820"/>
          <w:tab w:val="right" w:leader="dot" w:pos="9240"/>
          <w:tab w:val="clear" w:pos="426"/>
        </w:tabs>
        <w:spacing w:line="240" w:lineRule="auto"/>
      </w:pPr>
      <w:r>
        <w:rPr>
          <w:smallCaps/>
        </w:rPr>
        <w:fldChar w:fldCharType="end"/>
      </w:r>
    </w:p>
    <w:p>
      <w:pPr>
        <w:tabs>
          <w:tab w:val="clear" w:pos="426"/>
        </w:tabs>
        <w:spacing w:line="240" w:lineRule="auto"/>
        <w:sectPr>
          <w:footerReference r:id="rId5" w:type="even"/>
          <w:pgSz w:w="11906" w:h="16838"/>
          <w:pgMar w:top="1134" w:right="1700" w:bottom="1134" w:left="1418" w:header="851" w:footer="992" w:gutter="0"/>
          <w:pgNumType w:start="0"/>
          <w:cols w:space="720" w:num="1"/>
          <w:titlePg/>
          <w:docGrid w:linePitch="462" w:charSpace="0"/>
        </w:sectPr>
      </w:pPr>
    </w:p>
    <w:p>
      <w:pPr>
        <w:pStyle w:val="62"/>
      </w:pPr>
      <w:bookmarkStart w:id="0" w:name="_Toc432592808"/>
      <w:bookmarkStart w:id="1" w:name="_Toc1594"/>
      <w:r>
        <w:rPr>
          <w:rFonts w:hint="eastAsia"/>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项目编号</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SSZX2024-382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深圳海关动植物检验检疫技术中心“荧光PCR仪”设备采购项目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项目类型</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采购方式</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货币类型</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预算金额</w:t>
            </w:r>
          </w:p>
        </w:tc>
        <w:tc>
          <w:tcPr>
            <w:tcW w:w="5968" w:type="dxa"/>
            <w:vAlign w:val="center"/>
          </w:tcPr>
          <w:p>
            <w:pPr>
              <w:tabs>
                <w:tab w:val="clear" w:pos="426"/>
              </w:tabs>
              <w:adjustRightInd/>
              <w:snapToGrid/>
              <w:spacing w:line="320" w:lineRule="exact"/>
            </w:pPr>
            <w:r>
              <w:rPr>
                <w:rFonts w:hint="eastAsia"/>
              </w:rPr>
              <w:t>总预算金额：525.000000万元（人民币伍佰贰拾伍万元整）</w:t>
            </w:r>
          </w:p>
          <w:p>
            <w:pPr>
              <w:tabs>
                <w:tab w:val="clear" w:pos="426"/>
              </w:tabs>
              <w:adjustRightInd/>
              <w:snapToGrid/>
              <w:spacing w:line="320" w:lineRule="exact"/>
            </w:pPr>
            <w:r>
              <w:rPr>
                <w:rFonts w:hint="eastAsia"/>
              </w:rPr>
              <w:t>01包：280.000000万元（人民币贰佰捌拾万元整）</w:t>
            </w:r>
          </w:p>
          <w:p>
            <w:pPr>
              <w:tabs>
                <w:tab w:val="clear" w:pos="426"/>
              </w:tabs>
              <w:adjustRightInd/>
              <w:snapToGrid/>
              <w:spacing w:line="320" w:lineRule="exact"/>
            </w:pPr>
            <w:r>
              <w:rPr>
                <w:rFonts w:hint="eastAsia"/>
              </w:rPr>
              <w:t>02包：245.000000万元（人民币贰佰肆拾伍万元整）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最高限价</w:t>
            </w:r>
          </w:p>
        </w:tc>
        <w:tc>
          <w:tcPr>
            <w:tcW w:w="5968" w:type="dxa"/>
            <w:vAlign w:val="center"/>
          </w:tcPr>
          <w:p>
            <w:pPr>
              <w:tabs>
                <w:tab w:val="clear" w:pos="426"/>
              </w:tabs>
              <w:adjustRightInd/>
              <w:snapToGrid/>
              <w:spacing w:line="320" w:lineRule="exact"/>
            </w:pPr>
            <w:r>
              <w:rPr>
                <w:rFonts w:hint="eastAsia"/>
              </w:rPr>
              <w:t>总限价：525.000000万元（人民币伍佰贰拾伍万元整）</w:t>
            </w:r>
          </w:p>
          <w:p>
            <w:pPr>
              <w:tabs>
                <w:tab w:val="clear" w:pos="426"/>
              </w:tabs>
              <w:adjustRightInd/>
              <w:snapToGrid/>
              <w:spacing w:line="320" w:lineRule="exact"/>
            </w:pPr>
            <w:r>
              <w:rPr>
                <w:rFonts w:hint="eastAsia"/>
              </w:rPr>
              <w:t>01包限价：280.000000万元（人民币贰佰捌拾万元整）</w:t>
            </w:r>
          </w:p>
          <w:p>
            <w:pPr>
              <w:tabs>
                <w:tab w:val="clear" w:pos="426"/>
              </w:tabs>
              <w:adjustRightInd/>
              <w:snapToGrid/>
              <w:spacing w:line="320" w:lineRule="exact"/>
            </w:pPr>
            <w:r>
              <w:rPr>
                <w:rFonts w:hint="eastAsia"/>
              </w:rPr>
              <w:t>02包限价：245.000000万元（人民币贰佰肆拾伍万元整）</w:t>
            </w:r>
          </w:p>
          <w:p>
            <w:pPr>
              <w:tabs>
                <w:tab w:val="clear" w:pos="426"/>
              </w:tabs>
              <w:adjustRightInd/>
              <w:snapToGrid/>
              <w:spacing w:line="320" w:lineRule="exact"/>
            </w:pPr>
            <w:r>
              <w:rPr>
                <w:rFonts w:hint="eastAsia"/>
              </w:rPr>
              <w:t>不符合报价要求的投标文件将做无效处理。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报价要求</w:t>
            </w:r>
          </w:p>
        </w:tc>
        <w:tc>
          <w:tcPr>
            <w:tcW w:w="5968" w:type="dxa"/>
            <w:vAlign w:val="center"/>
          </w:tcPr>
          <w:p>
            <w:pPr>
              <w:tabs>
                <w:tab w:val="clear" w:pos="426"/>
              </w:tabs>
              <w:adjustRightInd/>
              <w:snapToGrid/>
              <w:spacing w:line="320" w:lineRule="exact"/>
            </w:pPr>
            <w:r>
              <w:rPr>
                <w:rFonts w:hint="eastAsia"/>
              </w:rPr>
              <w:t>1.投标报价以人民币元为计算单位。</w:t>
            </w:r>
          </w:p>
          <w:p>
            <w:pPr>
              <w:tabs>
                <w:tab w:val="clear" w:pos="426"/>
              </w:tabs>
              <w:adjustRightInd/>
              <w:snapToGrid/>
              <w:spacing w:line="320" w:lineRule="exact"/>
            </w:pPr>
            <w:r>
              <w:rPr>
                <w:rFonts w:hint="eastAsia"/>
              </w:rPr>
              <w:t>2.本项目投标上限金额为本项目预算金额（包含分项预算、总预算金额）。</w:t>
            </w:r>
          </w:p>
          <w:p>
            <w:pPr>
              <w:tabs>
                <w:tab w:val="clear" w:pos="426"/>
              </w:tabs>
              <w:adjustRightInd/>
              <w:snapToGrid/>
              <w:spacing w:line="320" w:lineRule="exact"/>
            </w:pPr>
            <w:r>
              <w:rPr>
                <w:rFonts w:hint="eastAsia"/>
              </w:rPr>
              <w:t>3投标人报价应包含合同期内所有内容所产生的费用。</w:t>
            </w:r>
          </w:p>
          <w:p>
            <w:pPr>
              <w:tabs>
                <w:tab w:val="clear" w:pos="426"/>
              </w:tabs>
              <w:adjustRightInd/>
              <w:snapToGrid/>
              <w:spacing w:line="320" w:lineRule="exact"/>
            </w:pPr>
            <w:r>
              <w:rPr>
                <w:rFonts w:hint="eastAsia"/>
              </w:rPr>
              <w:t>4.投标人应充分了解任何其它足以影响投标报价的情况，任何因忽视或误解项目情况而导致的索赔或合同期限延长申请将不获批准。投标人在投标报价时，应充分考虑投标报价的风险。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评定分离</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bCs/>
                <w:szCs w:val="21"/>
              </w:rPr>
            </w:pPr>
            <w:r>
              <w:rPr>
                <w:rFonts w:hint="eastAsia" w:asciiTheme="minorEastAsia" w:hAnsiTheme="minorEastAsia" w:eastAsiaTheme="minorEastAsia"/>
                <w:bCs/>
                <w:szCs w:val="21"/>
              </w:rPr>
              <w:t>评标方法</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bCs/>
                <w:szCs w:val="21"/>
              </w:rPr>
            </w:pPr>
            <w:r>
              <w:rPr>
                <w:rFonts w:hint="eastAsia" w:asciiTheme="minorEastAsia" w:hAnsiTheme="minorEastAsia" w:eastAsiaTheme="minorEastAsia"/>
                <w:bCs/>
                <w:szCs w:val="21"/>
              </w:rPr>
              <w:t>定标方法</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投标供应商的替代方案</w:t>
            </w:r>
          </w:p>
        </w:tc>
        <w:tc>
          <w:tcPr>
            <w:tcW w:w="5968" w:type="dxa"/>
            <w:vAlign w:val="center"/>
          </w:tcPr>
          <w:p>
            <w:pPr>
              <w:tabs>
                <w:tab w:val="clear" w:pos="426"/>
              </w:tabs>
              <w:adjustRightInd/>
              <w:snapToGrid/>
              <w:spacing w:line="240" w:lineRule="auto"/>
              <w:rPr>
                <w:rFonts w:asciiTheme="minorEastAsia" w:hAnsiTheme="minorEastAsia" w:eastAsiaTheme="minorEastAsia"/>
                <w:szCs w:val="21"/>
                <w:u w:val="single"/>
              </w:rPr>
            </w:pPr>
            <w:r>
              <w:rPr>
                <w:rFonts w:hint="eastAsia" w:asciiTheme="minorEastAsia" w:hAnsiTheme="minorEastAsia"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投标有效期</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90</w:t>
            </w:r>
            <w:r>
              <w:rPr>
                <w:rFonts w:asciiTheme="minorEastAsia" w:hAnsiTheme="minorEastAsia" w:eastAsiaTheme="minorEastAsia"/>
                <w:szCs w:val="21"/>
              </w:rPr>
              <w:t>日历</w:t>
            </w:r>
            <w:r>
              <w:rPr>
                <w:rFonts w:hint="eastAsia" w:asciiTheme="minorEastAsia" w:hAnsiTheme="minorEastAsia" w:eastAsiaTheme="minorEastAsia"/>
                <w:szCs w:val="21"/>
              </w:rPr>
              <w:t>天</w:t>
            </w:r>
            <w:r>
              <w:rPr>
                <w:rFonts w:asciiTheme="minorEastAsia" w:hAnsiTheme="minorEastAsia" w:eastAsiaTheme="minorEastAsia"/>
                <w:szCs w:val="21"/>
              </w:rPr>
              <w:t>（</w:t>
            </w:r>
            <w:r>
              <w:rPr>
                <w:rFonts w:hint="eastAsia" w:asciiTheme="minorEastAsia" w:hAnsiTheme="minorEastAsia" w:eastAsiaTheme="minorEastAsia"/>
                <w:szCs w:val="21"/>
              </w:rPr>
              <w:t>从投标截止之日算起</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投标保证金</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不提交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履约保证金</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■提交，履约保证金为合同金额的10%，提交形式：银行保函或银行电汇保函。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投标文件份数</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纸质投标文件一正、四副，开标信封一份</w:t>
            </w:r>
          </w:p>
          <w:p>
            <w:pPr>
              <w:tabs>
                <w:tab w:val="clear" w:pos="426"/>
              </w:tabs>
              <w:adjustRightInd/>
              <w:snapToGrid/>
              <w:spacing w:line="240" w:lineRule="auto"/>
              <w:rPr>
                <w:rFonts w:asciiTheme="minorEastAsia" w:hAnsiTheme="minorEastAsia" w:eastAsiaTheme="minorEastAsia"/>
                <w:szCs w:val="21"/>
              </w:rPr>
            </w:pPr>
            <w:r>
              <w:rPr>
                <w:rFonts w:hint="eastAsia"/>
                <w:b/>
                <w:bCs/>
              </w:rPr>
              <w:t>备注：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投标文件电子档</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电子光盘一张或</w:t>
            </w:r>
            <w:r>
              <w:rPr>
                <w:rFonts w:asciiTheme="minorEastAsia" w:hAnsiTheme="minorEastAsia" w:eastAsiaTheme="minorEastAsia"/>
                <w:szCs w:val="21"/>
              </w:rPr>
              <w:t>U盘一个</w:t>
            </w:r>
            <w:r>
              <w:rPr>
                <w:rFonts w:hint="eastAsia" w:asciiTheme="minorEastAsia" w:hAnsiTheme="minorEastAsia" w:eastAsiaTheme="minorEastAsia"/>
                <w:szCs w:val="21"/>
              </w:rPr>
              <w:t>（</w:t>
            </w:r>
            <w:r>
              <w:rPr>
                <w:rFonts w:asciiTheme="minorEastAsia" w:hAnsiTheme="minorEastAsia" w:eastAsiaTheme="minorEastAsia"/>
                <w:szCs w:val="21"/>
              </w:rPr>
              <w:t>WORD及</w:t>
            </w:r>
            <w:r>
              <w:rPr>
                <w:rFonts w:hint="eastAsia" w:asciiTheme="minorEastAsia" w:hAnsiTheme="minorEastAsia" w:eastAsiaTheme="minorEastAsia"/>
                <w:szCs w:val="21"/>
              </w:rPr>
              <w:t>投标文件正本盖章后的彩色扫描件，</w:t>
            </w:r>
            <w:r>
              <w:rPr>
                <w:rFonts w:asciiTheme="minorEastAsia" w:hAnsiTheme="minorEastAsia" w:eastAsiaTheme="minorEastAsia"/>
                <w:szCs w:val="21"/>
              </w:rPr>
              <w:t>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asciiTheme="minorEastAsia" w:hAnsiTheme="minorEastAsia" w:eastAsiaTheme="minorEastAsia"/>
                <w:szCs w:val="21"/>
              </w:rPr>
              <w:t>踏勘现场</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投标供应商提出疑问截止时间</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在获取采购文件或者采购文件公告期限届满之日起</w:t>
            </w:r>
            <w:r>
              <w:rPr>
                <w:rFonts w:asciiTheme="minorEastAsia" w:hAnsiTheme="minorEastAsia" w:eastAsiaTheme="minorEastAsia"/>
                <w:szCs w:val="21"/>
              </w:rPr>
              <w:t>7个工作日内对采购文件提出质疑</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澄清或修补、答疑的期限</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截标之日（当日不计）15</w:t>
            </w:r>
            <w:r>
              <w:rPr>
                <w:rFonts w:asciiTheme="minorEastAsia" w:hAnsiTheme="minorEastAsia" w:eastAsiaTheme="minorEastAsia"/>
                <w:szCs w:val="21"/>
              </w:rPr>
              <w:t>日</w:t>
            </w:r>
            <w:r>
              <w:rPr>
                <w:rFonts w:hint="eastAsia" w:asciiTheme="minorEastAsia" w:hAnsiTheme="minorEastAsia" w:eastAsiaTheme="minorEastAsia"/>
                <w:szCs w:val="21"/>
              </w:rPr>
              <w:t>前</w:t>
            </w:r>
            <w:r>
              <w:rPr>
                <w:rFonts w:hint="eastAsia" w:asciiTheme="minorEastAsia" w:hAnsiTheme="minorEastAsia" w:eastAsiaTheme="minorEastAsia"/>
                <w:szCs w:val="21"/>
                <w:u w:val="none"/>
              </w:rPr>
              <w:t>17：30</w:t>
            </w:r>
            <w:r>
              <w:rPr>
                <w:rFonts w:hint="eastAsia" w:asciiTheme="minorEastAsia" w:hAnsiTheme="minorEastAsia" w:eastAsiaTheme="minorEastAsia"/>
                <w:szCs w:val="21"/>
              </w:rPr>
              <w:t>点前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560"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招标代理</w:t>
            </w:r>
            <w:r>
              <w:rPr>
                <w:rFonts w:asciiTheme="minorEastAsia" w:hAnsiTheme="minorEastAsia" w:eastAsiaTheme="minorEastAsia"/>
                <w:szCs w:val="21"/>
              </w:rPr>
              <w:t>服务费</w:t>
            </w:r>
          </w:p>
        </w:tc>
        <w:tc>
          <w:tcPr>
            <w:tcW w:w="5968" w:type="dxa"/>
            <w:vAlign w:val="center"/>
          </w:tcPr>
          <w:p>
            <w:pPr>
              <w:tabs>
                <w:tab w:val="clear" w:pos="426"/>
              </w:tabs>
              <w:adjustRightInd/>
              <w:snapToGrid/>
              <w:spacing w:line="240" w:lineRule="auto"/>
              <w:rPr>
                <w:rFonts w:asciiTheme="minorEastAsia" w:hAnsiTheme="minorEastAsia" w:eastAsiaTheme="minorEastAsia"/>
                <w:szCs w:val="21"/>
              </w:rPr>
            </w:pPr>
            <w:r>
              <w:rPr>
                <w:rFonts w:hint="eastAsia" w:asciiTheme="minorEastAsia" w:hAnsiTheme="minorEastAsia" w:eastAsiaTheme="minorEastAsia"/>
                <w:szCs w:val="21"/>
              </w:rPr>
              <w:t>采购代理机构以各包中标金额为计算基数，按差额定率累进法计算，向各包中标供应商收取</w:t>
            </w:r>
            <w:r>
              <w:rPr>
                <w:rFonts w:asciiTheme="minorEastAsia" w:hAnsiTheme="minorEastAsia" w:eastAsiaTheme="minorEastAsia"/>
                <w:szCs w:val="21"/>
              </w:rPr>
              <w:t>。</w:t>
            </w:r>
            <w:r>
              <w:rPr>
                <w:rFonts w:hint="eastAsia" w:asciiTheme="minorEastAsia" w:hAnsiTheme="minorEastAsia" w:eastAsiaTheme="minorEastAsia"/>
                <w:szCs w:val="21"/>
              </w:rPr>
              <w:t>招标代理服务费采用转账的方式，账户信息如下：户名：深圳市深水水务咨询有限公司；账号：</w:t>
            </w:r>
            <w:r>
              <w:rPr>
                <w:rFonts w:asciiTheme="minorEastAsia" w:hAnsiTheme="minorEastAsia" w:eastAsiaTheme="minorEastAsia"/>
                <w:szCs w:val="21"/>
              </w:rPr>
              <w:t>443899991010003343618</w:t>
            </w:r>
            <w:r>
              <w:rPr>
                <w:rFonts w:hint="eastAsia" w:asciiTheme="minorEastAsia" w:hAnsiTheme="minorEastAsia" w:eastAsiaTheme="minorEastAsia"/>
                <w:szCs w:val="21"/>
              </w:rPr>
              <w:t>；开户行：交通银行深圳金叶支行。</w:t>
            </w:r>
          </w:p>
        </w:tc>
      </w:tr>
    </w:tbl>
    <w:p>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pPr>
        <w:pStyle w:val="81"/>
        <w:tabs>
          <w:tab w:val="clear" w:pos="426"/>
        </w:tabs>
      </w:pPr>
      <w:r>
        <w:br w:type="page"/>
      </w:r>
      <w:bookmarkStart w:id="2" w:name="_Toc16410"/>
      <w:r>
        <w:rPr>
          <w:rFonts w:hint="eastAsia"/>
        </w:rPr>
        <w:t>招标文件第一册（专用部分）</w:t>
      </w:r>
      <w:bookmarkEnd w:id="2"/>
    </w:p>
    <w:p>
      <w:pPr>
        <w:pStyle w:val="62"/>
      </w:pPr>
      <w:bookmarkStart w:id="3" w:name="_Toc432592813"/>
      <w:bookmarkStart w:id="4" w:name="_Toc265483798"/>
      <w:bookmarkStart w:id="5" w:name="_Toc20258"/>
      <w:r>
        <w:rPr>
          <w:rFonts w:hint="eastAsia"/>
        </w:rPr>
        <w:t>第一章</w:t>
      </w:r>
      <w:bookmarkEnd w:id="3"/>
      <w:bookmarkEnd w:id="4"/>
      <w:r>
        <w:rPr>
          <w:rFonts w:hint="eastAsia"/>
        </w:rPr>
        <w:t xml:space="preserve"> 投标邀请</w:t>
      </w:r>
      <w:bookmarkEnd w:id="5"/>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cs="Times New Roman"/>
          <w:kern w:val="2"/>
          <w:szCs w:val="21"/>
        </w:rPr>
      </w:pPr>
      <w:bookmarkStart w:id="6" w:name="_Hlk62652657"/>
      <w:r>
        <w:rPr>
          <w:rFonts w:hint="eastAsia" w:cs="Times New Roman"/>
          <w:kern w:val="2"/>
          <w:szCs w:val="21"/>
        </w:rPr>
        <w:t>项目概况</w:t>
      </w:r>
    </w:p>
    <w:p>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深圳海关动植物检验检疫技术中心“荧光PCR仪”设备采购项目的潜在投标人应在深圳市罗湖区清水河街道清水河社区清水河一路112号罗湖投资控股大厦裙楼401获取招标文件，并于202</w:t>
      </w:r>
      <w:r>
        <w:rPr>
          <w:rFonts w:cs="Times New Roman"/>
          <w:kern w:val="2"/>
          <w:szCs w:val="21"/>
        </w:rPr>
        <w:t>4</w:t>
      </w:r>
      <w:r>
        <w:rPr>
          <w:rFonts w:hint="eastAsia" w:cs="Times New Roman"/>
          <w:kern w:val="2"/>
          <w:szCs w:val="21"/>
        </w:rPr>
        <w:t>年*月*</w:t>
      </w:r>
      <w:r>
        <w:rPr>
          <w:rFonts w:hint="eastAsia" w:cs="Times New Roman"/>
          <w:bCs/>
          <w:kern w:val="2"/>
          <w:szCs w:val="21"/>
        </w:rPr>
        <w:t>日14点30分（北京时间）前递交投标</w:t>
      </w:r>
      <w:r>
        <w:rPr>
          <w:rFonts w:cs="Times New Roman"/>
          <w:bCs/>
          <w:kern w:val="2"/>
          <w:szCs w:val="21"/>
        </w:rPr>
        <w:t>文件</w:t>
      </w:r>
      <w:r>
        <w:rPr>
          <w:rFonts w:hint="eastAsia" w:cs="Times New Roman"/>
          <w:kern w:val="2"/>
          <w:szCs w:val="21"/>
        </w:rPr>
        <w:t>。</w:t>
      </w:r>
    </w:p>
    <w:p>
      <w:pPr>
        <w:widowControl w:val="0"/>
        <w:shd w:val="clear" w:color="auto" w:fill="auto"/>
        <w:tabs>
          <w:tab w:val="clear" w:pos="426"/>
        </w:tabs>
        <w:adjustRightInd/>
        <w:snapToGrid/>
        <w:spacing w:line="240" w:lineRule="auto"/>
        <w:rPr>
          <w:rFonts w:cs="Times New Roman"/>
          <w:kern w:val="2"/>
          <w:szCs w:val="21"/>
        </w:rPr>
      </w:pPr>
    </w:p>
    <w:p>
      <w:pPr>
        <w:spacing w:line="240" w:lineRule="auto"/>
        <w:rPr>
          <w:b/>
          <w:kern w:val="2"/>
          <w:szCs w:val="21"/>
        </w:rPr>
      </w:pPr>
      <w:bookmarkStart w:id="7" w:name="_Toc35393790"/>
      <w:bookmarkStart w:id="8" w:name="_Toc28359079"/>
      <w:bookmarkStart w:id="9" w:name="_Toc35393621"/>
      <w:bookmarkStart w:id="10" w:name="_Toc28359002"/>
      <w:bookmarkStart w:id="11" w:name="_Hlk24379207"/>
      <w:r>
        <w:rPr>
          <w:rFonts w:hint="eastAsia"/>
          <w:b/>
          <w:kern w:val="2"/>
          <w:szCs w:val="21"/>
        </w:rPr>
        <w:t>一、项目基本情况</w:t>
      </w:r>
      <w:bookmarkEnd w:id="7"/>
      <w:bookmarkEnd w:id="8"/>
      <w:bookmarkEnd w:id="9"/>
      <w:bookmarkEnd w:id="10"/>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项目编号：SSZX2024-382</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项目名称：深圳海关动植物检验检疫技术中心“荧光PCR仪”设备采购项目</w:t>
      </w:r>
    </w:p>
    <w:bookmarkEnd w:id="11"/>
    <w:p>
      <w:pPr>
        <w:widowControl w:val="0"/>
        <w:shd w:val="clear" w:color="auto" w:fill="auto"/>
        <w:tabs>
          <w:tab w:val="clear" w:pos="426"/>
        </w:tabs>
        <w:adjustRightInd/>
        <w:snapToGrid/>
        <w:spacing w:line="240" w:lineRule="auto"/>
        <w:ind w:firstLine="420" w:firstLineChars="200"/>
        <w:rPr>
          <w:szCs w:val="21"/>
        </w:rPr>
      </w:pPr>
      <w:r>
        <w:rPr>
          <w:rFonts w:hint="eastAsia" w:cs="Times New Roman"/>
          <w:kern w:val="2"/>
          <w:szCs w:val="21"/>
        </w:rPr>
        <w:t>预算金额：525.000000万元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最高限价：525.000000万元</w:t>
      </w:r>
      <w:r>
        <w:rPr>
          <w:rFonts w:hint="eastAsia"/>
          <w:szCs w:val="21"/>
        </w:rPr>
        <w:t>（人民币）</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采购需求：</w:t>
      </w:r>
    </w:p>
    <w:tbl>
      <w:tblPr>
        <w:tblStyle w:val="85"/>
        <w:tblW w:w="4994"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4"/>
        <w:gridCol w:w="1249"/>
        <w:gridCol w:w="1514"/>
        <w:gridCol w:w="708"/>
        <w:gridCol w:w="708"/>
        <w:gridCol w:w="1698"/>
        <w:gridCol w:w="1484"/>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包号</w:t>
            </w: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标的序号</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标的名称</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数量</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单位</w:t>
            </w:r>
          </w:p>
        </w:tc>
        <w:tc>
          <w:tcPr>
            <w:tcW w:w="888"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szCs w:val="21"/>
              </w:rPr>
              <w:t>简要技术需求</w:t>
            </w:r>
          </w:p>
        </w:tc>
        <w:tc>
          <w:tcPr>
            <w:tcW w:w="77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备注</w:t>
            </w:r>
          </w:p>
        </w:tc>
        <w:tc>
          <w:tcPr>
            <w:tcW w:w="75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预算金额</w:t>
            </w:r>
          </w:p>
          <w:p>
            <w:pPr>
              <w:spacing w:line="240" w:lineRule="auto"/>
              <w:jc w:val="center"/>
              <w:rPr>
                <w:szCs w:val="21"/>
              </w:rPr>
            </w:pPr>
            <w:r>
              <w:rPr>
                <w:rFonts w:hint="eastAsia"/>
                <w:szCs w:val="21"/>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5" w:type="pct"/>
            <w:vMerge w:val="restart"/>
            <w:tcBorders>
              <w:top w:val="single" w:color="auto" w:sz="4" w:space="0"/>
              <w:left w:val="single" w:color="auto" w:sz="4" w:space="0"/>
              <w:right w:val="single" w:color="auto" w:sz="4" w:space="0"/>
            </w:tcBorders>
            <w:vAlign w:val="center"/>
          </w:tcPr>
          <w:p>
            <w:pPr>
              <w:spacing w:line="240" w:lineRule="auto"/>
              <w:jc w:val="center"/>
              <w:rPr>
                <w:szCs w:val="21"/>
              </w:rPr>
            </w:pPr>
            <w:r>
              <w:rPr>
                <w:rFonts w:hint="eastAsia"/>
                <w:szCs w:val="21"/>
              </w:rPr>
              <w:t>01</w:t>
            </w: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1</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荧光PCR仪</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2</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台</w:t>
            </w:r>
          </w:p>
        </w:tc>
        <w:tc>
          <w:tcPr>
            <w:tcW w:w="888" w:type="pct"/>
            <w:vMerge w:val="restart"/>
            <w:tcBorders>
              <w:top w:val="single" w:color="auto" w:sz="4" w:space="0"/>
              <w:left w:val="single" w:color="auto" w:sz="4" w:space="0"/>
              <w:right w:val="single" w:color="auto" w:sz="4" w:space="0"/>
            </w:tcBorders>
            <w:vAlign w:val="center"/>
          </w:tcPr>
          <w:p>
            <w:pPr>
              <w:pStyle w:val="425"/>
            </w:pPr>
            <w:r>
              <w:rPr>
                <w:rFonts w:hint="eastAsia"/>
              </w:rPr>
              <w:t>采购5台荧光PCR仪，保障深圳海关动植物检验检疫技术中心进出口动植物检验检疫技术能力和检测效率，提升深圳海关口岸动植检疫情防控、外来有害生物防范及濒危物种的鉴定识别能力，详见招标文件项目需求书。</w:t>
            </w:r>
          </w:p>
        </w:tc>
        <w:tc>
          <w:tcPr>
            <w:tcW w:w="772" w:type="pct"/>
            <w:vMerge w:val="restart"/>
            <w:tcBorders>
              <w:top w:val="single" w:color="auto" w:sz="4" w:space="0"/>
              <w:left w:val="single" w:color="auto" w:sz="4" w:space="0"/>
              <w:right w:val="single" w:color="auto" w:sz="4" w:space="0"/>
            </w:tcBorders>
            <w:vAlign w:val="center"/>
          </w:tcPr>
          <w:p>
            <w:pPr>
              <w:pStyle w:val="425"/>
            </w:pPr>
            <w:r>
              <w:rPr>
                <w:rFonts w:hint="eastAsia"/>
              </w:rPr>
              <w:t>拒绝进口</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90.000000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5" w:type="pct"/>
            <w:vMerge w:val="continue"/>
            <w:tcBorders>
              <w:left w:val="single" w:color="auto" w:sz="4" w:space="0"/>
              <w:right w:val="single" w:color="auto" w:sz="4" w:space="0"/>
            </w:tcBorders>
            <w:vAlign w:val="center"/>
          </w:tcPr>
          <w:p>
            <w:pPr>
              <w:spacing w:line="240" w:lineRule="auto"/>
              <w:jc w:val="center"/>
              <w:rPr>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2</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荧光定量PCR仪</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72"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60.000000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5" w:type="pct"/>
            <w:vMerge w:val="continue"/>
            <w:tcBorders>
              <w:left w:val="single" w:color="auto" w:sz="4" w:space="0"/>
              <w:bottom w:val="single" w:color="auto" w:sz="4" w:space="0"/>
              <w:right w:val="single" w:color="auto" w:sz="4" w:space="0"/>
            </w:tcBorders>
            <w:vAlign w:val="center"/>
          </w:tcPr>
          <w:p>
            <w:pPr>
              <w:spacing w:line="240" w:lineRule="auto"/>
              <w:jc w:val="center"/>
              <w:rPr>
                <w:szCs w:val="21"/>
              </w:rPr>
            </w:pP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3</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荧光PCR仪</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台</w:t>
            </w:r>
          </w:p>
        </w:tc>
        <w:tc>
          <w:tcPr>
            <w:tcW w:w="888" w:type="pct"/>
            <w:vMerge w:val="continue"/>
            <w:tcBorders>
              <w:left w:val="single" w:color="auto" w:sz="4" w:space="0"/>
              <w:right w:val="single" w:color="auto" w:sz="4" w:space="0"/>
            </w:tcBorders>
            <w:vAlign w:val="center"/>
          </w:tcPr>
          <w:p>
            <w:pPr>
              <w:pStyle w:val="425"/>
            </w:pPr>
          </w:p>
        </w:tc>
        <w:tc>
          <w:tcPr>
            <w:tcW w:w="772" w:type="pct"/>
            <w:vMerge w:val="continue"/>
            <w:tcBorders>
              <w:left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130.000000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39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02</w:t>
            </w:r>
          </w:p>
        </w:tc>
        <w:tc>
          <w:tcPr>
            <w:tcW w:w="6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4</w:t>
            </w:r>
          </w:p>
        </w:tc>
        <w:tc>
          <w:tcPr>
            <w:tcW w:w="79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荧光定量PCR仪（数字PCR仪）</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1</w:t>
            </w:r>
          </w:p>
        </w:tc>
        <w:tc>
          <w:tcPr>
            <w:tcW w:w="37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szCs w:val="21"/>
              </w:rPr>
            </w:pPr>
            <w:r>
              <w:rPr>
                <w:rFonts w:hint="eastAsia"/>
                <w:szCs w:val="21"/>
              </w:rPr>
              <w:t>台</w:t>
            </w:r>
          </w:p>
        </w:tc>
        <w:tc>
          <w:tcPr>
            <w:tcW w:w="888" w:type="pct"/>
            <w:vMerge w:val="continue"/>
            <w:tcBorders>
              <w:left w:val="single" w:color="auto" w:sz="4" w:space="0"/>
              <w:bottom w:val="single" w:color="auto" w:sz="4" w:space="0"/>
              <w:right w:val="single" w:color="auto" w:sz="4" w:space="0"/>
            </w:tcBorders>
            <w:vAlign w:val="center"/>
          </w:tcPr>
          <w:p>
            <w:pPr>
              <w:pStyle w:val="425"/>
            </w:pPr>
          </w:p>
        </w:tc>
        <w:tc>
          <w:tcPr>
            <w:tcW w:w="772" w:type="pct"/>
            <w:vMerge w:val="continue"/>
            <w:tcBorders>
              <w:left w:val="single" w:color="auto" w:sz="4" w:space="0"/>
              <w:bottom w:val="single" w:color="auto" w:sz="4" w:space="0"/>
              <w:right w:val="single" w:color="auto" w:sz="4" w:space="0"/>
            </w:tcBorders>
            <w:vAlign w:val="center"/>
          </w:tcPr>
          <w:p>
            <w:pPr>
              <w:pStyle w:val="425"/>
            </w:pP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245.000000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244" w:type="pct"/>
            <w:gridSpan w:val="7"/>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合计</w:t>
            </w:r>
          </w:p>
        </w:tc>
        <w:tc>
          <w:tcPr>
            <w:tcW w:w="755" w:type="pct"/>
            <w:tcBorders>
              <w:top w:val="single" w:color="auto" w:sz="4" w:space="0"/>
              <w:left w:val="single" w:color="auto" w:sz="4" w:space="0"/>
              <w:bottom w:val="single" w:color="auto" w:sz="4" w:space="0"/>
              <w:right w:val="single" w:color="auto" w:sz="4" w:space="0"/>
            </w:tcBorders>
            <w:vAlign w:val="center"/>
          </w:tcPr>
          <w:p>
            <w:pPr>
              <w:pStyle w:val="425"/>
            </w:pPr>
            <w:r>
              <w:rPr>
                <w:rFonts w:hint="eastAsia"/>
              </w:rPr>
              <w:t>525.000000</w:t>
            </w:r>
          </w:p>
        </w:tc>
      </w:tr>
    </w:tbl>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合同履行期限：</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186"/>
        <w:gridCol w:w="3192"/>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776" w:type="dxa"/>
            <w:vAlign w:val="center"/>
          </w:tcPr>
          <w:p>
            <w:pPr>
              <w:widowControl w:val="0"/>
              <w:shd w:val="clear" w:color="auto" w:fill="auto"/>
              <w:tabs>
                <w:tab w:val="clear" w:pos="426"/>
              </w:tabs>
              <w:adjustRightInd/>
              <w:snapToGrid/>
              <w:spacing w:line="240" w:lineRule="auto"/>
              <w:jc w:val="center"/>
              <w:rPr>
                <w:rFonts w:cs="Times New Roman"/>
                <w:kern w:val="2"/>
                <w:szCs w:val="21"/>
              </w:rPr>
            </w:pPr>
            <w:r>
              <w:rPr>
                <w:rFonts w:hint="eastAsia" w:cs="Times New Roman"/>
                <w:kern w:val="2"/>
                <w:szCs w:val="21"/>
              </w:rPr>
              <w:t>包号</w:t>
            </w:r>
          </w:p>
        </w:tc>
        <w:tc>
          <w:tcPr>
            <w:tcW w:w="1186" w:type="dxa"/>
            <w:vAlign w:val="center"/>
          </w:tcPr>
          <w:p>
            <w:pPr>
              <w:widowControl w:val="0"/>
              <w:shd w:val="clear" w:color="auto" w:fill="auto"/>
              <w:tabs>
                <w:tab w:val="clear" w:pos="426"/>
              </w:tabs>
              <w:adjustRightInd/>
              <w:snapToGrid/>
              <w:spacing w:line="240" w:lineRule="auto"/>
              <w:jc w:val="center"/>
              <w:rPr>
                <w:rFonts w:cs="Times New Roman"/>
                <w:kern w:val="2"/>
                <w:szCs w:val="21"/>
              </w:rPr>
            </w:pPr>
            <w:r>
              <w:rPr>
                <w:rFonts w:hint="eastAsia" w:cs="Times New Roman"/>
                <w:kern w:val="2"/>
                <w:szCs w:val="21"/>
              </w:rPr>
              <w:t>标的序号</w:t>
            </w:r>
          </w:p>
        </w:tc>
        <w:tc>
          <w:tcPr>
            <w:tcW w:w="3192" w:type="dxa"/>
            <w:vAlign w:val="center"/>
          </w:tcPr>
          <w:p>
            <w:pPr>
              <w:widowControl w:val="0"/>
              <w:shd w:val="clear" w:color="auto" w:fill="auto"/>
              <w:tabs>
                <w:tab w:val="clear" w:pos="426"/>
              </w:tabs>
              <w:adjustRightInd/>
              <w:snapToGrid/>
              <w:spacing w:line="240" w:lineRule="auto"/>
              <w:jc w:val="center"/>
              <w:rPr>
                <w:rFonts w:cs="Times New Roman"/>
                <w:kern w:val="2"/>
                <w:szCs w:val="21"/>
              </w:rPr>
            </w:pPr>
            <w:r>
              <w:rPr>
                <w:rFonts w:hint="eastAsia"/>
                <w:szCs w:val="21"/>
              </w:rPr>
              <w:t>标的名称</w:t>
            </w:r>
          </w:p>
        </w:tc>
        <w:tc>
          <w:tcPr>
            <w:tcW w:w="4066" w:type="dxa"/>
            <w:vAlign w:val="center"/>
          </w:tcPr>
          <w:p>
            <w:pPr>
              <w:widowControl w:val="0"/>
              <w:shd w:val="clear" w:color="auto" w:fill="auto"/>
              <w:tabs>
                <w:tab w:val="clear" w:pos="426"/>
              </w:tabs>
              <w:adjustRightInd/>
              <w:snapToGrid/>
              <w:spacing w:line="240" w:lineRule="auto"/>
              <w:jc w:val="center"/>
              <w:rPr>
                <w:rFonts w:cs="Times New Roman"/>
                <w:kern w:val="2"/>
                <w:szCs w:val="21"/>
              </w:rPr>
            </w:pPr>
            <w:r>
              <w:rPr>
                <w:rFonts w:hint="eastAsia" w:cs="Times New Roman"/>
                <w:kern w:val="2"/>
                <w:szCs w:val="21"/>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76" w:type="dxa"/>
            <w:vMerge w:val="restart"/>
            <w:vAlign w:val="center"/>
          </w:tcPr>
          <w:p>
            <w:pPr>
              <w:widowControl w:val="0"/>
              <w:spacing w:line="240" w:lineRule="auto"/>
              <w:jc w:val="center"/>
              <w:rPr>
                <w:szCs w:val="21"/>
              </w:rPr>
            </w:pPr>
            <w:r>
              <w:rPr>
                <w:rFonts w:hint="eastAsia"/>
                <w:szCs w:val="21"/>
              </w:rPr>
              <w:t>01</w:t>
            </w:r>
          </w:p>
          <w:p>
            <w:pPr>
              <w:widowControl w:val="0"/>
              <w:shd w:val="clear" w:color="auto" w:fill="auto"/>
              <w:tabs>
                <w:tab w:val="clear" w:pos="426"/>
              </w:tabs>
              <w:adjustRightInd/>
              <w:snapToGrid/>
              <w:spacing w:line="240" w:lineRule="auto"/>
              <w:jc w:val="center"/>
              <w:rPr>
                <w:rFonts w:cs="Times New Roman"/>
                <w:kern w:val="2"/>
                <w:szCs w:val="21"/>
              </w:rPr>
            </w:pPr>
          </w:p>
        </w:tc>
        <w:tc>
          <w:tcPr>
            <w:tcW w:w="1186" w:type="dxa"/>
            <w:vAlign w:val="center"/>
          </w:tcPr>
          <w:p>
            <w:pPr>
              <w:widowControl w:val="0"/>
              <w:spacing w:line="240" w:lineRule="auto"/>
              <w:jc w:val="center"/>
              <w:rPr>
                <w:szCs w:val="21"/>
              </w:rPr>
            </w:pPr>
            <w:r>
              <w:rPr>
                <w:rFonts w:hint="eastAsia"/>
                <w:szCs w:val="21"/>
              </w:rPr>
              <w:t>1</w:t>
            </w:r>
          </w:p>
        </w:tc>
        <w:tc>
          <w:tcPr>
            <w:tcW w:w="3192" w:type="dxa"/>
            <w:vAlign w:val="center"/>
          </w:tcPr>
          <w:p>
            <w:pPr>
              <w:widowControl w:val="0"/>
              <w:spacing w:line="240" w:lineRule="auto"/>
              <w:jc w:val="center"/>
              <w:rPr>
                <w:szCs w:val="21"/>
              </w:rPr>
            </w:pPr>
            <w:r>
              <w:rPr>
                <w:rFonts w:hint="eastAsia"/>
                <w:szCs w:val="21"/>
              </w:rPr>
              <w:t>荧光PCR仪</w:t>
            </w:r>
          </w:p>
        </w:tc>
        <w:tc>
          <w:tcPr>
            <w:tcW w:w="4066" w:type="dxa"/>
            <w:vAlign w:val="center"/>
          </w:tcPr>
          <w:p>
            <w:pPr>
              <w:widowControl w:val="0"/>
              <w:spacing w:line="240" w:lineRule="auto"/>
              <w:jc w:val="left"/>
              <w:rPr>
                <w:szCs w:val="21"/>
              </w:rPr>
            </w:pPr>
            <w:r>
              <w:rPr>
                <w:rFonts w:hint="eastAsia"/>
                <w:szCs w:val="21"/>
                <w:lang w:eastAsia="zh-TW"/>
              </w:rPr>
              <w:t>中标</w:t>
            </w:r>
            <w:r>
              <w:rPr>
                <w:rFonts w:hint="eastAsia"/>
                <w:szCs w:val="21"/>
              </w:rPr>
              <w:t>人</w:t>
            </w:r>
            <w:r>
              <w:rPr>
                <w:rFonts w:hint="eastAsia"/>
                <w:szCs w:val="21"/>
                <w:lang w:eastAsia="zh-TW"/>
              </w:rPr>
              <w:t>应在合同签订之日起30个日历日内交付货物并完成安装调试。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widowControl w:val="0"/>
              <w:shd w:val="clear" w:color="auto" w:fill="auto"/>
              <w:tabs>
                <w:tab w:val="clear" w:pos="426"/>
              </w:tabs>
              <w:adjustRightInd/>
              <w:snapToGrid/>
              <w:spacing w:line="240" w:lineRule="auto"/>
              <w:jc w:val="center"/>
              <w:rPr>
                <w:rFonts w:cs="Times New Roman"/>
                <w:kern w:val="2"/>
                <w:szCs w:val="21"/>
              </w:rPr>
            </w:pPr>
          </w:p>
        </w:tc>
        <w:tc>
          <w:tcPr>
            <w:tcW w:w="1186" w:type="dxa"/>
            <w:vAlign w:val="center"/>
          </w:tcPr>
          <w:p>
            <w:pPr>
              <w:widowControl w:val="0"/>
              <w:spacing w:line="240" w:lineRule="auto"/>
              <w:jc w:val="center"/>
              <w:rPr>
                <w:szCs w:val="21"/>
              </w:rPr>
            </w:pPr>
            <w:r>
              <w:rPr>
                <w:rFonts w:hint="eastAsia"/>
                <w:szCs w:val="21"/>
              </w:rPr>
              <w:t>2</w:t>
            </w:r>
          </w:p>
        </w:tc>
        <w:tc>
          <w:tcPr>
            <w:tcW w:w="3192" w:type="dxa"/>
            <w:vAlign w:val="center"/>
          </w:tcPr>
          <w:p>
            <w:pPr>
              <w:widowControl w:val="0"/>
              <w:spacing w:line="240" w:lineRule="auto"/>
              <w:jc w:val="center"/>
              <w:rPr>
                <w:szCs w:val="21"/>
              </w:rPr>
            </w:pPr>
            <w:r>
              <w:rPr>
                <w:rFonts w:hint="eastAsia"/>
                <w:szCs w:val="21"/>
              </w:rPr>
              <w:t>荧光定量PCR仪</w:t>
            </w:r>
          </w:p>
        </w:tc>
        <w:tc>
          <w:tcPr>
            <w:tcW w:w="4066" w:type="dxa"/>
            <w:vAlign w:val="center"/>
          </w:tcPr>
          <w:p>
            <w:pPr>
              <w:widowControl w:val="0"/>
              <w:spacing w:line="240" w:lineRule="auto"/>
              <w:jc w:val="left"/>
              <w:rPr>
                <w:szCs w:val="21"/>
              </w:rPr>
            </w:pPr>
            <w:r>
              <w:rPr>
                <w:rFonts w:hint="eastAsia"/>
                <w:szCs w:val="21"/>
                <w:lang w:eastAsia="zh-TW"/>
              </w:rPr>
              <w:t>中标</w:t>
            </w:r>
            <w:r>
              <w:rPr>
                <w:rFonts w:hint="eastAsia"/>
                <w:szCs w:val="21"/>
              </w:rPr>
              <w:t>人</w:t>
            </w:r>
            <w:r>
              <w:rPr>
                <w:rFonts w:hint="eastAsia"/>
                <w:szCs w:val="21"/>
                <w:lang w:eastAsia="zh-TW"/>
              </w:rPr>
              <w:t>应在合同签订之日起30个日历日内交付货物并完成安装调试。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Merge w:val="continue"/>
            <w:vAlign w:val="center"/>
          </w:tcPr>
          <w:p>
            <w:pPr>
              <w:widowControl w:val="0"/>
              <w:shd w:val="clear" w:color="auto" w:fill="auto"/>
              <w:tabs>
                <w:tab w:val="clear" w:pos="426"/>
              </w:tabs>
              <w:adjustRightInd/>
              <w:snapToGrid/>
              <w:spacing w:line="240" w:lineRule="auto"/>
              <w:jc w:val="center"/>
              <w:rPr>
                <w:rFonts w:cs="Times New Roman"/>
                <w:kern w:val="2"/>
                <w:szCs w:val="21"/>
              </w:rPr>
            </w:pPr>
          </w:p>
        </w:tc>
        <w:tc>
          <w:tcPr>
            <w:tcW w:w="1186" w:type="dxa"/>
            <w:vAlign w:val="center"/>
          </w:tcPr>
          <w:p>
            <w:pPr>
              <w:widowControl w:val="0"/>
              <w:spacing w:line="240" w:lineRule="auto"/>
              <w:jc w:val="center"/>
              <w:rPr>
                <w:szCs w:val="21"/>
              </w:rPr>
            </w:pPr>
            <w:r>
              <w:rPr>
                <w:rFonts w:hint="eastAsia"/>
                <w:szCs w:val="21"/>
              </w:rPr>
              <w:t>3</w:t>
            </w:r>
          </w:p>
        </w:tc>
        <w:tc>
          <w:tcPr>
            <w:tcW w:w="3192" w:type="dxa"/>
            <w:vAlign w:val="center"/>
          </w:tcPr>
          <w:p>
            <w:pPr>
              <w:widowControl w:val="0"/>
              <w:spacing w:line="240" w:lineRule="auto"/>
              <w:jc w:val="center"/>
              <w:rPr>
                <w:szCs w:val="21"/>
              </w:rPr>
            </w:pPr>
            <w:r>
              <w:rPr>
                <w:rFonts w:hint="eastAsia"/>
                <w:szCs w:val="21"/>
              </w:rPr>
              <w:t>荧光PCR仪</w:t>
            </w:r>
          </w:p>
        </w:tc>
        <w:tc>
          <w:tcPr>
            <w:tcW w:w="4066" w:type="dxa"/>
            <w:vAlign w:val="center"/>
          </w:tcPr>
          <w:p>
            <w:pPr>
              <w:widowControl w:val="0"/>
              <w:spacing w:line="240" w:lineRule="auto"/>
              <w:jc w:val="left"/>
              <w:rPr>
                <w:szCs w:val="21"/>
              </w:rPr>
            </w:pPr>
            <w:r>
              <w:rPr>
                <w:rFonts w:hint="eastAsia"/>
                <w:szCs w:val="21"/>
              </w:rPr>
              <w:t>中标人应在合同签订之日起30个日历日内交付货物并完成安装调试</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widowControl w:val="0"/>
              <w:spacing w:line="240" w:lineRule="auto"/>
              <w:jc w:val="center"/>
              <w:rPr>
                <w:szCs w:val="21"/>
              </w:rPr>
            </w:pPr>
            <w:r>
              <w:rPr>
                <w:rFonts w:hint="eastAsia"/>
                <w:szCs w:val="21"/>
              </w:rPr>
              <w:t>02</w:t>
            </w:r>
          </w:p>
        </w:tc>
        <w:tc>
          <w:tcPr>
            <w:tcW w:w="1186" w:type="dxa"/>
            <w:vAlign w:val="center"/>
          </w:tcPr>
          <w:p>
            <w:pPr>
              <w:widowControl w:val="0"/>
              <w:spacing w:line="240" w:lineRule="auto"/>
              <w:jc w:val="center"/>
              <w:rPr>
                <w:szCs w:val="21"/>
              </w:rPr>
            </w:pPr>
            <w:r>
              <w:rPr>
                <w:rFonts w:hint="eastAsia"/>
                <w:szCs w:val="21"/>
              </w:rPr>
              <w:t>4</w:t>
            </w:r>
          </w:p>
        </w:tc>
        <w:tc>
          <w:tcPr>
            <w:tcW w:w="3192" w:type="dxa"/>
            <w:vAlign w:val="center"/>
          </w:tcPr>
          <w:p>
            <w:pPr>
              <w:widowControl w:val="0"/>
              <w:spacing w:line="240" w:lineRule="auto"/>
              <w:jc w:val="center"/>
              <w:rPr>
                <w:szCs w:val="21"/>
              </w:rPr>
            </w:pPr>
            <w:r>
              <w:rPr>
                <w:rFonts w:hint="eastAsia"/>
                <w:szCs w:val="21"/>
              </w:rPr>
              <w:t>荧光定量PCR仪（数字PCR仪）</w:t>
            </w:r>
          </w:p>
        </w:tc>
        <w:tc>
          <w:tcPr>
            <w:tcW w:w="4066" w:type="dxa"/>
            <w:vAlign w:val="center"/>
          </w:tcPr>
          <w:p>
            <w:pPr>
              <w:widowControl w:val="0"/>
              <w:spacing w:line="240" w:lineRule="auto"/>
              <w:jc w:val="left"/>
              <w:rPr>
                <w:szCs w:val="21"/>
              </w:rPr>
            </w:pPr>
            <w:r>
              <w:rPr>
                <w:rFonts w:hint="eastAsia"/>
                <w:szCs w:val="21"/>
              </w:rPr>
              <w:t>中标人应在合同签订之日起30个日历日内交付货物并完成安装调试。</w:t>
            </w:r>
          </w:p>
        </w:tc>
      </w:tr>
    </w:tbl>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本项目</w:t>
      </w:r>
      <w:bookmarkStart w:id="12" w:name="_Hlk180012946"/>
      <w:r>
        <w:rPr>
          <w:rFonts w:hint="eastAsia" w:cs="Times New Roman"/>
          <w:kern w:val="2"/>
          <w:szCs w:val="21"/>
        </w:rPr>
        <w:t>（不接受）</w:t>
      </w:r>
      <w:bookmarkEnd w:id="12"/>
      <w:r>
        <w:rPr>
          <w:rFonts w:hint="eastAsia" w:cs="Times New Roman"/>
          <w:kern w:val="2"/>
          <w:szCs w:val="21"/>
        </w:rPr>
        <w:t>联合体投标。</w:t>
      </w:r>
      <w:bookmarkStart w:id="13" w:name="_Toc28359003"/>
      <w:bookmarkStart w:id="14" w:name="_Toc35393622"/>
      <w:bookmarkStart w:id="15" w:name="_Toc28359080"/>
      <w:bookmarkStart w:id="16" w:name="_Toc35393791"/>
    </w:p>
    <w:p>
      <w:pPr>
        <w:spacing w:line="240" w:lineRule="auto"/>
        <w:rPr>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bookmarkStart w:id="17" w:name="_Toc35393792"/>
      <w:bookmarkStart w:id="18" w:name="_Toc28359004"/>
      <w:bookmarkStart w:id="19" w:name="_Toc28359081"/>
      <w:bookmarkStart w:id="20" w:name="_Toc35393623"/>
      <w:r>
        <w:rPr>
          <w:rFonts w:hint="eastAsia" w:hAnsi="Times New Roman" w:cs="Times New Roman"/>
          <w:kern w:val="2"/>
          <w:szCs w:val="21"/>
        </w:rPr>
        <w:t>1.满足《中华人民共和国政府采购法》第二十二条规定。</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2.落实政府采购政策需满足的资格要求：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本项目不属于专门面向中小企业采购的项目。</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3.本项目的特定资格要求：</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（2）本项目不</w:t>
      </w:r>
      <w:r>
        <w:rPr>
          <w:rFonts w:hAnsi="Times New Roman" w:cs="Times New Roman"/>
          <w:kern w:val="2"/>
          <w:szCs w:val="21"/>
        </w:rPr>
        <w:t>接受投标人选用进口产品参与投标。</w:t>
      </w:r>
      <w:r>
        <w:rPr>
          <w:rFonts w:hint="eastAsia" w:hAnsi="Times New Roman" w:cs="Times New Roman"/>
          <w:kern w:val="2"/>
          <w:szCs w:val="21"/>
        </w:rPr>
        <w:t>（进口产品是指通过中国海关报关验收进入中国境内且产自境外的产品）。</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w:t>
      </w:r>
      <w:r>
        <w:rPr>
          <w:rFonts w:hAnsi="Times New Roman" w:cs="Times New Roman"/>
          <w:kern w:val="2"/>
          <w:szCs w:val="21"/>
        </w:rPr>
        <w:t>3</w:t>
      </w:r>
      <w:r>
        <w:rPr>
          <w:rFonts w:hint="eastAsia" w:hAnsi="Times New Roman" w:cs="Times New Roman"/>
          <w:kern w:val="2"/>
          <w:szCs w:val="21"/>
        </w:rPr>
        <w:t>）</w:t>
      </w:r>
      <w:r>
        <w:rPr>
          <w:rFonts w:hAnsi="Times New Roman" w:cs="Times New Roman"/>
          <w:kern w:val="2"/>
          <w:szCs w:val="21"/>
        </w:rPr>
        <w:t>根据财库〔2016〕125号文的有关规定，投标人需未被列入失信被执行人、重大税收违法案件当事人名单、政府采购严重违法失信行为记录名单（提供书面《</w:t>
      </w:r>
      <w:r>
        <w:rPr>
          <w:rFonts w:hint="eastAsia" w:hAnsi="Times New Roman" w:cs="Times New Roman"/>
          <w:kern w:val="2"/>
          <w:szCs w:val="21"/>
        </w:rPr>
        <w:t>投标人资格声明函</w:t>
      </w:r>
      <w:r>
        <w:rPr>
          <w:rFonts w:hAnsi="Times New Roman" w:cs="Times New Roman"/>
          <w:kern w:val="2"/>
          <w:szCs w:val="21"/>
        </w:rPr>
        <w:t>》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（4）投标人参与本项目投标前三年内，在经营活动中没有重大违法记录（提供《投标人资格声明函》，并加盖投标人公章）。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（5）投标人参与本项目投标近三年内，在经营活动中没有发生重大安全和质量事故（提供《投标人资格声明函》，并加盖投标人公章）。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（6）投标人参与本项目政府采购活动时不存在被有关部门禁止参与政府采购活动且在有效期内的情况（提供《投标人资格声明函》，并加盖投标人公章）。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7）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（8）为采购项目提供整体设计、规范编制或者项目管理、监理、检测等服务的供应商，不得再参加该采购项目的其他采购活动（提供《投标人资格声明函》，并加盖投标人公章）。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（9）参与本项目政府采购活动不存在与其他采购参加人串通投标、隐瞒真实情况、提供虚假资料等违法违规情形（提供《投标人资格声明函》，并加盖投标人公章）</w:t>
      </w:r>
    </w:p>
    <w:p>
      <w:pPr>
        <w:widowControl w:val="0"/>
        <w:shd w:val="clear" w:color="auto" w:fill="auto"/>
        <w:tabs>
          <w:tab w:val="clear" w:pos="426"/>
        </w:tabs>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（10）本项目不接受联合体形式进行投标，不允许转包及分包。</w:t>
      </w:r>
    </w:p>
    <w:p>
      <w:pPr>
        <w:spacing w:line="240" w:lineRule="auto"/>
        <w:rPr>
          <w:b/>
          <w:kern w:val="2"/>
          <w:szCs w:val="21"/>
        </w:rPr>
      </w:pPr>
      <w:r>
        <w:rPr>
          <w:rFonts w:hint="eastAsia"/>
          <w:b/>
          <w:kern w:val="2"/>
          <w:szCs w:val="21"/>
        </w:rPr>
        <w:t>三、获取招标文件</w:t>
      </w:r>
      <w:bookmarkEnd w:id="17"/>
      <w:bookmarkEnd w:id="18"/>
      <w:bookmarkEnd w:id="19"/>
      <w:bookmarkEnd w:id="20"/>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时间：</w:t>
      </w:r>
      <w:r>
        <w:rPr>
          <w:rFonts w:hAnsi="Times New Roman" w:cs="Times New Roman"/>
          <w:kern w:val="2"/>
          <w:szCs w:val="21"/>
        </w:rPr>
        <w:t>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日至2024年</w:t>
      </w:r>
      <w:r>
        <w:rPr>
          <w:rFonts w:hint="eastAsia" w:hAnsi="Times New Roman" w:cs="Times New Roman"/>
          <w:kern w:val="2"/>
          <w:szCs w:val="21"/>
        </w:rPr>
        <w:t>*</w:t>
      </w:r>
      <w:r>
        <w:rPr>
          <w:rFonts w:hAnsi="Times New Roman" w:cs="Times New Roman"/>
          <w:kern w:val="2"/>
          <w:szCs w:val="21"/>
        </w:rPr>
        <w:t>月</w:t>
      </w:r>
      <w:r>
        <w:rPr>
          <w:rFonts w:hint="eastAsia" w:hAnsi="Times New Roman" w:cs="Times New Roman"/>
          <w:kern w:val="2"/>
          <w:szCs w:val="21"/>
        </w:rPr>
        <w:t>*</w:t>
      </w:r>
      <w:r>
        <w:rPr>
          <w:rFonts w:hAnsi="Times New Roman" w:cs="Times New Roman"/>
          <w:kern w:val="2"/>
          <w:szCs w:val="21"/>
        </w:rPr>
        <w:t>日</w:t>
      </w:r>
      <w:r>
        <w:rPr>
          <w:rFonts w:hint="eastAsia" w:hAnsi="Times New Roman" w:cs="Times New Roman"/>
          <w:kern w:val="2"/>
          <w:szCs w:val="21"/>
        </w:rPr>
        <w:t>，每天上午9:00至12:00，下午14:00至18:00（北京时间，</w:t>
      </w:r>
      <w:r>
        <w:rPr>
          <w:rFonts w:hAnsi="Times New Roman" w:cs="Times New Roman"/>
          <w:kern w:val="2"/>
          <w:szCs w:val="21"/>
        </w:rPr>
        <w:t>法定节假日</w:t>
      </w:r>
      <w:r>
        <w:rPr>
          <w:rFonts w:hint="eastAsia" w:hAnsi="Times New Roman" w:cs="Times New Roman"/>
          <w:kern w:val="2"/>
          <w:szCs w:val="21"/>
        </w:rPr>
        <w:t>除外）</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地点：深圳市罗湖区清水河街道清水河社区清水河一路112号罗湖投资控股大厦裙楼401</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方式：现场购买。</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售价：500元/份，本公告包含的招标文件售价总和</w:t>
      </w:r>
    </w:p>
    <w:p>
      <w:pPr>
        <w:spacing w:line="240" w:lineRule="auto"/>
        <w:rPr>
          <w:b/>
          <w:kern w:val="2"/>
          <w:szCs w:val="21"/>
        </w:rPr>
      </w:pPr>
      <w:bookmarkStart w:id="21" w:name="_Toc28359005"/>
      <w:bookmarkStart w:id="22" w:name="_Toc28359082"/>
      <w:bookmarkStart w:id="23" w:name="_Toc35393624"/>
      <w:bookmarkStart w:id="24" w:name="_Toc35393793"/>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pPr>
        <w:widowControl w:val="0"/>
        <w:shd w:val="clear" w:color="auto" w:fill="auto"/>
        <w:tabs>
          <w:tab w:val="clear" w:pos="426"/>
        </w:tabs>
        <w:adjustRightInd/>
        <w:snapToGrid/>
        <w:spacing w:line="240" w:lineRule="auto"/>
        <w:ind w:firstLine="420" w:firstLineChars="200"/>
        <w:rPr>
          <w:rFonts w:cs="Times New Roman"/>
          <w:bCs/>
          <w:kern w:val="2"/>
          <w:szCs w:val="21"/>
        </w:rPr>
      </w:pPr>
      <w:r>
        <w:rPr>
          <w:rFonts w:hint="eastAsia" w:cs="Times New Roman"/>
          <w:bCs/>
          <w:kern w:val="2"/>
          <w:szCs w:val="21"/>
        </w:rPr>
        <w:t>提交投标文件截止时间：202</w:t>
      </w:r>
      <w:r>
        <w:rPr>
          <w:rFonts w:cs="Times New Roman"/>
          <w:bCs/>
          <w:kern w:val="2"/>
          <w:szCs w:val="21"/>
        </w:rPr>
        <w:t>4</w:t>
      </w:r>
      <w:r>
        <w:rPr>
          <w:rFonts w:hint="eastAsia" w:cs="Times New Roman"/>
          <w:bCs/>
          <w:kern w:val="2"/>
          <w:szCs w:val="21"/>
        </w:rPr>
        <w:t>年</w:t>
      </w:r>
      <w:r>
        <w:rPr>
          <w:rFonts w:hint="eastAsia" w:cs="Times New Roman"/>
          <w:kern w:val="2"/>
          <w:szCs w:val="21"/>
        </w:rPr>
        <w:t>*</w:t>
      </w:r>
      <w:r>
        <w:rPr>
          <w:rFonts w:hint="eastAsia" w:cs="Times New Roman"/>
          <w:bCs/>
          <w:kern w:val="2"/>
          <w:szCs w:val="21"/>
        </w:rPr>
        <w:t>月</w:t>
      </w:r>
      <w:r>
        <w:rPr>
          <w:rFonts w:hint="eastAsia" w:cs="Times New Roman"/>
          <w:kern w:val="2"/>
          <w:szCs w:val="21"/>
        </w:rPr>
        <w:t>*</w:t>
      </w:r>
      <w:r>
        <w:rPr>
          <w:rFonts w:hint="eastAsia" w:cs="Times New Roman"/>
          <w:bCs/>
          <w:kern w:val="2"/>
          <w:szCs w:val="21"/>
        </w:rPr>
        <w:t>日</w:t>
      </w:r>
      <w:r>
        <w:rPr>
          <w:rFonts w:cs="Times New Roman"/>
          <w:bCs/>
          <w:kern w:val="2"/>
          <w:szCs w:val="21"/>
        </w:rPr>
        <w:t>14</w:t>
      </w:r>
      <w:r>
        <w:rPr>
          <w:rFonts w:hint="eastAsia" w:cs="Times New Roman"/>
          <w:bCs/>
          <w:kern w:val="2"/>
          <w:szCs w:val="21"/>
        </w:rPr>
        <w:t>点</w:t>
      </w:r>
      <w:r>
        <w:rPr>
          <w:rFonts w:cs="Times New Roman"/>
          <w:bCs/>
          <w:kern w:val="2"/>
          <w:szCs w:val="21"/>
        </w:rPr>
        <w:t>30</w:t>
      </w:r>
      <w:r>
        <w:rPr>
          <w:rFonts w:hint="eastAsia" w:cs="Times New Roman"/>
          <w:bCs/>
          <w:kern w:val="2"/>
          <w:szCs w:val="21"/>
        </w:rPr>
        <w:t>分（北京时间）</w:t>
      </w:r>
    </w:p>
    <w:p>
      <w:pPr>
        <w:widowControl w:val="0"/>
        <w:shd w:val="clear" w:color="auto" w:fill="auto"/>
        <w:adjustRightInd/>
        <w:snapToGrid/>
        <w:spacing w:line="240" w:lineRule="auto"/>
        <w:ind w:firstLine="420" w:firstLineChars="200"/>
        <w:rPr>
          <w:rFonts w:hAnsi="Times New Roman" w:cs="Times New Roman"/>
          <w:kern w:val="2"/>
          <w:szCs w:val="21"/>
        </w:rPr>
      </w:pPr>
      <w:r>
        <w:rPr>
          <w:rFonts w:hint="eastAsia" w:hAnsi="Times New Roman" w:cs="Times New Roman"/>
          <w:kern w:val="2"/>
          <w:szCs w:val="21"/>
        </w:rPr>
        <w:t>开标时间：202</w:t>
      </w:r>
      <w:r>
        <w:rPr>
          <w:rFonts w:hAnsi="Times New Roman" w:cs="Times New Roman"/>
          <w:kern w:val="2"/>
          <w:szCs w:val="21"/>
        </w:rPr>
        <w:t>4</w:t>
      </w:r>
      <w:r>
        <w:rPr>
          <w:rFonts w:hint="eastAsia" w:hAnsi="Times New Roman" w:cs="Times New Roman"/>
          <w:kern w:val="2"/>
          <w:szCs w:val="21"/>
        </w:rPr>
        <w:t>年*月*日14点30分（北京时间）</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地点：深圳市罗湖区清水河街道清水河社区清水河一路112号罗湖投资控股大厦裙楼401</w:t>
      </w:r>
    </w:p>
    <w:p>
      <w:pPr>
        <w:spacing w:line="240" w:lineRule="auto"/>
        <w:rPr>
          <w:b/>
          <w:kern w:val="2"/>
          <w:szCs w:val="21"/>
        </w:rPr>
      </w:pPr>
      <w:bookmarkStart w:id="25" w:name="_Toc35393794"/>
      <w:bookmarkStart w:id="26" w:name="_Toc35393625"/>
      <w:bookmarkStart w:id="27" w:name="_Toc28359084"/>
      <w:bookmarkStart w:id="28" w:name="_Toc28359007"/>
      <w:r>
        <w:rPr>
          <w:rFonts w:hint="eastAsia"/>
          <w:b/>
          <w:kern w:val="2"/>
          <w:szCs w:val="21"/>
        </w:rPr>
        <w:t>五、公告期限</w:t>
      </w:r>
      <w:bookmarkEnd w:id="25"/>
      <w:bookmarkEnd w:id="26"/>
      <w:bookmarkEnd w:id="27"/>
      <w:bookmarkEnd w:id="28"/>
    </w:p>
    <w:p>
      <w:pPr>
        <w:widowControl w:val="0"/>
        <w:shd w:val="clear" w:color="auto" w:fill="auto"/>
        <w:tabs>
          <w:tab w:val="clear" w:pos="426"/>
        </w:tabs>
        <w:adjustRightInd/>
        <w:snapToGrid/>
        <w:spacing w:line="240" w:lineRule="auto"/>
        <w:ind w:firstLine="420" w:firstLineChars="200"/>
        <w:rPr>
          <w:szCs w:val="21"/>
        </w:rPr>
      </w:pPr>
      <w:r>
        <w:rPr>
          <w:rFonts w:hint="eastAsia"/>
          <w:szCs w:val="21"/>
        </w:rPr>
        <w:t>自本公告发布之日起5个工作日。</w:t>
      </w:r>
      <w:bookmarkStart w:id="29" w:name="_Toc35393626"/>
      <w:bookmarkStart w:id="30" w:name="_Toc35393795"/>
    </w:p>
    <w:p>
      <w:pPr>
        <w:spacing w:line="240" w:lineRule="auto"/>
        <w:rPr>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1</w:t>
      </w:r>
      <w:r>
        <w:rPr>
          <w:rFonts w:cs="Times New Roman"/>
          <w:kern w:val="2"/>
          <w:szCs w:val="21"/>
        </w:rPr>
        <w:t>.</w:t>
      </w:r>
      <w:r>
        <w:rPr>
          <w:rFonts w:hint="eastAsia" w:cs="Times New Roman"/>
          <w:kern w:val="2"/>
          <w:szCs w:val="21"/>
        </w:rPr>
        <w:t>答疑事项：</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投标供应商有义务在招标活动期间浏览本公告“六、其他补充事宜”中的相关网站，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2.特别说明：</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（1）本项目共2个包，包划分详见招标文件第二章项目需求-一、货物清单一览表。</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（2）本项目通过公开招标各包确定1家中标供应商，投标供应商可选择1个包或2个包进行投标响应。</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（3）评标委员会依次评审01包、02包。</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4）每个包由评标委员会推荐评标总得分前三名的投标供应商作为候选中标供应商，每个包评标总得分第一名的投标供应商作为对应包的中标供应商，01包排名第一的中标供应商亦可作为02包的中标供应商（兼投兼中原则）。</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3.投标文件提交方式补充说明：</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hAnsi="Times New Roman" w:cs="Times New Roman"/>
          <w:kern w:val="2"/>
          <w:szCs w:val="21"/>
        </w:rPr>
        <w:t>4.</w:t>
      </w:r>
      <w:r>
        <w:rPr>
          <w:rFonts w:hint="eastAsia" w:cs="Times New Roman"/>
          <w:kern w:val="2"/>
          <w:szCs w:val="21"/>
        </w:rPr>
        <w:t>信息发布平台：</w:t>
      </w:r>
    </w:p>
    <w:p>
      <w:pPr>
        <w:widowControl w:val="0"/>
        <w:shd w:val="clear" w:color="auto" w:fill="auto"/>
        <w:tabs>
          <w:tab w:val="clear" w:pos="426"/>
        </w:tabs>
        <w:adjustRightInd/>
        <w:snapToGrid/>
        <w:spacing w:line="240" w:lineRule="auto"/>
        <w:ind w:left="495"/>
        <w:rPr>
          <w:szCs w:val="21"/>
        </w:rPr>
      </w:pPr>
      <w:r>
        <w:rPr>
          <w:rFonts w:hint="eastAsia"/>
          <w:szCs w:val="21"/>
        </w:rPr>
        <w:t>深圳海关门户网（</w:t>
      </w:r>
      <w:r>
        <w:rPr>
          <w:szCs w:val="21"/>
        </w:rPr>
        <w:t>http://shenzhen.customs.gov.cn</w:t>
      </w:r>
      <w:r>
        <w:rPr>
          <w:rFonts w:hint="eastAsia"/>
          <w:szCs w:val="21"/>
        </w:rPr>
        <w:t>）；</w:t>
      </w:r>
    </w:p>
    <w:p>
      <w:pPr>
        <w:widowControl w:val="0"/>
        <w:shd w:val="clear" w:color="auto" w:fill="auto"/>
        <w:tabs>
          <w:tab w:val="clear" w:pos="426"/>
        </w:tabs>
        <w:adjustRightInd/>
        <w:snapToGrid/>
        <w:spacing w:line="240" w:lineRule="auto"/>
        <w:ind w:left="495"/>
        <w:rPr>
          <w:szCs w:val="21"/>
        </w:rPr>
      </w:pPr>
      <w:r>
        <w:rPr>
          <w:rFonts w:hint="eastAsia"/>
          <w:szCs w:val="21"/>
        </w:rPr>
        <w:t>中国政府采购网（</w:t>
      </w:r>
      <w:r>
        <w:rPr>
          <w:szCs w:val="21"/>
        </w:rPr>
        <w:t>http://www.ccgp.gov.cn）；</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szCs w:val="21"/>
        </w:rPr>
        <w:t>采购代理机构官网（</w:t>
      </w:r>
      <w:r>
        <w:rPr>
          <w:szCs w:val="21"/>
        </w:rPr>
        <w:t>http://www.szsszx.com/</w:t>
      </w:r>
      <w:r>
        <w:rPr>
          <w:rFonts w:hint="eastAsia"/>
          <w:szCs w:val="21"/>
        </w:rPr>
        <w:t>）。</w:t>
      </w:r>
    </w:p>
    <w:p>
      <w:pPr>
        <w:spacing w:line="240" w:lineRule="auto"/>
        <w:rPr>
          <w:b/>
          <w:kern w:val="2"/>
          <w:szCs w:val="21"/>
        </w:rPr>
      </w:pPr>
      <w:bookmarkStart w:id="32" w:name="_Toc35393627"/>
      <w:bookmarkStart w:id="33" w:name="_Toc35393796"/>
      <w:bookmarkStart w:id="34" w:name="_Toc28359008"/>
      <w:bookmarkStart w:id="35" w:name="_Toc28359085"/>
      <w:r>
        <w:rPr>
          <w:rFonts w:hint="eastAsia"/>
          <w:b/>
          <w:kern w:val="2"/>
          <w:szCs w:val="21"/>
        </w:rPr>
        <w:t>七、对本次招标提出询问，请按</w:t>
      </w:r>
      <w:r>
        <w:rPr>
          <w:b/>
          <w:kern w:val="2"/>
          <w:szCs w:val="21"/>
        </w:rPr>
        <w:t>以下方式</w:t>
      </w:r>
      <w:r>
        <w:rPr>
          <w:rFonts w:hint="eastAsia"/>
          <w:b/>
          <w:kern w:val="2"/>
          <w:szCs w:val="21"/>
        </w:rPr>
        <w:t>联系</w:t>
      </w:r>
      <w:bookmarkEnd w:id="32"/>
      <w:bookmarkEnd w:id="33"/>
      <w:bookmarkEnd w:id="34"/>
      <w:bookmarkEnd w:id="35"/>
      <w:r>
        <w:rPr>
          <w:rFonts w:hint="eastAsia"/>
          <w:b/>
          <w:kern w:val="2"/>
          <w:szCs w:val="21"/>
        </w:rPr>
        <w:t>。</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1.采购人信息</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名称：深圳海关动植物检验检疫技术中心</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地址：深圳市福田区福强路</w:t>
      </w:r>
      <w:r>
        <w:rPr>
          <w:rFonts w:cs="Times New Roman"/>
          <w:kern w:val="2"/>
          <w:szCs w:val="21"/>
        </w:rPr>
        <w:t>1011号</w:t>
      </w:r>
    </w:p>
    <w:p>
      <w:pPr>
        <w:widowControl w:val="0"/>
        <w:shd w:val="clear" w:color="auto" w:fill="auto"/>
        <w:tabs>
          <w:tab w:val="clear" w:pos="426"/>
        </w:tabs>
        <w:adjustRightInd/>
        <w:snapToGrid/>
        <w:spacing w:line="240" w:lineRule="auto"/>
        <w:ind w:left="495"/>
        <w:rPr>
          <w:rFonts w:cs="Times New Roman"/>
          <w:kern w:val="2"/>
          <w:szCs w:val="21"/>
        </w:rPr>
      </w:pPr>
      <w:bookmarkStart w:id="36" w:name="_Toc28359086"/>
      <w:bookmarkStart w:id="37" w:name="_Toc28359009"/>
      <w:r>
        <w:rPr>
          <w:rFonts w:hint="eastAsia" w:cs="Times New Roman"/>
          <w:kern w:val="2"/>
          <w:szCs w:val="21"/>
        </w:rPr>
        <w:t>联系方式：刘先生</w:t>
      </w:r>
      <w:r>
        <w:rPr>
          <w:rFonts w:cs="Times New Roman"/>
          <w:kern w:val="2"/>
          <w:szCs w:val="21"/>
        </w:rPr>
        <w:t>0755-84394179</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采购人监督投诉电话：</w:t>
      </w:r>
      <w:r>
        <w:rPr>
          <w:rFonts w:cs="Times New Roman"/>
          <w:kern w:val="2"/>
          <w:szCs w:val="21"/>
        </w:rPr>
        <w:t>0755-84398457</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2.采购代理机构信息</w:t>
      </w:r>
      <w:bookmarkEnd w:id="36"/>
      <w:bookmarkEnd w:id="37"/>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名</w:t>
      </w:r>
      <w:r>
        <w:rPr>
          <w:rFonts w:cs="Times New Roman"/>
          <w:kern w:val="2"/>
          <w:szCs w:val="21"/>
        </w:rPr>
        <w:t>称：深圳市深水水务咨询有限公司</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地</w:t>
      </w:r>
      <w:r>
        <w:rPr>
          <w:rFonts w:cs="Times New Roman"/>
          <w:kern w:val="2"/>
          <w:szCs w:val="21"/>
        </w:rPr>
        <w:t>址：深圳市罗湖区清水河街道清水河社区清水河一路112号罗湖投资控股大厦裙楼401</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联系方式：庄晓琴</w:t>
      </w:r>
      <w:r>
        <w:rPr>
          <w:rFonts w:cs="Times New Roman"/>
          <w:kern w:val="2"/>
          <w:szCs w:val="21"/>
        </w:rPr>
        <w:t>0755-25165821/13688812350/Email：498174886@qq.com</w:t>
      </w:r>
    </w:p>
    <w:p>
      <w:pPr>
        <w:widowControl w:val="0"/>
        <w:shd w:val="clear" w:color="auto" w:fill="auto"/>
        <w:tabs>
          <w:tab w:val="clear" w:pos="426"/>
        </w:tabs>
        <w:adjustRightInd/>
        <w:snapToGrid/>
        <w:spacing w:line="240" w:lineRule="auto"/>
        <w:ind w:left="495"/>
        <w:rPr>
          <w:rFonts w:cs="Times New Roman"/>
          <w:kern w:val="2"/>
          <w:szCs w:val="21"/>
        </w:rPr>
      </w:pPr>
      <w:r>
        <w:rPr>
          <w:rFonts w:cs="Times New Roman"/>
          <w:kern w:val="2"/>
          <w:szCs w:val="21"/>
        </w:rPr>
        <w:t>3.项目联系方式</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项目联系人：庄晓琴、李夏冰</w:t>
      </w:r>
    </w:p>
    <w:p>
      <w:pPr>
        <w:widowControl w:val="0"/>
        <w:shd w:val="clear" w:color="auto" w:fill="auto"/>
        <w:tabs>
          <w:tab w:val="clear" w:pos="426"/>
        </w:tabs>
        <w:adjustRightInd/>
        <w:snapToGrid/>
        <w:spacing w:line="240" w:lineRule="auto"/>
        <w:ind w:left="495"/>
        <w:rPr>
          <w:rFonts w:cs="Times New Roman"/>
          <w:kern w:val="2"/>
          <w:szCs w:val="21"/>
        </w:rPr>
      </w:pPr>
      <w:r>
        <w:rPr>
          <w:rFonts w:hint="eastAsia" w:cs="Times New Roman"/>
          <w:kern w:val="2"/>
          <w:szCs w:val="21"/>
        </w:rPr>
        <w:t>电</w:t>
      </w:r>
      <w:r>
        <w:rPr>
          <w:rFonts w:cs="Times New Roman"/>
          <w:kern w:val="2"/>
          <w:szCs w:val="21"/>
        </w:rPr>
        <w:t>话：0755-25165821/13688812350</w:t>
      </w:r>
    </w:p>
    <w:p>
      <w:pPr>
        <w:spacing w:line="240" w:lineRule="auto"/>
        <w:ind w:firstLine="424" w:firstLineChars="202"/>
        <w:jc w:val="right"/>
        <w:rPr>
          <w:szCs w:val="21"/>
        </w:rPr>
      </w:pPr>
      <w:r>
        <w:rPr>
          <w:rFonts w:hint="eastAsia"/>
          <w:szCs w:val="21"/>
        </w:rPr>
        <w:t>深圳市深水水务咨询有限公司</w:t>
      </w:r>
    </w:p>
    <w:p>
      <w:pPr>
        <w:spacing w:line="240" w:lineRule="auto"/>
        <w:ind w:firstLine="424" w:firstLineChars="202"/>
        <w:jc w:val="right"/>
        <w:rPr>
          <w:szCs w:val="21"/>
        </w:rPr>
      </w:pPr>
      <w:r>
        <w:rPr>
          <w:rFonts w:hint="eastAsia"/>
          <w:szCs w:val="21"/>
        </w:rPr>
        <w:t>202</w:t>
      </w:r>
      <w:r>
        <w:rPr>
          <w:szCs w:val="21"/>
        </w:rPr>
        <w:t>4</w:t>
      </w:r>
      <w:r>
        <w:rPr>
          <w:rFonts w:hint="eastAsia"/>
          <w:szCs w:val="21"/>
        </w:rPr>
        <w:t>年*月*日</w:t>
      </w:r>
    </w:p>
    <w:bookmarkEnd w:id="6"/>
    <w:p>
      <w:r>
        <w:rPr>
          <w:rFonts w:hint="eastAsia"/>
        </w:rPr>
        <w:br w:type="page"/>
      </w:r>
    </w:p>
    <w:p>
      <w:pPr>
        <w:pStyle w:val="62"/>
      </w:pPr>
      <w:bookmarkStart w:id="38" w:name="_Toc13122"/>
      <w:r>
        <w:rPr>
          <w:rFonts w:hint="eastAsia"/>
        </w:rPr>
        <w:t>第二章 项目需求</w:t>
      </w:r>
      <w:bookmarkEnd w:id="38"/>
    </w:p>
    <w:p>
      <w:pPr>
        <w:numPr>
          <w:ilvl w:val="0"/>
          <w:numId w:val="2"/>
        </w:numPr>
        <w:adjustRightInd/>
        <w:snapToGrid/>
        <w:spacing w:before="280" w:after="290" w:line="377" w:lineRule="auto"/>
        <w:jc w:val="left"/>
        <w:outlineLvl w:val="2"/>
        <w:rPr>
          <w:b/>
          <w:sz w:val="24"/>
        </w:rPr>
      </w:pPr>
      <w:bookmarkStart w:id="39" w:name="_Toc150960244"/>
      <w:bookmarkStart w:id="40" w:name="_Toc15786"/>
      <w:bookmarkStart w:id="41" w:name="_Toc151386154"/>
      <w:r>
        <w:rPr>
          <w:b/>
          <w:sz w:val="24"/>
        </w:rPr>
        <w:t>货物清单</w:t>
      </w:r>
      <w:r>
        <w:rPr>
          <w:rFonts w:hint="eastAsia"/>
          <w:b/>
          <w:sz w:val="24"/>
        </w:rPr>
        <w:t>一览表</w:t>
      </w:r>
      <w:bookmarkEnd w:id="39"/>
      <w:bookmarkEnd w:id="40"/>
      <w:bookmarkEnd w:id="41"/>
    </w:p>
    <w:tbl>
      <w:tblPr>
        <w:tblStyle w:val="85"/>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250"/>
        <w:gridCol w:w="1650"/>
        <w:gridCol w:w="1140"/>
        <w:gridCol w:w="525"/>
        <w:gridCol w:w="1095"/>
        <w:gridCol w:w="155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pPr>
              <w:spacing w:line="240" w:lineRule="auto"/>
              <w:jc w:val="center"/>
              <w:rPr>
                <w:b/>
                <w:bCs/>
                <w:szCs w:val="21"/>
              </w:rPr>
            </w:pPr>
            <w:r>
              <w:rPr>
                <w:rFonts w:hint="eastAsia"/>
                <w:b/>
                <w:bCs/>
                <w:szCs w:val="21"/>
              </w:rPr>
              <w:t>包号</w:t>
            </w:r>
          </w:p>
        </w:tc>
        <w:tc>
          <w:tcPr>
            <w:tcW w:w="1250" w:type="dxa"/>
            <w:vAlign w:val="center"/>
          </w:tcPr>
          <w:p>
            <w:pPr>
              <w:spacing w:line="240" w:lineRule="auto"/>
              <w:jc w:val="center"/>
              <w:rPr>
                <w:b/>
                <w:bCs/>
                <w:szCs w:val="21"/>
              </w:rPr>
            </w:pPr>
            <w:r>
              <w:rPr>
                <w:rFonts w:hint="eastAsia"/>
                <w:b/>
                <w:bCs/>
                <w:szCs w:val="21"/>
              </w:rPr>
              <w:t>标的序号</w:t>
            </w:r>
          </w:p>
        </w:tc>
        <w:tc>
          <w:tcPr>
            <w:tcW w:w="1650" w:type="dxa"/>
            <w:vAlign w:val="center"/>
          </w:tcPr>
          <w:p>
            <w:pPr>
              <w:spacing w:line="240" w:lineRule="auto"/>
              <w:jc w:val="center"/>
              <w:rPr>
                <w:b/>
                <w:bCs/>
                <w:szCs w:val="21"/>
              </w:rPr>
            </w:pPr>
            <w:r>
              <w:rPr>
                <w:rFonts w:hint="eastAsia"/>
                <w:b/>
                <w:bCs/>
                <w:szCs w:val="21"/>
              </w:rPr>
              <w:t>货物（标的）名称</w:t>
            </w:r>
          </w:p>
        </w:tc>
        <w:tc>
          <w:tcPr>
            <w:tcW w:w="1140" w:type="dxa"/>
            <w:vAlign w:val="center"/>
          </w:tcPr>
          <w:p>
            <w:pPr>
              <w:spacing w:line="240" w:lineRule="auto"/>
              <w:jc w:val="center"/>
              <w:rPr>
                <w:b/>
                <w:bCs/>
                <w:szCs w:val="21"/>
              </w:rPr>
            </w:pPr>
            <w:r>
              <w:rPr>
                <w:rFonts w:hint="eastAsia"/>
                <w:b/>
                <w:bCs/>
                <w:szCs w:val="21"/>
              </w:rPr>
              <w:t>计量单位</w:t>
            </w:r>
          </w:p>
        </w:tc>
        <w:tc>
          <w:tcPr>
            <w:tcW w:w="525" w:type="dxa"/>
            <w:vAlign w:val="center"/>
          </w:tcPr>
          <w:p>
            <w:pPr>
              <w:spacing w:line="240" w:lineRule="auto"/>
              <w:jc w:val="center"/>
              <w:rPr>
                <w:b/>
                <w:bCs/>
                <w:szCs w:val="21"/>
              </w:rPr>
            </w:pPr>
            <w:r>
              <w:rPr>
                <w:rFonts w:hint="eastAsia"/>
                <w:b/>
                <w:bCs/>
                <w:szCs w:val="21"/>
              </w:rPr>
              <w:t>数量</w:t>
            </w:r>
          </w:p>
        </w:tc>
        <w:tc>
          <w:tcPr>
            <w:tcW w:w="1095" w:type="dxa"/>
            <w:vAlign w:val="center"/>
          </w:tcPr>
          <w:p>
            <w:pPr>
              <w:spacing w:line="240" w:lineRule="auto"/>
              <w:jc w:val="center"/>
              <w:rPr>
                <w:b/>
                <w:bCs/>
                <w:szCs w:val="21"/>
              </w:rPr>
            </w:pPr>
            <w:r>
              <w:rPr>
                <w:rFonts w:hint="eastAsia"/>
                <w:b/>
                <w:bCs/>
                <w:szCs w:val="21"/>
              </w:rPr>
              <w:t>是否进口</w:t>
            </w:r>
          </w:p>
        </w:tc>
        <w:tc>
          <w:tcPr>
            <w:tcW w:w="1551" w:type="dxa"/>
            <w:vAlign w:val="center"/>
          </w:tcPr>
          <w:p>
            <w:pPr>
              <w:spacing w:line="240" w:lineRule="auto"/>
              <w:jc w:val="center"/>
              <w:rPr>
                <w:b/>
                <w:bCs/>
                <w:szCs w:val="21"/>
              </w:rPr>
            </w:pPr>
            <w:r>
              <w:rPr>
                <w:rFonts w:hint="eastAsia"/>
                <w:b/>
                <w:bCs/>
                <w:szCs w:val="21"/>
              </w:rPr>
              <w:t>是否创新产品</w:t>
            </w:r>
          </w:p>
        </w:tc>
        <w:tc>
          <w:tcPr>
            <w:tcW w:w="1305" w:type="dxa"/>
            <w:vAlign w:val="center"/>
          </w:tcPr>
          <w:p>
            <w:pPr>
              <w:spacing w:line="240" w:lineRule="auto"/>
              <w:jc w:val="center"/>
              <w:rPr>
                <w:szCs w:val="21"/>
              </w:rPr>
            </w:pPr>
            <w:r>
              <w:rPr>
                <w:rFonts w:hint="eastAsia" w:cs="Times New Roman"/>
                <w:b/>
                <w:bCs/>
                <w:szCs w:val="21"/>
              </w:rPr>
              <w:t>财政</w:t>
            </w:r>
            <w:r>
              <w:rPr>
                <w:rFonts w:cs="Times New Roman"/>
                <w:b/>
                <w:bCs/>
                <w:szCs w:val="21"/>
              </w:rPr>
              <w:t>预算</w:t>
            </w:r>
            <w:r>
              <w:rPr>
                <w:rFonts w:hint="eastAsia" w:cs="Times New Roman"/>
                <w:b/>
                <w:bCs/>
                <w:szCs w:val="21"/>
              </w:rPr>
              <w:t>限</w:t>
            </w:r>
            <w:r>
              <w:rPr>
                <w:rFonts w:cs="Times New Roman"/>
                <w:b/>
                <w:bCs/>
                <w:szCs w:val="21"/>
              </w:rPr>
              <w:t>额(</w:t>
            </w:r>
            <w:r>
              <w:rPr>
                <w:rFonts w:hint="eastAsia" w:cs="Times New Roman"/>
                <w:b/>
                <w:bCs/>
                <w:szCs w:val="21"/>
              </w:rPr>
              <w:t>万</w:t>
            </w:r>
            <w:r>
              <w:rPr>
                <w:rFonts w:cs="Times New Roman"/>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Merge w:val="restart"/>
            <w:vAlign w:val="center"/>
          </w:tcPr>
          <w:p>
            <w:pPr>
              <w:spacing w:line="240" w:lineRule="auto"/>
              <w:jc w:val="center"/>
              <w:rPr>
                <w:szCs w:val="21"/>
              </w:rPr>
            </w:pPr>
            <w:r>
              <w:rPr>
                <w:rFonts w:hint="eastAsia"/>
                <w:szCs w:val="21"/>
              </w:rPr>
              <w:t>01</w:t>
            </w:r>
          </w:p>
        </w:tc>
        <w:tc>
          <w:tcPr>
            <w:tcW w:w="1250" w:type="dxa"/>
            <w:vAlign w:val="center"/>
          </w:tcPr>
          <w:p>
            <w:pPr>
              <w:spacing w:line="240" w:lineRule="auto"/>
              <w:jc w:val="center"/>
              <w:rPr>
                <w:szCs w:val="21"/>
              </w:rPr>
            </w:pPr>
            <w:r>
              <w:rPr>
                <w:rFonts w:hint="eastAsia"/>
                <w:szCs w:val="21"/>
              </w:rPr>
              <w:t>1</w:t>
            </w:r>
          </w:p>
        </w:tc>
        <w:tc>
          <w:tcPr>
            <w:tcW w:w="1650" w:type="dxa"/>
            <w:vAlign w:val="center"/>
          </w:tcPr>
          <w:p>
            <w:pPr>
              <w:spacing w:line="240" w:lineRule="auto"/>
              <w:jc w:val="center"/>
              <w:rPr>
                <w:szCs w:val="21"/>
              </w:rPr>
            </w:pPr>
            <w:r>
              <w:rPr>
                <w:rFonts w:hint="eastAsia"/>
                <w:szCs w:val="21"/>
              </w:rPr>
              <w:t>荧光PCR仪</w:t>
            </w:r>
          </w:p>
        </w:tc>
        <w:tc>
          <w:tcPr>
            <w:tcW w:w="1140" w:type="dxa"/>
            <w:vAlign w:val="center"/>
          </w:tcPr>
          <w:p>
            <w:pPr>
              <w:spacing w:line="240" w:lineRule="auto"/>
              <w:jc w:val="center"/>
              <w:rPr>
                <w:szCs w:val="21"/>
              </w:rPr>
            </w:pPr>
            <w:r>
              <w:rPr>
                <w:rFonts w:hint="eastAsia"/>
                <w:szCs w:val="21"/>
              </w:rPr>
              <w:t>台</w:t>
            </w:r>
          </w:p>
        </w:tc>
        <w:tc>
          <w:tcPr>
            <w:tcW w:w="525" w:type="dxa"/>
            <w:vAlign w:val="center"/>
          </w:tcPr>
          <w:p>
            <w:pPr>
              <w:spacing w:line="240" w:lineRule="auto"/>
              <w:jc w:val="center"/>
              <w:rPr>
                <w:szCs w:val="21"/>
              </w:rPr>
            </w:pPr>
            <w:r>
              <w:rPr>
                <w:rFonts w:hint="eastAsia"/>
                <w:szCs w:val="21"/>
              </w:rPr>
              <w:t>2</w:t>
            </w:r>
          </w:p>
        </w:tc>
        <w:tc>
          <w:tcPr>
            <w:tcW w:w="1095" w:type="dxa"/>
            <w:vAlign w:val="center"/>
          </w:tcPr>
          <w:p>
            <w:pPr>
              <w:spacing w:line="240" w:lineRule="auto"/>
              <w:jc w:val="center"/>
              <w:rPr>
                <w:szCs w:val="21"/>
              </w:rPr>
            </w:pPr>
            <w:r>
              <w:rPr>
                <w:rFonts w:hint="eastAsia"/>
                <w:szCs w:val="21"/>
              </w:rPr>
              <w:t>否</w:t>
            </w:r>
          </w:p>
        </w:tc>
        <w:tc>
          <w:tcPr>
            <w:tcW w:w="1551" w:type="dxa"/>
            <w:vAlign w:val="center"/>
          </w:tcPr>
          <w:p>
            <w:pPr>
              <w:spacing w:line="240" w:lineRule="auto"/>
              <w:jc w:val="center"/>
              <w:rPr>
                <w:szCs w:val="21"/>
              </w:rPr>
            </w:pPr>
            <w:r>
              <w:rPr>
                <w:rFonts w:hint="eastAsia"/>
                <w:szCs w:val="21"/>
              </w:rPr>
              <w:t>否</w:t>
            </w:r>
          </w:p>
        </w:tc>
        <w:tc>
          <w:tcPr>
            <w:tcW w:w="1305" w:type="dxa"/>
            <w:vAlign w:val="center"/>
          </w:tcPr>
          <w:p>
            <w:pPr>
              <w:pStyle w:val="425"/>
              <w:rPr>
                <w:rFonts w:hAnsi="宋体"/>
                <w:szCs w:val="21"/>
              </w:rPr>
            </w:pPr>
            <w:r>
              <w:rPr>
                <w:rFonts w:hint="eastAsia"/>
              </w:rPr>
              <w:t>90.000000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Merge w:val="continue"/>
            <w:vAlign w:val="center"/>
          </w:tcPr>
          <w:p>
            <w:pPr>
              <w:spacing w:line="240" w:lineRule="auto"/>
              <w:jc w:val="center"/>
              <w:rPr>
                <w:szCs w:val="21"/>
              </w:rPr>
            </w:pPr>
          </w:p>
        </w:tc>
        <w:tc>
          <w:tcPr>
            <w:tcW w:w="1250" w:type="dxa"/>
            <w:vAlign w:val="center"/>
          </w:tcPr>
          <w:p>
            <w:pPr>
              <w:spacing w:line="240" w:lineRule="auto"/>
              <w:jc w:val="center"/>
              <w:rPr>
                <w:szCs w:val="21"/>
              </w:rPr>
            </w:pPr>
            <w:r>
              <w:rPr>
                <w:rFonts w:hint="eastAsia"/>
                <w:szCs w:val="21"/>
              </w:rPr>
              <w:t>2</w:t>
            </w:r>
          </w:p>
        </w:tc>
        <w:tc>
          <w:tcPr>
            <w:tcW w:w="1650" w:type="dxa"/>
            <w:vAlign w:val="center"/>
          </w:tcPr>
          <w:p>
            <w:pPr>
              <w:spacing w:line="240" w:lineRule="auto"/>
              <w:jc w:val="center"/>
              <w:rPr>
                <w:szCs w:val="21"/>
              </w:rPr>
            </w:pPr>
            <w:r>
              <w:rPr>
                <w:rFonts w:hint="eastAsia"/>
                <w:szCs w:val="21"/>
              </w:rPr>
              <w:t>荧光定量PCR仪</w:t>
            </w:r>
          </w:p>
        </w:tc>
        <w:tc>
          <w:tcPr>
            <w:tcW w:w="1140" w:type="dxa"/>
            <w:vAlign w:val="center"/>
          </w:tcPr>
          <w:p>
            <w:pPr>
              <w:spacing w:line="240" w:lineRule="auto"/>
              <w:jc w:val="center"/>
              <w:rPr>
                <w:szCs w:val="21"/>
              </w:rPr>
            </w:pPr>
            <w:r>
              <w:rPr>
                <w:rFonts w:hint="eastAsia"/>
                <w:szCs w:val="21"/>
              </w:rPr>
              <w:t>台</w:t>
            </w:r>
          </w:p>
        </w:tc>
        <w:tc>
          <w:tcPr>
            <w:tcW w:w="525" w:type="dxa"/>
            <w:vAlign w:val="center"/>
          </w:tcPr>
          <w:p>
            <w:pPr>
              <w:spacing w:line="240" w:lineRule="auto"/>
              <w:jc w:val="center"/>
              <w:rPr>
                <w:szCs w:val="21"/>
              </w:rPr>
            </w:pPr>
            <w:r>
              <w:rPr>
                <w:rFonts w:hint="eastAsia"/>
                <w:szCs w:val="21"/>
              </w:rPr>
              <w:t>1</w:t>
            </w:r>
          </w:p>
        </w:tc>
        <w:tc>
          <w:tcPr>
            <w:tcW w:w="1095" w:type="dxa"/>
            <w:vAlign w:val="center"/>
          </w:tcPr>
          <w:p>
            <w:pPr>
              <w:spacing w:line="240" w:lineRule="auto"/>
              <w:jc w:val="center"/>
              <w:rPr>
                <w:szCs w:val="21"/>
              </w:rPr>
            </w:pPr>
            <w:r>
              <w:rPr>
                <w:rFonts w:hint="eastAsia"/>
                <w:szCs w:val="21"/>
              </w:rPr>
              <w:t>否</w:t>
            </w:r>
          </w:p>
        </w:tc>
        <w:tc>
          <w:tcPr>
            <w:tcW w:w="1551" w:type="dxa"/>
            <w:vAlign w:val="center"/>
          </w:tcPr>
          <w:p>
            <w:pPr>
              <w:spacing w:line="240" w:lineRule="auto"/>
              <w:jc w:val="center"/>
              <w:rPr>
                <w:szCs w:val="21"/>
              </w:rPr>
            </w:pPr>
            <w:r>
              <w:rPr>
                <w:rFonts w:hint="eastAsia"/>
                <w:szCs w:val="21"/>
              </w:rPr>
              <w:t>否</w:t>
            </w:r>
          </w:p>
        </w:tc>
        <w:tc>
          <w:tcPr>
            <w:tcW w:w="1305" w:type="dxa"/>
            <w:vAlign w:val="center"/>
          </w:tcPr>
          <w:p>
            <w:pPr>
              <w:pStyle w:val="425"/>
              <w:rPr>
                <w:rFonts w:hAnsi="宋体"/>
                <w:szCs w:val="21"/>
              </w:rPr>
            </w:pPr>
            <w:r>
              <w:rPr>
                <w:rFonts w:hint="eastAsia"/>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Merge w:val="continue"/>
            <w:vAlign w:val="center"/>
          </w:tcPr>
          <w:p>
            <w:pPr>
              <w:spacing w:line="240" w:lineRule="auto"/>
              <w:jc w:val="center"/>
              <w:rPr>
                <w:szCs w:val="21"/>
              </w:rPr>
            </w:pPr>
          </w:p>
        </w:tc>
        <w:tc>
          <w:tcPr>
            <w:tcW w:w="1250" w:type="dxa"/>
            <w:vAlign w:val="center"/>
          </w:tcPr>
          <w:p>
            <w:pPr>
              <w:spacing w:line="240" w:lineRule="auto"/>
              <w:jc w:val="center"/>
              <w:rPr>
                <w:szCs w:val="21"/>
              </w:rPr>
            </w:pPr>
            <w:r>
              <w:rPr>
                <w:rFonts w:hint="eastAsia"/>
                <w:szCs w:val="21"/>
              </w:rPr>
              <w:t>3</w:t>
            </w:r>
          </w:p>
        </w:tc>
        <w:tc>
          <w:tcPr>
            <w:tcW w:w="1650" w:type="dxa"/>
            <w:vAlign w:val="center"/>
          </w:tcPr>
          <w:p>
            <w:pPr>
              <w:spacing w:line="240" w:lineRule="auto"/>
              <w:jc w:val="center"/>
              <w:rPr>
                <w:szCs w:val="21"/>
              </w:rPr>
            </w:pPr>
            <w:r>
              <w:rPr>
                <w:rFonts w:hint="eastAsia"/>
                <w:szCs w:val="21"/>
              </w:rPr>
              <w:t>荧光PCR仪</w:t>
            </w:r>
          </w:p>
        </w:tc>
        <w:tc>
          <w:tcPr>
            <w:tcW w:w="1140" w:type="dxa"/>
            <w:vAlign w:val="center"/>
          </w:tcPr>
          <w:p>
            <w:pPr>
              <w:spacing w:line="240" w:lineRule="auto"/>
              <w:jc w:val="center"/>
              <w:rPr>
                <w:szCs w:val="21"/>
              </w:rPr>
            </w:pPr>
            <w:r>
              <w:rPr>
                <w:rFonts w:hint="eastAsia"/>
                <w:szCs w:val="21"/>
              </w:rPr>
              <w:t>台</w:t>
            </w:r>
          </w:p>
        </w:tc>
        <w:tc>
          <w:tcPr>
            <w:tcW w:w="525" w:type="dxa"/>
            <w:vAlign w:val="center"/>
          </w:tcPr>
          <w:p>
            <w:pPr>
              <w:spacing w:line="240" w:lineRule="auto"/>
              <w:jc w:val="center"/>
              <w:rPr>
                <w:szCs w:val="21"/>
              </w:rPr>
            </w:pPr>
            <w:r>
              <w:rPr>
                <w:rFonts w:hint="eastAsia"/>
                <w:szCs w:val="21"/>
              </w:rPr>
              <w:t>1</w:t>
            </w:r>
          </w:p>
        </w:tc>
        <w:tc>
          <w:tcPr>
            <w:tcW w:w="1095" w:type="dxa"/>
            <w:vAlign w:val="center"/>
          </w:tcPr>
          <w:p>
            <w:pPr>
              <w:spacing w:line="240" w:lineRule="auto"/>
              <w:jc w:val="center"/>
              <w:rPr>
                <w:szCs w:val="21"/>
              </w:rPr>
            </w:pPr>
            <w:r>
              <w:rPr>
                <w:rFonts w:hint="eastAsia"/>
                <w:szCs w:val="21"/>
              </w:rPr>
              <w:t>否</w:t>
            </w:r>
          </w:p>
        </w:tc>
        <w:tc>
          <w:tcPr>
            <w:tcW w:w="1551" w:type="dxa"/>
            <w:vAlign w:val="center"/>
          </w:tcPr>
          <w:p>
            <w:pPr>
              <w:spacing w:line="240" w:lineRule="auto"/>
              <w:jc w:val="center"/>
              <w:rPr>
                <w:szCs w:val="21"/>
              </w:rPr>
            </w:pPr>
            <w:r>
              <w:rPr>
                <w:rFonts w:hint="eastAsia"/>
                <w:szCs w:val="21"/>
              </w:rPr>
              <w:t>否</w:t>
            </w:r>
          </w:p>
        </w:tc>
        <w:tc>
          <w:tcPr>
            <w:tcW w:w="1305" w:type="dxa"/>
            <w:vAlign w:val="center"/>
          </w:tcPr>
          <w:p>
            <w:pPr>
              <w:pStyle w:val="425"/>
            </w:pPr>
            <w:r>
              <w:rPr>
                <w:rFonts w:hint="eastAsia"/>
              </w:rPr>
              <w:t>130.000000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0" w:type="dxa"/>
            <w:vAlign w:val="center"/>
          </w:tcPr>
          <w:p>
            <w:pPr>
              <w:spacing w:line="240" w:lineRule="auto"/>
              <w:jc w:val="center"/>
              <w:rPr>
                <w:szCs w:val="21"/>
              </w:rPr>
            </w:pPr>
            <w:r>
              <w:rPr>
                <w:rFonts w:hint="eastAsia"/>
                <w:szCs w:val="21"/>
              </w:rPr>
              <w:t>02</w:t>
            </w:r>
          </w:p>
        </w:tc>
        <w:tc>
          <w:tcPr>
            <w:tcW w:w="1250" w:type="dxa"/>
            <w:vAlign w:val="center"/>
          </w:tcPr>
          <w:p>
            <w:pPr>
              <w:spacing w:line="240" w:lineRule="auto"/>
              <w:jc w:val="center"/>
              <w:rPr>
                <w:szCs w:val="21"/>
              </w:rPr>
            </w:pPr>
            <w:r>
              <w:rPr>
                <w:rFonts w:hint="eastAsia"/>
                <w:szCs w:val="21"/>
              </w:rPr>
              <w:t>4</w:t>
            </w:r>
          </w:p>
        </w:tc>
        <w:tc>
          <w:tcPr>
            <w:tcW w:w="1650" w:type="dxa"/>
            <w:vAlign w:val="center"/>
          </w:tcPr>
          <w:p>
            <w:pPr>
              <w:spacing w:line="240" w:lineRule="auto"/>
              <w:jc w:val="center"/>
              <w:rPr>
                <w:szCs w:val="21"/>
              </w:rPr>
            </w:pPr>
            <w:r>
              <w:rPr>
                <w:rFonts w:hint="eastAsia"/>
                <w:szCs w:val="21"/>
              </w:rPr>
              <w:t>荧光定量PCR仪（数字PCR仪）</w:t>
            </w:r>
          </w:p>
        </w:tc>
        <w:tc>
          <w:tcPr>
            <w:tcW w:w="1140" w:type="dxa"/>
            <w:vAlign w:val="center"/>
          </w:tcPr>
          <w:p>
            <w:pPr>
              <w:spacing w:line="240" w:lineRule="auto"/>
              <w:jc w:val="center"/>
              <w:rPr>
                <w:szCs w:val="21"/>
              </w:rPr>
            </w:pPr>
            <w:r>
              <w:rPr>
                <w:rFonts w:hint="eastAsia"/>
                <w:szCs w:val="21"/>
              </w:rPr>
              <w:t>台</w:t>
            </w:r>
          </w:p>
        </w:tc>
        <w:tc>
          <w:tcPr>
            <w:tcW w:w="525" w:type="dxa"/>
            <w:vAlign w:val="center"/>
          </w:tcPr>
          <w:p>
            <w:pPr>
              <w:spacing w:line="240" w:lineRule="auto"/>
              <w:jc w:val="center"/>
              <w:rPr>
                <w:szCs w:val="21"/>
              </w:rPr>
            </w:pPr>
            <w:r>
              <w:rPr>
                <w:rFonts w:hint="eastAsia"/>
                <w:szCs w:val="21"/>
              </w:rPr>
              <w:t>1</w:t>
            </w:r>
          </w:p>
        </w:tc>
        <w:tc>
          <w:tcPr>
            <w:tcW w:w="1095" w:type="dxa"/>
            <w:vAlign w:val="center"/>
          </w:tcPr>
          <w:p>
            <w:pPr>
              <w:spacing w:line="240" w:lineRule="auto"/>
              <w:jc w:val="center"/>
              <w:rPr>
                <w:szCs w:val="21"/>
              </w:rPr>
            </w:pPr>
            <w:r>
              <w:rPr>
                <w:rFonts w:hint="eastAsia"/>
                <w:szCs w:val="21"/>
              </w:rPr>
              <w:t>否</w:t>
            </w:r>
          </w:p>
        </w:tc>
        <w:tc>
          <w:tcPr>
            <w:tcW w:w="1551" w:type="dxa"/>
            <w:vAlign w:val="center"/>
          </w:tcPr>
          <w:p>
            <w:pPr>
              <w:spacing w:line="240" w:lineRule="auto"/>
              <w:jc w:val="center"/>
              <w:rPr>
                <w:szCs w:val="21"/>
              </w:rPr>
            </w:pPr>
            <w:r>
              <w:rPr>
                <w:rFonts w:hint="eastAsia"/>
                <w:szCs w:val="21"/>
              </w:rPr>
              <w:t>否</w:t>
            </w:r>
          </w:p>
        </w:tc>
        <w:tc>
          <w:tcPr>
            <w:tcW w:w="1305" w:type="dxa"/>
            <w:vAlign w:val="center"/>
          </w:tcPr>
          <w:p>
            <w:pPr>
              <w:pStyle w:val="425"/>
            </w:pPr>
            <w:r>
              <w:rPr>
                <w:rFonts w:hint="eastAsia"/>
              </w:rPr>
              <w:t>245.000000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41" w:type="dxa"/>
            <w:gridSpan w:val="7"/>
            <w:vAlign w:val="center"/>
          </w:tcPr>
          <w:p>
            <w:pPr>
              <w:spacing w:line="240" w:lineRule="auto"/>
              <w:jc w:val="center"/>
              <w:rPr>
                <w:szCs w:val="21"/>
              </w:rPr>
            </w:pPr>
            <w:r>
              <w:rPr>
                <w:rFonts w:hint="eastAsia"/>
                <w:szCs w:val="21"/>
              </w:rPr>
              <w:t>合计</w:t>
            </w:r>
          </w:p>
        </w:tc>
        <w:tc>
          <w:tcPr>
            <w:tcW w:w="1305" w:type="dxa"/>
            <w:vAlign w:val="center"/>
          </w:tcPr>
          <w:p>
            <w:pPr>
              <w:pStyle w:val="425"/>
              <w:rPr>
                <w:szCs w:val="21"/>
              </w:rPr>
            </w:pPr>
            <w:r>
              <w:rPr>
                <w:rFonts w:hint="eastAsia"/>
              </w:rPr>
              <w:t>525.000000</w:t>
            </w:r>
          </w:p>
        </w:tc>
      </w:tr>
    </w:tbl>
    <w:p>
      <w:pPr>
        <w:spacing w:line="276" w:lineRule="auto"/>
        <w:ind w:firstLine="420" w:firstLineChars="200"/>
        <w:rPr>
          <w:szCs w:val="21"/>
        </w:rPr>
      </w:pPr>
      <w:r>
        <w:rPr>
          <w:rFonts w:hint="eastAsia"/>
          <w:szCs w:val="21"/>
        </w:rPr>
        <w:t>备注：</w:t>
      </w:r>
    </w:p>
    <w:p>
      <w:pPr>
        <w:spacing w:line="276" w:lineRule="auto"/>
        <w:ind w:firstLine="420" w:firstLineChars="200"/>
        <w:rPr>
          <w:szCs w:val="21"/>
        </w:rPr>
      </w:pPr>
      <w:r>
        <w:rPr>
          <w:rFonts w:hint="eastAsia"/>
          <w:szCs w:val="21"/>
        </w:rPr>
        <w:t>1.注明“接受进口”的产品（产品名称）允许供应商选用进口产品参与投标，但不排斥国内产品。</w:t>
      </w:r>
    </w:p>
    <w:p>
      <w:pPr>
        <w:spacing w:line="276" w:lineRule="auto"/>
        <w:ind w:firstLine="420" w:firstLineChars="200"/>
        <w:rPr>
          <w:szCs w:val="21"/>
        </w:rPr>
      </w:pPr>
      <w:r>
        <w:rPr>
          <w:rFonts w:hint="eastAsia"/>
          <w:szCs w:val="21"/>
        </w:rPr>
        <w:t>2</w:t>
      </w:r>
      <w:r>
        <w:rPr>
          <w:szCs w:val="21"/>
        </w:rPr>
        <w:t>.</w:t>
      </w:r>
      <w:r>
        <w:rPr>
          <w:rFonts w:hint="eastAsia"/>
          <w:szCs w:val="21"/>
        </w:rPr>
        <w:t>注明“拒绝进口”的产品（产品名称）均不接受供应商选用进口产品参与投标。</w:t>
      </w:r>
    </w:p>
    <w:p>
      <w:pPr>
        <w:spacing w:line="276" w:lineRule="auto"/>
        <w:ind w:firstLine="420" w:firstLineChars="200"/>
        <w:rPr>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pPr>
        <w:spacing w:line="276" w:lineRule="auto"/>
        <w:ind w:firstLine="422" w:firstLineChars="200"/>
        <w:rPr>
          <w:b/>
          <w:szCs w:val="21"/>
        </w:rPr>
      </w:pPr>
      <w:r>
        <w:rPr>
          <w:b/>
          <w:szCs w:val="21"/>
        </w:rPr>
        <w:t>4.</w:t>
      </w:r>
      <w:r>
        <w:rPr>
          <w:rFonts w:hint="eastAsia"/>
          <w:b/>
          <w:szCs w:val="21"/>
        </w:rPr>
        <w:t>本项目01包的核心产品为：</w:t>
      </w:r>
      <w:r>
        <w:rPr>
          <w:rFonts w:hint="eastAsia"/>
          <w:b/>
          <w:szCs w:val="21"/>
          <w:u w:val="single"/>
        </w:rPr>
        <w:t xml:space="preserve"> 序号3  荧光PCR仪 </w:t>
      </w:r>
      <w:r>
        <w:rPr>
          <w:rFonts w:hint="eastAsia"/>
          <w:b/>
          <w:szCs w:val="21"/>
        </w:rPr>
        <w:t>。</w:t>
      </w:r>
    </w:p>
    <w:p>
      <w:pPr>
        <w:spacing w:line="276" w:lineRule="auto"/>
        <w:ind w:firstLine="420" w:firstLineChars="200"/>
        <w:rPr>
          <w:bCs/>
          <w:szCs w:val="21"/>
        </w:rPr>
      </w:pPr>
      <w:r>
        <w:rPr>
          <w:rFonts w:hint="eastAsia"/>
          <w:bCs/>
          <w:szCs w:val="21"/>
        </w:rPr>
        <w:t>当多家投标人提供的核心产品品牌相同的，按一家投标人计算。根据《政府采购货物和服务招标投标管理办法》（中华人民共和国财政部令第</w:t>
      </w:r>
      <w:r>
        <w:rPr>
          <w:bCs/>
          <w:szCs w:val="21"/>
        </w:rPr>
        <w:t>87号）第三十一条相关规定：非单一产品采购项目，采购人应当根据采购项目技术构成、产品价格比重等合理确定核心产品，提供核心产品为相同品牌且通过资格审查、符合性审查的不同投标人，按一家投标人计算，评审后得分最高的同品牌投标人获得中标人推荐资格；评审得分相同的，采取随机抽取方式确定中标人推荐资格。其他综合评分总分次之的不同品牌投标人顺推获得中标人推荐资</w:t>
      </w:r>
      <w:r>
        <w:rPr>
          <w:rFonts w:hint="eastAsia"/>
          <w:bCs/>
          <w:szCs w:val="21"/>
        </w:rPr>
        <w:t>格。</w:t>
      </w:r>
    </w:p>
    <w:p>
      <w:pPr>
        <w:spacing w:line="276" w:lineRule="auto"/>
        <w:ind w:firstLine="420" w:firstLineChars="200"/>
        <w:rPr>
          <w:szCs w:val="21"/>
        </w:rPr>
      </w:pPr>
      <w:r>
        <w:rPr>
          <w:szCs w:val="21"/>
        </w:rPr>
        <w:t>5.</w:t>
      </w:r>
      <w:r>
        <w:rPr>
          <w:rFonts w:hint="eastAsia"/>
          <w:szCs w:val="21"/>
        </w:rPr>
        <w:t>《货物清单一览表》不允许出现负偏离，否则将导致投标无效，以投标文件格式中的《货物说明一览表》为准。</w:t>
      </w:r>
    </w:p>
    <w:p>
      <w:pPr>
        <w:numPr>
          <w:ilvl w:val="0"/>
          <w:numId w:val="2"/>
        </w:numPr>
        <w:adjustRightInd/>
        <w:snapToGrid/>
        <w:spacing w:before="280" w:after="290" w:line="377" w:lineRule="auto"/>
        <w:jc w:val="left"/>
        <w:outlineLvl w:val="2"/>
        <w:rPr>
          <w:b/>
          <w:sz w:val="24"/>
        </w:rPr>
      </w:pPr>
      <w:bookmarkStart w:id="42" w:name="_Toc151386155"/>
      <w:bookmarkStart w:id="43" w:name="_Toc150960245"/>
      <w:bookmarkStart w:id="44" w:name="_Toc31434"/>
      <w:r>
        <w:rPr>
          <w:rFonts w:hint="eastAsia"/>
          <w:b/>
          <w:sz w:val="24"/>
        </w:rPr>
        <w:t>实质性响应条款</w:t>
      </w:r>
      <w:bookmarkEnd w:id="42"/>
      <w:bookmarkEnd w:id="43"/>
      <w:bookmarkEnd w:id="44"/>
    </w:p>
    <w:tbl>
      <w:tblPr>
        <w:tblStyle w:val="85"/>
        <w:tblW w:w="4738"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589"/>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b/>
                <w:szCs w:val="21"/>
              </w:rPr>
            </w:pPr>
            <w:r>
              <w:rPr>
                <w:rFonts w:hint="eastAsia"/>
                <w:b/>
                <w:szCs w:val="21"/>
              </w:rPr>
              <w:t>序号</w:t>
            </w:r>
          </w:p>
        </w:tc>
        <w:tc>
          <w:tcPr>
            <w:tcW w:w="876" w:type="pct"/>
            <w:vAlign w:val="center"/>
          </w:tcPr>
          <w:p>
            <w:pPr>
              <w:spacing w:line="240" w:lineRule="auto"/>
              <w:jc w:val="center"/>
              <w:rPr>
                <w:b/>
                <w:szCs w:val="21"/>
              </w:rPr>
            </w:pPr>
            <w:r>
              <w:rPr>
                <w:rFonts w:hint="eastAsia"/>
                <w:b/>
                <w:szCs w:val="21"/>
              </w:rPr>
              <w:t>目录</w:t>
            </w:r>
          </w:p>
        </w:tc>
        <w:tc>
          <w:tcPr>
            <w:tcW w:w="3704" w:type="pct"/>
            <w:vAlign w:val="center"/>
          </w:tcPr>
          <w:p>
            <w:pPr>
              <w:spacing w:line="240" w:lineRule="auto"/>
              <w:jc w:val="center"/>
              <w:rPr>
                <w:b/>
                <w:szCs w:val="21"/>
              </w:rPr>
            </w:pPr>
            <w:r>
              <w:rPr>
                <w:rFonts w:hint="eastAsia"/>
                <w:b/>
                <w:szCs w:val="21"/>
              </w:rPr>
              <w:t>实质性响应条款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b/>
                <w:szCs w:val="21"/>
              </w:rPr>
            </w:pPr>
            <w:r>
              <w:rPr>
                <w:rFonts w:hint="eastAsia"/>
                <w:b/>
                <w:szCs w:val="21"/>
              </w:rPr>
              <w:t>1</w:t>
            </w:r>
          </w:p>
        </w:tc>
        <w:tc>
          <w:tcPr>
            <w:tcW w:w="876" w:type="pct"/>
            <w:vAlign w:val="center"/>
          </w:tcPr>
          <w:p>
            <w:pPr>
              <w:tabs>
                <w:tab w:val="clear" w:pos="426"/>
              </w:tabs>
              <w:spacing w:line="240" w:lineRule="auto"/>
              <w:jc w:val="left"/>
              <w:rPr>
                <w:rFonts w:cs="Times New Roman"/>
                <w:kern w:val="2"/>
                <w:szCs w:val="21"/>
              </w:rPr>
            </w:pPr>
            <w:r>
              <w:rPr>
                <w:rFonts w:hint="eastAsia" w:cs="Times New Roman"/>
                <w:kern w:val="2"/>
                <w:szCs w:val="21"/>
              </w:rPr>
              <w:t>技术要求</w:t>
            </w:r>
          </w:p>
        </w:tc>
        <w:tc>
          <w:tcPr>
            <w:tcW w:w="3704" w:type="pct"/>
            <w:vAlign w:val="center"/>
          </w:tcPr>
          <w:p>
            <w:pPr>
              <w:spacing w:line="240" w:lineRule="auto"/>
              <w:rPr>
                <w:szCs w:val="21"/>
                <w:lang w:bidi="ar"/>
              </w:rPr>
            </w:pPr>
            <w:r>
              <w:rPr>
                <w:rFonts w:hint="eastAsia" w:cs="Times New Roman"/>
                <w:kern w:val="2"/>
                <w:szCs w:val="21"/>
              </w:rPr>
              <w:t>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0" w:type="pct"/>
            <w:vAlign w:val="center"/>
          </w:tcPr>
          <w:p>
            <w:pPr>
              <w:spacing w:line="240" w:lineRule="auto"/>
              <w:jc w:val="center"/>
              <w:rPr>
                <w:b/>
                <w:szCs w:val="21"/>
              </w:rPr>
            </w:pPr>
            <w:r>
              <w:rPr>
                <w:rFonts w:hint="eastAsia"/>
                <w:b/>
                <w:szCs w:val="21"/>
              </w:rPr>
              <w:t>2</w:t>
            </w:r>
          </w:p>
        </w:tc>
        <w:tc>
          <w:tcPr>
            <w:tcW w:w="876" w:type="pct"/>
            <w:vAlign w:val="center"/>
          </w:tcPr>
          <w:p>
            <w:pPr>
              <w:tabs>
                <w:tab w:val="clear" w:pos="426"/>
              </w:tabs>
              <w:spacing w:line="240" w:lineRule="auto"/>
              <w:jc w:val="left"/>
              <w:rPr>
                <w:rFonts w:cs="Times New Roman"/>
                <w:kern w:val="2"/>
                <w:szCs w:val="21"/>
              </w:rPr>
            </w:pPr>
            <w:r>
              <w:rPr>
                <w:rFonts w:hint="eastAsia" w:cs="Times New Roman"/>
                <w:kern w:val="2"/>
                <w:szCs w:val="21"/>
              </w:rPr>
              <w:t>商务要求</w:t>
            </w:r>
          </w:p>
        </w:tc>
        <w:tc>
          <w:tcPr>
            <w:tcW w:w="3704" w:type="pct"/>
            <w:vAlign w:val="center"/>
          </w:tcPr>
          <w:p>
            <w:pPr>
              <w:spacing w:line="240" w:lineRule="auto"/>
              <w:rPr>
                <w:szCs w:val="21"/>
                <w:lang w:bidi="ar"/>
              </w:rPr>
            </w:pPr>
            <w:r>
              <w:rPr>
                <w:rFonts w:hint="eastAsia" w:cs="Times New Roman"/>
                <w:kern w:val="2"/>
                <w:szCs w:val="21"/>
              </w:rPr>
              <w:t>带★内容。</w:t>
            </w:r>
          </w:p>
        </w:tc>
      </w:tr>
    </w:tbl>
    <w:p>
      <w:pPr>
        <w:spacing w:line="276" w:lineRule="auto"/>
        <w:ind w:firstLine="420" w:firstLineChars="200"/>
        <w:rPr>
          <w:bCs/>
          <w:szCs w:val="21"/>
        </w:rPr>
      </w:pPr>
      <w:r>
        <w:rPr>
          <w:rFonts w:hint="eastAsia"/>
          <w:bCs/>
          <w:szCs w:val="21"/>
        </w:rPr>
        <w:t>备注：</w:t>
      </w:r>
    </w:p>
    <w:p>
      <w:pPr>
        <w:spacing w:line="276" w:lineRule="auto"/>
        <w:ind w:firstLine="420" w:firstLineChars="200"/>
        <w:rPr>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pPr>
        <w:numPr>
          <w:ilvl w:val="0"/>
          <w:numId w:val="2"/>
        </w:numPr>
        <w:adjustRightInd/>
        <w:snapToGrid/>
        <w:spacing w:before="280" w:after="290" w:line="377" w:lineRule="auto"/>
        <w:jc w:val="left"/>
        <w:outlineLvl w:val="2"/>
        <w:rPr>
          <w:b/>
          <w:sz w:val="24"/>
        </w:rPr>
      </w:pPr>
      <w:bookmarkStart w:id="45" w:name="_Toc150960246"/>
      <w:bookmarkStart w:id="46" w:name="_Toc151386156"/>
      <w:bookmarkStart w:id="47" w:name="_Toc27732"/>
      <w:r>
        <w:rPr>
          <w:rFonts w:hint="eastAsia"/>
          <w:b/>
          <w:sz w:val="24"/>
        </w:rPr>
        <w:t>技术要求</w:t>
      </w:r>
      <w:bookmarkEnd w:id="45"/>
      <w:bookmarkEnd w:id="46"/>
      <w:bookmarkEnd w:id="47"/>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r>
        <w:rPr>
          <w:rFonts w:hint="eastAsia" w:cs="Times New Roman"/>
          <w:b/>
          <w:bCs/>
          <w:kern w:val="2"/>
          <w:szCs w:val="21"/>
        </w:rPr>
        <w:t>包号：01 技术要求</w:t>
      </w:r>
    </w:p>
    <w:p>
      <w:pPr>
        <w:widowControl w:val="0"/>
        <w:shd w:val="clear" w:color="auto" w:fill="auto"/>
        <w:adjustRightInd/>
        <w:snapToGrid/>
        <w:spacing w:line="240" w:lineRule="auto"/>
        <w:ind w:firstLine="422" w:firstLineChars="200"/>
        <w:rPr>
          <w:rFonts w:cs="Times New Roman"/>
          <w:b/>
          <w:bCs/>
          <w:kern w:val="2"/>
          <w:szCs w:val="21"/>
        </w:rPr>
      </w:pPr>
      <w:r>
        <w:rPr>
          <w:rFonts w:hint="eastAsia"/>
          <w:b/>
          <w:bCs/>
          <w:kern w:val="2"/>
          <w:szCs w:val="21"/>
        </w:rPr>
        <w:t>（一）采购标的1</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adjustRightInd/>
              <w:snapToGrid/>
              <w:spacing w:line="240" w:lineRule="auto"/>
              <w:jc w:val="center"/>
              <w:rPr>
                <w:b/>
                <w:bCs/>
                <w:kern w:val="2"/>
                <w:szCs w:val="21"/>
              </w:rPr>
            </w:pPr>
            <w:r>
              <w:rPr>
                <w:rFonts w:hint="eastAsia"/>
                <w:b/>
                <w:bCs/>
                <w:kern w:val="2"/>
                <w:szCs w:val="21"/>
              </w:rPr>
              <w:t>技术参数要求</w:t>
            </w:r>
          </w:p>
        </w:tc>
        <w:tc>
          <w:tcPr>
            <w:tcW w:w="1185" w:type="dxa"/>
            <w:vAlign w:val="center"/>
          </w:tcPr>
          <w:p>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1.主要技术参数</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（1）仪器硬件参数</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★1）半导体或结合银质散热模块加热方式。</w:t>
            </w:r>
          </w:p>
        </w:tc>
        <w:tc>
          <w:tcPr>
            <w:tcW w:w="1185"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 完成实时定量PCR实验时间≤2小时。</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3) 激发光源：卤钨灯或发光二极管或LED。</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★4）检测通道：≥5。</w:t>
            </w:r>
          </w:p>
        </w:tc>
        <w:tc>
          <w:tcPr>
            <w:tcW w:w="1185"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5）具有温度梯度功能。</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6）检测方式：实时动态检测；扩增和检测同时进行。</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7）检测系统：CCD检测器或PDT检测器或PMT检测器或cmos检测器。</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（2）仪器软件</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定量PCR软件、阴阳性结果自动判定软件、反应板设置软件、可支持Rox荧光校正。</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（3）性能</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★1）升降温速率≥3 ℃/s、控温精度≤±0.25 ℃，控温范围：4 ℃～99 ℃；温度均匀性≤±0.5 ℃；样品通量≥96个、样品体积10 µL-50 µL。</w:t>
            </w:r>
          </w:p>
        </w:tc>
        <w:tc>
          <w:tcPr>
            <w:tcW w:w="1185"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2）荧光定量方法：Taqman探针，或Taqman MGB探针或FRET探针或SYBR Green I染料等。</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3）检测灵敏度：能检测到一个拷贝数的基因 ;支持快速反应模式:45分钟内可完成40个标准PCR循环。</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4）动力学线性范围：≥9个数量级。</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5）仪器分析功能：绝对定量、相对定量、多重定量、熔解曲线分析。</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2.其他技术参数</w:t>
            </w:r>
          </w:p>
        </w:tc>
        <w:tc>
          <w:tcPr>
            <w:tcW w:w="1185"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通用荧光PCR试剂和耗材。</w:t>
            </w:r>
          </w:p>
        </w:tc>
        <w:tc>
          <w:tcPr>
            <w:tcW w:w="1185"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5"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★3.配置要求</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（1）主机 （含电源线、≥96孔加热模块，可正常开机，实现基本业务需求） 1台。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（2）专用工作站1台（相当于或优于6核心12线程，单核主频4.4GHz的CPU，8GB内存，1T硬盘, 独立显卡，DVD/CD-RW, 含正版操作系统与仪器软件能兼容，不小于19寸液晶显示器，高速数据处理输入输出系统）或内置工作站1台。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（3）定量PCR软件（含阴阳性结果自动判定软件、反应板设置软件，免费升级） 1套。</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（4）安装试剂盒 1套。</w:t>
            </w:r>
          </w:p>
          <w:p>
            <w:pPr>
              <w:widowControl w:val="0"/>
              <w:shd w:val="clear" w:color="auto" w:fill="auto"/>
              <w:tabs>
                <w:tab w:val="clear" w:pos="426"/>
              </w:tabs>
              <w:adjustRightInd/>
              <w:snapToGrid/>
              <w:spacing w:line="240" w:lineRule="auto"/>
              <w:ind w:firstLine="422" w:firstLineChars="200"/>
              <w:rPr>
                <w:kern w:val="2"/>
                <w:szCs w:val="21"/>
              </w:rPr>
            </w:pPr>
            <w:r>
              <w:rPr>
                <w:rFonts w:hint="eastAsia"/>
                <w:b/>
                <w:bCs/>
                <w:kern w:val="2"/>
                <w:szCs w:val="21"/>
              </w:rPr>
              <w:t>（5）荧光定量试剂盒 1个。</w:t>
            </w:r>
          </w:p>
        </w:tc>
        <w:tc>
          <w:tcPr>
            <w:tcW w:w="1185"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bl>
    <w:p>
      <w:pPr>
        <w:widowControl w:val="0"/>
        <w:shd w:val="clear" w:color="auto" w:fill="auto"/>
        <w:adjustRightInd/>
        <w:snapToGrid/>
        <w:spacing w:line="240" w:lineRule="auto"/>
        <w:ind w:firstLine="420" w:firstLineChars="200"/>
        <w:rPr>
          <w:kern w:val="2"/>
          <w:szCs w:val="21"/>
        </w:rPr>
      </w:pPr>
    </w:p>
    <w:p>
      <w:pPr>
        <w:widowControl w:val="0"/>
        <w:shd w:val="clear" w:color="auto" w:fill="auto"/>
        <w:adjustRightInd/>
        <w:snapToGrid/>
        <w:spacing w:line="240" w:lineRule="auto"/>
        <w:ind w:firstLine="422" w:firstLineChars="200"/>
        <w:rPr>
          <w:kern w:val="2"/>
          <w:szCs w:val="21"/>
        </w:rPr>
      </w:pPr>
      <w:r>
        <w:rPr>
          <w:rFonts w:hint="eastAsia"/>
          <w:b/>
          <w:bCs/>
          <w:kern w:val="2"/>
          <w:szCs w:val="21"/>
        </w:rPr>
        <w:t>（二）采购标的2</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8"/>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adjustRightInd/>
              <w:snapToGrid/>
              <w:spacing w:line="240" w:lineRule="auto"/>
              <w:jc w:val="center"/>
              <w:rPr>
                <w:b/>
                <w:bCs/>
                <w:kern w:val="2"/>
                <w:szCs w:val="21"/>
              </w:rPr>
            </w:pPr>
            <w:r>
              <w:rPr>
                <w:rFonts w:hint="eastAsia"/>
                <w:b/>
                <w:bCs/>
                <w:kern w:val="2"/>
                <w:szCs w:val="21"/>
              </w:rPr>
              <w:t>技术参数要求</w:t>
            </w:r>
          </w:p>
        </w:tc>
        <w:tc>
          <w:tcPr>
            <w:tcW w:w="1202" w:type="dxa"/>
            <w:vAlign w:val="center"/>
          </w:tcPr>
          <w:p>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1.主要技术参数：</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（1）热循环系统：珀耳帖效应系统。</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（2）激发光源：卤钨灯或者LED或发光二极管。</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★（3）通道数：至少具有6 色激发光通道和6 色检测光通道，并且每一孔可同时检测6 种不同的目标基因。</w:t>
            </w:r>
          </w:p>
        </w:tc>
        <w:tc>
          <w:tcPr>
            <w:tcW w:w="1202"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▲（4）检测方式：实时动态检测；同时收集96孔检测信号。</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（5）检测系统：CCD检测器或PDT检测器或PMT检测器或cmos检测器。</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▲（6）兼容支持多种模块，包括标准96孔模块、快速96孔模块、384孔模块。</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（7）定量PCR软件、阴阳性结果自动判定软件、反应板设置软件、可支持Rox荧光校正。</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★（8）温控模块最高升温速率：6.5 ℃/秒、温度精确度：±0.25 ℃，控温范围：4 ℃–99 ℃。</w:t>
            </w:r>
          </w:p>
        </w:tc>
        <w:tc>
          <w:tcPr>
            <w:tcW w:w="1202"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★（9）样品通量≥96个、样品体积10 µL-50 µl。</w:t>
            </w:r>
          </w:p>
        </w:tc>
        <w:tc>
          <w:tcPr>
            <w:tcW w:w="1202"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（10）荧光定量方法：Taqman探针，或Taqman MGB探针或FRET探针或SYBR Green I染料等。</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（11）检测灵敏度：能检测到一个拷贝数的基因。</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（12）支持快速反应模式:30分钟内可完成40个标准PCR循环。</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▲（13）动力学线性范围：≥9个数量级。</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▲（14）仪器分析功能：绝对定量、相对定量、多重定量、熔解曲线分析、高分辨率溶解曲线分析。</w:t>
            </w:r>
          </w:p>
        </w:tc>
        <w:tc>
          <w:tcPr>
            <w:tcW w:w="1202"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（15）通用荧光PCR试剂和耗材。</w:t>
            </w:r>
          </w:p>
        </w:tc>
        <w:tc>
          <w:tcPr>
            <w:tcW w:w="1202"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8"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★2.配置要求：</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（1）主机 （含电源线、≥96孔加热模块，可正常开机，实现基本业务需求） 1台。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（2）专用工作站1台（相当于或优于6核心12线程，单核主频4.4GHz的CPU，8GB内存，1T硬盘, 独立显卡，DVD/CD-RW, 含正版操作系统与仪器软件能兼容，不小于19寸液晶显示器，高速数据处理输入输出系统）或内置工作站1台。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（3）定量PCR软件（含阴阳性结果自动判定软件、反应板设置软件，免费升级）1套；高分辨熔解曲线分析软件1套。</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（4）96孔定量PCR模块 1台。</w:t>
            </w:r>
          </w:p>
          <w:p>
            <w:pPr>
              <w:widowControl w:val="0"/>
              <w:shd w:val="clear" w:color="auto" w:fill="auto"/>
              <w:tabs>
                <w:tab w:val="clear" w:pos="426"/>
              </w:tabs>
              <w:adjustRightInd/>
              <w:snapToGrid/>
              <w:spacing w:line="240" w:lineRule="auto"/>
              <w:ind w:firstLine="422" w:firstLineChars="200"/>
              <w:rPr>
                <w:kern w:val="2"/>
                <w:szCs w:val="21"/>
              </w:rPr>
            </w:pPr>
            <w:r>
              <w:rPr>
                <w:rFonts w:hint="eastAsia"/>
                <w:b/>
                <w:bCs/>
                <w:kern w:val="2"/>
                <w:szCs w:val="21"/>
              </w:rPr>
              <w:t>专业引物探针设计软件、安装试剂包一套。</w:t>
            </w:r>
          </w:p>
        </w:tc>
        <w:tc>
          <w:tcPr>
            <w:tcW w:w="1202"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bl>
    <w:p>
      <w:pPr>
        <w:widowControl w:val="0"/>
        <w:shd w:val="clear" w:color="auto" w:fill="auto"/>
        <w:tabs>
          <w:tab w:val="clear" w:pos="426"/>
        </w:tabs>
        <w:adjustRightInd/>
        <w:snapToGrid/>
        <w:spacing w:line="240" w:lineRule="auto"/>
        <w:ind w:firstLine="420" w:firstLineChars="200"/>
        <w:rPr>
          <w:kern w:val="2"/>
          <w:szCs w:val="21"/>
        </w:rPr>
      </w:pPr>
    </w:p>
    <w:p>
      <w:pPr>
        <w:widowControl w:val="0"/>
        <w:shd w:val="clear" w:color="auto" w:fill="auto"/>
        <w:tabs>
          <w:tab w:val="clear" w:pos="426"/>
        </w:tabs>
        <w:adjustRightInd/>
        <w:snapToGrid/>
        <w:spacing w:line="240" w:lineRule="auto"/>
        <w:ind w:firstLine="422" w:firstLineChars="200"/>
        <w:rPr>
          <w:kern w:val="2"/>
          <w:szCs w:val="21"/>
        </w:rPr>
      </w:pPr>
      <w:r>
        <w:rPr>
          <w:rFonts w:hint="eastAsia"/>
          <w:b/>
          <w:bCs/>
          <w:kern w:val="2"/>
          <w:szCs w:val="21"/>
        </w:rPr>
        <w:t>（三）采购标的3</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6"/>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技术参数要求</w:t>
            </w:r>
          </w:p>
        </w:tc>
        <w:tc>
          <w:tcPr>
            <w:tcW w:w="1184" w:type="dxa"/>
            <w:vAlign w:val="center"/>
          </w:tcPr>
          <w:p>
            <w:pPr>
              <w:widowControl w:val="0"/>
              <w:shd w:val="clear" w:color="auto" w:fill="auto"/>
              <w:tabs>
                <w:tab w:val="clear" w:pos="426"/>
              </w:tabs>
              <w:adjustRightInd/>
              <w:snapToGrid/>
              <w:spacing w:line="240" w:lineRule="auto"/>
              <w:jc w:val="center"/>
              <w:rPr>
                <w:b/>
                <w:bCs/>
                <w:kern w:val="2"/>
                <w:szCs w:val="21"/>
              </w:rPr>
            </w:pPr>
            <w:r>
              <w:rPr>
                <w:rFonts w:hint="eastAsia"/>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1.主要技术参数</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（1）热循环采用珀耳帖效应系统，加热冷却方式为半导体，温控精准度高，使用寿命长。</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（2）温度范围：4–99.9℃。</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▲（3）支持四种半导体控温的加热模块，0.2ml ×96孔、0.1ml ×96孔、384孔和微流体模块。</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▲（4）四种半导体控温加热模块可由用户点击仪器界面按钮，通过电动马达进行更换，操作更简便且确保更换一次到位。更换后无需校准即可使用。</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▲（5） 0.2ml或0.1ml 的96模块均含有6个独立的VeriFlex精确数码温控区域，每个区域可独立设置反应温度；实时反映每个独立区域的精确温度，而非模糊的软件模拟温度。</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（6）相邻温控区温度差异最多可达5℃，最大温度差异为25℃。</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（7）激发光源为高亮度白光半导体光源，工作寿命&gt;5年。</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★（8）检测系统为低温高分辨CMOS一次成像，实时动态检测，动态显示，96孔或384孔均同步成像检测仪器支持的所有荧光染料，无逐个扫描时间差。</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（9）6色发射光通道和6色激发光通道可自由组合，最多可检测21种不同的荧光光谱。</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（10）单管单次反应可同时检测6种不同靶标。</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（11）</w:t>
            </w:r>
            <w:r>
              <w:rPr>
                <w:rFonts w:hint="eastAsia"/>
                <w:kern w:val="2"/>
                <w:szCs w:val="21"/>
              </w:rPr>
              <w:tab/>
            </w:r>
            <w:r>
              <w:rPr>
                <w:rFonts w:hint="eastAsia"/>
                <w:kern w:val="2"/>
                <w:szCs w:val="21"/>
              </w:rPr>
              <w:t>能同时检测并区分VIC荧光和TAMRA荧光，以用于基因拷贝数(CNV)检测。</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▲（12）支持ROX荧光校正去除移液误差和耗材透光度引起的物理误差。</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（13）支持Mustang Purple荧光校正去除移液误差和耗材透光度引起的物理误差。</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（14）</w:t>
            </w:r>
            <w:r>
              <w:rPr>
                <w:rFonts w:hint="eastAsia"/>
                <w:kern w:val="2"/>
                <w:szCs w:val="21"/>
              </w:rPr>
              <w:tab/>
            </w:r>
            <w:r>
              <w:rPr>
                <w:rFonts w:hint="eastAsia"/>
                <w:kern w:val="2"/>
                <w:szCs w:val="21"/>
              </w:rPr>
              <w:t>安装时已校准染料：通道一：FAM, SYBR Green I；通道二：VIC；通道三：NED, ABY, TAMRA；通道四：JUN, ROX；通道五Mustang Purple, Cy5。</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★（15）升降温速率≥6.5℃/秒；</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（16）运行速度快，30分钟内完成40个循环，并能提供现场验证实验支持。</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（17）</w:t>
            </w:r>
            <w:r>
              <w:rPr>
                <w:rFonts w:hint="eastAsia"/>
                <w:kern w:val="2"/>
                <w:szCs w:val="21"/>
              </w:rPr>
              <w:tab/>
            </w:r>
            <w:r>
              <w:rPr>
                <w:rFonts w:hint="eastAsia"/>
                <w:kern w:val="2"/>
                <w:szCs w:val="21"/>
              </w:rPr>
              <w:t>检测灵敏度高，低至单拷贝检测/反应体系。</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（18）检测精密度高，可区分1.5倍拷贝数差异，置信度≥99.7%。</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（19）仪器具有宽广的动态范围，不低于10个对数的线性动态范围。</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（20）支持高分辨率熔解曲线，分辨率最小至 0.015°C。</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（21）样本检测的重复性高，对高浓度和低浓度核酸样本分别进行重复性检测，CV值＜3%。</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（22）触摸屏支持智能远程支持，一键即可远程联系到原厂的技术支持和工程师，第一时间获取售后支持，显著缩短问题解决时间。</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▲（23）内置摄像头，支持人脸识别，无需手动操作即可登录个人账户。</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（24）仪器具有断电保护功能，可支持断电时间在一小时之内的实验正常恢复。</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▲（25）软件自带原厂研发的多组分算法，可去除多色荧光间的相互干扰，保证多重分析结果的准确性，无需颜色补偿。</w:t>
            </w:r>
          </w:p>
        </w:tc>
        <w:tc>
          <w:tcPr>
            <w:tcW w:w="1184" w:type="dxa"/>
            <w:vAlign w:val="center"/>
          </w:tcPr>
          <w:p>
            <w:pPr>
              <w:widowControl w:val="0"/>
              <w:shd w:val="clear" w:color="auto" w:fill="auto"/>
              <w:adjustRightInd/>
              <w:snapToGrid/>
              <w:spacing w:line="240" w:lineRule="auto"/>
              <w:jc w:val="center"/>
              <w:rPr>
                <w:kern w:val="2"/>
                <w:szCs w:val="21"/>
              </w:rPr>
            </w:pPr>
            <w:r>
              <w:rPr>
                <w:rFonts w:hint="eastAsia"/>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2.其他参数：</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（1）内置12英寸电容式触摸屏，可提供一键式的实验方案，同时支持触摸屏设置个性化实验程序并启动实验；支持实时察看实验进程以及最终实验结果查看和分析。</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0" w:firstLineChars="200"/>
              <w:rPr>
                <w:kern w:val="2"/>
                <w:szCs w:val="21"/>
              </w:rPr>
            </w:pPr>
            <w:r>
              <w:rPr>
                <w:rFonts w:hint="eastAsia"/>
                <w:kern w:val="2"/>
                <w:szCs w:val="21"/>
              </w:rPr>
              <w:t>（2）支持PCR主机独立运行，还可同时连接电脑或连接云服务平台，除支持仪器的电脑储存数据外，仪器也支持自身储存数据。</w:t>
            </w:r>
          </w:p>
        </w:tc>
        <w:tc>
          <w:tcPr>
            <w:tcW w:w="1184" w:type="dxa"/>
            <w:vAlign w:val="center"/>
          </w:tcPr>
          <w:p>
            <w:pPr>
              <w:widowControl w:val="0"/>
              <w:shd w:val="clear" w:color="auto" w:fill="auto"/>
              <w:adjustRightInd/>
              <w:snapToGrid/>
              <w:spacing w:line="240"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tcPr>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★3.主要配置：</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（1）实时荧光定量PCR主机一台；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（2）配备0.2mL×96孔和微流体模块各一套；</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（3）工作站一套；</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（4）芯片专用离心机 一台</w:t>
            </w:r>
          </w:p>
          <w:p>
            <w:pPr>
              <w:widowControl w:val="0"/>
              <w:shd w:val="clear" w:color="auto" w:fill="auto"/>
              <w:tabs>
                <w:tab w:val="clear" w:pos="426"/>
              </w:tabs>
              <w:adjustRightInd/>
              <w:snapToGrid/>
              <w:spacing w:line="240" w:lineRule="auto"/>
              <w:ind w:firstLine="422" w:firstLineChars="200"/>
              <w:rPr>
                <w:b/>
                <w:bCs/>
                <w:kern w:val="2"/>
                <w:szCs w:val="21"/>
              </w:rPr>
            </w:pPr>
            <w:r>
              <w:rPr>
                <w:rFonts w:hint="eastAsia"/>
                <w:b/>
                <w:bCs/>
                <w:kern w:val="2"/>
                <w:szCs w:val="21"/>
              </w:rPr>
              <w:t>（5）数据采集和分析软件一套；</w:t>
            </w:r>
          </w:p>
          <w:p>
            <w:pPr>
              <w:widowControl w:val="0"/>
              <w:shd w:val="clear" w:color="auto" w:fill="auto"/>
              <w:tabs>
                <w:tab w:val="clear" w:pos="426"/>
              </w:tabs>
              <w:adjustRightInd/>
              <w:snapToGrid/>
              <w:spacing w:line="240" w:lineRule="auto"/>
              <w:ind w:firstLine="422" w:firstLineChars="200"/>
              <w:rPr>
                <w:kern w:val="2"/>
                <w:szCs w:val="21"/>
              </w:rPr>
            </w:pPr>
            <w:r>
              <w:rPr>
                <w:rFonts w:hint="eastAsia"/>
                <w:b/>
                <w:bCs/>
                <w:kern w:val="2"/>
                <w:szCs w:val="21"/>
              </w:rPr>
              <w:t>（6）安装试剂盒一套。</w:t>
            </w:r>
          </w:p>
        </w:tc>
        <w:tc>
          <w:tcPr>
            <w:tcW w:w="1184" w:type="dxa"/>
            <w:vAlign w:val="center"/>
          </w:tcPr>
          <w:p>
            <w:pPr>
              <w:widowControl w:val="0"/>
              <w:shd w:val="clear" w:color="auto" w:fill="auto"/>
              <w:adjustRightInd/>
              <w:snapToGrid/>
              <w:spacing w:line="240" w:lineRule="auto"/>
              <w:jc w:val="center"/>
              <w:rPr>
                <w:b/>
                <w:bCs/>
                <w:kern w:val="2"/>
                <w:szCs w:val="21"/>
              </w:rPr>
            </w:pPr>
            <w:r>
              <w:rPr>
                <w:rFonts w:hint="eastAsia"/>
                <w:b/>
                <w:bCs/>
                <w:kern w:val="2"/>
                <w:szCs w:val="21"/>
              </w:rPr>
              <w:t>★</w:t>
            </w:r>
          </w:p>
        </w:tc>
      </w:tr>
    </w:tbl>
    <w:p>
      <w:pPr>
        <w:widowControl w:val="0"/>
        <w:shd w:val="clear" w:color="auto" w:fill="auto"/>
        <w:adjustRightInd/>
        <w:snapToGrid/>
        <w:spacing w:line="240" w:lineRule="auto"/>
        <w:ind w:firstLine="420" w:firstLineChars="200"/>
        <w:jc w:val="left"/>
        <w:rPr>
          <w:rFonts w:cs="Times New Roman"/>
          <w:kern w:val="2"/>
          <w:szCs w:val="21"/>
        </w:rPr>
      </w:pPr>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r>
        <w:rPr>
          <w:rFonts w:hint="eastAsia" w:cs="Times New Roman"/>
          <w:b/>
          <w:bCs/>
          <w:kern w:val="2"/>
          <w:szCs w:val="21"/>
        </w:rPr>
        <w:t>包号：02 技术要求</w:t>
      </w:r>
    </w:p>
    <w:p>
      <w:pPr>
        <w:widowControl w:val="0"/>
        <w:shd w:val="clear" w:color="auto" w:fill="auto"/>
        <w:adjustRightInd/>
        <w:snapToGrid/>
        <w:spacing w:line="240" w:lineRule="auto"/>
        <w:ind w:firstLine="422" w:firstLineChars="200"/>
        <w:rPr>
          <w:rFonts w:cs="Times New Roman"/>
          <w:b/>
          <w:bCs/>
          <w:kern w:val="2"/>
          <w:szCs w:val="21"/>
        </w:rPr>
      </w:pPr>
      <w:r>
        <w:rPr>
          <w:rFonts w:hint="eastAsia" w:cs="Times New Roman"/>
          <w:b/>
          <w:bCs/>
          <w:kern w:val="2"/>
          <w:szCs w:val="21"/>
        </w:rPr>
        <w:t>（一）采购标的4</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3"/>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adjustRightInd/>
              <w:snapToGrid/>
              <w:spacing w:line="240" w:lineRule="auto"/>
              <w:jc w:val="center"/>
              <w:rPr>
                <w:rFonts w:cs="Times New Roman"/>
                <w:b/>
                <w:bCs/>
                <w:kern w:val="2"/>
                <w:szCs w:val="21"/>
              </w:rPr>
            </w:pPr>
            <w:r>
              <w:rPr>
                <w:rFonts w:hint="eastAsia" w:cs="Times New Roman"/>
                <w:b/>
                <w:bCs/>
                <w:kern w:val="2"/>
                <w:szCs w:val="21"/>
              </w:rPr>
              <w:t>技术参数要求</w:t>
            </w:r>
          </w:p>
        </w:tc>
        <w:tc>
          <w:tcPr>
            <w:tcW w:w="1157" w:type="dxa"/>
            <w:vAlign w:val="center"/>
          </w:tcPr>
          <w:p>
            <w:pPr>
              <w:widowControl w:val="0"/>
              <w:shd w:val="clear" w:color="auto" w:fill="auto"/>
              <w:tabs>
                <w:tab w:val="clear" w:pos="426"/>
              </w:tabs>
              <w:adjustRightInd/>
              <w:snapToGrid/>
              <w:spacing w:line="240" w:lineRule="auto"/>
              <w:jc w:val="center"/>
              <w:rPr>
                <w:rFonts w:cs="Times New Roman"/>
                <w:b/>
                <w:bCs/>
                <w:kern w:val="2"/>
                <w:szCs w:val="21"/>
              </w:rPr>
            </w:pPr>
            <w:r>
              <w:rPr>
                <w:rFonts w:hint="eastAsia" w:cs="Times New Roman"/>
                <w:b/>
                <w:bCs/>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1.技术参数</w:t>
            </w:r>
          </w:p>
        </w:tc>
        <w:tc>
          <w:tcPr>
            <w:tcW w:w="1157" w:type="dxa"/>
            <w:vAlign w:val="center"/>
          </w:tcPr>
          <w:p>
            <w:pPr>
              <w:widowControl w:val="0"/>
              <w:shd w:val="clear" w:color="auto" w:fill="auto"/>
              <w:adjustRightInd/>
              <w:snapToGrid/>
              <w:spacing w:line="240" w:lineRule="auto"/>
              <w:jc w:val="center"/>
              <w:rPr>
                <w:rFonts w:cs="Times New Roman"/>
                <w:b/>
                <w:bCs/>
                <w:kern w:val="2"/>
                <w:szCs w:val="21"/>
              </w:rPr>
            </w:pPr>
            <w:r>
              <w:rPr>
                <w:rFonts w:hint="eastAsia" w:cs="Times New Roman"/>
                <w:b/>
                <w:bCs/>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▲（1）能将1-96个样品的反应体系分为≥20000个纳升级的油包水微滴，可合并为≥100000个纳升级的油包水微滴，单个反应体系≥20µl，适用于Taqman探针与染料法。</w:t>
            </w:r>
          </w:p>
        </w:tc>
        <w:tc>
          <w:tcPr>
            <w:tcW w:w="1157" w:type="dxa"/>
            <w:vAlign w:val="center"/>
          </w:tcPr>
          <w:p>
            <w:pPr>
              <w:widowControl w:val="0"/>
              <w:shd w:val="clear" w:color="auto" w:fill="auto"/>
              <w:adjustRightInd/>
              <w:snapToGrid/>
              <w:spacing w:line="240" w:lineRule="auto"/>
              <w:jc w:val="center"/>
              <w:rPr>
                <w:rFonts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★（2）全自动微滴生成速度：96个样品≤45分钟，能够以1个样品为单位进行递增，一次可以可同时制备≥96个数字PCR样品，一键全自动操作，全程无需人工干预。</w:t>
            </w:r>
          </w:p>
        </w:tc>
        <w:tc>
          <w:tcPr>
            <w:tcW w:w="1157" w:type="dxa"/>
            <w:vAlign w:val="center"/>
          </w:tcPr>
          <w:p>
            <w:pPr>
              <w:widowControl w:val="0"/>
              <w:shd w:val="clear" w:color="auto" w:fill="auto"/>
              <w:adjustRightInd/>
              <w:snapToGrid/>
              <w:spacing w:line="240" w:lineRule="auto"/>
              <w:jc w:val="center"/>
              <w:rPr>
                <w:rFonts w:cs="Times New Roman"/>
                <w:b/>
                <w:bCs/>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（3）全自动微滴生成仪彩色触摸屏一键操作，全自动移液功能，全自动无须人工参与，运行过程中可显示程序运行剩余时间和工作状态。</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（4）每个微滴的体积：体积≥0.8nL，直径≥120um。</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（5）样本体积：≥20 μl。</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（6）采用真空负压动力产生微滴，无需外接气体罐或空气压缩机, 方便实验室布置和维护管理，带有HEPA过滤网，降低污染的可能性，保证实验操作人员安全。</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★（7）微滴扩增方式：升降温速度≥4度每秒，有温度梯度功能，同时筛选≥8个不同退火温度，加快检测体系的优化和建立。</w:t>
            </w:r>
          </w:p>
        </w:tc>
        <w:tc>
          <w:tcPr>
            <w:tcW w:w="1157" w:type="dxa"/>
            <w:vAlign w:val="center"/>
          </w:tcPr>
          <w:p>
            <w:pPr>
              <w:widowControl w:val="0"/>
              <w:shd w:val="clear" w:color="auto" w:fill="auto"/>
              <w:adjustRightInd/>
              <w:snapToGrid/>
              <w:spacing w:line="240" w:lineRule="auto"/>
              <w:jc w:val="center"/>
              <w:rPr>
                <w:rFonts w:cs="Times New Roman"/>
                <w:b/>
                <w:bCs/>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▲（8）微滴检测方式为流式微滴分析技术，可一次检测1-96个样品（1-100000微滴），微滴分析一次检测1-96个样品以全自动方式运行，中间过程无需人工干预。</w:t>
            </w:r>
          </w:p>
        </w:tc>
        <w:tc>
          <w:tcPr>
            <w:tcW w:w="1157" w:type="dxa"/>
            <w:vAlign w:val="center"/>
          </w:tcPr>
          <w:p>
            <w:pPr>
              <w:widowControl w:val="0"/>
              <w:shd w:val="clear" w:color="auto" w:fill="auto"/>
              <w:adjustRightInd/>
              <w:snapToGrid/>
              <w:spacing w:line="240" w:lineRule="auto"/>
              <w:jc w:val="center"/>
              <w:rPr>
                <w:rFonts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（9）微滴检测过程无需加入额外的荧光素识别微滴（如ROX），且具有后台实时微滴质控机制，自动记录并剔除质量不合格的微滴，保证检测结果的可靠性。</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▲（10）微滴分析仪可同时激发/检测每个微滴的≥6种颜色荧光信号，FAM, HEX, CY5, CY5.5, ROX, ATTO590等。</w:t>
            </w:r>
          </w:p>
        </w:tc>
        <w:tc>
          <w:tcPr>
            <w:tcW w:w="1157" w:type="dxa"/>
            <w:vAlign w:val="center"/>
          </w:tcPr>
          <w:p>
            <w:pPr>
              <w:widowControl w:val="0"/>
              <w:shd w:val="clear" w:color="auto" w:fill="auto"/>
              <w:adjustRightInd/>
              <w:snapToGrid/>
              <w:spacing w:line="240" w:lineRule="auto"/>
              <w:jc w:val="center"/>
              <w:rPr>
                <w:rFonts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（11）激发激光：LED光源。</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★（12）可实现多重荧光（≥6）同时检测：既适用于染料法，又适用于探针法，无需包含ROX在内的染料校正，具有高阶多重检测功能，配备专门的分析软件，可实现单孔检测分析≥12个靶基因。</w:t>
            </w:r>
          </w:p>
        </w:tc>
        <w:tc>
          <w:tcPr>
            <w:tcW w:w="1157" w:type="dxa"/>
            <w:vAlign w:val="center"/>
          </w:tcPr>
          <w:p>
            <w:pPr>
              <w:widowControl w:val="0"/>
              <w:shd w:val="clear" w:color="auto" w:fill="auto"/>
              <w:adjustRightInd/>
              <w:snapToGrid/>
              <w:spacing w:line="240" w:lineRule="auto"/>
              <w:jc w:val="center"/>
              <w:rPr>
                <w:rFonts w:cs="Times New Roman"/>
                <w:b/>
                <w:bCs/>
                <w:kern w:val="2"/>
                <w:szCs w:val="21"/>
              </w:rPr>
            </w:pPr>
            <w:r>
              <w:rPr>
                <w:rFonts w:hint="eastAsia" w:cs="Times New Roman"/>
                <w:b/>
                <w:bCs/>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（13）检测器：硅光子计数器(MPPC),具有比冷CCD/COMS或者光电倍增管(PMT)更强的单光子分辨能力，达到当前该领域最好的光子数分辨能力。</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（14）检测精度：&lt;1.5%CV。</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（15）样品检测速度：≥1000个微滴/秒，全自动进行。</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（16）检测时间：96孔读板微滴读数时间≤2.5小时，全自动进行。</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▲（17）微滴检测耗材类型：普通96孔PCR板，可以同时扩增1-96个数字PCR样品。</w:t>
            </w:r>
          </w:p>
        </w:tc>
        <w:tc>
          <w:tcPr>
            <w:tcW w:w="1157" w:type="dxa"/>
            <w:vAlign w:val="center"/>
          </w:tcPr>
          <w:p>
            <w:pPr>
              <w:widowControl w:val="0"/>
              <w:shd w:val="clear" w:color="auto" w:fill="auto"/>
              <w:adjustRightInd/>
              <w:snapToGrid/>
              <w:spacing w:line="240" w:lineRule="auto"/>
              <w:jc w:val="center"/>
              <w:rPr>
                <w:rFonts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（18）动态范围：≥5个数量级，1~100,0000拷贝数。</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（19）一个样本/单次实验最大检测微滴总数：≥150万。</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（20）支持回收微滴内PCR产物功能， 并用于下游分析和其它应用（如NGS文库制备等），并提供相应的回收方案。</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▲（21）多重检测分析软件：具有高阶多重检测功能，可实现单孔检测≥12个不同靶基因，即同时检测12重反应。</w:t>
            </w:r>
          </w:p>
        </w:tc>
        <w:tc>
          <w:tcPr>
            <w:tcW w:w="1157" w:type="dxa"/>
            <w:vAlign w:val="center"/>
          </w:tcPr>
          <w:p>
            <w:pPr>
              <w:widowControl w:val="0"/>
              <w:shd w:val="clear" w:color="auto" w:fill="auto"/>
              <w:adjustRightInd/>
              <w:snapToGrid/>
              <w:spacing w:line="240" w:lineRule="auto"/>
              <w:jc w:val="center"/>
              <w:rPr>
                <w:rFonts w:cs="Times New Roman"/>
                <w:kern w:val="2"/>
                <w:szCs w:val="21"/>
              </w:rPr>
            </w:pPr>
            <w:r>
              <w:rPr>
                <w:rFonts w:hint="eastAsia" w:cs="Times New Roman"/>
                <w:kern w:val="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2.其他参数</w:t>
            </w:r>
          </w:p>
        </w:tc>
        <w:tc>
          <w:tcPr>
            <w:tcW w:w="1157" w:type="dxa"/>
            <w:vAlign w:val="center"/>
          </w:tcPr>
          <w:p>
            <w:pPr>
              <w:widowControl w:val="0"/>
              <w:shd w:val="clear" w:color="auto" w:fill="auto"/>
              <w:adjustRightInd/>
              <w:snapToGrid/>
              <w:spacing w:line="240" w:lineRule="auto"/>
              <w:jc w:val="center"/>
              <w:rPr>
                <w:rFonts w:cs="Times New Roman"/>
                <w:kern w:val="2"/>
                <w:szCs w:val="21"/>
              </w:rPr>
            </w:pPr>
            <w:r>
              <w:rPr>
                <w:rFonts w:hint="eastAsia" w:cs="Times New Roman"/>
                <w:kern w:val="2"/>
                <w:szCs w:val="21"/>
              </w:rPr>
              <w:t>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（1）通量足够，样品设置灵活，能够以1个样品为单位进行递增，单次全自动检测最大可达96个数字PCR样品，96个孔读板时间≤2.5小时，全程无需人工干预。</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（2）同一块微滴检测板上可以同时设置样品的多个平行检测，也可以设置多个阴阳性对照，无需人工干预（样本和阴阳性对照能够在同一块板上实现检测）。</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（3）可提供原厂配套数字PCR技术基因突变位点的检测试剂盒＞400种，可提供原厂的哺乳动物细胞和细菌细胞直接包裹分析的产品和应用。</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（4）可直接包裹哺乳动物细胞/细菌细胞以测量细胞数量和细胞完整性，可提供同品牌超混液，保证实验结果准确性。</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5）拥有原厂开发的Kits或Assay，包括：突变检测（癌症相关，大于3000个）、拷贝数变异分析（癌症、神经系统疾病相关，大于1000个）、基因表达分析（人类和小鼠相关，大于4000个）、融合基因、微卫星不稳定性、病毒滴度、NGS文库质控、传染病病原检测等。</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（6）可直接检测DNA/cDNA/RNA样品（一步法RT-ddPCR反应），</w:t>
            </w:r>
            <w:r>
              <w:rPr>
                <w:rFonts w:hint="eastAsia" w:cs="Times New Roman"/>
                <w:b/>
                <w:bCs/>
                <w:color w:val="FF0000"/>
                <w:kern w:val="2"/>
                <w:szCs w:val="21"/>
              </w:rPr>
              <w:t>投标时提供≥3篇发表的文献证明支持直接检测RNA样本。</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（7）基因组DNA、细菌DNA、融合DNA等实验样品无需片段化前处理。</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（8）软件功能</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1）拥有免费安装的客户端软件能进行机器的操控和数据的软件。软件能显示每个微滴中的 FAM, HEX, CY5, CY5.5, ROX, ATTO590 的荧光信号强度，计算给出每个样品中含有靶分子的起始拷贝数或浓度(copies/ul)、拷贝数变异CNV、稀有突变百分比分度和连锁分析功能，且结果可直接打印输出或导入Excel表格。</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2）可对多个样品（技术重复）的平均值和总误差进行统计分析，软件可合并一次运行中的多个孔的微滴进行数据分析，既能给出泊松误差，又能显示随机误差。</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3）阈值线可自动也可手动，每个样本可单独设定阈值线；具有一维图、二维图、3D图、直方图。</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4）自动识别复杂微滴分簇并支持高阶重检测以及 drop-off 检测功能；</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5）通过每个样品中阴性微滴的比例和泊松分布原理计算靶标核酸的绝对拷贝数。</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6）数据可输出为.csv 文件（用于微软 Excel 或其他类似应用程序），图形和表格能直接复制粘贴至外部应用程序。</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7）可提供具有审计追踪功能且符合21CFR Part11的合规版操作分析软件。</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2" w:firstLineChars="200"/>
              <w:rPr>
                <w:rFonts w:cs="Times New Roman"/>
                <w:kern w:val="2"/>
                <w:szCs w:val="21"/>
              </w:rPr>
            </w:pPr>
            <w:r>
              <w:rPr>
                <w:rFonts w:hint="eastAsia" w:cs="Times New Roman"/>
                <w:b/>
                <w:bCs/>
                <w:color w:val="FF0000"/>
                <w:kern w:val="2"/>
                <w:szCs w:val="21"/>
              </w:rPr>
              <w:t>(</w:t>
            </w:r>
            <w:r>
              <w:rPr>
                <w:rFonts w:cs="Times New Roman"/>
                <w:b/>
                <w:bCs/>
                <w:color w:val="FF0000"/>
                <w:kern w:val="2"/>
                <w:szCs w:val="21"/>
              </w:rPr>
              <w:t>9</w:t>
            </w:r>
            <w:r>
              <w:rPr>
                <w:rFonts w:hint="eastAsia" w:cs="Times New Roman"/>
                <w:b/>
                <w:bCs/>
                <w:color w:val="FF0000"/>
                <w:kern w:val="2"/>
                <w:szCs w:val="21"/>
              </w:rPr>
              <w:t>)系统可用性证明：提供利用该平台已发表的文献大于</w:t>
            </w:r>
            <w:r>
              <w:rPr>
                <w:rFonts w:cs="Times New Roman"/>
                <w:b/>
                <w:bCs/>
                <w:color w:val="FF0000"/>
                <w:kern w:val="2"/>
                <w:szCs w:val="21"/>
              </w:rPr>
              <w:t>1</w:t>
            </w:r>
            <w:r>
              <w:rPr>
                <w:rFonts w:hint="eastAsia" w:cs="Times New Roman"/>
                <w:b/>
                <w:bCs/>
                <w:color w:val="FF0000"/>
                <w:kern w:val="2"/>
                <w:szCs w:val="21"/>
              </w:rPr>
              <w:t>000篇（提供平台查询截图）。</w:t>
            </w:r>
          </w:p>
        </w:tc>
        <w:tc>
          <w:tcPr>
            <w:tcW w:w="1157" w:type="dxa"/>
            <w:vAlign w:val="center"/>
          </w:tcPr>
          <w:p>
            <w:pPr>
              <w:widowControl w:val="0"/>
              <w:shd w:val="clear" w:color="auto" w:fill="auto"/>
              <w:adjustRightInd/>
              <w:snapToGrid/>
              <w:spacing w:line="240" w:lineRule="auto"/>
              <w:jc w:val="center"/>
              <w:rPr>
                <w:rFonts w:cs="Times New Roman"/>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3" w:type="dxa"/>
          </w:tcPr>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★3.配置要求</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（1）全自动微滴生成仪：1台；</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（2）全自动微滴检测分析仪：1台；</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（3）配有全套原装500次实验的试剂和耗材；</w:t>
            </w:r>
          </w:p>
          <w:p>
            <w:pPr>
              <w:widowControl w:val="0"/>
              <w:shd w:val="clear" w:color="auto" w:fill="auto"/>
              <w:tabs>
                <w:tab w:val="clear" w:pos="426"/>
              </w:tabs>
              <w:adjustRightInd/>
              <w:snapToGrid/>
              <w:spacing w:line="240" w:lineRule="auto"/>
              <w:ind w:firstLine="422" w:firstLineChars="200"/>
              <w:rPr>
                <w:rFonts w:cs="Times New Roman"/>
                <w:kern w:val="2"/>
                <w:szCs w:val="21"/>
              </w:rPr>
            </w:pPr>
            <w:r>
              <w:rPr>
                <w:rFonts w:hint="eastAsia" w:cs="Times New Roman"/>
                <w:b/>
                <w:bCs/>
                <w:kern w:val="2"/>
                <w:szCs w:val="21"/>
              </w:rPr>
              <w:t>（4）数据处理工作站：工作站 1台和软件1套。</w:t>
            </w:r>
          </w:p>
        </w:tc>
        <w:tc>
          <w:tcPr>
            <w:tcW w:w="1157" w:type="dxa"/>
            <w:vAlign w:val="center"/>
          </w:tcPr>
          <w:p>
            <w:pPr>
              <w:widowControl w:val="0"/>
              <w:shd w:val="clear" w:color="auto" w:fill="auto"/>
              <w:adjustRightInd/>
              <w:snapToGrid/>
              <w:spacing w:line="240" w:lineRule="auto"/>
              <w:jc w:val="center"/>
              <w:rPr>
                <w:rFonts w:cs="Times New Roman"/>
                <w:b/>
                <w:bCs/>
                <w:kern w:val="2"/>
                <w:szCs w:val="21"/>
              </w:rPr>
            </w:pPr>
            <w:r>
              <w:rPr>
                <w:rFonts w:hint="eastAsia" w:cs="Times New Roman"/>
                <w:b/>
                <w:bCs/>
                <w:kern w:val="2"/>
                <w:szCs w:val="21"/>
              </w:rPr>
              <w:t>★</w:t>
            </w:r>
          </w:p>
        </w:tc>
      </w:tr>
    </w:tbl>
    <w:p>
      <w:pPr>
        <w:widowControl w:val="0"/>
        <w:shd w:val="clear" w:color="auto" w:fill="auto"/>
        <w:tabs>
          <w:tab w:val="clear" w:pos="426"/>
        </w:tabs>
        <w:adjustRightInd/>
        <w:snapToGrid/>
        <w:spacing w:line="240" w:lineRule="auto"/>
        <w:ind w:firstLine="422" w:firstLineChars="200"/>
        <w:rPr>
          <w:rFonts w:cs="Times New Roman"/>
          <w:b/>
          <w:bCs/>
          <w:kern w:val="2"/>
          <w:szCs w:val="21"/>
        </w:rPr>
      </w:pP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1</w:t>
      </w:r>
      <w:r>
        <w:rPr>
          <w:rFonts w:hint="eastAsia" w:cs="Times New Roman"/>
          <w:b/>
          <w:bCs/>
          <w:kern w:val="2"/>
          <w:szCs w:val="21"/>
        </w:rPr>
        <w:t>.</w:t>
      </w:r>
      <w:r>
        <w:rPr>
          <w:rFonts w:cs="Times New Roman"/>
          <w:b/>
          <w:bCs/>
          <w:kern w:val="2"/>
          <w:szCs w:val="21"/>
        </w:rPr>
        <w:t xml:space="preserve">带“★”指标项为实质性条款，如出现负偏离，将被视为未实质性满足招标文件要求作投标无效处理。带“▲”指标项为重要参数，负偏离时依相关评分准则内容作重点扣分处理。 </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2</w:t>
      </w:r>
      <w:r>
        <w:rPr>
          <w:rFonts w:hint="eastAsia" w:cs="Times New Roman"/>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字体标注的技术条款为要求提供证明资料的条款，其余为未要求提供证明资料的条款，无需提供相关证明资料。</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3.备注为“标题”的技术参数要求内容不参与评分。</w:t>
      </w:r>
      <w:bookmarkStart w:id="197" w:name="_GoBack"/>
      <w:bookmarkEnd w:id="197"/>
    </w:p>
    <w:p>
      <w:pPr>
        <w:numPr>
          <w:ilvl w:val="0"/>
          <w:numId w:val="2"/>
        </w:numPr>
        <w:adjustRightInd/>
        <w:snapToGrid/>
        <w:spacing w:before="280" w:after="290" w:line="377" w:lineRule="auto"/>
        <w:jc w:val="left"/>
        <w:outlineLvl w:val="2"/>
        <w:rPr>
          <w:b/>
          <w:sz w:val="24"/>
        </w:rPr>
      </w:pPr>
      <w:bookmarkStart w:id="48" w:name="_Toc8996"/>
      <w:bookmarkStart w:id="49" w:name="_Toc150960247"/>
      <w:bookmarkStart w:id="50" w:name="_Toc151386157"/>
      <w:r>
        <w:rPr>
          <w:rFonts w:hint="eastAsia"/>
          <w:b/>
          <w:sz w:val="24"/>
        </w:rPr>
        <w:t>商务要求</w:t>
      </w:r>
      <w:bookmarkEnd w:id="48"/>
      <w:bookmarkEnd w:id="49"/>
      <w:bookmarkEnd w:id="50"/>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r>
        <w:rPr>
          <w:rFonts w:hint="eastAsia" w:cs="Times New Roman"/>
          <w:b/>
          <w:bCs/>
          <w:kern w:val="2"/>
          <w:szCs w:val="21"/>
        </w:rPr>
        <w:t>01包 采购标的1、采购标的2商务要求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中标人提交单据：合同(正文部分复印件）、中标通知书（或成交通知书复印件）、发票（原件）、设备到签收单（复印件）。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供货期限：中标</w:t>
      </w:r>
      <w:r>
        <w:rPr>
          <w:rFonts w:hint="eastAsia" w:cs="Times New Roman"/>
          <w:b/>
          <w:bCs/>
          <w:kern w:val="2"/>
          <w:szCs w:val="21"/>
        </w:rPr>
        <w:t>人</w:t>
      </w:r>
      <w:r>
        <w:rPr>
          <w:rFonts w:hint="eastAsia" w:cs="Times New Roman"/>
          <w:b/>
          <w:bCs/>
          <w:kern w:val="2"/>
          <w:szCs w:val="21"/>
          <w:lang w:eastAsia="zh-TW"/>
        </w:rPr>
        <w:t>应在合同签订之日起30个日历日内交付货物并完成安装调试。</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质保期：产品安装调试经</w:t>
      </w:r>
      <w:r>
        <w:rPr>
          <w:rFonts w:hint="eastAsia" w:cs="Times New Roman"/>
          <w:b/>
          <w:bCs/>
          <w:kern w:val="2"/>
          <w:szCs w:val="21"/>
        </w:rPr>
        <w:t>采购人（</w:t>
      </w:r>
      <w:r>
        <w:rPr>
          <w:rFonts w:hint="eastAsia" w:cs="Times New Roman"/>
          <w:b/>
          <w:bCs/>
          <w:kern w:val="2"/>
          <w:szCs w:val="21"/>
          <w:lang w:eastAsia="zh-TW"/>
        </w:rPr>
        <w:t>用户</w:t>
      </w:r>
      <w:r>
        <w:rPr>
          <w:rFonts w:hint="eastAsia" w:cs="Times New Roman"/>
          <w:b/>
          <w:bCs/>
          <w:kern w:val="2"/>
          <w:szCs w:val="21"/>
        </w:rPr>
        <w:t>）</w:t>
      </w:r>
      <w:r>
        <w:rPr>
          <w:rFonts w:hint="eastAsia" w:cs="Times New Roman"/>
          <w:b/>
          <w:bCs/>
          <w:kern w:val="2"/>
          <w:szCs w:val="21"/>
          <w:lang w:eastAsia="zh-TW"/>
        </w:rPr>
        <w:t>验收合格当天起，</w:t>
      </w:r>
      <w:r>
        <w:rPr>
          <w:rFonts w:hint="eastAsia" w:cs="Times New Roman"/>
          <w:b/>
          <w:bCs/>
          <w:kern w:val="2"/>
          <w:szCs w:val="21"/>
        </w:rPr>
        <w:t>全机</w:t>
      </w:r>
      <w:r>
        <w:rPr>
          <w:rFonts w:hint="eastAsia" w:cs="Times New Roman"/>
          <w:b/>
          <w:bCs/>
          <w:kern w:val="2"/>
          <w:szCs w:val="21"/>
          <w:lang w:eastAsia="zh-TW"/>
        </w:rPr>
        <w:t>质保期1年。</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rPr>
        <w:t>4．</w:t>
      </w:r>
      <w:r>
        <w:rPr>
          <w:rFonts w:hint="eastAsia" w:cs="Times New Roman"/>
          <w:b/>
          <w:bCs/>
          <w:kern w:val="2"/>
          <w:szCs w:val="21"/>
          <w:lang w:eastAsia="zh-TW"/>
        </w:rPr>
        <w:t>售后服务要求</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（1）中标</w:t>
      </w:r>
      <w:r>
        <w:rPr>
          <w:rFonts w:hint="eastAsia" w:cs="Times New Roman"/>
          <w:kern w:val="2"/>
          <w:szCs w:val="21"/>
        </w:rPr>
        <w:t>人</w:t>
      </w:r>
      <w:r>
        <w:rPr>
          <w:rFonts w:hint="eastAsia" w:cs="Times New Roman"/>
          <w:kern w:val="2"/>
          <w:szCs w:val="21"/>
          <w:lang w:eastAsia="zh-TW"/>
        </w:rPr>
        <w:t>应提供原产商质量保证和售后服务承诺书。在质量保证期内设备发生故障，中标</w:t>
      </w:r>
      <w:r>
        <w:rPr>
          <w:rFonts w:hint="eastAsia" w:cs="Times New Roman"/>
          <w:kern w:val="2"/>
          <w:szCs w:val="21"/>
        </w:rPr>
        <w:t>人</w:t>
      </w:r>
      <w:r>
        <w:rPr>
          <w:rFonts w:hint="eastAsia" w:cs="Times New Roman"/>
          <w:kern w:val="2"/>
          <w:szCs w:val="21"/>
          <w:lang w:eastAsia="zh-TW"/>
        </w:rPr>
        <w:t>应提供原厂商售后维修和更换零件服务（不额外收费）。质保期后，中标</w:t>
      </w:r>
      <w:r>
        <w:rPr>
          <w:rFonts w:hint="eastAsia" w:cs="Times New Roman"/>
          <w:kern w:val="2"/>
          <w:szCs w:val="21"/>
        </w:rPr>
        <w:t>人</w:t>
      </w:r>
      <w:r>
        <w:rPr>
          <w:rFonts w:hint="eastAsia" w:cs="Times New Roman"/>
          <w:kern w:val="2"/>
          <w:szCs w:val="21"/>
          <w:lang w:eastAsia="zh-TW"/>
        </w:rPr>
        <w:t>提供设备终身技术支持，包括故障排除和零配件的供应、仪器软件升级和培训（不额外收费）；设备出现故障需更换配件时，只收取零配件费用，免收其它费用。合同签订后，在1周内中标</w:t>
      </w:r>
      <w:r>
        <w:rPr>
          <w:rFonts w:hint="eastAsia" w:cs="Times New Roman"/>
          <w:kern w:val="2"/>
          <w:szCs w:val="21"/>
        </w:rPr>
        <w:t>人</w:t>
      </w:r>
      <w:r>
        <w:rPr>
          <w:rFonts w:hint="eastAsia" w:cs="Times New Roman"/>
          <w:kern w:val="2"/>
          <w:szCs w:val="21"/>
          <w:lang w:eastAsia="zh-TW"/>
        </w:rPr>
        <w:t>将仪器操作间的装修要求和水、电、气要求通知</w:t>
      </w:r>
      <w:r>
        <w:rPr>
          <w:rFonts w:hint="eastAsia" w:cs="Times New Roman"/>
          <w:kern w:val="2"/>
          <w:szCs w:val="21"/>
        </w:rPr>
        <w:t>采购人</w:t>
      </w:r>
      <w:r>
        <w:rPr>
          <w:rFonts w:hint="eastAsia" w:cs="Times New Roman"/>
          <w:kern w:val="2"/>
          <w:szCs w:val="21"/>
          <w:lang w:eastAsia="zh-TW"/>
        </w:rPr>
        <w:t>；</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（2）中标</w:t>
      </w:r>
      <w:r>
        <w:rPr>
          <w:rFonts w:hint="eastAsia" w:cs="Times New Roman"/>
          <w:kern w:val="2"/>
          <w:szCs w:val="21"/>
        </w:rPr>
        <w:t>人</w:t>
      </w:r>
      <w:r>
        <w:rPr>
          <w:rFonts w:hint="eastAsia" w:cs="Times New Roman"/>
          <w:kern w:val="2"/>
          <w:szCs w:val="21"/>
          <w:lang w:eastAsia="zh-TW"/>
        </w:rPr>
        <w:t>负责将设备运至</w:t>
      </w:r>
      <w:r>
        <w:rPr>
          <w:rFonts w:hint="eastAsia" w:cs="Times New Roman"/>
          <w:kern w:val="2"/>
          <w:szCs w:val="21"/>
        </w:rPr>
        <w:t>采购人</w:t>
      </w:r>
      <w:r>
        <w:rPr>
          <w:rFonts w:hint="eastAsia" w:cs="Times New Roman"/>
          <w:kern w:val="2"/>
          <w:szCs w:val="21"/>
          <w:lang w:eastAsia="zh-TW"/>
        </w:rPr>
        <w:t>指定的地点，负责安装，现场培训及技术应用培训（不额外收费）。中标价应包含产品的制造、材料费（主材及辅材）、运输、安装、验收、保修、税收、所有手续费等直至验收合格交付</w:t>
      </w:r>
      <w:r>
        <w:rPr>
          <w:rFonts w:hint="eastAsia" w:cs="Times New Roman"/>
          <w:kern w:val="2"/>
          <w:szCs w:val="21"/>
        </w:rPr>
        <w:t>采购人</w:t>
      </w:r>
      <w:r>
        <w:rPr>
          <w:rFonts w:hint="eastAsia" w:cs="Times New Roman"/>
          <w:kern w:val="2"/>
          <w:szCs w:val="21"/>
          <w:lang w:eastAsia="zh-TW"/>
        </w:rPr>
        <w:t>使用的所有相关费用。中标价格在中标后的合同实施期间应保持不变，即不因市场价格或政策性价格的调整而增减（若因中标人责任而导致的需方依据合同条款对中标人的扣款处罚除外）。</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（3）货到后，中标</w:t>
      </w:r>
      <w:r>
        <w:rPr>
          <w:rFonts w:hint="eastAsia" w:cs="Times New Roman"/>
          <w:kern w:val="2"/>
          <w:szCs w:val="21"/>
        </w:rPr>
        <w:t>人</w:t>
      </w:r>
      <w:r>
        <w:rPr>
          <w:rFonts w:hint="eastAsia" w:cs="Times New Roman"/>
          <w:kern w:val="2"/>
          <w:szCs w:val="21"/>
          <w:lang w:eastAsia="zh-TW"/>
        </w:rPr>
        <w:t>负责派技术人员到现场进行安装、调试，直至验收合格，</w:t>
      </w:r>
      <w:r>
        <w:rPr>
          <w:rFonts w:hint="eastAsia" w:cs="Times New Roman"/>
          <w:kern w:val="2"/>
          <w:szCs w:val="21"/>
        </w:rPr>
        <w:t>技术参数中</w:t>
      </w:r>
      <w:r>
        <w:rPr>
          <w:rFonts w:hint="eastAsia" w:cs="Times New Roman"/>
          <w:kern w:val="2"/>
          <w:szCs w:val="21"/>
          <w:lang w:eastAsia="zh-TW"/>
        </w:rPr>
        <w:t>带“★”的</w:t>
      </w:r>
      <w:r>
        <w:rPr>
          <w:rFonts w:hint="eastAsia" w:cs="Times New Roman"/>
          <w:kern w:val="2"/>
          <w:szCs w:val="21"/>
        </w:rPr>
        <w:t>内容</w:t>
      </w:r>
      <w:r>
        <w:rPr>
          <w:rFonts w:hint="eastAsia" w:cs="Times New Roman"/>
          <w:kern w:val="2"/>
          <w:szCs w:val="21"/>
          <w:lang w:eastAsia="zh-TW"/>
        </w:rPr>
        <w:t>必须符合其性能。</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（4）验收：a. 如需要，中标供</w:t>
      </w:r>
      <w:r>
        <w:rPr>
          <w:rFonts w:hint="eastAsia" w:cs="Times New Roman"/>
          <w:kern w:val="2"/>
          <w:szCs w:val="21"/>
        </w:rPr>
        <w:t>人</w:t>
      </w:r>
      <w:r>
        <w:rPr>
          <w:rFonts w:hint="eastAsia" w:cs="Times New Roman"/>
          <w:kern w:val="2"/>
          <w:szCs w:val="21"/>
          <w:lang w:eastAsia="zh-TW"/>
        </w:rPr>
        <w:t>须提供产品的原厂技术文件以及验收要求的校准文件或计量证书。属于中华人民共和国强制检定计量器具，中标</w:t>
      </w:r>
      <w:r>
        <w:rPr>
          <w:rFonts w:hint="eastAsia" w:cs="Times New Roman"/>
          <w:kern w:val="2"/>
          <w:szCs w:val="21"/>
        </w:rPr>
        <w:t>人</w:t>
      </w:r>
      <w:r>
        <w:rPr>
          <w:rFonts w:hint="eastAsia" w:cs="Times New Roman"/>
          <w:kern w:val="2"/>
          <w:szCs w:val="21"/>
          <w:lang w:eastAsia="zh-TW"/>
        </w:rPr>
        <w:t>须负责提供法定计量证书。所需费用由中标</w:t>
      </w:r>
      <w:r>
        <w:rPr>
          <w:rFonts w:hint="eastAsia" w:cs="Times New Roman"/>
          <w:kern w:val="2"/>
          <w:szCs w:val="21"/>
        </w:rPr>
        <w:t>人</w:t>
      </w:r>
      <w:r>
        <w:rPr>
          <w:rFonts w:hint="eastAsia" w:cs="Times New Roman"/>
          <w:kern w:val="2"/>
          <w:szCs w:val="21"/>
          <w:lang w:eastAsia="zh-TW"/>
        </w:rPr>
        <w:t>承担。b. 中标供</w:t>
      </w:r>
      <w:r>
        <w:rPr>
          <w:rFonts w:hint="eastAsia" w:cs="Times New Roman"/>
          <w:kern w:val="2"/>
          <w:szCs w:val="21"/>
        </w:rPr>
        <w:t>人</w:t>
      </w:r>
      <w:r>
        <w:rPr>
          <w:rFonts w:hint="eastAsia" w:cs="Times New Roman"/>
          <w:kern w:val="2"/>
          <w:szCs w:val="21"/>
          <w:lang w:eastAsia="zh-TW"/>
        </w:rPr>
        <w:t>设备供货、安装施工、调试、工程验收、货物运输、售后服务等均应符合国家相关法律、法规以及国家标准、相关行业标准。中标</w:t>
      </w:r>
      <w:r>
        <w:rPr>
          <w:rFonts w:hint="eastAsia" w:cs="Times New Roman"/>
          <w:kern w:val="2"/>
          <w:szCs w:val="21"/>
        </w:rPr>
        <w:t>人</w:t>
      </w:r>
      <w:r>
        <w:rPr>
          <w:rFonts w:hint="eastAsia" w:cs="Times New Roman"/>
          <w:kern w:val="2"/>
          <w:szCs w:val="21"/>
          <w:lang w:eastAsia="zh-TW"/>
        </w:rPr>
        <w:t>提供设备的制造标准、安装标准及技术规范等有关资料必须符合国家相应的有关标准、规范要求。c. 中标</w:t>
      </w:r>
      <w:r>
        <w:rPr>
          <w:rFonts w:hint="eastAsia" w:cs="Times New Roman"/>
          <w:kern w:val="2"/>
          <w:szCs w:val="21"/>
        </w:rPr>
        <w:t>人</w:t>
      </w:r>
      <w:r>
        <w:rPr>
          <w:rFonts w:hint="eastAsia" w:cs="Times New Roman"/>
          <w:kern w:val="2"/>
          <w:szCs w:val="21"/>
          <w:lang w:eastAsia="zh-TW"/>
        </w:rPr>
        <w:t>应向需求单位提供完整的设备技术资料、货物制造商的出厂检验报告、合格证书、产品保证书、认证书、及政府许可证明、说明书等，保证产品和安装材料是新生产、未经过使用的原装原厂正品。如在交付使用前发生设备损坏和不合格，</w:t>
      </w:r>
      <w:r>
        <w:rPr>
          <w:rFonts w:hint="eastAsia" w:cs="Times New Roman"/>
          <w:kern w:val="2"/>
          <w:szCs w:val="21"/>
        </w:rPr>
        <w:t>采购人</w:t>
      </w:r>
      <w:r>
        <w:rPr>
          <w:rFonts w:hint="eastAsia" w:cs="Times New Roman"/>
          <w:kern w:val="2"/>
          <w:szCs w:val="21"/>
          <w:lang w:eastAsia="zh-TW"/>
        </w:rPr>
        <w:t>有权要求退货，因此造成的一切损失由</w:t>
      </w:r>
      <w:r>
        <w:rPr>
          <w:rFonts w:hint="eastAsia" w:cs="Times New Roman"/>
          <w:kern w:val="2"/>
          <w:szCs w:val="21"/>
        </w:rPr>
        <w:t>中标人</w:t>
      </w:r>
      <w:r>
        <w:rPr>
          <w:rFonts w:hint="eastAsia" w:cs="Times New Roman"/>
          <w:kern w:val="2"/>
          <w:szCs w:val="21"/>
          <w:lang w:eastAsia="zh-TW"/>
        </w:rPr>
        <w:t>承担。d.中标供</w:t>
      </w:r>
      <w:r>
        <w:rPr>
          <w:rFonts w:hint="eastAsia" w:cs="Times New Roman"/>
          <w:kern w:val="2"/>
          <w:szCs w:val="21"/>
        </w:rPr>
        <w:t>人</w:t>
      </w:r>
      <w:r>
        <w:rPr>
          <w:rFonts w:hint="eastAsia" w:cs="Times New Roman"/>
          <w:kern w:val="2"/>
          <w:szCs w:val="21"/>
          <w:lang w:eastAsia="zh-TW"/>
        </w:rPr>
        <w:t>根据合同要求进行系统安装、调试后，由</w:t>
      </w:r>
      <w:r>
        <w:rPr>
          <w:rFonts w:hint="eastAsia" w:cs="Times New Roman"/>
          <w:kern w:val="2"/>
          <w:szCs w:val="21"/>
        </w:rPr>
        <w:t>采购人</w:t>
      </w:r>
      <w:r>
        <w:rPr>
          <w:rFonts w:hint="eastAsia" w:cs="Times New Roman"/>
          <w:kern w:val="2"/>
          <w:szCs w:val="21"/>
          <w:lang w:eastAsia="zh-TW"/>
        </w:rPr>
        <w:t>进行使用性能方面的验收，确保在使用过程内具有满意的性能。如质量不符合要求，</w:t>
      </w:r>
      <w:r>
        <w:rPr>
          <w:rFonts w:hint="eastAsia" w:cs="Times New Roman"/>
          <w:kern w:val="2"/>
          <w:szCs w:val="21"/>
        </w:rPr>
        <w:t>中标人</w:t>
      </w:r>
      <w:r>
        <w:rPr>
          <w:rFonts w:hint="eastAsia" w:cs="Times New Roman"/>
          <w:kern w:val="2"/>
          <w:szCs w:val="21"/>
          <w:lang w:eastAsia="zh-TW"/>
        </w:rPr>
        <w:t>应无条件及时更换并不得以任何原因拖延。e.</w:t>
      </w:r>
      <w:r>
        <w:rPr>
          <w:rFonts w:hint="eastAsia" w:cs="Times New Roman"/>
          <w:kern w:val="2"/>
          <w:szCs w:val="21"/>
        </w:rPr>
        <w:t>采购人</w:t>
      </w:r>
      <w:r>
        <w:rPr>
          <w:rFonts w:hint="eastAsia" w:cs="Times New Roman"/>
          <w:kern w:val="2"/>
          <w:szCs w:val="21"/>
          <w:lang w:eastAsia="zh-TW"/>
        </w:rPr>
        <w:t>根据招标文件、中标</w:t>
      </w:r>
      <w:r>
        <w:rPr>
          <w:rFonts w:hint="eastAsia" w:cs="Times New Roman"/>
          <w:kern w:val="2"/>
          <w:szCs w:val="21"/>
        </w:rPr>
        <w:t>人</w:t>
      </w:r>
      <w:r>
        <w:rPr>
          <w:rFonts w:hint="eastAsia" w:cs="Times New Roman"/>
          <w:kern w:val="2"/>
          <w:szCs w:val="21"/>
          <w:lang w:eastAsia="zh-TW"/>
        </w:rPr>
        <w:t>的</w:t>
      </w:r>
      <w:r>
        <w:rPr>
          <w:rFonts w:hint="eastAsia" w:cs="Times New Roman"/>
          <w:kern w:val="2"/>
          <w:szCs w:val="21"/>
        </w:rPr>
        <w:t>投</w:t>
      </w:r>
      <w:r>
        <w:rPr>
          <w:rFonts w:hint="eastAsia" w:cs="Times New Roman"/>
          <w:kern w:val="2"/>
          <w:szCs w:val="21"/>
          <w:lang w:eastAsia="zh-TW"/>
        </w:rPr>
        <w:t>标文件、合同、制造厂商的产品验收标准及中华人民共和国有关标准进行验收。</w:t>
      </w:r>
      <w:r>
        <w:rPr>
          <w:rFonts w:hint="eastAsia" w:cs="Times New Roman"/>
          <w:kern w:val="2"/>
          <w:szCs w:val="21"/>
        </w:rPr>
        <w:t>采购人</w:t>
      </w:r>
      <w:r>
        <w:rPr>
          <w:rFonts w:hint="eastAsia" w:cs="Times New Roman"/>
          <w:kern w:val="2"/>
          <w:szCs w:val="21"/>
          <w:lang w:eastAsia="zh-TW"/>
        </w:rPr>
        <w:t>权委托中国具权威资质机构对设备的灵敏度、测量精度等技术性能进行验收。因中标供应商所提供的产品未达到招标文件中技术性能指标的，一律拒收，不予付款，</w:t>
      </w:r>
      <w:r>
        <w:rPr>
          <w:rFonts w:hint="eastAsia" w:cs="Times New Roman"/>
          <w:kern w:val="2"/>
          <w:szCs w:val="21"/>
        </w:rPr>
        <w:t>采购人</w:t>
      </w:r>
      <w:r>
        <w:rPr>
          <w:rFonts w:hint="eastAsia" w:cs="Times New Roman"/>
          <w:kern w:val="2"/>
          <w:szCs w:val="21"/>
          <w:lang w:eastAsia="zh-TW"/>
        </w:rPr>
        <w:t>有权因此终止合同的执行，中标</w:t>
      </w:r>
      <w:r>
        <w:rPr>
          <w:rFonts w:hint="eastAsia" w:cs="Times New Roman"/>
          <w:kern w:val="2"/>
          <w:szCs w:val="21"/>
        </w:rPr>
        <w:t>人</w:t>
      </w:r>
      <w:r>
        <w:rPr>
          <w:rFonts w:hint="eastAsia" w:cs="Times New Roman"/>
          <w:kern w:val="2"/>
          <w:szCs w:val="21"/>
          <w:lang w:eastAsia="zh-TW"/>
        </w:rPr>
        <w:t>将自行承担所有经济损失；同时，</w:t>
      </w:r>
      <w:r>
        <w:rPr>
          <w:rFonts w:hint="eastAsia" w:cs="Times New Roman"/>
          <w:kern w:val="2"/>
          <w:szCs w:val="21"/>
        </w:rPr>
        <w:t>采购人</w:t>
      </w:r>
      <w:r>
        <w:rPr>
          <w:rFonts w:hint="eastAsia" w:cs="Times New Roman"/>
          <w:kern w:val="2"/>
          <w:szCs w:val="21"/>
          <w:lang w:eastAsia="zh-TW"/>
        </w:rPr>
        <w:t>将保留向中标</w:t>
      </w:r>
      <w:r>
        <w:rPr>
          <w:rFonts w:hint="eastAsia" w:cs="Times New Roman"/>
          <w:kern w:val="2"/>
          <w:szCs w:val="21"/>
        </w:rPr>
        <w:t>人</w:t>
      </w:r>
      <w:r>
        <w:rPr>
          <w:rFonts w:hint="eastAsia" w:cs="Times New Roman"/>
          <w:kern w:val="2"/>
          <w:szCs w:val="21"/>
          <w:lang w:eastAsia="zh-TW"/>
        </w:rPr>
        <w:t>因设备延迟到位而造成对口岸检验业务的不良影响追索相应“违约”责任的权利。</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cs="Times New Roman"/>
          <w:b/>
          <w:bCs/>
          <w:kern w:val="2"/>
          <w:szCs w:val="21"/>
        </w:rPr>
        <w:t>★</w:t>
      </w:r>
      <w:r>
        <w:rPr>
          <w:rFonts w:hint="eastAsia" w:cs="Times New Roman"/>
          <w:b/>
          <w:bCs/>
          <w:kern w:val="2"/>
          <w:szCs w:val="21"/>
          <w:lang w:eastAsia="zh-TW"/>
        </w:rPr>
        <w:t>（5) 中标</w:t>
      </w:r>
      <w:r>
        <w:rPr>
          <w:rFonts w:hint="eastAsia" w:cs="Times New Roman"/>
          <w:b/>
          <w:bCs/>
          <w:kern w:val="2"/>
          <w:szCs w:val="21"/>
        </w:rPr>
        <w:t>人</w:t>
      </w:r>
      <w:r>
        <w:rPr>
          <w:rFonts w:hint="eastAsia" w:cs="Times New Roman"/>
          <w:b/>
          <w:bCs/>
          <w:kern w:val="2"/>
          <w:szCs w:val="21"/>
          <w:lang w:eastAsia="zh-TW"/>
        </w:rPr>
        <w:t>能响应故障处理请求和电话咨询，提供7x24小时技术支持，2小时内响应和24小时内提出解决方案，一般应在48小时内派人到现场维修的售后服务。中标</w:t>
      </w:r>
      <w:r>
        <w:rPr>
          <w:rFonts w:hint="eastAsia" w:cs="Times New Roman"/>
          <w:b/>
          <w:bCs/>
          <w:kern w:val="2"/>
          <w:szCs w:val="21"/>
        </w:rPr>
        <w:t>人</w:t>
      </w:r>
      <w:r>
        <w:rPr>
          <w:rFonts w:hint="eastAsia" w:cs="Times New Roman"/>
          <w:b/>
          <w:bCs/>
          <w:kern w:val="2"/>
          <w:szCs w:val="21"/>
          <w:lang w:eastAsia="zh-TW"/>
        </w:rPr>
        <w:t>应提供维保人员名单、联系电话等。</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（6) 现场培训：仪器在安装调试同时，中标</w:t>
      </w:r>
      <w:r>
        <w:rPr>
          <w:rFonts w:hint="eastAsia" w:cs="Times New Roman"/>
          <w:kern w:val="2"/>
          <w:szCs w:val="21"/>
        </w:rPr>
        <w:t>人</w:t>
      </w:r>
      <w:r>
        <w:rPr>
          <w:rFonts w:hint="eastAsia" w:cs="Times New Roman"/>
          <w:kern w:val="2"/>
          <w:szCs w:val="21"/>
          <w:lang w:eastAsia="zh-TW"/>
        </w:rPr>
        <w:t>负责派工程师对用户就仪器原理和基本操作进行现场培训，培训人员人数不限，培训时间视需求单位需要，原则上不少于2天，确保</w:t>
      </w:r>
      <w:r>
        <w:rPr>
          <w:rFonts w:hint="eastAsia" w:cs="Times New Roman"/>
          <w:kern w:val="2"/>
          <w:szCs w:val="21"/>
        </w:rPr>
        <w:t>采购人（</w:t>
      </w:r>
      <w:r>
        <w:rPr>
          <w:rFonts w:hint="eastAsia" w:cs="Times New Roman"/>
          <w:kern w:val="2"/>
          <w:szCs w:val="21"/>
          <w:lang w:eastAsia="zh-TW"/>
        </w:rPr>
        <w:t>用户</w:t>
      </w:r>
      <w:r>
        <w:rPr>
          <w:rFonts w:hint="eastAsia" w:cs="Times New Roman"/>
          <w:kern w:val="2"/>
          <w:szCs w:val="21"/>
        </w:rPr>
        <w:t>）</w:t>
      </w:r>
      <w:r>
        <w:rPr>
          <w:rFonts w:hint="eastAsia" w:cs="Times New Roman"/>
          <w:kern w:val="2"/>
          <w:szCs w:val="21"/>
          <w:lang w:eastAsia="zh-TW"/>
        </w:rPr>
        <w:t>能正常操作（不额外收费）。</w:t>
      </w:r>
    </w:p>
    <w:p>
      <w:pPr>
        <w:widowControl w:val="0"/>
        <w:shd w:val="clear" w:color="auto" w:fill="auto"/>
        <w:tabs>
          <w:tab w:val="clear" w:pos="426"/>
        </w:tabs>
        <w:adjustRightInd/>
        <w:snapToGrid/>
        <w:spacing w:line="240" w:lineRule="auto"/>
        <w:ind w:firstLine="420" w:firstLineChars="200"/>
        <w:rPr>
          <w:rFonts w:cs="Times New Roman"/>
          <w:kern w:val="2"/>
          <w:szCs w:val="21"/>
          <w:lang w:eastAsia="zh-TW"/>
        </w:rPr>
      </w:pPr>
      <w:r>
        <w:rPr>
          <w:rFonts w:hint="eastAsia" w:cs="Times New Roman"/>
          <w:kern w:val="2"/>
          <w:szCs w:val="21"/>
          <w:lang w:eastAsia="zh-TW"/>
        </w:rPr>
        <w:t>（7)集中培训：中标人提供</w:t>
      </w:r>
      <w:r>
        <w:rPr>
          <w:rFonts w:hint="eastAsia" w:cs="Times New Roman"/>
          <w:kern w:val="2"/>
          <w:szCs w:val="21"/>
        </w:rPr>
        <w:t>采购人</w:t>
      </w:r>
      <w:r>
        <w:rPr>
          <w:rFonts w:hint="eastAsia" w:cs="Times New Roman"/>
          <w:kern w:val="2"/>
          <w:szCs w:val="21"/>
          <w:lang w:eastAsia="zh-TW"/>
        </w:rPr>
        <w:t>至少2名技术人员到厂家指定地点进行相同设备专项技能培训，培训时间原则上不少于3天（不额外收费）。</w:t>
      </w:r>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r>
        <w:rPr>
          <w:rFonts w:hint="eastAsia" w:cs="Times New Roman"/>
          <w:b/>
          <w:bCs/>
          <w:kern w:val="2"/>
          <w:szCs w:val="21"/>
        </w:rPr>
        <w:t>01包 采购标的3商务要求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中标人提交单据：合同(正文部分复印件）、中标通知书（或成交通知书复印件）、发票（原件）、设备到签收单（复印件）。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w:t>
      </w:r>
      <w:r>
        <w:rPr>
          <w:rFonts w:hint="eastAsia" w:cs="Times New Roman"/>
          <w:b/>
          <w:bCs/>
          <w:kern w:val="2"/>
          <w:szCs w:val="21"/>
        </w:rPr>
        <w:t>2.</w:t>
      </w:r>
      <w:r>
        <w:rPr>
          <w:rFonts w:cs="Times New Roman"/>
          <w:b/>
          <w:bCs/>
          <w:kern w:val="2"/>
          <w:szCs w:val="21"/>
        </w:rPr>
        <w:t>供货期限：</w:t>
      </w:r>
      <w:r>
        <w:rPr>
          <w:rFonts w:hint="eastAsia" w:cs="Times New Roman"/>
          <w:b/>
          <w:bCs/>
          <w:kern w:val="2"/>
          <w:szCs w:val="21"/>
        </w:rPr>
        <w:t>中标人应在合同签订之日起30个日历日内交付货物并完成安装调试</w:t>
      </w:r>
      <w:r>
        <w:rPr>
          <w:rFonts w:cs="Times New Roman"/>
          <w:b/>
          <w:bCs/>
          <w:kern w:val="2"/>
          <w:szCs w:val="21"/>
        </w:rPr>
        <w:t>。</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cs="Times New Roman"/>
          <w:b/>
          <w:bCs/>
          <w:kern w:val="2"/>
          <w:szCs w:val="21"/>
        </w:rPr>
        <w:t>★</w:t>
      </w:r>
      <w:r>
        <w:rPr>
          <w:rFonts w:hint="eastAsia" w:cs="Times New Roman"/>
          <w:b/>
          <w:bCs/>
          <w:kern w:val="2"/>
          <w:szCs w:val="21"/>
        </w:rPr>
        <w:t>3.</w:t>
      </w:r>
      <w:r>
        <w:rPr>
          <w:rFonts w:hint="eastAsia" w:cs="Times New Roman"/>
          <w:b/>
          <w:bCs/>
          <w:kern w:val="2"/>
          <w:szCs w:val="21"/>
          <w:lang w:eastAsia="zh-TW"/>
        </w:rPr>
        <w:t>产品安装调试经</w:t>
      </w:r>
      <w:r>
        <w:rPr>
          <w:rFonts w:hint="eastAsia" w:cs="Times New Roman"/>
          <w:b/>
          <w:bCs/>
          <w:kern w:val="2"/>
          <w:szCs w:val="21"/>
        </w:rPr>
        <w:t>采购人（</w:t>
      </w:r>
      <w:r>
        <w:rPr>
          <w:rFonts w:hint="eastAsia" w:cs="Times New Roman"/>
          <w:b/>
          <w:bCs/>
          <w:kern w:val="2"/>
          <w:szCs w:val="21"/>
          <w:lang w:eastAsia="zh-TW"/>
        </w:rPr>
        <w:t>用户</w:t>
      </w:r>
      <w:r>
        <w:rPr>
          <w:rFonts w:hint="eastAsia" w:cs="Times New Roman"/>
          <w:b/>
          <w:bCs/>
          <w:kern w:val="2"/>
          <w:szCs w:val="21"/>
        </w:rPr>
        <w:t>）</w:t>
      </w:r>
      <w:r>
        <w:rPr>
          <w:rFonts w:hint="eastAsia" w:cs="Times New Roman"/>
          <w:b/>
          <w:bCs/>
          <w:kern w:val="2"/>
          <w:szCs w:val="21"/>
          <w:lang w:eastAsia="zh-TW"/>
        </w:rPr>
        <w:t>验收合格当天起，</w:t>
      </w:r>
      <w:r>
        <w:rPr>
          <w:rFonts w:hint="eastAsia" w:cs="Times New Roman"/>
          <w:b/>
          <w:bCs/>
          <w:kern w:val="2"/>
          <w:szCs w:val="21"/>
        </w:rPr>
        <w:t>全机</w:t>
      </w:r>
      <w:r>
        <w:rPr>
          <w:rFonts w:hint="eastAsia" w:cs="Times New Roman"/>
          <w:b/>
          <w:bCs/>
          <w:kern w:val="2"/>
          <w:szCs w:val="21"/>
          <w:lang w:eastAsia="zh-TW"/>
        </w:rPr>
        <w:t>质保期1年。</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4.</w:t>
      </w:r>
      <w:r>
        <w:rPr>
          <w:rFonts w:cs="Times New Roman"/>
          <w:b/>
          <w:bCs/>
          <w:kern w:val="2"/>
          <w:szCs w:val="21"/>
        </w:rPr>
        <w:t>售后服务要求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w:t>
      </w:r>
      <w:r>
        <w:rPr>
          <w:rFonts w:cs="Times New Roman"/>
          <w:b/>
          <w:bCs/>
          <w:kern w:val="2"/>
          <w:szCs w:val="21"/>
        </w:rPr>
        <w:t>1）质保期间，</w:t>
      </w:r>
      <w:r>
        <w:rPr>
          <w:rFonts w:hint="eastAsia" w:cs="Times New Roman"/>
          <w:b/>
          <w:bCs/>
          <w:kern w:val="2"/>
          <w:szCs w:val="21"/>
        </w:rPr>
        <w:t>中标人</w:t>
      </w:r>
      <w:r>
        <w:rPr>
          <w:rFonts w:cs="Times New Roman"/>
          <w:b/>
          <w:bCs/>
          <w:kern w:val="2"/>
          <w:szCs w:val="21"/>
        </w:rPr>
        <w:t>应指定专门维修工程师，负责向采购人提供7*24小时的技术支持与售后服务，接到采购人报修后，2小时内电话反馈，保证在接到采购</w:t>
      </w:r>
      <w:r>
        <w:rPr>
          <w:rFonts w:hint="eastAsia" w:cs="Times New Roman"/>
          <w:b/>
          <w:bCs/>
          <w:kern w:val="2"/>
          <w:szCs w:val="21"/>
        </w:rPr>
        <w:t>人</w:t>
      </w:r>
      <w:r>
        <w:rPr>
          <w:rFonts w:cs="Times New Roman"/>
          <w:b/>
          <w:bCs/>
          <w:kern w:val="2"/>
          <w:szCs w:val="21"/>
        </w:rPr>
        <w:t>（用户）通知后24小时内到达现场并解决故障。质保期内</w:t>
      </w:r>
      <w:r>
        <w:rPr>
          <w:rFonts w:hint="eastAsia" w:cs="Times New Roman"/>
          <w:b/>
          <w:bCs/>
          <w:kern w:val="2"/>
          <w:szCs w:val="21"/>
        </w:rPr>
        <w:t>中标人</w:t>
      </w:r>
      <w:r>
        <w:rPr>
          <w:rFonts w:cs="Times New Roman"/>
          <w:b/>
          <w:bCs/>
          <w:kern w:val="2"/>
          <w:szCs w:val="21"/>
        </w:rPr>
        <w:t>有责任对货物进行不定期的巡查检修。</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2）货物的质保期为自双方签署货物到货验收签收单并通过验收，签署验收合格报告之日起计算。质保期内所有产品维修、更换均（采购人故意造成的损坏除外）</w:t>
      </w:r>
      <w:r>
        <w:rPr>
          <w:rFonts w:hint="eastAsia" w:cs="Times New Roman"/>
          <w:kern w:val="2"/>
          <w:szCs w:val="21"/>
        </w:rPr>
        <w:t>（不额外收费）</w:t>
      </w:r>
      <w:r>
        <w:rPr>
          <w:rFonts w:cs="Times New Roman"/>
          <w:kern w:val="2"/>
          <w:szCs w:val="21"/>
        </w:rPr>
        <w:t>。质保期外只收取零配件成本费用，不收取维修、更换的人工费用。质保期外重复出现质保期内出现的故障属保修范围</w:t>
      </w:r>
      <w:r>
        <w:rPr>
          <w:rFonts w:hint="eastAsia" w:cs="Times New Roman"/>
          <w:kern w:val="2"/>
          <w:szCs w:val="21"/>
        </w:rPr>
        <w:t>（不额外收费）</w:t>
      </w:r>
      <w:r>
        <w:rPr>
          <w:rFonts w:cs="Times New Roman"/>
          <w:kern w:val="2"/>
          <w:szCs w:val="21"/>
        </w:rPr>
        <w:t>。</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3）本合同所包含的售后服务，包含制造商售后服务和代理商售后服务，均由</w:t>
      </w:r>
      <w:r>
        <w:rPr>
          <w:rFonts w:hint="eastAsia" w:cs="Times New Roman"/>
          <w:kern w:val="2"/>
          <w:szCs w:val="21"/>
        </w:rPr>
        <w:t>中标人</w:t>
      </w:r>
      <w:r>
        <w:rPr>
          <w:rFonts w:cs="Times New Roman"/>
          <w:kern w:val="2"/>
          <w:szCs w:val="21"/>
        </w:rPr>
        <w:t>负责联系、跟踪。</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cs="Times New Roman"/>
          <w:kern w:val="2"/>
          <w:szCs w:val="21"/>
        </w:rPr>
        <w:t>4）在质保期内所有货物的检定或校准费用均由</w:t>
      </w:r>
      <w:r>
        <w:rPr>
          <w:rFonts w:hint="eastAsia" w:cs="Times New Roman"/>
          <w:kern w:val="2"/>
          <w:szCs w:val="21"/>
        </w:rPr>
        <w:t>中标人</w:t>
      </w:r>
      <w:r>
        <w:rPr>
          <w:rFonts w:cs="Times New Roman"/>
          <w:kern w:val="2"/>
          <w:szCs w:val="21"/>
        </w:rPr>
        <w:t>承担。</w:t>
      </w:r>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p>
    <w:p>
      <w:pPr>
        <w:widowControl w:val="0"/>
        <w:shd w:val="clear" w:color="auto" w:fill="auto"/>
        <w:tabs>
          <w:tab w:val="clear" w:pos="426"/>
        </w:tabs>
        <w:adjustRightInd/>
        <w:snapToGrid/>
        <w:spacing w:line="240" w:lineRule="auto"/>
        <w:ind w:firstLine="422" w:firstLineChars="200"/>
        <w:jc w:val="center"/>
        <w:rPr>
          <w:rFonts w:cs="Times New Roman"/>
          <w:b/>
          <w:bCs/>
          <w:kern w:val="2"/>
          <w:szCs w:val="21"/>
        </w:rPr>
      </w:pPr>
      <w:r>
        <w:rPr>
          <w:rFonts w:hint="eastAsia" w:cs="Times New Roman"/>
          <w:b/>
          <w:bCs/>
          <w:kern w:val="2"/>
          <w:szCs w:val="21"/>
        </w:rPr>
        <w:t>02包 采购标的4商务要求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cs="Times New Roman"/>
          <w:b/>
          <w:bCs/>
          <w:kern w:val="2"/>
          <w:szCs w:val="21"/>
        </w:rPr>
        <w:t>★</w:t>
      </w:r>
      <w:r>
        <w:rPr>
          <w:rFonts w:hint="eastAsia" w:cs="Times New Roman"/>
          <w:b/>
          <w:bCs/>
          <w:kern w:val="2"/>
          <w:szCs w:val="21"/>
        </w:rPr>
        <w:t>1.</w:t>
      </w:r>
      <w:r>
        <w:rPr>
          <w:rFonts w:hint="eastAsia" w:cs="Times New Roman"/>
          <w:b/>
          <w:bCs/>
          <w:kern w:val="2"/>
          <w:szCs w:val="21"/>
          <w:lang w:eastAsia="zh-TW"/>
        </w:rPr>
        <w:t>付款方式</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1</w:t>
      </w:r>
      <w:r>
        <w:rPr>
          <w:rFonts w:hint="eastAsia" w:cs="Times New Roman"/>
          <w:b/>
          <w:bCs/>
          <w:kern w:val="2"/>
          <w:szCs w:val="21"/>
          <w:lang w:eastAsia="zh-TW"/>
        </w:rPr>
        <w:t>）中标人向采购人交付履约保函或保证金，比例等于合同金额的10%，并提交下列单据之日起10个工作日内，采购人向中标人支付合同总价50%合同款。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中标人提交单据：合同（正文部分复印件）、中标通知书（或成交通知书复印件）、发票（原件）、履约保函或保证金单据复印件（如有）。</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2</w:t>
      </w:r>
      <w:r>
        <w:rPr>
          <w:rFonts w:hint="eastAsia" w:cs="Times New Roman"/>
          <w:b/>
          <w:bCs/>
          <w:kern w:val="2"/>
          <w:szCs w:val="21"/>
          <w:lang w:eastAsia="zh-TW"/>
        </w:rPr>
        <w:t>）设备全部到货并经采购人（用户）签收后，中标人向采购人提交下列单据之日起10个工作日内，采购人向中标人支付合同总价50%合同款。</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中标人提交单据：合同(正文部分复印件）、中标通知书（或成交通知书复印件）、发票（原件）、设备到签收单（复印件）。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3</w:t>
      </w:r>
      <w:r>
        <w:rPr>
          <w:rFonts w:hint="eastAsia" w:cs="Times New Roman"/>
          <w:b/>
          <w:bCs/>
          <w:kern w:val="2"/>
          <w:szCs w:val="21"/>
          <w:lang w:eastAsia="zh-TW"/>
        </w:rPr>
        <w:t>）设备全部安装调试，并经采购人（用户）验收合格后，中标人向采购人提交下列单据之日起30日内，采购人向中标人无息退还履约保函或保证金。</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中标人提交单据：退还申请（原件）、安装调试验收合格报告（复印件）。</w:t>
      </w:r>
    </w:p>
    <w:p>
      <w:pPr>
        <w:widowControl w:val="0"/>
        <w:shd w:val="clear" w:color="auto" w:fill="auto"/>
        <w:tabs>
          <w:tab w:val="clear" w:pos="426"/>
        </w:tabs>
        <w:adjustRightInd/>
        <w:snapToGrid/>
        <w:spacing w:line="240" w:lineRule="auto"/>
        <w:ind w:firstLine="422" w:firstLineChars="200"/>
        <w:rPr>
          <w:rFonts w:cs="Times New Roman"/>
          <w:b/>
          <w:bCs/>
          <w:kern w:val="2"/>
          <w:szCs w:val="21"/>
          <w:lang w:eastAsia="zh-TW"/>
        </w:rPr>
      </w:pPr>
      <w:r>
        <w:rPr>
          <w:rFonts w:hint="eastAsia" w:cs="Times New Roman"/>
          <w:b/>
          <w:bCs/>
          <w:kern w:val="2"/>
          <w:szCs w:val="21"/>
          <w:lang w:eastAsia="zh-TW"/>
        </w:rPr>
        <w:t>（</w:t>
      </w:r>
      <w:r>
        <w:rPr>
          <w:rFonts w:hint="eastAsia" w:cs="Times New Roman"/>
          <w:b/>
          <w:bCs/>
          <w:kern w:val="2"/>
          <w:szCs w:val="21"/>
        </w:rPr>
        <w:t>4</w:t>
      </w:r>
      <w:r>
        <w:rPr>
          <w:rFonts w:hint="eastAsia" w:cs="Times New Roman"/>
          <w:b/>
          <w:bCs/>
          <w:kern w:val="2"/>
          <w:szCs w:val="21"/>
          <w:lang w:eastAsia="zh-TW"/>
        </w:rPr>
        <w:t>）因财政集中支付延误时间不计算在内。中标人提交付款单据延迟、缺失及账户信息错误的，采购人有权相应顺延付款期限，且采购人不承担延误付款责任。</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★2.供货期限：中标人应在合同签订之日起30个日历日内交付货物并完成安装调试。</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★3.产品安装调试经采购人（用户）验收合格当天起，全机质保期3年，在质保期内，产品因故障停用，质保期相应顺延。质保期外2年内，能更及时地为采购人（用户）提供仪器关键零备件、消耗品等。</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4.售后服务要求</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 1）质保期间，中标人应指定专门维修工程师，负责向采购人提供7*24小时的技术支持与售后服务，接到采购人报修后，30分钟内电话反馈，保证在接到采购人（用户）通知后6小时内到达现场并解决故障。质保期内中标人有责任对货物进行不定期的巡查检修。</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2）货物的质保期为自双方签署货物到货验收签收单并通过验收，签署验收合格报告之日起计算。质保期内所有产品维修、更换均（采购人故意造成的损坏除外）（不额外收费）。质保期外只收取零配件成本费用，不收取维修、更换的人工费用。质保期外重复出现质保期内出现的故障属保修范围（不额外收费）。</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3）本合同所包含的售后服务，包含制造商售后服务和代理商售后服务，均由中标人负责联系、跟踪。</w:t>
      </w:r>
    </w:p>
    <w:p>
      <w:pPr>
        <w:widowControl w:val="0"/>
        <w:shd w:val="clear" w:color="auto" w:fill="auto"/>
        <w:tabs>
          <w:tab w:val="clear" w:pos="426"/>
        </w:tabs>
        <w:adjustRightInd/>
        <w:snapToGrid/>
        <w:spacing w:line="240" w:lineRule="auto"/>
        <w:ind w:firstLine="420" w:firstLineChars="200"/>
        <w:rPr>
          <w:rFonts w:cs="Times New Roman"/>
          <w:kern w:val="2"/>
          <w:szCs w:val="21"/>
        </w:rPr>
      </w:pPr>
      <w:r>
        <w:rPr>
          <w:rFonts w:hint="eastAsia" w:cs="Times New Roman"/>
          <w:kern w:val="2"/>
          <w:szCs w:val="21"/>
        </w:rPr>
        <w:t>4）在质保期内所有货物的检定或校准费用均由成中标人承担。</w:t>
      </w:r>
    </w:p>
    <w:p>
      <w:pPr>
        <w:widowControl w:val="0"/>
        <w:shd w:val="clear" w:color="auto" w:fill="auto"/>
        <w:tabs>
          <w:tab w:val="clear" w:pos="426"/>
        </w:tabs>
        <w:adjustRightInd/>
        <w:snapToGrid/>
        <w:spacing w:line="240" w:lineRule="auto"/>
        <w:rPr>
          <w:rFonts w:cs="Times New Roman"/>
          <w:b/>
          <w:bCs/>
          <w:kern w:val="2"/>
          <w:szCs w:val="21"/>
        </w:rPr>
      </w:pPr>
    </w:p>
    <w:p>
      <w:pPr>
        <w:widowControl w:val="0"/>
        <w:shd w:val="clear" w:color="auto" w:fill="auto"/>
        <w:tabs>
          <w:tab w:val="clear" w:pos="426"/>
        </w:tabs>
        <w:adjustRightInd/>
        <w:snapToGrid/>
        <w:spacing w:line="240" w:lineRule="auto"/>
        <w:ind w:left="420" w:leftChars="200"/>
        <w:rPr>
          <w:rFonts w:cs="Times New Roman"/>
          <w:b/>
          <w:bCs/>
          <w:kern w:val="2"/>
          <w:szCs w:val="21"/>
        </w:rPr>
      </w:pPr>
      <w:r>
        <w:rPr>
          <w:rFonts w:hint="eastAsia" w:cs="Times New Roman"/>
          <w:b/>
          <w:bCs/>
          <w:kern w:val="2"/>
          <w:szCs w:val="21"/>
        </w:rPr>
        <w:t>备注：</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r>
        <w:rPr>
          <w:rFonts w:hint="eastAsia" w:cs="Times New Roman"/>
          <w:b/>
          <w:bCs/>
          <w:kern w:val="2"/>
          <w:szCs w:val="21"/>
        </w:rPr>
        <w:t>1.商务</w:t>
      </w:r>
      <w:r>
        <w:rPr>
          <w:rFonts w:cs="Times New Roman"/>
          <w:b/>
          <w:bCs/>
          <w:kern w:val="2"/>
          <w:szCs w:val="21"/>
        </w:rPr>
        <w:t>要求分为一般</w:t>
      </w:r>
      <w:r>
        <w:rPr>
          <w:rFonts w:hint="eastAsia" w:cs="Times New Roman"/>
          <w:b/>
          <w:bCs/>
          <w:kern w:val="2"/>
          <w:szCs w:val="21"/>
        </w:rPr>
        <w:t>商务</w:t>
      </w:r>
      <w:r>
        <w:rPr>
          <w:rFonts w:cs="Times New Roman"/>
          <w:b/>
          <w:bCs/>
          <w:kern w:val="2"/>
          <w:szCs w:val="21"/>
        </w:rPr>
        <w:t>要求、重要</w:t>
      </w:r>
      <w:r>
        <w:rPr>
          <w:rFonts w:hint="eastAsia" w:cs="Times New Roman"/>
          <w:b/>
          <w:bCs/>
          <w:kern w:val="2"/>
          <w:szCs w:val="21"/>
        </w:rPr>
        <w:t>商务</w:t>
      </w:r>
      <w:r>
        <w:rPr>
          <w:rFonts w:cs="Times New Roman"/>
          <w:b/>
          <w:bCs/>
          <w:kern w:val="2"/>
          <w:szCs w:val="21"/>
        </w:rPr>
        <w:t>要求（以“▲”标注）和实质性</w:t>
      </w:r>
      <w:r>
        <w:rPr>
          <w:rFonts w:hint="eastAsia" w:cs="Times New Roman"/>
          <w:b/>
          <w:bCs/>
          <w:kern w:val="2"/>
          <w:szCs w:val="21"/>
        </w:rPr>
        <w:t>商务</w:t>
      </w:r>
      <w:r>
        <w:rPr>
          <w:rFonts w:cs="Times New Roman"/>
          <w:b/>
          <w:bCs/>
          <w:kern w:val="2"/>
          <w:szCs w:val="21"/>
        </w:rPr>
        <w:t>要求（以</w:t>
      </w:r>
      <w:r>
        <w:rPr>
          <w:rFonts w:hint="eastAsia"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hint="eastAsia" w:cs="Times New Roman"/>
          <w:b/>
          <w:bCs/>
          <w:kern w:val="2"/>
          <w:szCs w:val="21"/>
        </w:rPr>
        <w:t>“</w:t>
      </w:r>
      <w:r>
        <w:rPr>
          <w:rFonts w:cs="Times New Roman"/>
          <w:b/>
          <w:bCs/>
          <w:kern w:val="2"/>
          <w:szCs w:val="21"/>
        </w:rPr>
        <w:t>★”标注）若出现不响应或任何一项负偏离，将导致投标无效。</w:t>
      </w:r>
    </w:p>
    <w:p>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pPr>
        <w:pStyle w:val="62"/>
      </w:pPr>
      <w:bookmarkStart w:id="51" w:name="_Toc2525"/>
      <w:r>
        <w:rPr>
          <w:rFonts w:hint="eastAsia"/>
        </w:rPr>
        <w:t>第三章 定价方式、合同类型和风险管理措施</w:t>
      </w:r>
      <w:bookmarkEnd w:id="51"/>
    </w:p>
    <w:p>
      <w:pPr>
        <w:numPr>
          <w:ilvl w:val="0"/>
          <w:numId w:val="3"/>
        </w:numPr>
        <w:adjustRightInd/>
        <w:snapToGrid/>
        <w:spacing w:before="280" w:after="290" w:line="377" w:lineRule="auto"/>
        <w:jc w:val="left"/>
        <w:outlineLvl w:val="2"/>
        <w:rPr>
          <w:b/>
          <w:sz w:val="24"/>
        </w:rPr>
      </w:pPr>
      <w:bookmarkStart w:id="52" w:name="_Toc27621"/>
      <w:bookmarkStart w:id="53" w:name="_Toc157893754"/>
      <w:bookmarkStart w:id="54" w:name="_Toc21605"/>
      <w:r>
        <w:rPr>
          <w:rFonts w:hint="eastAsia"/>
          <w:b/>
          <w:sz w:val="24"/>
        </w:rPr>
        <w:t>定价方式</w:t>
      </w:r>
      <w:bookmarkEnd w:id="52"/>
      <w:bookmarkEnd w:id="53"/>
      <w:bookmarkEnd w:id="54"/>
    </w:p>
    <w:p>
      <w:pPr>
        <w:widowControl w:val="0"/>
        <w:shd w:val="clear" w:color="auto" w:fill="auto"/>
        <w:tabs>
          <w:tab w:val="clear" w:pos="426"/>
        </w:tabs>
        <w:adjustRightInd/>
        <w:snapToGrid/>
        <w:spacing w:line="240" w:lineRule="auto"/>
        <w:ind w:firstLine="420" w:firstLineChars="200"/>
        <w:rPr>
          <w:kern w:val="2"/>
        </w:rPr>
      </w:pPr>
      <w:r>
        <w:rPr>
          <w:rFonts w:hint="eastAsia"/>
          <w:kern w:val="2"/>
        </w:rPr>
        <w:t>固定总价</w:t>
      </w:r>
      <w:r>
        <w:rPr>
          <w:rFonts w:hint="eastAsia"/>
        </w:rPr>
        <w:t>。</w:t>
      </w:r>
    </w:p>
    <w:p>
      <w:pPr>
        <w:numPr>
          <w:ilvl w:val="0"/>
          <w:numId w:val="3"/>
        </w:numPr>
        <w:adjustRightInd/>
        <w:snapToGrid/>
        <w:spacing w:before="280" w:after="290" w:line="377" w:lineRule="auto"/>
        <w:jc w:val="left"/>
        <w:outlineLvl w:val="2"/>
        <w:rPr>
          <w:b/>
          <w:sz w:val="24"/>
        </w:rPr>
      </w:pPr>
      <w:bookmarkStart w:id="55" w:name="_Toc157893755"/>
      <w:bookmarkStart w:id="56" w:name="_Toc7208"/>
      <w:bookmarkStart w:id="57" w:name="_Toc18675"/>
      <w:r>
        <w:rPr>
          <w:rFonts w:hint="eastAsia"/>
          <w:b/>
          <w:sz w:val="24"/>
        </w:rPr>
        <w:t>合同类型</w:t>
      </w:r>
      <w:bookmarkEnd w:id="55"/>
      <w:bookmarkEnd w:id="56"/>
      <w:bookmarkEnd w:id="57"/>
    </w:p>
    <w:p>
      <w:pPr>
        <w:widowControl w:val="0"/>
        <w:shd w:val="clear" w:color="auto" w:fill="auto"/>
        <w:tabs>
          <w:tab w:val="clear" w:pos="426"/>
        </w:tabs>
        <w:adjustRightInd/>
        <w:snapToGrid/>
        <w:spacing w:line="240" w:lineRule="auto"/>
        <w:ind w:firstLine="420" w:firstLineChars="200"/>
        <w:rPr>
          <w:kern w:val="2"/>
        </w:rPr>
      </w:pPr>
      <w:r>
        <w:rPr>
          <w:rFonts w:hint="eastAsia"/>
          <w:kern w:val="2"/>
        </w:rPr>
        <w:t>买卖合同</w:t>
      </w:r>
      <w:r>
        <w:rPr>
          <w:rFonts w:hint="eastAsia"/>
        </w:rPr>
        <w:t>。</w:t>
      </w:r>
    </w:p>
    <w:p>
      <w:pPr>
        <w:numPr>
          <w:ilvl w:val="0"/>
          <w:numId w:val="3"/>
        </w:numPr>
        <w:adjustRightInd/>
        <w:snapToGrid/>
        <w:spacing w:before="280" w:after="290" w:line="377" w:lineRule="auto"/>
        <w:jc w:val="left"/>
        <w:outlineLvl w:val="2"/>
        <w:rPr>
          <w:b/>
          <w:sz w:val="24"/>
        </w:rPr>
      </w:pPr>
      <w:bookmarkStart w:id="58" w:name="_Toc157893757"/>
      <w:bookmarkStart w:id="59" w:name="_Toc24693"/>
      <w:bookmarkStart w:id="60" w:name="_Toc32122"/>
      <w:r>
        <w:rPr>
          <w:rFonts w:hint="eastAsia"/>
          <w:b/>
          <w:sz w:val="24"/>
        </w:rPr>
        <w:t>风险管理措施</w:t>
      </w:r>
      <w:bookmarkEnd w:id="58"/>
      <w:bookmarkEnd w:id="59"/>
      <w:bookmarkEnd w:id="60"/>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185"/>
        <w:gridCol w:w="1185"/>
        <w:gridCol w:w="1185"/>
        <w:gridCol w:w="1185"/>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spacing w:line="240" w:lineRule="auto"/>
              <w:rPr>
                <w:b/>
                <w:bCs/>
                <w:szCs w:val="21"/>
              </w:rPr>
            </w:pPr>
            <w:r>
              <w:rPr>
                <w:rFonts w:hint="eastAsia"/>
                <w:b/>
                <w:bCs/>
                <w:szCs w:val="21"/>
              </w:rPr>
              <w:t>阶段</w:t>
            </w:r>
          </w:p>
        </w:tc>
        <w:tc>
          <w:tcPr>
            <w:tcW w:w="1185" w:type="dxa"/>
          </w:tcPr>
          <w:p>
            <w:pPr>
              <w:spacing w:line="240" w:lineRule="auto"/>
              <w:rPr>
                <w:b/>
                <w:bCs/>
                <w:szCs w:val="21"/>
              </w:rPr>
            </w:pPr>
            <w:r>
              <w:rPr>
                <w:rFonts w:hint="eastAsia"/>
                <w:b/>
                <w:bCs/>
                <w:szCs w:val="21"/>
              </w:rPr>
              <w:t>风险事项</w:t>
            </w:r>
          </w:p>
        </w:tc>
        <w:tc>
          <w:tcPr>
            <w:tcW w:w="1185" w:type="dxa"/>
          </w:tcPr>
          <w:p>
            <w:pPr>
              <w:spacing w:line="240" w:lineRule="auto"/>
              <w:rPr>
                <w:b/>
                <w:bCs/>
                <w:szCs w:val="21"/>
              </w:rPr>
            </w:pPr>
            <w:r>
              <w:rPr>
                <w:rFonts w:hint="eastAsia"/>
                <w:b/>
                <w:bCs/>
                <w:szCs w:val="21"/>
              </w:rPr>
              <w:t>风险描述</w:t>
            </w:r>
          </w:p>
        </w:tc>
        <w:tc>
          <w:tcPr>
            <w:tcW w:w="1185" w:type="dxa"/>
          </w:tcPr>
          <w:p>
            <w:pPr>
              <w:spacing w:line="240" w:lineRule="auto"/>
              <w:rPr>
                <w:b/>
                <w:bCs/>
                <w:szCs w:val="21"/>
              </w:rPr>
            </w:pPr>
            <w:r>
              <w:rPr>
                <w:rFonts w:hint="eastAsia"/>
                <w:b/>
                <w:bCs/>
                <w:szCs w:val="21"/>
              </w:rPr>
              <w:t>风险等级</w:t>
            </w:r>
          </w:p>
        </w:tc>
        <w:tc>
          <w:tcPr>
            <w:tcW w:w="1185" w:type="dxa"/>
          </w:tcPr>
          <w:p>
            <w:pPr>
              <w:spacing w:line="240" w:lineRule="auto"/>
              <w:rPr>
                <w:b/>
                <w:bCs/>
                <w:szCs w:val="21"/>
              </w:rPr>
            </w:pPr>
            <w:r>
              <w:rPr>
                <w:rFonts w:hint="eastAsia"/>
                <w:b/>
                <w:bCs/>
                <w:szCs w:val="21"/>
              </w:rPr>
              <w:t>防控措施</w:t>
            </w:r>
          </w:p>
        </w:tc>
        <w:tc>
          <w:tcPr>
            <w:tcW w:w="1185" w:type="dxa"/>
          </w:tcPr>
          <w:p>
            <w:pPr>
              <w:spacing w:line="240" w:lineRule="auto"/>
              <w:rPr>
                <w:b/>
                <w:bCs/>
                <w:szCs w:val="21"/>
              </w:rPr>
            </w:pPr>
            <w:r>
              <w:rPr>
                <w:rFonts w:hint="eastAsia"/>
                <w:b/>
                <w:bCs/>
                <w:szCs w:val="21"/>
              </w:rPr>
              <w:t>责任人</w:t>
            </w:r>
          </w:p>
        </w:tc>
        <w:tc>
          <w:tcPr>
            <w:tcW w:w="1186" w:type="dxa"/>
          </w:tcPr>
          <w:p>
            <w:pPr>
              <w:spacing w:line="240" w:lineRule="auto"/>
              <w:rPr>
                <w:b/>
                <w:bCs/>
                <w:szCs w:val="21"/>
              </w:rPr>
            </w:pPr>
            <w:r>
              <w:rPr>
                <w:rFonts w:hint="eastAsia"/>
                <w:b/>
                <w:bCs/>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szCs w:val="21"/>
              </w:rPr>
            </w:pPr>
            <w:r>
              <w:rPr>
                <w:rFonts w:hint="eastAsia"/>
                <w:szCs w:val="21"/>
              </w:rPr>
              <w:t>采购阶段</w:t>
            </w:r>
          </w:p>
        </w:tc>
        <w:tc>
          <w:tcPr>
            <w:tcW w:w="1185" w:type="dxa"/>
          </w:tcPr>
          <w:p>
            <w:pPr>
              <w:tabs>
                <w:tab w:val="left" w:pos="1330"/>
                <w:tab w:val="clear" w:pos="426"/>
              </w:tabs>
              <w:spacing w:line="240" w:lineRule="auto"/>
              <w:rPr>
                <w:szCs w:val="21"/>
              </w:rPr>
            </w:pPr>
            <w:r>
              <w:rPr>
                <w:rFonts w:hint="eastAsia"/>
                <w:szCs w:val="21"/>
              </w:rPr>
              <w:t>需求编制</w:t>
            </w:r>
          </w:p>
        </w:tc>
        <w:tc>
          <w:tcPr>
            <w:tcW w:w="1185" w:type="dxa"/>
          </w:tcPr>
          <w:p>
            <w:pPr>
              <w:tabs>
                <w:tab w:val="left" w:pos="1330"/>
                <w:tab w:val="clear" w:pos="426"/>
              </w:tabs>
              <w:spacing w:line="240" w:lineRule="auto"/>
              <w:rPr>
                <w:szCs w:val="21"/>
              </w:rPr>
            </w:pPr>
            <w:r>
              <w:rPr>
                <w:rFonts w:hint="eastAsia"/>
                <w:szCs w:val="21"/>
              </w:rPr>
              <w:t>需求编制与实际不符</w:t>
            </w:r>
          </w:p>
        </w:tc>
        <w:tc>
          <w:tcPr>
            <w:tcW w:w="1185" w:type="dxa"/>
          </w:tcPr>
          <w:p>
            <w:pPr>
              <w:tabs>
                <w:tab w:val="left" w:pos="1330"/>
                <w:tab w:val="clear" w:pos="426"/>
              </w:tabs>
              <w:spacing w:line="240" w:lineRule="auto"/>
              <w:rPr>
                <w:szCs w:val="21"/>
              </w:rPr>
            </w:pPr>
            <w:r>
              <w:rPr>
                <w:rFonts w:hint="eastAsia"/>
                <w:szCs w:val="21"/>
              </w:rPr>
              <w:t>中</w:t>
            </w:r>
          </w:p>
        </w:tc>
        <w:tc>
          <w:tcPr>
            <w:tcW w:w="1185" w:type="dxa"/>
          </w:tcPr>
          <w:p>
            <w:pPr>
              <w:tabs>
                <w:tab w:val="left" w:pos="1330"/>
                <w:tab w:val="clear" w:pos="426"/>
              </w:tabs>
              <w:spacing w:line="240" w:lineRule="auto"/>
              <w:rPr>
                <w:szCs w:val="21"/>
              </w:rPr>
            </w:pPr>
            <w:r>
              <w:rPr>
                <w:rFonts w:hint="eastAsia"/>
                <w:szCs w:val="21"/>
              </w:rPr>
              <w:t>仔细与需求部门确认需求表填写是否与实际需求一致</w:t>
            </w:r>
          </w:p>
        </w:tc>
        <w:tc>
          <w:tcPr>
            <w:tcW w:w="1185" w:type="dxa"/>
          </w:tcPr>
          <w:p>
            <w:pPr>
              <w:tabs>
                <w:tab w:val="left" w:pos="1330"/>
                <w:tab w:val="clear" w:pos="426"/>
              </w:tabs>
              <w:spacing w:line="240" w:lineRule="auto"/>
              <w:rPr>
                <w:szCs w:val="21"/>
              </w:rPr>
            </w:pPr>
            <w:r>
              <w:rPr>
                <w:rFonts w:hint="eastAsia"/>
                <w:szCs w:val="21"/>
              </w:rPr>
              <w:t>采购人</w:t>
            </w:r>
          </w:p>
        </w:tc>
        <w:tc>
          <w:tcPr>
            <w:tcW w:w="1186" w:type="dxa"/>
          </w:tcPr>
          <w:p>
            <w:pPr>
              <w:tabs>
                <w:tab w:val="left" w:pos="1330"/>
                <w:tab w:val="clear" w:pos="426"/>
              </w:tabs>
              <w:spacing w:line="240" w:lineRule="auto"/>
              <w:rPr>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szCs w:val="21"/>
              </w:rPr>
            </w:pPr>
            <w:r>
              <w:rPr>
                <w:rFonts w:hint="eastAsia"/>
                <w:szCs w:val="21"/>
              </w:rPr>
              <w:t>采购阶段</w:t>
            </w:r>
          </w:p>
        </w:tc>
        <w:tc>
          <w:tcPr>
            <w:tcW w:w="1185" w:type="dxa"/>
          </w:tcPr>
          <w:p>
            <w:pPr>
              <w:tabs>
                <w:tab w:val="left" w:pos="1330"/>
                <w:tab w:val="clear" w:pos="426"/>
              </w:tabs>
              <w:spacing w:line="240" w:lineRule="auto"/>
              <w:rPr>
                <w:szCs w:val="21"/>
              </w:rPr>
            </w:pPr>
            <w:r>
              <w:rPr>
                <w:rFonts w:hint="eastAsia"/>
                <w:szCs w:val="21"/>
              </w:rPr>
              <w:t>采购活动</w:t>
            </w:r>
          </w:p>
        </w:tc>
        <w:tc>
          <w:tcPr>
            <w:tcW w:w="1185" w:type="dxa"/>
          </w:tcPr>
          <w:p>
            <w:pPr>
              <w:tabs>
                <w:tab w:val="left" w:pos="1330"/>
                <w:tab w:val="clear" w:pos="426"/>
              </w:tabs>
              <w:spacing w:line="240" w:lineRule="auto"/>
              <w:rPr>
                <w:szCs w:val="21"/>
              </w:rPr>
            </w:pPr>
            <w:r>
              <w:rPr>
                <w:rFonts w:hint="eastAsia"/>
                <w:szCs w:val="21"/>
              </w:rPr>
              <w:t>标书的填写符合性及与需求的符合性</w:t>
            </w:r>
          </w:p>
        </w:tc>
        <w:tc>
          <w:tcPr>
            <w:tcW w:w="1185" w:type="dxa"/>
          </w:tcPr>
          <w:p>
            <w:pPr>
              <w:tabs>
                <w:tab w:val="left" w:pos="1330"/>
                <w:tab w:val="clear" w:pos="426"/>
              </w:tabs>
              <w:spacing w:line="240" w:lineRule="auto"/>
              <w:rPr>
                <w:szCs w:val="21"/>
              </w:rPr>
            </w:pPr>
            <w:r>
              <w:rPr>
                <w:rFonts w:hint="eastAsia"/>
                <w:szCs w:val="21"/>
              </w:rPr>
              <w:t>中</w:t>
            </w:r>
          </w:p>
        </w:tc>
        <w:tc>
          <w:tcPr>
            <w:tcW w:w="1185" w:type="dxa"/>
          </w:tcPr>
          <w:p>
            <w:pPr>
              <w:tabs>
                <w:tab w:val="left" w:pos="1330"/>
                <w:tab w:val="clear" w:pos="426"/>
              </w:tabs>
              <w:spacing w:line="240" w:lineRule="auto"/>
              <w:rPr>
                <w:szCs w:val="21"/>
              </w:rPr>
            </w:pPr>
            <w:r>
              <w:rPr>
                <w:rFonts w:hint="eastAsia"/>
                <w:szCs w:val="21"/>
              </w:rPr>
              <w:t>仔细与采购人员确认填写是否与实际需求一致</w:t>
            </w:r>
          </w:p>
        </w:tc>
        <w:tc>
          <w:tcPr>
            <w:tcW w:w="1185" w:type="dxa"/>
          </w:tcPr>
          <w:p>
            <w:pPr>
              <w:tabs>
                <w:tab w:val="left" w:pos="1330"/>
                <w:tab w:val="clear" w:pos="426"/>
              </w:tabs>
              <w:spacing w:line="240" w:lineRule="auto"/>
              <w:rPr>
                <w:szCs w:val="21"/>
              </w:rPr>
            </w:pPr>
            <w:r>
              <w:rPr>
                <w:rFonts w:hint="eastAsia"/>
                <w:szCs w:val="21"/>
              </w:rPr>
              <w:t>代理机构</w:t>
            </w:r>
          </w:p>
        </w:tc>
        <w:tc>
          <w:tcPr>
            <w:tcW w:w="1186" w:type="dxa"/>
          </w:tcPr>
          <w:p>
            <w:pPr>
              <w:tabs>
                <w:tab w:val="left" w:pos="1330"/>
                <w:tab w:val="clear" w:pos="426"/>
              </w:tabs>
              <w:spacing w:line="240" w:lineRule="auto"/>
              <w:rPr>
                <w:szCs w:val="21"/>
              </w:rPr>
            </w:pPr>
            <w:r>
              <w:rPr>
                <w:rFonts w:hint="eastAsia"/>
                <w:szCs w:val="21"/>
              </w:rPr>
              <w:t>采购环节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tcPr>
          <w:p>
            <w:pPr>
              <w:tabs>
                <w:tab w:val="left" w:pos="1330"/>
                <w:tab w:val="clear" w:pos="426"/>
              </w:tabs>
              <w:spacing w:line="240" w:lineRule="auto"/>
              <w:rPr>
                <w:szCs w:val="21"/>
              </w:rPr>
            </w:pPr>
            <w:r>
              <w:rPr>
                <w:rFonts w:hint="eastAsia"/>
                <w:szCs w:val="21"/>
              </w:rPr>
              <w:t>合同履约阶段</w:t>
            </w:r>
          </w:p>
        </w:tc>
        <w:tc>
          <w:tcPr>
            <w:tcW w:w="1185" w:type="dxa"/>
          </w:tcPr>
          <w:p>
            <w:pPr>
              <w:tabs>
                <w:tab w:val="left" w:pos="1330"/>
                <w:tab w:val="clear" w:pos="426"/>
              </w:tabs>
              <w:spacing w:line="240" w:lineRule="auto"/>
              <w:rPr>
                <w:szCs w:val="21"/>
              </w:rPr>
            </w:pPr>
            <w:r>
              <w:rPr>
                <w:rFonts w:hint="eastAsia"/>
                <w:szCs w:val="21"/>
              </w:rPr>
              <w:t>合同履约</w:t>
            </w:r>
          </w:p>
        </w:tc>
        <w:tc>
          <w:tcPr>
            <w:tcW w:w="1185" w:type="dxa"/>
          </w:tcPr>
          <w:p>
            <w:pPr>
              <w:tabs>
                <w:tab w:val="left" w:pos="1330"/>
                <w:tab w:val="clear" w:pos="426"/>
              </w:tabs>
              <w:spacing w:line="240" w:lineRule="auto"/>
              <w:rPr>
                <w:szCs w:val="21"/>
              </w:rPr>
            </w:pPr>
            <w:r>
              <w:rPr>
                <w:rFonts w:hint="eastAsia"/>
                <w:szCs w:val="21"/>
              </w:rPr>
              <w:t>供应商不能按照合同准时履约</w:t>
            </w:r>
          </w:p>
        </w:tc>
        <w:tc>
          <w:tcPr>
            <w:tcW w:w="1185" w:type="dxa"/>
          </w:tcPr>
          <w:p>
            <w:pPr>
              <w:tabs>
                <w:tab w:val="left" w:pos="1330"/>
                <w:tab w:val="clear" w:pos="426"/>
              </w:tabs>
              <w:spacing w:line="240" w:lineRule="auto"/>
              <w:rPr>
                <w:szCs w:val="21"/>
              </w:rPr>
            </w:pPr>
            <w:r>
              <w:rPr>
                <w:rFonts w:hint="eastAsia"/>
                <w:szCs w:val="21"/>
              </w:rPr>
              <w:t>中</w:t>
            </w:r>
          </w:p>
        </w:tc>
        <w:tc>
          <w:tcPr>
            <w:tcW w:w="1185" w:type="dxa"/>
          </w:tcPr>
          <w:p>
            <w:pPr>
              <w:tabs>
                <w:tab w:val="left" w:pos="1330"/>
                <w:tab w:val="clear" w:pos="426"/>
              </w:tabs>
              <w:spacing w:line="240" w:lineRule="auto"/>
              <w:rPr>
                <w:szCs w:val="21"/>
              </w:rPr>
            </w:pPr>
            <w:r>
              <w:rPr>
                <w:rFonts w:hint="eastAsia"/>
                <w:szCs w:val="21"/>
              </w:rPr>
              <w:t>在合同中详细写明无法按时履约应该承担的法律责任</w:t>
            </w:r>
          </w:p>
        </w:tc>
        <w:tc>
          <w:tcPr>
            <w:tcW w:w="1185" w:type="dxa"/>
          </w:tcPr>
          <w:p>
            <w:pPr>
              <w:tabs>
                <w:tab w:val="left" w:pos="1330"/>
                <w:tab w:val="clear" w:pos="426"/>
              </w:tabs>
              <w:spacing w:line="240" w:lineRule="auto"/>
              <w:rPr>
                <w:szCs w:val="21"/>
              </w:rPr>
            </w:pPr>
            <w:r>
              <w:rPr>
                <w:rFonts w:hint="eastAsia"/>
                <w:szCs w:val="21"/>
              </w:rPr>
              <w:t>供应商</w:t>
            </w:r>
          </w:p>
        </w:tc>
        <w:tc>
          <w:tcPr>
            <w:tcW w:w="1186" w:type="dxa"/>
          </w:tcPr>
          <w:p>
            <w:pPr>
              <w:tabs>
                <w:tab w:val="left" w:pos="1330"/>
                <w:tab w:val="clear" w:pos="426"/>
              </w:tabs>
              <w:spacing w:line="240" w:lineRule="auto"/>
              <w:rPr>
                <w:szCs w:val="21"/>
              </w:rPr>
            </w:pPr>
            <w:r>
              <w:rPr>
                <w:rFonts w:hint="eastAsia"/>
                <w:szCs w:val="21"/>
              </w:rPr>
              <w:t>合同履约环节</w:t>
            </w:r>
          </w:p>
        </w:tc>
      </w:tr>
    </w:tbl>
    <w:p/>
    <w:p>
      <w:r>
        <w:rPr>
          <w:rFonts w:hint="eastAsia"/>
        </w:rPr>
        <w:br w:type="page"/>
      </w:r>
    </w:p>
    <w:p>
      <w:pPr>
        <w:pStyle w:val="62"/>
      </w:pPr>
      <w:bookmarkStart w:id="61" w:name="_Toc25501"/>
      <w:r>
        <w:rPr>
          <w:rFonts w:hint="eastAsia"/>
        </w:rPr>
        <w:t>第四章 资格审查和评标方法</w:t>
      </w:r>
      <w:bookmarkEnd w:id="61"/>
    </w:p>
    <w:p>
      <w:pPr>
        <w:pStyle w:val="62"/>
      </w:pPr>
      <w:bookmarkStart w:id="62" w:name="_Toc12702"/>
      <w:r>
        <w:rPr>
          <w:rFonts w:hint="eastAsia"/>
        </w:rPr>
        <w:t>前附表（一）</w:t>
      </w:r>
      <w:r>
        <w:t>资格审查表</w:t>
      </w:r>
      <w:bookmarkEnd w:id="62"/>
    </w:p>
    <w:p>
      <w:pPr>
        <w:tabs>
          <w:tab w:val="clear" w:pos="426"/>
        </w:tabs>
        <w:spacing w:before="231" w:beforeLines="50" w:after="231" w:afterLines="50"/>
        <w:jc w:val="center"/>
        <w:rPr>
          <w:rFonts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b/>
              </w:rPr>
            </w:pPr>
            <w:r>
              <w:rPr>
                <w:rFonts w:hint="eastAsia"/>
                <w:b/>
              </w:rPr>
              <w:t>序号</w:t>
            </w:r>
          </w:p>
        </w:tc>
        <w:tc>
          <w:tcPr>
            <w:tcW w:w="8806" w:type="dxa"/>
            <w:vAlign w:val="center"/>
          </w:tcPr>
          <w:p>
            <w:pPr>
              <w:tabs>
                <w:tab w:val="clear" w:pos="426"/>
              </w:tabs>
              <w:adjustRightInd/>
              <w:snapToGrid/>
              <w:spacing w:line="240" w:lineRule="auto"/>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numPr>
                <w:ilvl w:val="0"/>
                <w:numId w:val="4"/>
              </w:numPr>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投标供应商具备招标资质要求，且提交相应资质证明材料；(详见招标公告“申请人的资格要求”，其中未列示的资质要求不得导致废标。)</w:t>
            </w:r>
          </w:p>
        </w:tc>
      </w:tr>
    </w:tbl>
    <w:p>
      <w:pPr>
        <w:pStyle w:val="62"/>
      </w:pPr>
      <w:r>
        <w:rPr>
          <w:sz w:val="24"/>
        </w:rPr>
        <w:br w:type="page"/>
      </w:r>
      <w:bookmarkStart w:id="63" w:name="_Toc10832"/>
      <w:bookmarkStart w:id="64" w:name="_Toc435514846"/>
      <w:r>
        <w:rPr>
          <w:rFonts w:hint="eastAsia"/>
          <w:sz w:val="24"/>
        </w:rPr>
        <w:t>前附表（二）符合性审查表</w:t>
      </w:r>
      <w:bookmarkEnd w:id="63"/>
    </w:p>
    <w:p>
      <w:pPr>
        <w:tabs>
          <w:tab w:val="clear" w:pos="426"/>
        </w:tabs>
        <w:spacing w:before="231" w:beforeLines="50" w:after="231" w:afterLines="50"/>
        <w:jc w:val="center"/>
        <w:rPr>
          <w:rFonts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4" w:type="dxa"/>
            <w:vAlign w:val="center"/>
          </w:tcPr>
          <w:p>
            <w:pPr>
              <w:tabs>
                <w:tab w:val="clear" w:pos="426"/>
              </w:tabs>
              <w:adjustRightInd/>
              <w:snapToGrid/>
              <w:spacing w:line="240" w:lineRule="auto"/>
              <w:jc w:val="center"/>
              <w:rPr>
                <w:b/>
              </w:rPr>
            </w:pPr>
            <w:r>
              <w:rPr>
                <w:rFonts w:hint="eastAsia"/>
                <w:b/>
              </w:rPr>
              <w:t>序号</w:t>
            </w:r>
          </w:p>
        </w:tc>
        <w:tc>
          <w:tcPr>
            <w:tcW w:w="8806" w:type="dxa"/>
            <w:vAlign w:val="center"/>
          </w:tcPr>
          <w:p>
            <w:pPr>
              <w:tabs>
                <w:tab w:val="clear" w:pos="426"/>
              </w:tabs>
              <w:adjustRightInd/>
              <w:snapToGrid/>
              <w:spacing w:line="240" w:lineRule="auto"/>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将一个包或一个标段的内容拆开投标；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投标文件及开标一览表未按招标文件规定密封、签字、盖章；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对同一项目投标时，提供两套以上的投标方案（招标文件另有规定的除外）；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未按招标文件所提供的样式填写</w:t>
            </w:r>
            <w:r>
              <w:t>《</w:t>
            </w:r>
            <w:r>
              <w:rPr>
                <w:rFonts w:hint="eastAsia"/>
              </w:rPr>
              <w:t>投标函》；未按招标文件所提供的《投标人资格声明函》进行承诺；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投标总价或分项报价高于预算限额（最高投标限价）；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t>同一项目出现两个及以上报价，且按规定无法确定哪个是有效报价；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投标文件载明的交货期超过招标文件规定的期限；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投标文件载明的质保期低于招标文件规定的期限；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ascii="Times New Roman" w:hAnsi="Times New Roman" w:cs="Times New Roman"/>
              </w:rPr>
              <w:t>投标报价有严重缺漏项目或对招标文件规定的</w:t>
            </w:r>
            <w:r>
              <w:rPr>
                <w:rFonts w:hint="eastAsia" w:ascii="Times New Roman" w:hAnsi="Times New Roman" w:cs="Times New Roman"/>
              </w:rPr>
              <w:t>货物</w:t>
            </w:r>
            <w:r>
              <w:rPr>
                <w:rFonts w:ascii="Times New Roman" w:hAnsi="Times New Roman" w:cs="Times New Roman"/>
              </w:rPr>
              <w:t>清单项目及数量进行修改</w:t>
            </w:r>
            <w:r>
              <w:rPr>
                <w:rFonts w:hint="eastAsia"/>
              </w:rPr>
              <w:t>或采购标的响应不全；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《技术规格偏离表》或《商务条款偏离表》填写不全、不明或不实；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投标文件存在招标文件中规定的其它无效投标条款的；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764" w:type="dxa"/>
            <w:vAlign w:val="center"/>
          </w:tcPr>
          <w:p>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pPr>
              <w:tabs>
                <w:tab w:val="clear" w:pos="426"/>
              </w:tabs>
              <w:adjustRightInd/>
              <w:snapToGrid/>
              <w:spacing w:line="240" w:lineRule="auto"/>
            </w:pPr>
            <w:r>
              <w:rPr>
                <w:rFonts w:hint="eastAsia"/>
              </w:rPr>
              <w:t>法律、法规规定的属于投标无效的其他情形。</w:t>
            </w:r>
          </w:p>
        </w:tc>
      </w:tr>
    </w:tbl>
    <w:p>
      <w:r>
        <w:br w:type="page"/>
      </w:r>
    </w:p>
    <w:p>
      <w:pPr>
        <w:pStyle w:val="62"/>
      </w:pPr>
      <w:bookmarkStart w:id="65" w:name="_Toc11333"/>
      <w:r>
        <w:rPr>
          <w:rFonts w:hint="eastAsia"/>
        </w:rPr>
        <w:t>前附表（三）综合评分法评分因素和权重分值表</w:t>
      </w:r>
      <w:bookmarkEnd w:id="65"/>
    </w:p>
    <w:p>
      <w:pPr>
        <w:jc w:val="center"/>
        <w:rPr>
          <w:b/>
          <w:bCs/>
        </w:rPr>
      </w:pPr>
      <w:r>
        <w:rPr>
          <w:rFonts w:hint="eastAsia"/>
          <w:b/>
          <w:bCs/>
        </w:rPr>
        <w:t>01包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b/>
                <w:szCs w:val="21"/>
                <w:lang w:val="zh-CN"/>
              </w:rPr>
            </w:pPr>
            <w:r>
              <w:rPr>
                <w:rFonts w:hint="eastAsia"/>
                <w:b/>
                <w:szCs w:val="21"/>
                <w:lang w:val="zh-CN"/>
              </w:rPr>
              <w:t>评分项及评分规则</w:t>
            </w:r>
          </w:p>
        </w:tc>
        <w:tc>
          <w:tcPr>
            <w:tcW w:w="1187" w:type="dxa"/>
            <w:vAlign w:val="center"/>
          </w:tcPr>
          <w:p>
            <w:pPr>
              <w:autoSpaceDE w:val="0"/>
              <w:autoSpaceDN w:val="0"/>
              <w:jc w:val="center"/>
              <w:rPr>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b/>
                <w:szCs w:val="21"/>
                <w:lang w:val="zh-CN"/>
              </w:rPr>
            </w:pPr>
            <w:r>
              <w:rPr>
                <w:rFonts w:hint="eastAsia"/>
                <w:b/>
                <w:szCs w:val="21"/>
                <w:lang w:val="zh-CN"/>
              </w:rPr>
              <w:t>一、价格部分</w:t>
            </w:r>
          </w:p>
        </w:tc>
        <w:tc>
          <w:tcPr>
            <w:tcW w:w="1187" w:type="dxa"/>
            <w:vAlign w:val="center"/>
          </w:tcPr>
          <w:p>
            <w:pPr>
              <w:autoSpaceDE w:val="0"/>
              <w:autoSpaceDN w:val="0"/>
              <w:jc w:val="center"/>
              <w:rPr>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szCs w:val="21"/>
              </w:rPr>
            </w:pPr>
            <w:r>
              <w:rPr>
                <w:rFonts w:hint="eastAsia"/>
                <w:szCs w:val="21"/>
              </w:rPr>
              <w:t>投标报价得分=(评标基准价／投标报价)×30</w:t>
            </w:r>
          </w:p>
          <w:p>
            <w:pPr>
              <w:rPr>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b/>
                <w:szCs w:val="21"/>
              </w:rPr>
            </w:pPr>
            <w:r>
              <w:rPr>
                <w:rFonts w:hint="eastAsia"/>
                <w:b/>
                <w:szCs w:val="21"/>
              </w:rPr>
              <w:t>二、技术部分</w:t>
            </w:r>
          </w:p>
        </w:tc>
        <w:tc>
          <w:tcPr>
            <w:tcW w:w="1187" w:type="dxa"/>
            <w:vAlign w:val="center"/>
          </w:tcPr>
          <w:p>
            <w:pPr>
              <w:autoSpaceDE w:val="0"/>
              <w:autoSpaceDN w:val="0"/>
              <w:jc w:val="center"/>
              <w:rPr>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szCs w:val="21"/>
              </w:rPr>
            </w:pPr>
            <w:r>
              <w:rPr>
                <w:rFonts w:hint="eastAsia"/>
                <w:szCs w:val="21"/>
              </w:rPr>
              <w:t>序号</w:t>
            </w:r>
          </w:p>
        </w:tc>
        <w:tc>
          <w:tcPr>
            <w:tcW w:w="1143" w:type="dxa"/>
            <w:vAlign w:val="center"/>
          </w:tcPr>
          <w:p>
            <w:pPr>
              <w:autoSpaceDE w:val="0"/>
              <w:autoSpaceDN w:val="0"/>
              <w:jc w:val="center"/>
              <w:rPr>
                <w:szCs w:val="21"/>
              </w:rPr>
            </w:pPr>
            <w:r>
              <w:rPr>
                <w:rFonts w:hint="eastAsia"/>
                <w:szCs w:val="21"/>
              </w:rPr>
              <w:t>内容</w:t>
            </w:r>
          </w:p>
        </w:tc>
        <w:tc>
          <w:tcPr>
            <w:tcW w:w="709" w:type="dxa"/>
            <w:vAlign w:val="center"/>
          </w:tcPr>
          <w:p>
            <w:pPr>
              <w:autoSpaceDE w:val="0"/>
              <w:autoSpaceDN w:val="0"/>
              <w:jc w:val="center"/>
              <w:rPr>
                <w:szCs w:val="21"/>
              </w:rPr>
            </w:pPr>
            <w:r>
              <w:rPr>
                <w:rFonts w:hint="eastAsia"/>
                <w:szCs w:val="21"/>
              </w:rPr>
              <w:t>权重</w:t>
            </w:r>
          </w:p>
        </w:tc>
        <w:tc>
          <w:tcPr>
            <w:tcW w:w="5953" w:type="dxa"/>
            <w:vAlign w:val="center"/>
          </w:tcPr>
          <w:p>
            <w:pPr>
              <w:autoSpaceDE w:val="0"/>
              <w:autoSpaceDN w:val="0"/>
              <w:jc w:val="center"/>
              <w:rPr>
                <w:szCs w:val="21"/>
              </w:rPr>
            </w:pPr>
            <w:r>
              <w:rPr>
                <w:rFonts w:hint="eastAsia"/>
                <w:szCs w:val="21"/>
              </w:rPr>
              <w:t>评分规则</w:t>
            </w:r>
          </w:p>
        </w:tc>
        <w:tc>
          <w:tcPr>
            <w:tcW w:w="1187" w:type="dxa"/>
            <w:vAlign w:val="center"/>
          </w:tcPr>
          <w:p>
            <w:pPr>
              <w:autoSpaceDE w:val="0"/>
              <w:autoSpaceDN w:val="0"/>
              <w:jc w:val="center"/>
              <w:rPr>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1</w:t>
            </w:r>
          </w:p>
        </w:tc>
        <w:tc>
          <w:tcPr>
            <w:tcW w:w="1143" w:type="dxa"/>
            <w:vAlign w:val="center"/>
          </w:tcPr>
          <w:p>
            <w:pPr>
              <w:jc w:val="center"/>
              <w:rPr>
                <w:szCs w:val="21"/>
              </w:rPr>
            </w:pPr>
            <w:r>
              <w:rPr>
                <w:rFonts w:hint="eastAsia"/>
                <w:szCs w:val="21"/>
              </w:rPr>
              <w:t>技术规格偏离情况</w:t>
            </w:r>
          </w:p>
        </w:tc>
        <w:tc>
          <w:tcPr>
            <w:tcW w:w="709" w:type="dxa"/>
            <w:vAlign w:val="center"/>
          </w:tcPr>
          <w:p>
            <w:pPr>
              <w:jc w:val="center"/>
              <w:rPr>
                <w:szCs w:val="21"/>
              </w:rPr>
            </w:pPr>
            <w:r>
              <w:rPr>
                <w:rFonts w:hint="eastAsia"/>
                <w:szCs w:val="21"/>
              </w:rPr>
              <w:t>50</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完全满足招标文件技术指标、参数要求，应答完整的得50分；“★”为不可偏离参数；以此为基础，投标人的技术响应低于招标文件中规定的“▲”技术要求每有一项减3分；投标人一般技术响应低于招标文件规定的，每有一项减0.5</w:t>
            </w:r>
            <w:r>
              <w:rPr>
                <w:rFonts w:hint="eastAsia"/>
                <w:szCs w:val="21"/>
                <w:lang w:val="en-US" w:eastAsia="zh-CN"/>
              </w:rPr>
              <w:t>3</w:t>
            </w:r>
            <w:r>
              <w:rPr>
                <w:rFonts w:hint="eastAsia"/>
                <w:szCs w:val="21"/>
              </w:rPr>
              <w:t>分。本项最低得0分。</w:t>
            </w:r>
          </w:p>
          <w:p>
            <w:pPr>
              <w:jc w:val="left"/>
              <w:rPr>
                <w:szCs w:val="21"/>
              </w:rPr>
            </w:pPr>
            <w:r>
              <w:rPr>
                <w:rFonts w:hint="eastAsia"/>
                <w:szCs w:val="21"/>
              </w:rPr>
              <w:t>（二）评分依据：</w:t>
            </w:r>
          </w:p>
          <w:p>
            <w:pPr>
              <w:jc w:val="left"/>
              <w:rPr>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szCs w:val="21"/>
              </w:rPr>
            </w:pPr>
            <w:r>
              <w:rPr>
                <w:rFonts w:hint="eastAsia"/>
                <w:szCs w:val="21"/>
              </w:rPr>
              <w:t>2</w:t>
            </w:r>
          </w:p>
        </w:tc>
        <w:tc>
          <w:tcPr>
            <w:tcW w:w="1143" w:type="dxa"/>
            <w:vAlign w:val="center"/>
          </w:tcPr>
          <w:p>
            <w:pPr>
              <w:jc w:val="center"/>
              <w:rPr>
                <w:szCs w:val="21"/>
              </w:rPr>
            </w:pPr>
            <w:r>
              <w:rPr>
                <w:rFonts w:hint="eastAsia"/>
                <w:szCs w:val="21"/>
              </w:rPr>
              <w:t>技术保障措施</w:t>
            </w:r>
          </w:p>
        </w:tc>
        <w:tc>
          <w:tcPr>
            <w:tcW w:w="709" w:type="dxa"/>
            <w:vAlign w:val="center"/>
          </w:tcPr>
          <w:p>
            <w:pPr>
              <w:jc w:val="center"/>
              <w:rPr>
                <w:szCs w:val="21"/>
              </w:rPr>
            </w:pPr>
            <w:r>
              <w:rPr>
                <w:rFonts w:hint="eastAsia"/>
                <w:szCs w:val="21"/>
              </w:rPr>
              <w:t>4</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投标人在投标文件中详细说明技术保障措施，包含以下内容：</w:t>
            </w:r>
          </w:p>
          <w:p>
            <w:pPr>
              <w:jc w:val="left"/>
              <w:rPr>
                <w:szCs w:val="21"/>
              </w:rPr>
            </w:pPr>
            <w:r>
              <w:rPr>
                <w:rFonts w:hint="eastAsia"/>
                <w:szCs w:val="21"/>
              </w:rPr>
              <w:t>（1）供货方案；</w:t>
            </w:r>
          </w:p>
          <w:p>
            <w:pPr>
              <w:jc w:val="left"/>
              <w:rPr>
                <w:szCs w:val="21"/>
              </w:rPr>
            </w:pPr>
            <w:r>
              <w:rPr>
                <w:rFonts w:hint="eastAsia"/>
                <w:szCs w:val="21"/>
              </w:rPr>
              <w:t>（2）安装调试方案；</w:t>
            </w:r>
          </w:p>
          <w:p>
            <w:pPr>
              <w:jc w:val="left"/>
              <w:rPr>
                <w:szCs w:val="21"/>
              </w:rPr>
            </w:pPr>
            <w:r>
              <w:rPr>
                <w:rFonts w:hint="eastAsia"/>
                <w:szCs w:val="21"/>
              </w:rPr>
              <w:t>（3）质量管理措施。</w:t>
            </w:r>
          </w:p>
          <w:p>
            <w:pPr>
              <w:jc w:val="left"/>
              <w:rPr>
                <w:szCs w:val="21"/>
              </w:rPr>
            </w:pPr>
            <w:r>
              <w:rPr>
                <w:rFonts w:hint="eastAsia"/>
                <w:szCs w:val="21"/>
              </w:rPr>
              <w:t xml:space="preserve">（二）评分标准： </w:t>
            </w:r>
          </w:p>
          <w:p>
            <w:pPr>
              <w:jc w:val="left"/>
              <w:rPr>
                <w:szCs w:val="21"/>
              </w:rPr>
            </w:pPr>
            <w:r>
              <w:rPr>
                <w:rFonts w:hint="eastAsia"/>
                <w:szCs w:val="21"/>
              </w:rPr>
              <w:t>1.供货方案全面、有针对性的得2分；方案内容简单、笼统，存在较多的不足的得1分；未提供的0分。</w:t>
            </w:r>
          </w:p>
          <w:p>
            <w:pPr>
              <w:jc w:val="left"/>
              <w:rPr>
                <w:szCs w:val="21"/>
              </w:rPr>
            </w:pPr>
            <w:r>
              <w:rPr>
                <w:rFonts w:hint="eastAsia"/>
                <w:szCs w:val="21"/>
              </w:rPr>
              <w:t>2.安装调试方案全面、有针对性的得1分；方案内容简单、笼统，存在较多的不足的得0.5分；未提供的0分。</w:t>
            </w:r>
          </w:p>
          <w:p>
            <w:pPr>
              <w:jc w:val="left"/>
              <w:rPr>
                <w:szCs w:val="21"/>
              </w:rPr>
            </w:pPr>
            <w:r>
              <w:rPr>
                <w:rFonts w:hint="eastAsia"/>
                <w:szCs w:val="21"/>
              </w:rPr>
              <w:t>3.质量管理措施切实、有效的得1分；质量管理措施简单、笼统，存在较多的不足的得0.5分；未提供的0分。</w:t>
            </w:r>
          </w:p>
          <w:p>
            <w:pPr>
              <w:jc w:val="left"/>
              <w:rPr>
                <w:szCs w:val="21"/>
              </w:rPr>
            </w:pPr>
            <w:r>
              <w:rPr>
                <w:rFonts w:hint="eastAsia"/>
                <w:szCs w:val="21"/>
              </w:rPr>
              <w:t>以上3项合计最高4分。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szCs w:val="21"/>
              </w:rPr>
            </w:pPr>
            <w:r>
              <w:rPr>
                <w:rFonts w:hint="eastAsia"/>
                <w:szCs w:val="21"/>
              </w:rPr>
              <w:t>3</w:t>
            </w:r>
          </w:p>
        </w:tc>
        <w:tc>
          <w:tcPr>
            <w:tcW w:w="1143" w:type="dxa"/>
            <w:vAlign w:val="center"/>
          </w:tcPr>
          <w:p>
            <w:pPr>
              <w:jc w:val="center"/>
              <w:rPr>
                <w:szCs w:val="21"/>
              </w:rPr>
            </w:pPr>
            <w:r>
              <w:rPr>
                <w:rFonts w:hint="eastAsia"/>
                <w:szCs w:val="21"/>
              </w:rPr>
              <w:t>售后服务方案</w:t>
            </w:r>
          </w:p>
        </w:tc>
        <w:tc>
          <w:tcPr>
            <w:tcW w:w="709" w:type="dxa"/>
            <w:vAlign w:val="center"/>
          </w:tcPr>
          <w:p>
            <w:pPr>
              <w:jc w:val="center"/>
              <w:rPr>
                <w:szCs w:val="21"/>
              </w:rPr>
            </w:pPr>
            <w:r>
              <w:rPr>
                <w:rFonts w:hint="eastAsia"/>
                <w:szCs w:val="21"/>
              </w:rPr>
              <w:t>6</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投标人提供售后服务方案，包含以下内容：</w:t>
            </w:r>
          </w:p>
          <w:p>
            <w:pPr>
              <w:jc w:val="left"/>
              <w:rPr>
                <w:szCs w:val="21"/>
              </w:rPr>
            </w:pPr>
            <w:r>
              <w:rPr>
                <w:rFonts w:hint="eastAsia"/>
                <w:szCs w:val="21"/>
              </w:rPr>
              <w:t>（1）售后服务机构及维护人员配置；</w:t>
            </w:r>
          </w:p>
          <w:p>
            <w:pPr>
              <w:jc w:val="left"/>
              <w:rPr>
                <w:szCs w:val="21"/>
              </w:rPr>
            </w:pPr>
            <w:r>
              <w:rPr>
                <w:rFonts w:hint="eastAsia"/>
                <w:szCs w:val="21"/>
              </w:rPr>
              <w:t>（2）维修维护方案；</w:t>
            </w:r>
          </w:p>
          <w:p>
            <w:pPr>
              <w:jc w:val="left"/>
              <w:rPr>
                <w:szCs w:val="21"/>
              </w:rPr>
            </w:pPr>
            <w:r>
              <w:rPr>
                <w:rFonts w:hint="eastAsia"/>
                <w:szCs w:val="21"/>
              </w:rPr>
              <w:t>（3）技术培训方案；</w:t>
            </w:r>
          </w:p>
          <w:p>
            <w:pPr>
              <w:jc w:val="left"/>
              <w:rPr>
                <w:szCs w:val="21"/>
              </w:rPr>
            </w:pPr>
            <w:r>
              <w:rPr>
                <w:rFonts w:hint="eastAsia"/>
                <w:szCs w:val="21"/>
              </w:rPr>
              <w:t>（4）备品备件支持计划。</w:t>
            </w:r>
          </w:p>
          <w:p>
            <w:pPr>
              <w:jc w:val="left"/>
              <w:rPr>
                <w:szCs w:val="21"/>
              </w:rPr>
            </w:pPr>
            <w:r>
              <w:rPr>
                <w:rFonts w:hint="eastAsia"/>
                <w:szCs w:val="21"/>
              </w:rPr>
              <w:t xml:space="preserve">（二）评分标准： </w:t>
            </w:r>
          </w:p>
          <w:p>
            <w:pPr>
              <w:jc w:val="left"/>
              <w:rPr>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szCs w:val="21"/>
              </w:rPr>
            </w:pPr>
            <w:r>
              <w:rPr>
                <w:rFonts w:hint="eastAsia"/>
                <w:szCs w:val="21"/>
              </w:rPr>
              <w:t>4.响应速度快、备品备件齐全的得1.5分；响应速度较快、备品备件较齐全的得1分；响应速度慢、备品备件不够齐全的得 0.5分：未提供的不得分。</w:t>
            </w:r>
          </w:p>
          <w:p>
            <w:pPr>
              <w:jc w:val="left"/>
              <w:rPr>
                <w:szCs w:val="21"/>
              </w:rPr>
            </w:pPr>
            <w:r>
              <w:rPr>
                <w:rFonts w:hint="eastAsia"/>
                <w:szCs w:val="21"/>
              </w:rPr>
              <w:t>以上4项合计最高6分。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b/>
                <w:bCs/>
                <w:szCs w:val="21"/>
              </w:rPr>
            </w:pPr>
            <w:r>
              <w:rPr>
                <w:rFonts w:hint="eastAsia"/>
                <w:b/>
                <w:bCs/>
                <w:szCs w:val="21"/>
              </w:rPr>
              <w:t>三、商务部分</w:t>
            </w:r>
          </w:p>
        </w:tc>
        <w:tc>
          <w:tcPr>
            <w:tcW w:w="1187" w:type="dxa"/>
            <w:vAlign w:val="center"/>
          </w:tcPr>
          <w:p>
            <w:pPr>
              <w:autoSpaceDE w:val="0"/>
              <w:autoSpaceDN w:val="0"/>
              <w:jc w:val="center"/>
              <w:rPr>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szCs w:val="21"/>
              </w:rPr>
            </w:pPr>
            <w:r>
              <w:rPr>
                <w:rFonts w:hint="eastAsia"/>
                <w:szCs w:val="21"/>
              </w:rPr>
              <w:t>序号</w:t>
            </w:r>
          </w:p>
        </w:tc>
        <w:tc>
          <w:tcPr>
            <w:tcW w:w="1143" w:type="dxa"/>
            <w:vAlign w:val="center"/>
          </w:tcPr>
          <w:p>
            <w:pPr>
              <w:autoSpaceDE w:val="0"/>
              <w:autoSpaceDN w:val="0"/>
              <w:jc w:val="center"/>
              <w:rPr>
                <w:szCs w:val="21"/>
              </w:rPr>
            </w:pPr>
            <w:r>
              <w:rPr>
                <w:rFonts w:hint="eastAsia"/>
                <w:szCs w:val="21"/>
              </w:rPr>
              <w:t>内容</w:t>
            </w:r>
          </w:p>
        </w:tc>
        <w:tc>
          <w:tcPr>
            <w:tcW w:w="709" w:type="dxa"/>
            <w:vAlign w:val="center"/>
          </w:tcPr>
          <w:p>
            <w:pPr>
              <w:autoSpaceDE w:val="0"/>
              <w:autoSpaceDN w:val="0"/>
              <w:jc w:val="center"/>
              <w:rPr>
                <w:szCs w:val="21"/>
              </w:rPr>
            </w:pPr>
            <w:r>
              <w:rPr>
                <w:rFonts w:hint="eastAsia"/>
                <w:szCs w:val="21"/>
              </w:rPr>
              <w:t>权重</w:t>
            </w:r>
          </w:p>
        </w:tc>
        <w:tc>
          <w:tcPr>
            <w:tcW w:w="5953" w:type="dxa"/>
            <w:vAlign w:val="center"/>
          </w:tcPr>
          <w:p>
            <w:pPr>
              <w:autoSpaceDE w:val="0"/>
              <w:autoSpaceDN w:val="0"/>
              <w:jc w:val="center"/>
              <w:rPr>
                <w:szCs w:val="21"/>
              </w:rPr>
            </w:pPr>
            <w:r>
              <w:rPr>
                <w:rFonts w:hint="eastAsia"/>
                <w:szCs w:val="21"/>
              </w:rPr>
              <w:t>评分规则</w:t>
            </w:r>
          </w:p>
        </w:tc>
        <w:tc>
          <w:tcPr>
            <w:tcW w:w="1187" w:type="dxa"/>
            <w:vAlign w:val="center"/>
          </w:tcPr>
          <w:p>
            <w:pPr>
              <w:autoSpaceDE w:val="0"/>
              <w:autoSpaceDN w:val="0"/>
              <w:jc w:val="center"/>
              <w:rPr>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szCs w:val="21"/>
              </w:rPr>
            </w:pPr>
            <w:r>
              <w:rPr>
                <w:rFonts w:hint="eastAsia"/>
                <w:szCs w:val="21"/>
              </w:rPr>
              <w:t>1</w:t>
            </w:r>
          </w:p>
        </w:tc>
        <w:tc>
          <w:tcPr>
            <w:tcW w:w="1143" w:type="dxa"/>
            <w:vAlign w:val="center"/>
          </w:tcPr>
          <w:p>
            <w:pPr>
              <w:jc w:val="center"/>
              <w:rPr>
                <w:szCs w:val="21"/>
              </w:rPr>
            </w:pPr>
            <w:r>
              <w:rPr>
                <w:rFonts w:hint="eastAsia"/>
                <w:szCs w:val="21"/>
              </w:rPr>
              <w:t>商务需求条款偏离情况</w:t>
            </w:r>
          </w:p>
        </w:tc>
        <w:tc>
          <w:tcPr>
            <w:tcW w:w="709" w:type="dxa"/>
            <w:vAlign w:val="center"/>
          </w:tcPr>
          <w:p>
            <w:pPr>
              <w:jc w:val="center"/>
              <w:rPr>
                <w:szCs w:val="21"/>
              </w:rPr>
            </w:pPr>
            <w:r>
              <w:rPr>
                <w:rFonts w:hint="eastAsia"/>
                <w:szCs w:val="21"/>
              </w:rPr>
              <w:t>4</w:t>
            </w:r>
          </w:p>
        </w:tc>
        <w:tc>
          <w:tcPr>
            <w:tcW w:w="5953" w:type="dxa"/>
            <w:vAlign w:val="center"/>
          </w:tcPr>
          <w:p>
            <w:pPr>
              <w:autoSpaceDE w:val="0"/>
              <w:autoSpaceDN w:val="0"/>
              <w:jc w:val="left"/>
              <w:rPr>
                <w:szCs w:val="21"/>
              </w:rPr>
            </w:pPr>
            <w:r>
              <w:rPr>
                <w:rFonts w:hint="eastAsia"/>
                <w:szCs w:val="21"/>
              </w:rPr>
              <w:t>投标人应如实填写《商务条款偏离表》，评审委员会根据服务条款响应情况进行评审：</w:t>
            </w:r>
          </w:p>
          <w:p>
            <w:pPr>
              <w:jc w:val="left"/>
              <w:rPr>
                <w:szCs w:val="21"/>
              </w:rPr>
            </w:pPr>
            <w:r>
              <w:rPr>
                <w:rFonts w:hint="eastAsia"/>
                <w:szCs w:val="21"/>
              </w:rPr>
              <w:t>完全满足招标文件商务要求，应答完整的得4分；“★”为不可偏离条款；以此为基础，投标人一般商务响应低于招标文件规定的，每有一项减0.5分。本项最低得0分。</w:t>
            </w:r>
          </w:p>
          <w:p>
            <w:pPr>
              <w:autoSpaceDE w:val="0"/>
              <w:autoSpaceDN w:val="0"/>
              <w:jc w:val="left"/>
              <w:rPr>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2</w:t>
            </w:r>
          </w:p>
        </w:tc>
        <w:tc>
          <w:tcPr>
            <w:tcW w:w="1143" w:type="dxa"/>
            <w:vAlign w:val="center"/>
          </w:tcPr>
          <w:p>
            <w:pPr>
              <w:jc w:val="center"/>
              <w:rPr>
                <w:szCs w:val="21"/>
              </w:rPr>
            </w:pPr>
            <w:r>
              <w:rPr>
                <w:rFonts w:hint="eastAsia"/>
                <w:szCs w:val="21"/>
              </w:rPr>
              <w:t>同类项目业绩情况</w:t>
            </w:r>
          </w:p>
        </w:tc>
        <w:tc>
          <w:tcPr>
            <w:tcW w:w="709" w:type="dxa"/>
            <w:vAlign w:val="center"/>
          </w:tcPr>
          <w:p>
            <w:pPr>
              <w:jc w:val="center"/>
              <w:rPr>
                <w:szCs w:val="21"/>
              </w:rPr>
            </w:pPr>
            <w:r>
              <w:rPr>
                <w:rFonts w:hint="eastAsia"/>
                <w:szCs w:val="21"/>
              </w:rPr>
              <w:t>4</w:t>
            </w:r>
          </w:p>
        </w:tc>
        <w:tc>
          <w:tcPr>
            <w:tcW w:w="5953" w:type="dxa"/>
            <w:vAlign w:val="center"/>
          </w:tcPr>
          <w:p>
            <w:pPr>
              <w:pStyle w:val="188"/>
              <w:ind w:firstLine="0" w:firstLineChars="0"/>
              <w:rPr>
                <w:rFonts w:ascii="宋体" w:hAnsi="宋体" w:cs="宋体"/>
              </w:rPr>
            </w:pPr>
            <w:r>
              <w:rPr>
                <w:rFonts w:hint="eastAsia" w:ascii="宋体" w:hAnsi="宋体" w:cs="宋体"/>
              </w:rPr>
              <w:t>（一）评分内容：</w:t>
            </w:r>
          </w:p>
          <w:p>
            <w:pPr>
              <w:rPr>
                <w:szCs w:val="21"/>
              </w:rPr>
            </w:pPr>
            <w:r>
              <w:rPr>
                <w:rFonts w:hint="eastAsia"/>
                <w:szCs w:val="21"/>
              </w:rPr>
              <w:t>自2021年10月1日至本项目投标截止日，（以合同签订日期为准）投标人具有荧光PCR仪产品销售业绩的 ，每提供1个项目得1分，最高得4分。</w:t>
            </w:r>
          </w:p>
          <w:p>
            <w:pPr>
              <w:autoSpaceDE w:val="0"/>
              <w:autoSpaceDN w:val="0"/>
              <w:jc w:val="left"/>
              <w:rPr>
                <w:szCs w:val="21"/>
              </w:rPr>
            </w:pPr>
            <w:r>
              <w:rPr>
                <w:rFonts w:hint="eastAsia"/>
                <w:szCs w:val="21"/>
              </w:rPr>
              <w:t>（二）评分依据：</w:t>
            </w:r>
          </w:p>
          <w:p>
            <w:pPr>
              <w:rPr>
                <w:szCs w:val="21"/>
              </w:rPr>
            </w:pPr>
            <w:r>
              <w:rPr>
                <w:rFonts w:hint="eastAsia"/>
                <w:szCs w:val="21"/>
              </w:rPr>
              <w:t>1. 提供合同关键页且各项信息不得有任何遮挡；</w:t>
            </w:r>
          </w:p>
          <w:p>
            <w:pPr>
              <w:rPr>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3</w:t>
            </w:r>
          </w:p>
        </w:tc>
        <w:tc>
          <w:tcPr>
            <w:tcW w:w="1143" w:type="dxa"/>
            <w:vAlign w:val="center"/>
          </w:tcPr>
          <w:p>
            <w:pPr>
              <w:jc w:val="center"/>
              <w:rPr>
                <w:szCs w:val="21"/>
              </w:rPr>
            </w:pPr>
            <w:r>
              <w:rPr>
                <w:rFonts w:hint="eastAsia"/>
                <w:szCs w:val="21"/>
              </w:rPr>
              <w:t>相关认证情况</w:t>
            </w:r>
          </w:p>
        </w:tc>
        <w:tc>
          <w:tcPr>
            <w:tcW w:w="709" w:type="dxa"/>
            <w:vAlign w:val="center"/>
          </w:tcPr>
          <w:p>
            <w:pPr>
              <w:jc w:val="center"/>
              <w:rPr>
                <w:szCs w:val="21"/>
              </w:rPr>
            </w:pPr>
            <w:r>
              <w:rPr>
                <w:rFonts w:hint="eastAsia"/>
                <w:szCs w:val="21"/>
              </w:rPr>
              <w:t>2</w:t>
            </w:r>
          </w:p>
        </w:tc>
        <w:tc>
          <w:tcPr>
            <w:tcW w:w="5953" w:type="dxa"/>
            <w:vAlign w:val="center"/>
          </w:tcPr>
          <w:p>
            <w:pPr>
              <w:pStyle w:val="188"/>
              <w:ind w:firstLine="0" w:firstLineChars="0"/>
              <w:rPr>
                <w:rFonts w:ascii="宋体" w:hAnsi="宋体" w:cs="宋体"/>
              </w:rPr>
            </w:pPr>
            <w:r>
              <w:rPr>
                <w:rFonts w:hint="eastAsia" w:ascii="宋体" w:hAnsi="宋体" w:cs="宋体"/>
              </w:rPr>
              <w:t>（一）评分内容：</w:t>
            </w:r>
          </w:p>
          <w:p>
            <w:pPr>
              <w:autoSpaceDE w:val="0"/>
              <w:autoSpaceDN w:val="0"/>
              <w:jc w:val="left"/>
              <w:rPr>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szCs w:val="21"/>
              </w:rPr>
            </w:pPr>
            <w:r>
              <w:rPr>
                <w:rFonts w:hint="eastAsia"/>
                <w:szCs w:val="21"/>
              </w:rPr>
              <w:t>（二）评分依据：</w:t>
            </w:r>
          </w:p>
          <w:p>
            <w:pPr>
              <w:autoSpaceDE w:val="0"/>
              <w:autoSpaceDN w:val="0"/>
              <w:jc w:val="left"/>
              <w:rPr>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szCs w:val="21"/>
              </w:rPr>
            </w:pPr>
            <w:r>
              <w:rPr>
                <w:rFonts w:hint="eastAsia"/>
                <w:szCs w:val="21"/>
              </w:rPr>
              <w:t>评委打分</w:t>
            </w:r>
          </w:p>
        </w:tc>
      </w:tr>
    </w:tbl>
    <w:p>
      <w:pPr>
        <w:jc w:val="center"/>
        <w:rPr>
          <w:b/>
          <w:bCs/>
        </w:rPr>
      </w:pPr>
    </w:p>
    <w:p>
      <w:pPr>
        <w:jc w:val="center"/>
        <w:rPr>
          <w:b/>
          <w:bCs/>
        </w:rPr>
      </w:pPr>
      <w:r>
        <w:rPr>
          <w:rFonts w:hint="eastAsia"/>
          <w:b/>
          <w:bCs/>
        </w:rPr>
        <w:t>02包</w:t>
      </w:r>
    </w:p>
    <w:tbl>
      <w:tblPr>
        <w:tblStyle w:val="85"/>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pPr>
              <w:autoSpaceDE w:val="0"/>
              <w:autoSpaceDN w:val="0"/>
              <w:jc w:val="center"/>
              <w:rPr>
                <w:b/>
                <w:szCs w:val="21"/>
                <w:lang w:val="zh-CN"/>
              </w:rPr>
            </w:pPr>
            <w:r>
              <w:rPr>
                <w:rFonts w:hint="eastAsia"/>
                <w:b/>
                <w:szCs w:val="21"/>
                <w:lang w:val="zh-CN"/>
              </w:rPr>
              <w:t>评分项及评分规则</w:t>
            </w:r>
          </w:p>
        </w:tc>
        <w:tc>
          <w:tcPr>
            <w:tcW w:w="1187" w:type="dxa"/>
            <w:vAlign w:val="center"/>
          </w:tcPr>
          <w:p>
            <w:pPr>
              <w:autoSpaceDE w:val="0"/>
              <w:autoSpaceDN w:val="0"/>
              <w:jc w:val="center"/>
              <w:rPr>
                <w:b/>
                <w:szCs w:val="21"/>
                <w:lang w:val="zh-CN"/>
              </w:rPr>
            </w:pPr>
            <w:r>
              <w:rPr>
                <w:rFonts w:hint="eastAsia"/>
                <w:b/>
                <w:szCs w:val="21"/>
                <w:lang w:val="zh-CN"/>
              </w:rPr>
              <w:t>权重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pPr>
              <w:autoSpaceDE w:val="0"/>
              <w:autoSpaceDN w:val="0"/>
              <w:jc w:val="center"/>
              <w:rPr>
                <w:b/>
                <w:szCs w:val="21"/>
                <w:lang w:val="zh-CN"/>
              </w:rPr>
            </w:pPr>
            <w:r>
              <w:rPr>
                <w:rFonts w:hint="eastAsia"/>
                <w:b/>
                <w:szCs w:val="21"/>
                <w:lang w:val="zh-CN"/>
              </w:rPr>
              <w:t>一、价格部分</w:t>
            </w:r>
          </w:p>
        </w:tc>
        <w:tc>
          <w:tcPr>
            <w:tcW w:w="1187" w:type="dxa"/>
            <w:vAlign w:val="center"/>
          </w:tcPr>
          <w:p>
            <w:pPr>
              <w:autoSpaceDE w:val="0"/>
              <w:autoSpaceDN w:val="0"/>
              <w:jc w:val="center"/>
              <w:rPr>
                <w:b/>
                <w:szCs w:val="21"/>
              </w:rPr>
            </w:pPr>
            <w:r>
              <w:rPr>
                <w:rFonts w:hint="eastAsia"/>
                <w:b/>
                <w:szCs w:val="21"/>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pPr>
              <w:jc w:val="left"/>
              <w:rPr>
                <w:szCs w:val="21"/>
              </w:rPr>
            </w:pPr>
            <w:r>
              <w:rPr>
                <w:rFonts w:hint="eastAsia"/>
                <w:szCs w:val="21"/>
              </w:rPr>
              <w:t>价格分采用低价优先法计算，即满足招标文件要求且投标价格最低的投标报价为评标基准价，其价格分为满分。其他投标人的价格分统一按照下列公式计算：</w:t>
            </w:r>
          </w:p>
          <w:p>
            <w:pPr>
              <w:jc w:val="left"/>
              <w:rPr>
                <w:szCs w:val="21"/>
              </w:rPr>
            </w:pPr>
            <w:r>
              <w:rPr>
                <w:rFonts w:hint="eastAsia"/>
                <w:szCs w:val="21"/>
              </w:rPr>
              <w:t>投标报价得分=(评标基准价／投标报价)×30</w:t>
            </w:r>
          </w:p>
          <w:p>
            <w:pPr>
              <w:rPr>
                <w:szCs w:val="21"/>
              </w:rPr>
            </w:pPr>
            <w:r>
              <w:rPr>
                <w:rFonts w:hint="eastAsia"/>
                <w:snapToGrid w:val="0"/>
                <w:szCs w:val="21"/>
              </w:rPr>
              <w:t>备注：1、因落实政府采购政策进行价格调整的，以调整后的价格计算评标基准价和投标报价</w:t>
            </w:r>
            <w:r>
              <w:rPr>
                <w:rFonts w:hint="eastAsia"/>
                <w:bCs/>
                <w:snapToGrid w:val="0"/>
                <w:szCs w:val="21"/>
              </w:rPr>
              <w:t>；</w:t>
            </w:r>
            <w:r>
              <w:rPr>
                <w:rFonts w:hint="eastAsia"/>
                <w:snapToGrid w:val="0"/>
                <w:szCs w:val="21"/>
              </w:rPr>
              <w:t>2、投标报价得分四舍五入后，小数点后保留两位有效数</w:t>
            </w:r>
            <w:r>
              <w:rPr>
                <w:rFonts w:hint="eastAsia"/>
                <w:szCs w:val="21"/>
              </w:rPr>
              <w:t>。</w:t>
            </w:r>
          </w:p>
        </w:tc>
        <w:tc>
          <w:tcPr>
            <w:tcW w:w="1187" w:type="dxa"/>
            <w:vAlign w:val="center"/>
          </w:tcPr>
          <w:p>
            <w:pPr>
              <w:autoSpaceDE w:val="0"/>
              <w:autoSpaceDN w:val="0"/>
              <w:jc w:val="center"/>
              <w:rPr>
                <w:szCs w:val="21"/>
              </w:rPr>
            </w:pPr>
            <w:r>
              <w:rPr>
                <w:rFonts w:hint="eastAsia"/>
                <w:szCs w:val="21"/>
                <w:lang w:val="zh-CN"/>
              </w:rPr>
              <w:t>按公式计算评分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pPr>
              <w:autoSpaceDE w:val="0"/>
              <w:autoSpaceDN w:val="0"/>
              <w:jc w:val="center"/>
              <w:rPr>
                <w:b/>
                <w:szCs w:val="21"/>
              </w:rPr>
            </w:pPr>
            <w:r>
              <w:rPr>
                <w:rFonts w:hint="eastAsia"/>
                <w:b/>
                <w:szCs w:val="21"/>
              </w:rPr>
              <w:t>二、技术部分</w:t>
            </w:r>
          </w:p>
        </w:tc>
        <w:tc>
          <w:tcPr>
            <w:tcW w:w="1187" w:type="dxa"/>
            <w:vAlign w:val="center"/>
          </w:tcPr>
          <w:p>
            <w:pPr>
              <w:autoSpaceDE w:val="0"/>
              <w:autoSpaceDN w:val="0"/>
              <w:jc w:val="center"/>
              <w:rPr>
                <w:b/>
                <w:szCs w:val="21"/>
              </w:rPr>
            </w:pPr>
            <w:r>
              <w:rPr>
                <w:rFonts w:hint="eastAsia"/>
                <w:b/>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pPr>
              <w:autoSpaceDE w:val="0"/>
              <w:autoSpaceDN w:val="0"/>
              <w:jc w:val="center"/>
              <w:rPr>
                <w:szCs w:val="21"/>
              </w:rPr>
            </w:pPr>
            <w:r>
              <w:rPr>
                <w:rFonts w:hint="eastAsia"/>
                <w:szCs w:val="21"/>
              </w:rPr>
              <w:t>序号</w:t>
            </w:r>
          </w:p>
        </w:tc>
        <w:tc>
          <w:tcPr>
            <w:tcW w:w="1143" w:type="dxa"/>
            <w:vAlign w:val="center"/>
          </w:tcPr>
          <w:p>
            <w:pPr>
              <w:autoSpaceDE w:val="0"/>
              <w:autoSpaceDN w:val="0"/>
              <w:jc w:val="center"/>
              <w:rPr>
                <w:szCs w:val="21"/>
              </w:rPr>
            </w:pPr>
            <w:r>
              <w:rPr>
                <w:rFonts w:hint="eastAsia"/>
                <w:szCs w:val="21"/>
              </w:rPr>
              <w:t>内容</w:t>
            </w:r>
          </w:p>
        </w:tc>
        <w:tc>
          <w:tcPr>
            <w:tcW w:w="709" w:type="dxa"/>
            <w:vAlign w:val="center"/>
          </w:tcPr>
          <w:p>
            <w:pPr>
              <w:autoSpaceDE w:val="0"/>
              <w:autoSpaceDN w:val="0"/>
              <w:jc w:val="center"/>
              <w:rPr>
                <w:szCs w:val="21"/>
              </w:rPr>
            </w:pPr>
            <w:r>
              <w:rPr>
                <w:rFonts w:hint="eastAsia"/>
                <w:szCs w:val="21"/>
              </w:rPr>
              <w:t>权重</w:t>
            </w:r>
          </w:p>
        </w:tc>
        <w:tc>
          <w:tcPr>
            <w:tcW w:w="5953" w:type="dxa"/>
            <w:vAlign w:val="center"/>
          </w:tcPr>
          <w:p>
            <w:pPr>
              <w:autoSpaceDE w:val="0"/>
              <w:autoSpaceDN w:val="0"/>
              <w:jc w:val="center"/>
              <w:rPr>
                <w:szCs w:val="21"/>
              </w:rPr>
            </w:pPr>
            <w:r>
              <w:rPr>
                <w:rFonts w:hint="eastAsia"/>
                <w:szCs w:val="21"/>
              </w:rPr>
              <w:t>评分规则</w:t>
            </w:r>
          </w:p>
        </w:tc>
        <w:tc>
          <w:tcPr>
            <w:tcW w:w="1187" w:type="dxa"/>
            <w:vAlign w:val="center"/>
          </w:tcPr>
          <w:p>
            <w:pPr>
              <w:autoSpaceDE w:val="0"/>
              <w:autoSpaceDN w:val="0"/>
              <w:jc w:val="center"/>
              <w:rPr>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1</w:t>
            </w:r>
          </w:p>
        </w:tc>
        <w:tc>
          <w:tcPr>
            <w:tcW w:w="1143" w:type="dxa"/>
            <w:vAlign w:val="center"/>
          </w:tcPr>
          <w:p>
            <w:pPr>
              <w:jc w:val="center"/>
              <w:rPr>
                <w:szCs w:val="21"/>
              </w:rPr>
            </w:pPr>
            <w:r>
              <w:rPr>
                <w:rFonts w:hint="eastAsia"/>
                <w:szCs w:val="21"/>
              </w:rPr>
              <w:t>技术规格偏离情况</w:t>
            </w:r>
          </w:p>
        </w:tc>
        <w:tc>
          <w:tcPr>
            <w:tcW w:w="709" w:type="dxa"/>
            <w:vAlign w:val="center"/>
          </w:tcPr>
          <w:p>
            <w:pPr>
              <w:jc w:val="center"/>
              <w:rPr>
                <w:szCs w:val="21"/>
              </w:rPr>
            </w:pPr>
            <w:r>
              <w:rPr>
                <w:rFonts w:hint="eastAsia"/>
                <w:szCs w:val="21"/>
              </w:rPr>
              <w:t>50</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完全满足招标文件技术指标、参数要求，应答完整的得50分；“★”为不可偏离参数；以此为基础，投标人的技术响应低于招标文件中规定的“▲”技术要求每有一项减6分；投标人一般技术响应低于招标文件规定的，每有一项减0.7分。本项最低得0分。</w:t>
            </w:r>
          </w:p>
          <w:p>
            <w:pPr>
              <w:jc w:val="left"/>
              <w:rPr>
                <w:szCs w:val="21"/>
              </w:rPr>
            </w:pPr>
            <w:r>
              <w:rPr>
                <w:rFonts w:hint="eastAsia"/>
                <w:szCs w:val="21"/>
              </w:rPr>
              <w:t>（二）评分依据：</w:t>
            </w:r>
          </w:p>
          <w:p>
            <w:pPr>
              <w:jc w:val="left"/>
              <w:rPr>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技术要求中包含子项参数的，按子项参数响应情况逐项评分。</w:t>
            </w:r>
          </w:p>
        </w:tc>
        <w:tc>
          <w:tcPr>
            <w:tcW w:w="1187" w:type="dxa"/>
            <w:vAlign w:val="center"/>
          </w:tcPr>
          <w:p>
            <w:pPr>
              <w:autoSpaceDE w:val="0"/>
              <w:autoSpaceDN w:val="0"/>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754" w:type="dxa"/>
            <w:vAlign w:val="center"/>
          </w:tcPr>
          <w:p>
            <w:pPr>
              <w:autoSpaceDE w:val="0"/>
              <w:autoSpaceDN w:val="0"/>
              <w:jc w:val="center"/>
              <w:rPr>
                <w:szCs w:val="21"/>
              </w:rPr>
            </w:pPr>
            <w:r>
              <w:rPr>
                <w:rFonts w:hint="eastAsia"/>
                <w:szCs w:val="21"/>
              </w:rPr>
              <w:t>2</w:t>
            </w:r>
          </w:p>
        </w:tc>
        <w:tc>
          <w:tcPr>
            <w:tcW w:w="1143" w:type="dxa"/>
            <w:vAlign w:val="center"/>
          </w:tcPr>
          <w:p>
            <w:pPr>
              <w:jc w:val="center"/>
              <w:rPr>
                <w:szCs w:val="21"/>
              </w:rPr>
            </w:pPr>
            <w:r>
              <w:rPr>
                <w:rFonts w:hint="eastAsia"/>
                <w:szCs w:val="21"/>
              </w:rPr>
              <w:t>技术保障措施</w:t>
            </w:r>
          </w:p>
        </w:tc>
        <w:tc>
          <w:tcPr>
            <w:tcW w:w="709" w:type="dxa"/>
            <w:vAlign w:val="center"/>
          </w:tcPr>
          <w:p>
            <w:pPr>
              <w:jc w:val="center"/>
              <w:rPr>
                <w:szCs w:val="21"/>
              </w:rPr>
            </w:pPr>
            <w:r>
              <w:rPr>
                <w:rFonts w:hint="eastAsia"/>
                <w:szCs w:val="21"/>
              </w:rPr>
              <w:t>4</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投标人在投标文件中详细说明技术保障措施，包含以下内容：</w:t>
            </w:r>
          </w:p>
          <w:p>
            <w:pPr>
              <w:jc w:val="left"/>
              <w:rPr>
                <w:szCs w:val="21"/>
              </w:rPr>
            </w:pPr>
            <w:r>
              <w:rPr>
                <w:rFonts w:hint="eastAsia"/>
                <w:szCs w:val="21"/>
              </w:rPr>
              <w:t>（1）供货方案；</w:t>
            </w:r>
          </w:p>
          <w:p>
            <w:pPr>
              <w:jc w:val="left"/>
              <w:rPr>
                <w:szCs w:val="21"/>
              </w:rPr>
            </w:pPr>
            <w:r>
              <w:rPr>
                <w:rFonts w:hint="eastAsia"/>
                <w:szCs w:val="21"/>
              </w:rPr>
              <w:t>（2）安装调试方案；</w:t>
            </w:r>
          </w:p>
          <w:p>
            <w:pPr>
              <w:jc w:val="left"/>
              <w:rPr>
                <w:szCs w:val="21"/>
              </w:rPr>
            </w:pPr>
            <w:r>
              <w:rPr>
                <w:rFonts w:hint="eastAsia"/>
                <w:szCs w:val="21"/>
              </w:rPr>
              <w:t>（3）质量管理措施。</w:t>
            </w:r>
          </w:p>
          <w:p>
            <w:pPr>
              <w:jc w:val="left"/>
              <w:rPr>
                <w:szCs w:val="21"/>
              </w:rPr>
            </w:pPr>
            <w:r>
              <w:rPr>
                <w:rFonts w:hint="eastAsia"/>
                <w:szCs w:val="21"/>
              </w:rPr>
              <w:t xml:space="preserve">（二）评分标准： </w:t>
            </w:r>
          </w:p>
          <w:p>
            <w:pPr>
              <w:jc w:val="left"/>
              <w:rPr>
                <w:szCs w:val="21"/>
              </w:rPr>
            </w:pPr>
            <w:r>
              <w:rPr>
                <w:rFonts w:hint="eastAsia"/>
                <w:szCs w:val="21"/>
              </w:rPr>
              <w:t>1.供货方案全面、有针对性的得2分；方案内容简单、笼统，存在较多的不足的得1分；未提供的0分。</w:t>
            </w:r>
          </w:p>
          <w:p>
            <w:pPr>
              <w:jc w:val="left"/>
              <w:rPr>
                <w:szCs w:val="21"/>
              </w:rPr>
            </w:pPr>
            <w:r>
              <w:rPr>
                <w:rFonts w:hint="eastAsia"/>
                <w:szCs w:val="21"/>
              </w:rPr>
              <w:t>2.安装调试方案全面、有针对性的得1分；方案内容简单、笼统，存在较多的不足的得0.5分；未提供的0分。</w:t>
            </w:r>
          </w:p>
          <w:p>
            <w:pPr>
              <w:jc w:val="left"/>
              <w:rPr>
                <w:szCs w:val="21"/>
              </w:rPr>
            </w:pPr>
            <w:r>
              <w:rPr>
                <w:rFonts w:hint="eastAsia"/>
                <w:szCs w:val="21"/>
              </w:rPr>
              <w:t>3.质量管理措施切实、有效的得1分；质量管理措施简单、笼统，存在较多的不足的得0.5分；未提供的0分。</w:t>
            </w:r>
          </w:p>
          <w:p>
            <w:pPr>
              <w:jc w:val="left"/>
              <w:rPr>
                <w:szCs w:val="21"/>
              </w:rPr>
            </w:pPr>
            <w:r>
              <w:rPr>
                <w:rFonts w:hint="eastAsia"/>
                <w:szCs w:val="21"/>
              </w:rPr>
              <w:t>以上3项合计最高4分。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jc w:val="center"/>
              <w:rPr>
                <w:szCs w:val="21"/>
              </w:rPr>
            </w:pPr>
            <w:r>
              <w:rPr>
                <w:rFonts w:hint="eastAsia"/>
                <w:szCs w:val="21"/>
              </w:rPr>
              <w:t>3</w:t>
            </w:r>
          </w:p>
        </w:tc>
        <w:tc>
          <w:tcPr>
            <w:tcW w:w="1143" w:type="dxa"/>
            <w:vAlign w:val="center"/>
          </w:tcPr>
          <w:p>
            <w:pPr>
              <w:jc w:val="center"/>
              <w:rPr>
                <w:szCs w:val="21"/>
              </w:rPr>
            </w:pPr>
            <w:r>
              <w:rPr>
                <w:rFonts w:hint="eastAsia"/>
                <w:szCs w:val="21"/>
              </w:rPr>
              <w:t>售后服务方案</w:t>
            </w:r>
          </w:p>
        </w:tc>
        <w:tc>
          <w:tcPr>
            <w:tcW w:w="709" w:type="dxa"/>
            <w:vAlign w:val="center"/>
          </w:tcPr>
          <w:p>
            <w:pPr>
              <w:jc w:val="center"/>
              <w:rPr>
                <w:szCs w:val="21"/>
              </w:rPr>
            </w:pPr>
            <w:r>
              <w:rPr>
                <w:rFonts w:hint="eastAsia"/>
                <w:szCs w:val="21"/>
              </w:rPr>
              <w:t>6</w:t>
            </w:r>
          </w:p>
        </w:tc>
        <w:tc>
          <w:tcPr>
            <w:tcW w:w="5953" w:type="dxa"/>
            <w:vAlign w:val="center"/>
          </w:tcPr>
          <w:p>
            <w:pPr>
              <w:jc w:val="left"/>
              <w:rPr>
                <w:szCs w:val="21"/>
              </w:rPr>
            </w:pPr>
            <w:r>
              <w:rPr>
                <w:rFonts w:hint="eastAsia"/>
                <w:szCs w:val="21"/>
              </w:rPr>
              <w:t>（一）评分内容：</w:t>
            </w:r>
          </w:p>
          <w:p>
            <w:pPr>
              <w:jc w:val="left"/>
              <w:rPr>
                <w:szCs w:val="21"/>
              </w:rPr>
            </w:pPr>
            <w:r>
              <w:rPr>
                <w:rFonts w:hint="eastAsia"/>
                <w:szCs w:val="21"/>
              </w:rPr>
              <w:t>投标人提供售后服务方案，包含以下内容：</w:t>
            </w:r>
          </w:p>
          <w:p>
            <w:pPr>
              <w:jc w:val="left"/>
              <w:rPr>
                <w:szCs w:val="21"/>
              </w:rPr>
            </w:pPr>
            <w:r>
              <w:rPr>
                <w:rFonts w:hint="eastAsia"/>
                <w:szCs w:val="21"/>
              </w:rPr>
              <w:t>（1）售后服务机构及维护人员配置；</w:t>
            </w:r>
          </w:p>
          <w:p>
            <w:pPr>
              <w:jc w:val="left"/>
              <w:rPr>
                <w:szCs w:val="21"/>
              </w:rPr>
            </w:pPr>
            <w:r>
              <w:rPr>
                <w:rFonts w:hint="eastAsia"/>
                <w:szCs w:val="21"/>
              </w:rPr>
              <w:t>（2）维修维护方案；</w:t>
            </w:r>
          </w:p>
          <w:p>
            <w:pPr>
              <w:jc w:val="left"/>
              <w:rPr>
                <w:szCs w:val="21"/>
              </w:rPr>
            </w:pPr>
            <w:r>
              <w:rPr>
                <w:rFonts w:hint="eastAsia"/>
                <w:szCs w:val="21"/>
              </w:rPr>
              <w:t>（3）技术培训方案；</w:t>
            </w:r>
          </w:p>
          <w:p>
            <w:pPr>
              <w:jc w:val="left"/>
              <w:rPr>
                <w:szCs w:val="21"/>
              </w:rPr>
            </w:pPr>
            <w:r>
              <w:rPr>
                <w:rFonts w:hint="eastAsia"/>
                <w:szCs w:val="21"/>
              </w:rPr>
              <w:t>（4）备品备件支持计划。</w:t>
            </w:r>
          </w:p>
          <w:p>
            <w:pPr>
              <w:jc w:val="left"/>
              <w:rPr>
                <w:szCs w:val="21"/>
              </w:rPr>
            </w:pPr>
            <w:r>
              <w:rPr>
                <w:rFonts w:hint="eastAsia"/>
                <w:szCs w:val="21"/>
              </w:rPr>
              <w:t xml:space="preserve">（二）评分标准： </w:t>
            </w:r>
          </w:p>
          <w:p>
            <w:pPr>
              <w:jc w:val="left"/>
              <w:rPr>
                <w:szCs w:val="21"/>
              </w:rPr>
            </w:pPr>
            <w:r>
              <w:rPr>
                <w:rFonts w:hint="eastAsia"/>
                <w:szCs w:val="21"/>
              </w:rPr>
              <w:t>1.售后服务机构便捷，售后维护人员配置完整、经验丰富的得1.5分；售后服务机构较便捷，售后维护人员配置较完整、经验较丰富的得1分；售后服务机构不便捷，售后维护人员配置不完整、经验欠缺的得0.5分；未提供的0分；</w:t>
            </w:r>
          </w:p>
          <w:p>
            <w:pPr>
              <w:jc w:val="left"/>
              <w:rPr>
                <w:szCs w:val="21"/>
              </w:rPr>
            </w:pPr>
            <w:r>
              <w:rPr>
                <w:rFonts w:hint="eastAsia"/>
                <w:szCs w:val="21"/>
              </w:rPr>
              <w:t xml:space="preserve">2.维修维护方案完善、操作性强、符合项目实际的得1.5分；维修维护方案较完善、操作性较强、较符合项目实际的得1分；维修维护方案笼统、存在不足的得0.5分；未提供维修保养方案的得0分； </w:t>
            </w:r>
          </w:p>
          <w:p>
            <w:pPr>
              <w:jc w:val="left"/>
              <w:rPr>
                <w:szCs w:val="21"/>
              </w:rPr>
            </w:pPr>
            <w:r>
              <w:rPr>
                <w:rFonts w:hint="eastAsia"/>
                <w:szCs w:val="21"/>
              </w:rPr>
              <w:t>3.培训内容完善、培训计划周全、安排合理的得1.5分；培训内容较完善、培训计划笼统的得1分：培训方案笼统、与本项目内容有偏差的得0.5分；未提供培训计划的得0分；</w:t>
            </w:r>
          </w:p>
          <w:p>
            <w:pPr>
              <w:jc w:val="left"/>
              <w:rPr>
                <w:szCs w:val="21"/>
              </w:rPr>
            </w:pPr>
            <w:r>
              <w:rPr>
                <w:rFonts w:hint="eastAsia"/>
                <w:szCs w:val="21"/>
              </w:rPr>
              <w:t>4.响应速度快、备品备件齐全的得1.5分；响应速度较快、备品备件较齐全的得1分；响应速度慢、备品备件不够齐全的得 0.5分：未提供的不得分。</w:t>
            </w:r>
          </w:p>
          <w:p>
            <w:pPr>
              <w:jc w:val="left"/>
              <w:rPr>
                <w:szCs w:val="21"/>
              </w:rPr>
            </w:pPr>
            <w:r>
              <w:rPr>
                <w:rFonts w:hint="eastAsia"/>
                <w:szCs w:val="21"/>
              </w:rPr>
              <w:t>以上4项合计最高6分。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pPr>
              <w:autoSpaceDE w:val="0"/>
              <w:autoSpaceDN w:val="0"/>
              <w:jc w:val="center"/>
              <w:rPr>
                <w:b/>
                <w:bCs/>
                <w:szCs w:val="21"/>
              </w:rPr>
            </w:pPr>
            <w:r>
              <w:rPr>
                <w:rFonts w:hint="eastAsia"/>
                <w:b/>
                <w:bCs/>
                <w:szCs w:val="21"/>
              </w:rPr>
              <w:t>三、商务部分</w:t>
            </w:r>
          </w:p>
        </w:tc>
        <w:tc>
          <w:tcPr>
            <w:tcW w:w="1187" w:type="dxa"/>
            <w:vAlign w:val="center"/>
          </w:tcPr>
          <w:p>
            <w:pPr>
              <w:autoSpaceDE w:val="0"/>
              <w:autoSpaceDN w:val="0"/>
              <w:jc w:val="center"/>
              <w:rPr>
                <w:b/>
                <w:bCs/>
                <w:szCs w:val="21"/>
              </w:rPr>
            </w:pPr>
            <w:r>
              <w:rPr>
                <w:rFonts w:hint="eastAsia"/>
                <w:b/>
                <w:bCs/>
                <w:szCs w:val="21"/>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pPr>
              <w:autoSpaceDE w:val="0"/>
              <w:autoSpaceDN w:val="0"/>
              <w:jc w:val="center"/>
              <w:rPr>
                <w:szCs w:val="21"/>
              </w:rPr>
            </w:pPr>
            <w:r>
              <w:rPr>
                <w:rFonts w:hint="eastAsia"/>
                <w:szCs w:val="21"/>
              </w:rPr>
              <w:t>序号</w:t>
            </w:r>
          </w:p>
        </w:tc>
        <w:tc>
          <w:tcPr>
            <w:tcW w:w="1143" w:type="dxa"/>
            <w:vAlign w:val="center"/>
          </w:tcPr>
          <w:p>
            <w:pPr>
              <w:autoSpaceDE w:val="0"/>
              <w:autoSpaceDN w:val="0"/>
              <w:jc w:val="center"/>
              <w:rPr>
                <w:szCs w:val="21"/>
              </w:rPr>
            </w:pPr>
            <w:r>
              <w:rPr>
                <w:rFonts w:hint="eastAsia"/>
                <w:szCs w:val="21"/>
              </w:rPr>
              <w:t>内容</w:t>
            </w:r>
          </w:p>
        </w:tc>
        <w:tc>
          <w:tcPr>
            <w:tcW w:w="709" w:type="dxa"/>
            <w:vAlign w:val="center"/>
          </w:tcPr>
          <w:p>
            <w:pPr>
              <w:autoSpaceDE w:val="0"/>
              <w:autoSpaceDN w:val="0"/>
              <w:jc w:val="center"/>
              <w:rPr>
                <w:szCs w:val="21"/>
              </w:rPr>
            </w:pPr>
            <w:r>
              <w:rPr>
                <w:rFonts w:hint="eastAsia"/>
                <w:szCs w:val="21"/>
              </w:rPr>
              <w:t>权重</w:t>
            </w:r>
          </w:p>
        </w:tc>
        <w:tc>
          <w:tcPr>
            <w:tcW w:w="5953" w:type="dxa"/>
            <w:vAlign w:val="center"/>
          </w:tcPr>
          <w:p>
            <w:pPr>
              <w:autoSpaceDE w:val="0"/>
              <w:autoSpaceDN w:val="0"/>
              <w:jc w:val="center"/>
              <w:rPr>
                <w:szCs w:val="21"/>
              </w:rPr>
            </w:pPr>
            <w:r>
              <w:rPr>
                <w:rFonts w:hint="eastAsia"/>
                <w:szCs w:val="21"/>
              </w:rPr>
              <w:t>评分规则</w:t>
            </w:r>
          </w:p>
        </w:tc>
        <w:tc>
          <w:tcPr>
            <w:tcW w:w="1187" w:type="dxa"/>
            <w:vAlign w:val="center"/>
          </w:tcPr>
          <w:p>
            <w:pPr>
              <w:autoSpaceDE w:val="0"/>
              <w:autoSpaceDN w:val="0"/>
              <w:jc w:val="center"/>
              <w:rPr>
                <w:szCs w:val="21"/>
              </w:rPr>
            </w:pPr>
            <w:r>
              <w:rPr>
                <w:rFonts w:hint="eastAsia"/>
                <w:szCs w:val="21"/>
              </w:rPr>
              <w:t>评分方式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754" w:type="dxa"/>
            <w:vAlign w:val="center"/>
          </w:tcPr>
          <w:p>
            <w:pPr>
              <w:autoSpaceDE w:val="0"/>
              <w:autoSpaceDN w:val="0"/>
              <w:jc w:val="center"/>
              <w:rPr>
                <w:szCs w:val="21"/>
              </w:rPr>
            </w:pPr>
            <w:r>
              <w:rPr>
                <w:rFonts w:hint="eastAsia"/>
                <w:szCs w:val="21"/>
              </w:rPr>
              <w:t>1</w:t>
            </w:r>
          </w:p>
        </w:tc>
        <w:tc>
          <w:tcPr>
            <w:tcW w:w="1143" w:type="dxa"/>
            <w:vAlign w:val="center"/>
          </w:tcPr>
          <w:p>
            <w:pPr>
              <w:jc w:val="center"/>
              <w:rPr>
                <w:szCs w:val="21"/>
              </w:rPr>
            </w:pPr>
            <w:r>
              <w:rPr>
                <w:rFonts w:hint="eastAsia"/>
                <w:szCs w:val="21"/>
              </w:rPr>
              <w:t>商务需求条款偏离情况</w:t>
            </w:r>
          </w:p>
        </w:tc>
        <w:tc>
          <w:tcPr>
            <w:tcW w:w="709" w:type="dxa"/>
            <w:vAlign w:val="center"/>
          </w:tcPr>
          <w:p>
            <w:pPr>
              <w:jc w:val="center"/>
              <w:rPr>
                <w:szCs w:val="21"/>
              </w:rPr>
            </w:pPr>
            <w:r>
              <w:rPr>
                <w:rFonts w:hint="eastAsia"/>
                <w:szCs w:val="21"/>
              </w:rPr>
              <w:t>4</w:t>
            </w:r>
          </w:p>
        </w:tc>
        <w:tc>
          <w:tcPr>
            <w:tcW w:w="5953" w:type="dxa"/>
            <w:vAlign w:val="center"/>
          </w:tcPr>
          <w:p>
            <w:pPr>
              <w:autoSpaceDE w:val="0"/>
              <w:autoSpaceDN w:val="0"/>
              <w:jc w:val="left"/>
              <w:rPr>
                <w:szCs w:val="21"/>
              </w:rPr>
            </w:pPr>
            <w:r>
              <w:rPr>
                <w:rFonts w:hint="eastAsia"/>
                <w:szCs w:val="21"/>
              </w:rPr>
              <w:t>投标人应如实填写《商务条款偏离表》，评审委员会根据服务条款响应情况进行评审：</w:t>
            </w:r>
          </w:p>
          <w:p>
            <w:pPr>
              <w:jc w:val="left"/>
              <w:rPr>
                <w:szCs w:val="21"/>
              </w:rPr>
            </w:pPr>
            <w:r>
              <w:rPr>
                <w:rFonts w:hint="eastAsia"/>
                <w:szCs w:val="21"/>
              </w:rPr>
              <w:t>完全满足招标文件商务要求，应答完整的得4分；“★”为不可偏离条款；以此为基础，投标人一般商务响应低于招标文件规定的，每有一项减1.5分。本项最低得0分。</w:t>
            </w:r>
          </w:p>
          <w:p>
            <w:pPr>
              <w:autoSpaceDE w:val="0"/>
              <w:autoSpaceDN w:val="0"/>
              <w:jc w:val="left"/>
              <w:rPr>
                <w:szCs w:val="21"/>
              </w:rPr>
            </w:pPr>
            <w:r>
              <w:rPr>
                <w:rFonts w:hint="eastAsia"/>
                <w:szCs w:val="21"/>
              </w:rPr>
              <w:t>商务要求中包含子项条款的，按子项条款响应情况逐项评分。</w:t>
            </w:r>
          </w:p>
        </w:tc>
        <w:tc>
          <w:tcPr>
            <w:tcW w:w="1187" w:type="dxa"/>
            <w:vAlign w:val="center"/>
          </w:tcPr>
          <w:p>
            <w:pPr>
              <w:autoSpaceDE w:val="0"/>
              <w:autoSpaceDN w:val="0"/>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2</w:t>
            </w:r>
          </w:p>
        </w:tc>
        <w:tc>
          <w:tcPr>
            <w:tcW w:w="1143" w:type="dxa"/>
            <w:vAlign w:val="center"/>
          </w:tcPr>
          <w:p>
            <w:pPr>
              <w:jc w:val="center"/>
              <w:rPr>
                <w:szCs w:val="21"/>
              </w:rPr>
            </w:pPr>
            <w:r>
              <w:rPr>
                <w:rFonts w:hint="eastAsia"/>
                <w:szCs w:val="21"/>
              </w:rPr>
              <w:t>同类项目业绩情况</w:t>
            </w:r>
          </w:p>
        </w:tc>
        <w:tc>
          <w:tcPr>
            <w:tcW w:w="709" w:type="dxa"/>
            <w:vAlign w:val="center"/>
          </w:tcPr>
          <w:p>
            <w:pPr>
              <w:jc w:val="center"/>
              <w:rPr>
                <w:szCs w:val="21"/>
              </w:rPr>
            </w:pPr>
            <w:r>
              <w:rPr>
                <w:rFonts w:hint="eastAsia"/>
                <w:szCs w:val="21"/>
              </w:rPr>
              <w:t>4</w:t>
            </w:r>
          </w:p>
        </w:tc>
        <w:tc>
          <w:tcPr>
            <w:tcW w:w="5953" w:type="dxa"/>
            <w:vAlign w:val="center"/>
          </w:tcPr>
          <w:p>
            <w:pPr>
              <w:pStyle w:val="188"/>
              <w:ind w:firstLine="0" w:firstLineChars="0"/>
              <w:rPr>
                <w:rFonts w:ascii="宋体" w:hAnsi="宋体" w:cs="宋体"/>
              </w:rPr>
            </w:pPr>
            <w:r>
              <w:rPr>
                <w:rFonts w:hint="eastAsia" w:ascii="宋体" w:hAnsi="宋体" w:cs="宋体"/>
              </w:rPr>
              <w:t>（一）评分内容：</w:t>
            </w:r>
          </w:p>
          <w:p>
            <w:pPr>
              <w:rPr>
                <w:szCs w:val="21"/>
              </w:rPr>
            </w:pPr>
            <w:r>
              <w:rPr>
                <w:rFonts w:hint="eastAsia"/>
                <w:szCs w:val="21"/>
              </w:rPr>
              <w:t>自2021年10月1日至本项目投标截止日，（以合同签订日期为准）投标人具有荧光定量PCR仪（数字PCR仪）产品销售业绩的，每提供1个项目得1分，最高得4分。</w:t>
            </w:r>
          </w:p>
          <w:p>
            <w:pPr>
              <w:autoSpaceDE w:val="0"/>
              <w:autoSpaceDN w:val="0"/>
              <w:jc w:val="left"/>
              <w:rPr>
                <w:szCs w:val="21"/>
              </w:rPr>
            </w:pPr>
            <w:r>
              <w:rPr>
                <w:rFonts w:hint="eastAsia"/>
                <w:szCs w:val="21"/>
              </w:rPr>
              <w:t>（二）评分依据：</w:t>
            </w:r>
          </w:p>
          <w:p>
            <w:pPr>
              <w:rPr>
                <w:szCs w:val="21"/>
              </w:rPr>
            </w:pPr>
            <w:r>
              <w:rPr>
                <w:rFonts w:hint="eastAsia"/>
                <w:szCs w:val="21"/>
              </w:rPr>
              <w:t>1. 提供合同关键页且各项信息不得有任何遮挡；</w:t>
            </w:r>
          </w:p>
          <w:p>
            <w:pPr>
              <w:rPr>
                <w:szCs w:val="21"/>
              </w:rPr>
            </w:pPr>
            <w:r>
              <w:rPr>
                <w:rFonts w:hint="eastAsia"/>
                <w:szCs w:val="21"/>
              </w:rPr>
              <w:t>2. 以上证明文件均提供复印件或扫描件加盖投标人公章，原件备查。未按要求提供有效证明材料或提供不清晰导致评委无法识别的不计得分。</w:t>
            </w:r>
          </w:p>
        </w:tc>
        <w:tc>
          <w:tcPr>
            <w:tcW w:w="1187" w:type="dxa"/>
            <w:vAlign w:val="center"/>
          </w:tcPr>
          <w:p>
            <w:pPr>
              <w:jc w:val="center"/>
              <w:rPr>
                <w:szCs w:val="21"/>
              </w:rPr>
            </w:pPr>
            <w:r>
              <w:rPr>
                <w:rFonts w:hint="eastAsia"/>
                <w:szCs w:val="21"/>
              </w:rPr>
              <w:t>评委打分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pPr>
              <w:autoSpaceDE w:val="0"/>
              <w:autoSpaceDN w:val="0"/>
              <w:jc w:val="center"/>
              <w:rPr>
                <w:szCs w:val="21"/>
              </w:rPr>
            </w:pPr>
            <w:r>
              <w:rPr>
                <w:rFonts w:hint="eastAsia"/>
                <w:szCs w:val="21"/>
              </w:rPr>
              <w:t>3</w:t>
            </w:r>
          </w:p>
        </w:tc>
        <w:tc>
          <w:tcPr>
            <w:tcW w:w="1143" w:type="dxa"/>
            <w:vAlign w:val="center"/>
          </w:tcPr>
          <w:p>
            <w:pPr>
              <w:jc w:val="center"/>
              <w:rPr>
                <w:szCs w:val="21"/>
              </w:rPr>
            </w:pPr>
            <w:r>
              <w:rPr>
                <w:rFonts w:hint="eastAsia"/>
                <w:szCs w:val="21"/>
              </w:rPr>
              <w:t>相关认证情况</w:t>
            </w:r>
          </w:p>
        </w:tc>
        <w:tc>
          <w:tcPr>
            <w:tcW w:w="709" w:type="dxa"/>
            <w:vAlign w:val="center"/>
          </w:tcPr>
          <w:p>
            <w:pPr>
              <w:jc w:val="center"/>
              <w:rPr>
                <w:szCs w:val="21"/>
              </w:rPr>
            </w:pPr>
            <w:r>
              <w:rPr>
                <w:rFonts w:hint="eastAsia"/>
                <w:szCs w:val="21"/>
              </w:rPr>
              <w:t>2</w:t>
            </w:r>
          </w:p>
        </w:tc>
        <w:tc>
          <w:tcPr>
            <w:tcW w:w="5953" w:type="dxa"/>
            <w:vAlign w:val="center"/>
          </w:tcPr>
          <w:p>
            <w:pPr>
              <w:pStyle w:val="188"/>
              <w:ind w:firstLine="0" w:firstLineChars="0"/>
              <w:rPr>
                <w:rFonts w:ascii="宋体" w:hAnsi="宋体" w:cs="宋体"/>
              </w:rPr>
            </w:pPr>
            <w:r>
              <w:rPr>
                <w:rFonts w:hint="eastAsia" w:ascii="宋体" w:hAnsi="宋体" w:cs="宋体"/>
              </w:rPr>
              <w:t>（一）评分内容：</w:t>
            </w:r>
          </w:p>
          <w:p>
            <w:pPr>
              <w:autoSpaceDE w:val="0"/>
              <w:autoSpaceDN w:val="0"/>
              <w:jc w:val="left"/>
              <w:rPr>
                <w:szCs w:val="21"/>
              </w:rPr>
            </w:pPr>
            <w:r>
              <w:rPr>
                <w:rFonts w:hint="eastAsia"/>
                <w:szCs w:val="21"/>
              </w:rPr>
              <w:t>所投产品生产厂家具有质量管理体系认证证书、环境管理体系认证证书、职业健康安全管理体系认证证书，每提供1个有效认证证书得1分，提供2个或以上有效认证证书得2分。</w:t>
            </w:r>
          </w:p>
          <w:p>
            <w:pPr>
              <w:autoSpaceDE w:val="0"/>
              <w:autoSpaceDN w:val="0"/>
              <w:jc w:val="left"/>
              <w:rPr>
                <w:szCs w:val="21"/>
              </w:rPr>
            </w:pPr>
            <w:r>
              <w:rPr>
                <w:rFonts w:hint="eastAsia"/>
                <w:szCs w:val="21"/>
              </w:rPr>
              <w:t>（二）评分依据：</w:t>
            </w:r>
          </w:p>
          <w:p>
            <w:pPr>
              <w:autoSpaceDE w:val="0"/>
              <w:autoSpaceDN w:val="0"/>
              <w:jc w:val="left"/>
              <w:rPr>
                <w:szCs w:val="21"/>
              </w:rPr>
            </w:pPr>
            <w:r>
              <w:rPr>
                <w:rFonts w:hint="eastAsia"/>
                <w:szCs w:val="21"/>
              </w:rPr>
              <w:t>1. 提供有效认证证书（如认证证书注明年审要求的，必须按规定年审且证书在有效期内的方为有效；如未注明年审要求的，证书必须在有效期内的方为有效）；</w:t>
            </w:r>
          </w:p>
          <w:p>
            <w:pPr>
              <w:autoSpaceDE w:val="0"/>
              <w:autoSpaceDN w:val="0"/>
              <w:jc w:val="left"/>
              <w:rPr>
                <w:szCs w:val="21"/>
              </w:rPr>
            </w:pPr>
            <w:r>
              <w:rPr>
                <w:rFonts w:hint="eastAsia"/>
                <w:szCs w:val="21"/>
              </w:rPr>
              <w:t>2. 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pPr>
              <w:rPr>
                <w:szCs w:val="21"/>
              </w:rPr>
            </w:pPr>
            <w:r>
              <w:rPr>
                <w:rFonts w:hint="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pPr>
              <w:jc w:val="center"/>
              <w:rPr>
                <w:szCs w:val="21"/>
              </w:rPr>
            </w:pPr>
            <w:r>
              <w:rPr>
                <w:rFonts w:hint="eastAsia"/>
                <w:szCs w:val="21"/>
              </w:rPr>
              <w:t>评委打分</w:t>
            </w:r>
          </w:p>
        </w:tc>
      </w:tr>
    </w:tbl>
    <w:p>
      <w:pPr>
        <w:jc w:val="center"/>
        <w:rPr>
          <w:b/>
          <w:bCs/>
        </w:rPr>
      </w:pPr>
    </w:p>
    <w:p>
      <w:pPr>
        <w:tabs>
          <w:tab w:val="clear" w:pos="426"/>
        </w:tabs>
        <w:spacing w:line="240" w:lineRule="auto"/>
      </w:pPr>
      <w:r>
        <w:rPr>
          <w:rFonts w:hint="eastAsia"/>
        </w:rPr>
        <w:t>备注：</w:t>
      </w:r>
    </w:p>
    <w:p>
      <w:pPr>
        <w:tabs>
          <w:tab w:val="clear" w:pos="426"/>
        </w:tabs>
        <w:spacing w:line="240" w:lineRule="auto"/>
        <w:ind w:firstLine="420" w:firstLineChars="200"/>
      </w:pPr>
      <w:r>
        <w:rPr>
          <w:rFonts w:hint="eastAsia"/>
        </w:rPr>
        <w:t>1. 缺项则该项为0分或不合格为0分。</w:t>
      </w:r>
    </w:p>
    <w:p>
      <w:pPr>
        <w:tabs>
          <w:tab w:val="clear" w:pos="426"/>
        </w:tabs>
        <w:spacing w:line="240" w:lineRule="auto"/>
        <w:ind w:firstLine="420" w:firstLineChars="200"/>
      </w:pPr>
      <w:r>
        <w:rPr>
          <w:rFonts w:hint="eastAsia"/>
        </w:rPr>
        <w:t>2.</w:t>
      </w:r>
      <w:r>
        <w:t xml:space="preserve"> 价格、技术、商务部分为针对项目具体情况设置项目，累加满分为100分，固定额外加分部分为固定设置项，对涉及政策导向优先采购产品进行额外加分</w:t>
      </w:r>
      <w:r>
        <w:rPr>
          <w:rFonts w:hint="eastAsia"/>
        </w:rPr>
        <w:t>。</w:t>
      </w:r>
    </w:p>
    <w:p>
      <w:pPr>
        <w:tabs>
          <w:tab w:val="clear" w:pos="426"/>
        </w:tabs>
        <w:spacing w:line="240" w:lineRule="auto"/>
        <w:ind w:firstLine="420" w:firstLineChars="200"/>
      </w:pPr>
      <w:r>
        <w:rPr>
          <w:rFonts w:hint="eastAsia"/>
        </w:rPr>
        <w:t>3. 综合以上分析比较，评委会将对各投标文件进行书面的量化评定，得分</w:t>
      </w:r>
      <w:r>
        <w:t>精确到小数点后两位</w:t>
      </w:r>
      <w:r>
        <w:rPr>
          <w:rFonts w:hint="eastAsia"/>
        </w:rPr>
        <w:t>。</w:t>
      </w:r>
    </w:p>
    <w:p>
      <w:pPr>
        <w:tabs>
          <w:tab w:val="clear" w:pos="426"/>
        </w:tabs>
        <w:spacing w:line="240" w:lineRule="auto"/>
        <w:ind w:firstLine="420" w:firstLineChars="200"/>
      </w:pPr>
      <w:r>
        <w:rPr>
          <w:rFonts w:hint="eastAsia"/>
        </w:rPr>
        <w:t>4. 客观评分项，所有评审专家应当统一打分分值；主观评分项，评审专家应当按照打分标准独立打分。</w:t>
      </w:r>
    </w:p>
    <w:p/>
    <w:p/>
    <w:p>
      <w:r>
        <w:rPr>
          <w:rFonts w:hint="eastAsia"/>
        </w:rPr>
        <w:br w:type="page"/>
      </w:r>
    </w:p>
    <w:p>
      <w:pPr>
        <w:pStyle w:val="62"/>
      </w:pPr>
      <w:bookmarkStart w:id="66" w:name="_Toc26041"/>
      <w:r>
        <w:rPr>
          <w:rFonts w:hint="eastAsia"/>
        </w:rPr>
        <w:t>前附表（四）</w:t>
      </w:r>
      <w:bookmarkEnd w:id="66"/>
    </w:p>
    <w:p>
      <w:pPr>
        <w:adjustRightInd/>
        <w:snapToGrid/>
        <w:spacing w:before="280" w:after="290" w:line="377" w:lineRule="auto"/>
        <w:jc w:val="left"/>
        <w:outlineLvl w:val="2"/>
        <w:rPr>
          <w:b/>
          <w:sz w:val="24"/>
        </w:rPr>
      </w:pPr>
      <w:bookmarkStart w:id="67" w:name="_Toc12567"/>
      <w:r>
        <w:rPr>
          <w:rFonts w:hint="eastAsia"/>
          <w:b/>
          <w:sz w:val="24"/>
        </w:rPr>
        <w:t>1.资格审查</w:t>
      </w:r>
      <w:bookmarkEnd w:id="67"/>
    </w:p>
    <w:p>
      <w:pPr>
        <w:tabs>
          <w:tab w:val="clear" w:pos="426"/>
        </w:tabs>
        <w:spacing w:line="300" w:lineRule="auto"/>
        <w:ind w:firstLine="420" w:firstLineChars="200"/>
      </w:pPr>
      <w:r>
        <w:rPr>
          <w:rFonts w:hint="eastAsia"/>
        </w:rPr>
        <w:t>依据法律法规和招标文件的规定，对投标文件中的资格证明等进行审查，以确定投标供应商是否具备投标资格。审查内容请详见“前附表（一）资格审查表”。投标供应商若有一条审查不通过则按无效标处理。评标委员会对投标单位打√为通过审查，打×为未通过审查。</w:t>
      </w:r>
    </w:p>
    <w:p>
      <w:pPr>
        <w:adjustRightInd/>
        <w:snapToGrid/>
        <w:spacing w:before="280" w:after="290" w:line="377" w:lineRule="auto"/>
        <w:jc w:val="left"/>
        <w:outlineLvl w:val="2"/>
        <w:rPr>
          <w:b/>
          <w:sz w:val="24"/>
        </w:rPr>
      </w:pPr>
      <w:bookmarkStart w:id="68" w:name="_Toc1724"/>
      <w:r>
        <w:rPr>
          <w:rFonts w:hint="eastAsia"/>
          <w:b/>
          <w:sz w:val="24"/>
        </w:rPr>
        <w:t>2.评标方法</w:t>
      </w:r>
      <w:bookmarkEnd w:id="68"/>
    </w:p>
    <w:p>
      <w:pPr>
        <w:tabs>
          <w:tab w:val="clear" w:pos="426"/>
        </w:tabs>
        <w:spacing w:line="300" w:lineRule="auto"/>
        <w:ind w:firstLine="420" w:firstLineChars="200"/>
      </w:pPr>
      <w:r>
        <w:rPr>
          <w:rFonts w:hint="eastAsia"/>
        </w:rPr>
        <w:t>2.1本项目评标方法为：综合评分法</w:t>
      </w:r>
    </w:p>
    <w:p>
      <w:pPr>
        <w:tabs>
          <w:tab w:val="clear" w:pos="426"/>
        </w:tabs>
        <w:spacing w:line="300" w:lineRule="auto"/>
        <w:ind w:firstLine="422" w:firstLineChars="200"/>
        <w:rPr>
          <w:b/>
          <w:bCs/>
        </w:rPr>
      </w:pPr>
      <w:r>
        <w:rPr>
          <w:rFonts w:hint="eastAsia"/>
          <w:b/>
          <w:bCs/>
        </w:rPr>
        <w:t>（1）本项目共2个包，包划分详见招标文件第二章项目需求-一、货物清单一览表。</w:t>
      </w:r>
    </w:p>
    <w:p>
      <w:pPr>
        <w:tabs>
          <w:tab w:val="clear" w:pos="426"/>
        </w:tabs>
        <w:spacing w:line="300" w:lineRule="auto"/>
        <w:ind w:firstLine="422" w:firstLineChars="200"/>
        <w:rPr>
          <w:b/>
          <w:bCs/>
        </w:rPr>
      </w:pPr>
      <w:r>
        <w:rPr>
          <w:rFonts w:hint="eastAsia"/>
          <w:b/>
          <w:bCs/>
        </w:rPr>
        <w:t>（2）本项目通过公开招标每包确定1家中标供应商，投标供应商可选择1个包或2个包进行投标响应。</w:t>
      </w:r>
    </w:p>
    <w:p>
      <w:pPr>
        <w:tabs>
          <w:tab w:val="clear" w:pos="426"/>
        </w:tabs>
        <w:spacing w:line="300" w:lineRule="auto"/>
        <w:ind w:firstLine="422" w:firstLineChars="200"/>
        <w:rPr>
          <w:b/>
          <w:bCs/>
        </w:rPr>
      </w:pPr>
      <w:r>
        <w:rPr>
          <w:rFonts w:hint="eastAsia"/>
          <w:b/>
          <w:bCs/>
        </w:rPr>
        <w:t>（3）评标委员会依次评审01包、02包。</w:t>
      </w:r>
    </w:p>
    <w:p>
      <w:pPr>
        <w:tabs>
          <w:tab w:val="clear" w:pos="426"/>
        </w:tabs>
        <w:spacing w:line="300" w:lineRule="auto"/>
        <w:ind w:firstLine="422" w:firstLineChars="200"/>
        <w:rPr>
          <w:b/>
          <w:bCs/>
        </w:rPr>
      </w:pPr>
      <w:r>
        <w:rPr>
          <w:rFonts w:hint="eastAsia"/>
          <w:b/>
          <w:bCs/>
        </w:rPr>
        <w:t>（4）每个包由评标委员会推荐评标总得分前三名的投标供应商作为候选中标供应商，每个包评标总得分第一名的投标供应商作为对应包的中标供应商，01包排名第一的中标供应商亦可作为02包的中标供应商（兼投兼中原则）。</w:t>
      </w:r>
    </w:p>
    <w:p>
      <w:pPr>
        <w:tabs>
          <w:tab w:val="clear" w:pos="426"/>
        </w:tabs>
        <w:spacing w:line="300" w:lineRule="auto"/>
        <w:ind w:firstLine="422" w:firstLineChars="200"/>
        <w:rPr>
          <w:b/>
          <w:bCs/>
        </w:rPr>
      </w:pPr>
      <w:r>
        <w:rPr>
          <w:rFonts w:hint="eastAsia"/>
          <w:b/>
          <w:bCs/>
        </w:rPr>
        <w:t>（5）根据公开招标竞争性原则，当某个包合格投标供应商数量小于3名时，该包废标，但不影响其他包；当两个包合格投标供应商数量均小于3名时，本项目废标，采购代理机构重新组织采购。</w:t>
      </w:r>
    </w:p>
    <w:p>
      <w:pPr>
        <w:tabs>
          <w:tab w:val="clear" w:pos="426"/>
        </w:tabs>
        <w:spacing w:line="300" w:lineRule="auto"/>
        <w:ind w:firstLine="420" w:firstLineChars="200"/>
      </w:pPr>
      <w:r>
        <w:rPr>
          <w:rFonts w:hint="eastAsia"/>
        </w:rPr>
        <w:t>（6）当某包合格投标供应商数量大于等于3名时，评标委员会依据本次评标所采用的综合评分法，按照招标文件中规定的各项因素进行量化打分，每个投标单位的总得分取算术平均值确定其评标总得分。</w:t>
      </w:r>
    </w:p>
    <w:p>
      <w:pPr>
        <w:tabs>
          <w:tab w:val="clear" w:pos="426"/>
        </w:tabs>
        <w:spacing w:line="300" w:lineRule="auto"/>
        <w:ind w:firstLine="420" w:firstLineChars="200"/>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pPr>
      <w:r>
        <w:rPr>
          <w:rFonts w:hint="eastAsia"/>
        </w:rPr>
        <w:t>2.2中标人放弃中标资格或者中标人的中标资格被依法确认无效的，将重新组织采购。因情况紧急，重新组织采购不能满足采购人要求的，采购人可以确定备选中标人为替补中标人。采购人确定备选中标人为替补中标人的，代理机构将替补中标人的情况予以公示，公示无异议的，确定新的中标人；公示有异议且异议成立的将重新组织采购。替补中标人放弃中标资格或者中标资格被依法确认无效的，将重新组织采购。</w:t>
      </w:r>
    </w:p>
    <w:p>
      <w:pPr>
        <w:tabs>
          <w:tab w:val="clear" w:pos="426"/>
        </w:tabs>
        <w:spacing w:line="300" w:lineRule="auto"/>
        <w:ind w:firstLine="420" w:firstLineChars="200"/>
      </w:pPr>
      <w:r>
        <w:rPr>
          <w:rFonts w:hint="eastAsia"/>
        </w:rPr>
        <w:t>2.3价格分计算方法</w:t>
      </w:r>
    </w:p>
    <w:p>
      <w:pPr>
        <w:tabs>
          <w:tab w:val="clear" w:pos="426"/>
        </w:tabs>
        <w:spacing w:line="300" w:lineRule="auto"/>
        <w:ind w:firstLine="420" w:firstLineChars="200"/>
      </w:pPr>
      <w:r>
        <w:rPr>
          <w:rFonts w:hint="eastAsia"/>
        </w:rPr>
        <w:t>满足招标文件要求且投标价格最低的投标报价为评标基准价，其价格分为满分。其他投标人的价格分统一按照下列公式计算：</w:t>
      </w:r>
    </w:p>
    <w:p>
      <w:pPr>
        <w:tabs>
          <w:tab w:val="clear" w:pos="426"/>
        </w:tabs>
        <w:spacing w:line="300" w:lineRule="auto"/>
        <w:ind w:firstLine="420" w:firstLineChars="200"/>
      </w:pPr>
      <w:r>
        <w:rPr>
          <w:rFonts w:hint="eastAsia"/>
        </w:rPr>
        <w:t>投标报价得分=(评标基准价／投标报价)×30</w:t>
      </w:r>
    </w:p>
    <w:p>
      <w:pPr>
        <w:tabs>
          <w:tab w:val="clear" w:pos="426"/>
        </w:tabs>
        <w:spacing w:line="300" w:lineRule="auto"/>
        <w:ind w:firstLine="420" w:firstLineChars="200"/>
      </w:pPr>
      <w:r>
        <w:rPr>
          <w:rFonts w:hint="eastAsia"/>
        </w:rPr>
        <w:t>2.4评标优惠政策</w:t>
      </w:r>
    </w:p>
    <w:p>
      <w:pPr>
        <w:tabs>
          <w:tab w:val="clear" w:pos="426"/>
        </w:tabs>
        <w:spacing w:line="300" w:lineRule="auto"/>
        <w:ind w:firstLine="422" w:firstLineChars="200"/>
        <w:rPr>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pPr>
        <w:tabs>
          <w:tab w:val="clear" w:pos="426"/>
        </w:tabs>
        <w:spacing w:line="300" w:lineRule="auto"/>
        <w:ind w:firstLine="420" w:firstLineChars="200"/>
        <w:rPr>
          <w:szCs w:val="21"/>
        </w:rPr>
      </w:pPr>
      <w:r>
        <w:t>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10</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pPr>
        <w:tabs>
          <w:tab w:val="clear" w:pos="426"/>
        </w:tabs>
        <w:spacing w:line="300" w:lineRule="auto"/>
        <w:ind w:firstLine="420" w:firstLineChars="200"/>
        <w:rPr>
          <w:szCs w:val="21"/>
        </w:rPr>
      </w:pPr>
      <w:r>
        <w:rPr>
          <w:rFonts w:hint="eastAsia"/>
          <w:szCs w:val="21"/>
        </w:rPr>
        <w:t>2.5</w:t>
      </w:r>
      <w:r>
        <w:rPr>
          <w:szCs w:val="21"/>
        </w:rPr>
        <w:t>其他需要落实的政府采购政策</w:t>
      </w:r>
    </w:p>
    <w:p>
      <w:pPr>
        <w:tabs>
          <w:tab w:val="clear" w:pos="426"/>
        </w:tabs>
        <w:spacing w:line="300" w:lineRule="auto"/>
        <w:ind w:firstLine="420" w:firstLineChars="200"/>
        <w:rPr>
          <w:szCs w:val="21"/>
        </w:rPr>
      </w:pPr>
      <w:r>
        <w:rPr>
          <w:szCs w:val="21"/>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pPr>
        <w:tabs>
          <w:tab w:val="clear" w:pos="426"/>
        </w:tabs>
        <w:spacing w:line="300" w:lineRule="auto"/>
        <w:ind w:firstLine="420" w:firstLineChars="200"/>
        <w:rPr>
          <w:szCs w:val="21"/>
        </w:rPr>
      </w:pPr>
      <w:r>
        <w:rPr>
          <w:szCs w:val="21"/>
        </w:rPr>
        <w:t>根据财政部《关于在政府采购活动中查询及使用信用记录有关问题的通知》（财库〔2016〕125号），供应商信用信息的查询渠道为“信用中国（https：//www.creditchina.gov.cn/）”中的“信用服务”栏的“重大税收违法案件当事人名单”“失信被执行人”、“中国政府采购网（http：//www.ccgp.gov.cn/）” 中的“政府采购严重违法失信行为记录名单”，相关信息以开标当日的查询结果为准。</w:t>
      </w:r>
    </w:p>
    <w:p>
      <w:pPr>
        <w:tabs>
          <w:tab w:val="clear" w:pos="426"/>
        </w:tabs>
        <w:spacing w:line="300" w:lineRule="auto"/>
        <w:ind w:firstLine="420" w:firstLineChars="200"/>
        <w:rPr>
          <w:szCs w:val="21"/>
        </w:rPr>
      </w:pPr>
      <w:r>
        <w:rPr>
          <w:rFonts w:hint="eastAsia"/>
          <w:szCs w:val="21"/>
        </w:rPr>
        <w:t>2.6</w:t>
      </w:r>
      <w:r>
        <w:rPr>
          <w:szCs w:val="21"/>
        </w:rPr>
        <w:t>评标专家应对通过投标文件初审进入评标程序的投标文件先评技术标、再评商务标；</w:t>
      </w:r>
    </w:p>
    <w:p>
      <w:pPr>
        <w:tabs>
          <w:tab w:val="clear" w:pos="426"/>
        </w:tabs>
        <w:spacing w:line="300" w:lineRule="auto"/>
        <w:ind w:firstLine="420" w:firstLineChars="200"/>
        <w:rPr>
          <w:szCs w:val="21"/>
        </w:rPr>
      </w:pPr>
      <w:r>
        <w:rPr>
          <w:rFonts w:hint="eastAsia"/>
          <w:szCs w:val="21"/>
        </w:rPr>
        <w:t>2.7</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pPr>
        <w:tabs>
          <w:tab w:val="clear" w:pos="426"/>
        </w:tabs>
        <w:spacing w:line="300" w:lineRule="auto"/>
        <w:ind w:firstLine="420" w:firstLineChars="200"/>
      </w:pPr>
      <w:r>
        <w:rPr>
          <w:rFonts w:hint="eastAsia"/>
          <w:szCs w:val="21"/>
        </w:rPr>
        <w:t>2.8评标委员会在评标时，应按照“前附表（三）综合评分法评分因素和权重分值表”量化的评审因素，对各投标文件进行分析和比较。</w:t>
      </w:r>
    </w:p>
    <w:p>
      <w:pPr>
        <w:adjustRightInd/>
        <w:snapToGrid/>
        <w:spacing w:before="280" w:after="290" w:line="377" w:lineRule="auto"/>
        <w:jc w:val="left"/>
        <w:outlineLvl w:val="2"/>
        <w:rPr>
          <w:b/>
          <w:sz w:val="24"/>
        </w:rPr>
      </w:pPr>
      <w:bookmarkStart w:id="69" w:name="_Toc16831"/>
      <w:r>
        <w:rPr>
          <w:rFonts w:hint="eastAsia"/>
          <w:b/>
          <w:sz w:val="24"/>
        </w:rPr>
        <w:t>3.符合性审查</w:t>
      </w:r>
      <w:bookmarkEnd w:id="69"/>
    </w:p>
    <w:p>
      <w:pPr>
        <w:tabs>
          <w:tab w:val="clear" w:pos="426"/>
        </w:tabs>
        <w:spacing w:line="300" w:lineRule="auto"/>
        <w:ind w:firstLine="420" w:firstLineChars="200"/>
      </w:pPr>
      <w:r>
        <w:rPr>
          <w:rFonts w:hint="eastAsia"/>
        </w:rPr>
        <w:t>依据招标文件的规定，从投标文件的有效性、完整性和对招标文件的响应程度等进行审查，以确定是否对招标文件的实质性要求作出响应。审查内容请详见“前附表（二）符合性审查表”。投标供应商若有一条审查不通过则按无效标处理。评标委员会对投标单位打√为通过审查，打×为未通过审查。</w:t>
      </w:r>
    </w:p>
    <w:p>
      <w:pPr>
        <w:adjustRightInd/>
        <w:snapToGrid/>
        <w:spacing w:before="280" w:after="290" w:line="377" w:lineRule="auto"/>
        <w:jc w:val="left"/>
        <w:outlineLvl w:val="2"/>
        <w:rPr>
          <w:b/>
          <w:sz w:val="24"/>
        </w:rPr>
      </w:pPr>
      <w:bookmarkStart w:id="70" w:name="_Toc29518"/>
      <w:r>
        <w:rPr>
          <w:rFonts w:hint="eastAsia"/>
          <w:b/>
          <w:sz w:val="24"/>
        </w:rPr>
        <w:t>4.比较与评价</w:t>
      </w:r>
      <w:bookmarkEnd w:id="70"/>
    </w:p>
    <w:p>
      <w:pPr>
        <w:tabs>
          <w:tab w:val="clear" w:pos="426"/>
        </w:tabs>
        <w:spacing w:line="300" w:lineRule="auto"/>
        <w:ind w:firstLine="420" w:firstLineChars="200"/>
      </w:pPr>
      <w:r>
        <w:rPr>
          <w:rFonts w:hint="eastAsia"/>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pPr>
        <w:tabs>
          <w:tab w:val="clear" w:pos="426"/>
        </w:tabs>
        <w:spacing w:line="300" w:lineRule="auto"/>
        <w:ind w:firstLine="420" w:firstLineChars="200"/>
      </w:pPr>
      <w:r>
        <w:rPr>
          <w:rFonts w:hint="eastAsia"/>
        </w:rPr>
        <w:t>评标委员会对每个通过资格性检查和符合性检查且报价不超过预算控制金额的投标供应商进行评审、打分，然后汇总每个投标供应商每项评分因素的评分。</w:t>
      </w:r>
    </w:p>
    <w:p>
      <w:pPr>
        <w:tabs>
          <w:tab w:val="clear" w:pos="426"/>
        </w:tabs>
        <w:spacing w:line="300" w:lineRule="auto"/>
        <w:ind w:firstLine="420" w:firstLineChars="200"/>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pPr>
        <w:adjustRightInd/>
        <w:snapToGrid/>
        <w:spacing w:before="280" w:after="290" w:line="377" w:lineRule="auto"/>
        <w:jc w:val="left"/>
        <w:outlineLvl w:val="2"/>
        <w:rPr>
          <w:b/>
          <w:sz w:val="24"/>
        </w:rPr>
      </w:pPr>
      <w:bookmarkStart w:id="71" w:name="_Toc13196"/>
      <w:r>
        <w:rPr>
          <w:rFonts w:hint="eastAsia"/>
          <w:b/>
          <w:sz w:val="24"/>
        </w:rPr>
        <w:t>5.编写评标报告</w:t>
      </w:r>
      <w:bookmarkEnd w:id="71"/>
    </w:p>
    <w:p>
      <w:pPr>
        <w:tabs>
          <w:tab w:val="clear" w:pos="426"/>
        </w:tabs>
        <w:spacing w:line="300" w:lineRule="auto"/>
        <w:ind w:firstLine="420" w:firstLineChars="200"/>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adjustRightInd/>
        <w:snapToGrid/>
        <w:spacing w:before="280" w:after="290" w:line="377" w:lineRule="auto"/>
        <w:jc w:val="left"/>
        <w:outlineLvl w:val="2"/>
        <w:rPr>
          <w:b/>
          <w:sz w:val="24"/>
        </w:rPr>
      </w:pPr>
      <w:bookmarkStart w:id="72" w:name="_Toc15875"/>
      <w:r>
        <w:rPr>
          <w:rFonts w:hint="eastAsia"/>
          <w:b/>
          <w:sz w:val="24"/>
        </w:rPr>
        <w:t>6.评标委员会对招标失败的论证意见</w:t>
      </w:r>
      <w:bookmarkEnd w:id="72"/>
    </w:p>
    <w:p>
      <w:pPr>
        <w:tabs>
          <w:tab w:val="clear" w:pos="426"/>
        </w:tabs>
        <w:spacing w:line="300" w:lineRule="auto"/>
        <w:ind w:firstLine="422" w:firstLineChars="200"/>
        <w:rPr>
          <w:b/>
          <w:bCs/>
        </w:rPr>
      </w:pPr>
      <w:r>
        <w:rPr>
          <w:rFonts w:hint="eastAsia"/>
          <w:b/>
          <w:bCs/>
        </w:rPr>
        <w:t>根据《财库〔2012〕69号财政部关于进一步规范政府采购评审工作有关问题的通知》的规定，评审委员会要在采购项目招标失败时，出具招标文件是否存在不合理条款的论证意见，论证意见写进评审报告中。</w:t>
      </w:r>
      <w:bookmarkEnd w:id="64"/>
      <w:bookmarkStart w:id="73" w:name="_Toc432592812"/>
    </w:p>
    <w:bookmarkEnd w:id="73"/>
    <w:p>
      <w:bookmarkStart w:id="74" w:name="_Toc432592814"/>
      <w:r>
        <w:br w:type="page"/>
      </w:r>
      <w:bookmarkEnd w:id="74"/>
      <w:bookmarkStart w:id="75" w:name="_Toc530152519"/>
      <w:bookmarkStart w:id="76" w:name="_Toc398220525"/>
      <w:bookmarkStart w:id="77" w:name="_Toc432592816"/>
    </w:p>
    <w:bookmarkEnd w:id="75"/>
    <w:p>
      <w:pPr>
        <w:pStyle w:val="62"/>
      </w:pPr>
      <w:bookmarkStart w:id="78" w:name="_Toc7991"/>
      <w:r>
        <w:rPr>
          <w:rFonts w:hint="eastAsia"/>
        </w:rPr>
        <w:t>第五章 合同文本</w:t>
      </w:r>
      <w:bookmarkEnd w:id="78"/>
    </w:p>
    <w:bookmarkEnd w:id="76"/>
    <w:bookmarkEnd w:id="77"/>
    <w:p>
      <w:pPr>
        <w:pStyle w:val="425"/>
        <w:rPr>
          <w:rFonts w:hAnsi="宋体"/>
          <w:b/>
          <w:bCs/>
          <w:sz w:val="28"/>
          <w:szCs w:val="28"/>
        </w:rPr>
      </w:pPr>
      <w:bookmarkStart w:id="79" w:name="_Toc398220526"/>
      <w:bookmarkStart w:id="80" w:name="_Toc432592818"/>
      <w:r>
        <w:rPr>
          <w:rFonts w:hint="eastAsia" w:hAnsi="宋体"/>
          <w:b/>
          <w:bCs/>
          <w:sz w:val="28"/>
          <w:szCs w:val="28"/>
        </w:rPr>
        <w:t>本合同实际签订将根据供应商响应情况对合同进行删减调整</w:t>
      </w:r>
    </w:p>
    <w:p>
      <w:pPr>
        <w:pStyle w:val="425"/>
        <w:rPr>
          <w:rFonts w:hAnsi="宋体"/>
          <w:b/>
          <w:bCs/>
          <w:sz w:val="28"/>
          <w:szCs w:val="28"/>
        </w:rPr>
      </w:pPr>
    </w:p>
    <w:p>
      <w:pPr>
        <w:pStyle w:val="425"/>
        <w:rPr>
          <w:rFonts w:hAnsi="宋体"/>
          <w:b/>
          <w:bCs/>
          <w:sz w:val="28"/>
          <w:szCs w:val="28"/>
        </w:rPr>
      </w:pPr>
      <w:r>
        <w:rPr>
          <w:rFonts w:hint="eastAsia" w:hAnsi="宋体"/>
          <w:b/>
          <w:bCs/>
          <w:sz w:val="28"/>
          <w:szCs w:val="28"/>
        </w:rPr>
        <w:t>01包</w:t>
      </w:r>
    </w:p>
    <w:p>
      <w:pPr>
        <w:pStyle w:val="425"/>
        <w:rPr>
          <w:rFonts w:eastAsia="方正小标宋_GBK"/>
          <w:sz w:val="36"/>
          <w:szCs w:val="36"/>
        </w:rPr>
      </w:pPr>
      <w:r>
        <w:rPr>
          <w:rFonts w:hint="eastAsia" w:eastAsia="方正小标宋_GBK"/>
          <w:sz w:val="36"/>
          <w:szCs w:val="36"/>
        </w:rPr>
        <w:t>深圳海关动植物检验检疫技术中心“荧光PCR仪”设备采购项目</w:t>
      </w:r>
      <w:r>
        <w:rPr>
          <w:rFonts w:eastAsia="方正小标宋_GBK"/>
          <w:sz w:val="36"/>
          <w:szCs w:val="36"/>
        </w:rPr>
        <w:t>合同书</w:t>
      </w:r>
    </w:p>
    <w:p>
      <w:pPr>
        <w:rPr>
          <w:sz w:val="24"/>
        </w:rPr>
      </w:pPr>
    </w:p>
    <w:p>
      <w:pPr>
        <w:rPr>
          <w:sz w:val="24"/>
        </w:rPr>
      </w:pPr>
      <w:r>
        <w:rPr>
          <w:sz w:val="24"/>
        </w:rPr>
        <w:t>甲方（采购人）:</w:t>
      </w:r>
      <w:r>
        <w:rPr>
          <w:rFonts w:hint="eastAsia"/>
          <w:sz w:val="24"/>
        </w:rPr>
        <w:t>深圳海关动植物检验检疫技术中心</w:t>
      </w:r>
    </w:p>
    <w:p>
      <w:pPr>
        <w:rPr>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深圳海关动植物检验检疫技术中心“荧光PCR仪”设备采购项目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sz w:val="24"/>
        </w:rPr>
      </w:pPr>
      <w:r>
        <w:rPr>
          <w:sz w:val="24"/>
        </w:rPr>
        <w:t>（一）本合同以人民币付款。</w:t>
      </w:r>
    </w:p>
    <w:p>
      <w:pPr>
        <w:ind w:firstLine="480" w:firstLineChars="200"/>
        <w:rPr>
          <w:sz w:val="24"/>
        </w:rPr>
      </w:pPr>
      <w:r>
        <w:rPr>
          <w:sz w:val="24"/>
        </w:rPr>
        <w:t>（二）付款办法：</w:t>
      </w:r>
    </w:p>
    <w:p>
      <w:pPr>
        <w:ind w:firstLine="480" w:firstLineChars="200"/>
        <w:rPr>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sz w:val="24"/>
        </w:rPr>
      </w:pPr>
      <w:r>
        <w:rPr>
          <w:sz w:val="24"/>
        </w:rPr>
        <w:t>乙方提交单据：合同（正文部分复印件）、中标通知书（或成交通知书复印件）、发票（原件）、履约保</w:t>
      </w:r>
      <w:r>
        <w:rPr>
          <w:rFonts w:hint="eastAsia"/>
          <w:sz w:val="24"/>
        </w:rPr>
        <w:t>函或保证金</w:t>
      </w:r>
      <w:r>
        <w:rPr>
          <w:sz w:val="24"/>
        </w:rPr>
        <w:t>单据复印件</w:t>
      </w:r>
      <w:r>
        <w:rPr>
          <w:rFonts w:hint="eastAsia"/>
          <w:sz w:val="24"/>
        </w:rPr>
        <w:t>（如有）</w:t>
      </w:r>
      <w:r>
        <w:rPr>
          <w:sz w:val="24"/>
        </w:rPr>
        <w:t>。</w:t>
      </w:r>
    </w:p>
    <w:p>
      <w:pPr>
        <w:ind w:firstLine="480" w:firstLineChars="200"/>
        <w:rPr>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r>
        <w:rPr>
          <w:rFonts w:hint="eastAsia"/>
          <w:sz w:val="24"/>
        </w:rPr>
        <w:t>（（若增加此进度款条款，一般应预留不低于保证金或保函金额的尾款比例。）</w:t>
      </w:r>
    </w:p>
    <w:p>
      <w:pPr>
        <w:ind w:firstLine="480" w:firstLineChars="200"/>
        <w:rPr>
          <w:sz w:val="24"/>
        </w:rPr>
      </w:pPr>
      <w:r>
        <w:rPr>
          <w:sz w:val="24"/>
        </w:rPr>
        <w:t>乙方提交单据：合同(正文部分复印件）、中标通知书（或成交通知书复印件）、发票（原件）、设备到签收单（复印件）。</w:t>
      </w:r>
    </w:p>
    <w:p>
      <w:pPr>
        <w:ind w:firstLine="480" w:firstLineChars="200"/>
        <w:rPr>
          <w:sz w:val="24"/>
        </w:rPr>
      </w:pPr>
      <w:r>
        <w:rPr>
          <w:sz w:val="24"/>
        </w:rPr>
        <w:t>3.设备全部安装调试，并经甲方（用户）验收合格后，乙方向甲方提交下列单据之日起</w:t>
      </w:r>
      <w:r>
        <w:rPr>
          <w:rFonts w:hint="eastAsia"/>
          <w:sz w:val="24"/>
        </w:rPr>
        <w:t>30</w:t>
      </w:r>
      <w:r>
        <w:rPr>
          <w:sz w:val="24"/>
        </w:rPr>
        <w:t>日内，甲方向乙方</w:t>
      </w:r>
      <w:bookmarkStart w:id="81" w:name="_Hlk180274859"/>
      <w:r>
        <w:rPr>
          <w:rFonts w:hint="eastAsia"/>
          <w:sz w:val="24"/>
        </w:rPr>
        <w:t>无息退还履约保函或保证金</w:t>
      </w:r>
      <w:bookmarkEnd w:id="81"/>
      <w:r>
        <w:rPr>
          <w:sz w:val="24"/>
        </w:rPr>
        <w:t>。</w:t>
      </w:r>
    </w:p>
    <w:p>
      <w:pPr>
        <w:ind w:firstLine="480" w:firstLineChars="200"/>
        <w:rPr>
          <w:sz w:val="24"/>
        </w:rPr>
      </w:pPr>
      <w:r>
        <w:rPr>
          <w:rFonts w:hint="eastAsia"/>
          <w:sz w:val="24"/>
        </w:rPr>
        <w:t>乙方提交单据：</w:t>
      </w:r>
      <w:bookmarkStart w:id="82" w:name="_Hlk180274877"/>
      <w:r>
        <w:rPr>
          <w:rFonts w:hint="eastAsia"/>
          <w:sz w:val="24"/>
        </w:rPr>
        <w:t>退还申请（原件）、</w:t>
      </w:r>
      <w:bookmarkEnd w:id="82"/>
      <w:r>
        <w:rPr>
          <w:rFonts w:hint="eastAsia"/>
          <w:sz w:val="24"/>
        </w:rPr>
        <w:t>安装调试验收合格报告（复印件）</w:t>
      </w:r>
      <w:r>
        <w:rPr>
          <w:sz w:val="24"/>
        </w:rPr>
        <w:t>。</w:t>
      </w:r>
    </w:p>
    <w:p>
      <w:pPr>
        <w:ind w:firstLine="480" w:firstLineChars="200"/>
        <w:rPr>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spacing w:after="231"/>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jc w:val="left"/>
              <w:rPr>
                <w:snapToGrid w:val="0"/>
                <w:sz w:val="24"/>
                <w:szCs w:val="24"/>
              </w:rPr>
            </w:pPr>
            <w:r>
              <w:rPr>
                <w:snapToGrid w:val="0"/>
                <w:sz w:val="24"/>
                <w:szCs w:val="24"/>
              </w:rPr>
              <w:t>乙方全称</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jc w:val="left"/>
              <w:rPr>
                <w:snapToGrid w:val="0"/>
                <w:sz w:val="24"/>
                <w:szCs w:val="24"/>
              </w:rPr>
            </w:pPr>
            <w:r>
              <w:rPr>
                <w:snapToGrid w:val="0"/>
                <w:sz w:val="24"/>
                <w:szCs w:val="24"/>
              </w:rPr>
              <w:t>开户银行</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jc w:val="left"/>
              <w:rPr>
                <w:snapToGrid w:val="0"/>
                <w:sz w:val="24"/>
                <w:szCs w:val="24"/>
              </w:rPr>
            </w:pPr>
            <w:r>
              <w:rPr>
                <w:snapToGrid w:val="0"/>
                <w:sz w:val="24"/>
                <w:szCs w:val="24"/>
              </w:rPr>
              <w:t>账号</w:t>
            </w:r>
          </w:p>
        </w:tc>
        <w:tc>
          <w:tcPr>
            <w:tcW w:w="6051" w:type="dxa"/>
            <w:vAlign w:val="center"/>
          </w:tcPr>
          <w:p>
            <w:pPr>
              <w:pStyle w:val="603"/>
              <w:autoSpaceDN w:val="0"/>
              <w:ind w:firstLine="480" w:firstLineChars="200"/>
              <w:jc w:val="left"/>
              <w:rPr>
                <w:snapToGrid w:val="0"/>
                <w:sz w:val="24"/>
                <w:szCs w:val="24"/>
              </w:rPr>
            </w:pPr>
          </w:p>
        </w:tc>
      </w:tr>
    </w:tbl>
    <w:p>
      <w:pPr>
        <w:ind w:firstLine="482" w:firstLineChars="200"/>
        <w:rPr>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10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开户银行</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账号</w:t>
            </w:r>
          </w:p>
        </w:tc>
        <w:tc>
          <w:tcPr>
            <w:tcW w:w="5469" w:type="dxa"/>
            <w:vAlign w:val="center"/>
          </w:tcPr>
          <w:p>
            <w:pPr>
              <w:pStyle w:val="623"/>
              <w:autoSpaceDN w:val="0"/>
              <w:spacing w:line="360" w:lineRule="auto"/>
              <w:ind w:firstLine="480" w:firstLineChars="200"/>
              <w:jc w:val="left"/>
              <w:rPr>
                <w:snapToGrid w:val="0"/>
                <w:kern w:val="0"/>
                <w:sz w:val="24"/>
                <w:szCs w:val="24"/>
              </w:rPr>
            </w:pPr>
          </w:p>
        </w:tc>
      </w:tr>
    </w:tbl>
    <w:p>
      <w:pPr>
        <w:pStyle w:val="622"/>
        <w:spacing w:after="231"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sz w:val="24"/>
        </w:rPr>
      </w:pPr>
      <w:r>
        <w:rPr>
          <w:sz w:val="24"/>
        </w:rPr>
        <w:t>（三）如乙方未能履行合同规定的义务，甲方有权按照本合同的约定从履约保证金中进行相应扣除。乙方应在甲方扣除履约保证金之日起10个工作日内，及时补充扣除部分金额。</w:t>
      </w:r>
    </w:p>
    <w:p>
      <w:pPr>
        <w:ind w:firstLine="480" w:firstLineChars="200"/>
        <w:rPr>
          <w:sz w:val="24"/>
        </w:rPr>
      </w:pPr>
      <w:r>
        <w:rPr>
          <w:sz w:val="24"/>
        </w:rPr>
        <w:t>（</w:t>
      </w:r>
      <w:r>
        <w:rPr>
          <w:rFonts w:hint="eastAsia"/>
          <w:sz w:val="24"/>
        </w:rPr>
        <w:t>四</w:t>
      </w:r>
      <w:r>
        <w:rPr>
          <w:sz w:val="24"/>
        </w:rPr>
        <w:t>）如乙方不履行合同，或履行合同义务不符合约定使得合同目的不能实现，履约保证金不予退还。</w:t>
      </w:r>
    </w:p>
    <w:p>
      <w:pPr>
        <w:ind w:firstLine="482" w:firstLineChars="200"/>
        <w:rPr>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sz w:val="24"/>
        </w:rPr>
      </w:pPr>
      <w:r>
        <w:rPr>
          <w:sz w:val="24"/>
        </w:rPr>
        <w:t>（三）乙方应承担由于其包装或防护措施不当而引起的货物损坏和丢失的任何损失责任和费用。</w:t>
      </w:r>
    </w:p>
    <w:p>
      <w:pPr>
        <w:ind w:firstLine="482" w:firstLineChars="200"/>
        <w:rPr>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w:t>
      </w:r>
      <w:r>
        <w:rPr>
          <w:rFonts w:eastAsia="宋体"/>
          <w:sz w:val="24"/>
          <w:szCs w:val="24"/>
          <w:lang w:eastAsia="zh-TW"/>
        </w:rPr>
        <w:t>中标</w:t>
      </w:r>
      <w:r>
        <w:rPr>
          <w:rFonts w:eastAsia="宋体"/>
          <w:sz w:val="24"/>
          <w:szCs w:val="24"/>
        </w:rPr>
        <w:t>人</w:t>
      </w:r>
      <w:r>
        <w:rPr>
          <w:rFonts w:eastAsia="宋体"/>
          <w:sz w:val="24"/>
          <w:szCs w:val="24"/>
          <w:lang w:eastAsia="zh-TW"/>
        </w:rPr>
        <w:t>应在合同签订之日起30个日历日内交付货物并完成安装调试。</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eastAsia="宋体"/>
          <w:sz w:val="24"/>
          <w:szCs w:val="24"/>
        </w:rPr>
        <w:t>甲方指定地点</w:t>
      </w:r>
      <w:r>
        <w:rPr>
          <w:rFonts w:eastAsia="宋体"/>
          <w:sz w:val="24"/>
          <w:szCs w:val="24"/>
        </w:rPr>
        <w:t>。</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30</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为验核货物内在功能是否完备，甲方（用户）有权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六</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七</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sz w:val="24"/>
        </w:rPr>
      </w:pPr>
      <w:r>
        <w:rPr>
          <w:sz w:val="24"/>
        </w:rPr>
        <w:t>（四）在质量保证期内所发现的缺陷，甲方（用户）应尽快以书面形式通知乙方。乙方收到通知后应10日内维修或更换有缺陷的货物或部件</w:t>
      </w:r>
      <w:r>
        <w:rPr>
          <w:rFonts w:hint="eastAsia"/>
          <w:sz w:val="24"/>
        </w:rPr>
        <w:t>（不额外收费）</w:t>
      </w:r>
      <w:r>
        <w:rPr>
          <w:sz w:val="24"/>
        </w:rPr>
        <w:t>。</w:t>
      </w:r>
    </w:p>
    <w:p>
      <w:pPr>
        <w:ind w:firstLine="480" w:firstLineChars="200"/>
        <w:rPr>
          <w:sz w:val="24"/>
        </w:rPr>
      </w:pPr>
      <w:r>
        <w:rPr>
          <w:sz w:val="24"/>
        </w:rPr>
        <w:t>（五）乙方在约定的时间内未能弥补缺陷，甲方（用户）可采取必要的补救措施，但其风险和费用将由乙方承担，甲方（用户）根据合同规定对乙方行使的其他权利不受影响。</w:t>
      </w:r>
    </w:p>
    <w:p>
      <w:pPr>
        <w:ind w:firstLine="480" w:firstLineChars="200"/>
        <w:rPr>
          <w:sz w:val="24"/>
        </w:rPr>
      </w:pPr>
      <w:r>
        <w:rPr>
          <w:sz w:val="24"/>
        </w:rPr>
        <w:t>（六）本合同项目所有货物质量保证期为：自双方签署设备到货验收签收单/安装调试验收合格报告之日起计算</w:t>
      </w:r>
      <w:r>
        <w:rPr>
          <w:sz w:val="24"/>
          <w:u w:val="single"/>
        </w:rPr>
        <w:t xml:space="preserve">  </w:t>
      </w:r>
      <w:r>
        <w:rPr>
          <w:rFonts w:hint="eastAsia"/>
          <w:sz w:val="24"/>
          <w:u w:val="single"/>
        </w:rPr>
        <w:t>1</w:t>
      </w:r>
      <w:r>
        <w:rPr>
          <w:sz w:val="24"/>
          <w:u w:val="single"/>
        </w:rPr>
        <w:t xml:space="preserve">  </w:t>
      </w:r>
      <w:r>
        <w:rPr>
          <w:sz w:val="24"/>
        </w:rPr>
        <w:t>年。</w:t>
      </w:r>
    </w:p>
    <w:p>
      <w:pPr>
        <w:widowControl w:val="0"/>
        <w:shd w:val="clear" w:color="auto" w:fill="auto"/>
        <w:tabs>
          <w:tab w:val="clear" w:pos="426"/>
        </w:tabs>
        <w:adjustRightInd/>
        <w:snapToGrid/>
        <w:spacing w:line="240" w:lineRule="auto"/>
        <w:ind w:firstLine="422" w:firstLineChars="200"/>
        <w:rPr>
          <w:rFonts w:cs="Times New Roman"/>
          <w:b/>
          <w:bCs/>
          <w:kern w:val="2"/>
          <w:szCs w:val="21"/>
        </w:rPr>
      </w:pPr>
    </w:p>
    <w:p>
      <w:pPr>
        <w:ind w:firstLine="482" w:firstLineChars="200"/>
        <w:rPr>
          <w:b/>
          <w:bCs/>
          <w:sz w:val="24"/>
        </w:rPr>
      </w:pPr>
      <w:r>
        <w:rPr>
          <w:b/>
          <w:bCs/>
          <w:sz w:val="24"/>
        </w:rPr>
        <w:t>第九条 培训</w:t>
      </w:r>
    </w:p>
    <w:p>
      <w:pPr>
        <w:ind w:firstLine="480" w:firstLineChars="200"/>
        <w:rPr>
          <w:b/>
          <w:bCs/>
          <w:sz w:val="24"/>
        </w:rPr>
      </w:pPr>
      <w:r>
        <w:rPr>
          <w:bCs/>
          <w:sz w:val="24"/>
        </w:rPr>
        <w:t>本合同所包括的培训详见附件培训方案。</w:t>
      </w:r>
    </w:p>
    <w:p>
      <w:pPr>
        <w:ind w:firstLine="482" w:firstLineChars="200"/>
        <w:rPr>
          <w:b/>
          <w:bCs/>
          <w:sz w:val="24"/>
        </w:rPr>
      </w:pPr>
      <w:r>
        <w:rPr>
          <w:b/>
          <w:bCs/>
          <w:sz w:val="24"/>
        </w:rPr>
        <w:t>第十条 售后服务</w:t>
      </w:r>
    </w:p>
    <w:p>
      <w:pPr>
        <w:ind w:firstLine="480" w:firstLineChars="200"/>
        <w:rPr>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2 </w:t>
      </w:r>
      <w:r>
        <w:rPr>
          <w:sz w:val="24"/>
        </w:rPr>
        <w:t>小时内响应，保证_</w:t>
      </w:r>
      <w:r>
        <w:rPr>
          <w:rFonts w:hint="eastAsia"/>
          <w:sz w:val="24"/>
          <w:u w:val="single"/>
        </w:rPr>
        <w:t>48</w:t>
      </w:r>
      <w:r>
        <w:rPr>
          <w:sz w:val="24"/>
          <w:u w:val="single"/>
        </w:rPr>
        <w:t>_</w:t>
      </w:r>
      <w:r>
        <w:rPr>
          <w:sz w:val="24"/>
        </w:rPr>
        <w:t>_小时内到达现场并解决故障</w:t>
      </w:r>
      <w:bookmarkStart w:id="83" w:name="_Hlk180275063"/>
      <w:r>
        <w:rPr>
          <w:rFonts w:hint="eastAsia"/>
          <w:sz w:val="24"/>
        </w:rPr>
        <w:t>（不额外收费）</w:t>
      </w:r>
      <w:bookmarkEnd w:id="83"/>
      <w:r>
        <w:rPr>
          <w:sz w:val="24"/>
        </w:rPr>
        <w:t>。</w:t>
      </w:r>
    </w:p>
    <w:p>
      <w:pPr>
        <w:ind w:firstLine="480" w:firstLineChars="200"/>
        <w:rPr>
          <w:sz w:val="24"/>
        </w:rPr>
      </w:pPr>
      <w:r>
        <w:rPr>
          <w:sz w:val="24"/>
        </w:rPr>
        <w:t>（二）本合同所包含的售后服务，包含制造商售后服务和代理商售后服务，具体见附件技术支持及售后服务方案。</w:t>
      </w:r>
    </w:p>
    <w:p>
      <w:pPr>
        <w:ind w:firstLine="482" w:firstLineChars="200"/>
        <w:rPr>
          <w:b/>
          <w:bCs/>
          <w:sz w:val="24"/>
        </w:rPr>
      </w:pPr>
      <w:r>
        <w:rPr>
          <w:b/>
          <w:bCs/>
          <w:sz w:val="24"/>
        </w:rPr>
        <w:t>第十一条 违约责任</w:t>
      </w:r>
    </w:p>
    <w:p>
      <w:pPr>
        <w:ind w:firstLine="480" w:firstLineChars="200"/>
        <w:rPr>
          <w:sz w:val="24"/>
        </w:rPr>
      </w:pPr>
      <w:r>
        <w:rPr>
          <w:sz w:val="24"/>
        </w:rPr>
        <w:t>（一）因乙方原因未能按照本合同要求交付合格的货物或提供相关服务的违约责任。</w:t>
      </w:r>
    </w:p>
    <w:p>
      <w:pPr>
        <w:ind w:firstLine="480" w:firstLineChars="200"/>
        <w:rPr>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sz w:val="24"/>
        </w:rPr>
      </w:pPr>
      <w:r>
        <w:rPr>
          <w:sz w:val="24"/>
        </w:rPr>
        <w:t>（1）退货：甲方将货物退回乙方，乙方将合同货款退还给甲方，并承担由此发生的一切损失和费用。</w:t>
      </w:r>
    </w:p>
    <w:p>
      <w:pPr>
        <w:ind w:firstLine="480" w:firstLineChars="200"/>
        <w:rPr>
          <w:sz w:val="24"/>
        </w:rPr>
      </w:pPr>
      <w:r>
        <w:rPr>
          <w:sz w:val="24"/>
        </w:rPr>
        <w:t>（2）退货重新制作：甲方将货物退回乙方，乙方按照技术标准要求重新制作，并承担由此发生的一切损失和费用。</w:t>
      </w:r>
    </w:p>
    <w:p>
      <w:pPr>
        <w:ind w:firstLine="480" w:firstLineChars="200"/>
        <w:rPr>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b/>
          <w:bCs/>
          <w:sz w:val="24"/>
        </w:rPr>
      </w:pPr>
      <w:r>
        <w:rPr>
          <w:b/>
          <w:bCs/>
          <w:sz w:val="24"/>
        </w:rPr>
        <w:t>第十四条 知识产权</w:t>
      </w:r>
    </w:p>
    <w:p>
      <w:pPr>
        <w:ind w:firstLine="480" w:firstLineChars="200"/>
        <w:rPr>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b/>
          <w:bCs/>
          <w:sz w:val="24"/>
        </w:rPr>
      </w:pPr>
      <w:r>
        <w:rPr>
          <w:b/>
          <w:bCs/>
          <w:sz w:val="24"/>
        </w:rPr>
        <w:t>第十五条 权利瑕疵担保</w:t>
      </w:r>
    </w:p>
    <w:p>
      <w:pPr>
        <w:ind w:firstLine="480" w:firstLineChars="200"/>
        <w:rPr>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b/>
          <w:bCs/>
          <w:sz w:val="24"/>
        </w:rPr>
      </w:pPr>
      <w:r>
        <w:rPr>
          <w:b/>
          <w:bCs/>
          <w:sz w:val="24"/>
        </w:rPr>
        <w:t>第十六条 不可抗力及其免责</w:t>
      </w:r>
    </w:p>
    <w:p>
      <w:pPr>
        <w:ind w:firstLine="480" w:firstLineChars="200"/>
        <w:rPr>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sz w:val="24"/>
        </w:rPr>
      </w:pPr>
      <w:r>
        <w:rPr>
          <w:sz w:val="24"/>
        </w:rPr>
        <w:t>（三）乙方在延迟履行合同期间由于不可抗力而不能履行合同的，不能被免除责任。</w:t>
      </w:r>
    </w:p>
    <w:p>
      <w:pPr>
        <w:ind w:firstLine="480" w:firstLineChars="200"/>
        <w:rPr>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b/>
          <w:bCs/>
          <w:sz w:val="24"/>
        </w:rPr>
      </w:pPr>
      <w:r>
        <w:rPr>
          <w:b/>
          <w:bCs/>
          <w:sz w:val="24"/>
        </w:rPr>
        <w:t>第十七条 争议的解决</w:t>
      </w:r>
    </w:p>
    <w:p>
      <w:pPr>
        <w:ind w:firstLine="480" w:firstLineChars="200"/>
        <w:rPr>
          <w:sz w:val="24"/>
        </w:rPr>
      </w:pPr>
      <w:r>
        <w:rPr>
          <w:sz w:val="24"/>
        </w:rPr>
        <w:t>合同实施或与合同有关的一切争议应通过双方友好协商解决。如果友好协商开始还不能解决，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b/>
          <w:bCs/>
          <w:sz w:val="24"/>
        </w:rPr>
      </w:pPr>
      <w:r>
        <w:rPr>
          <w:b/>
          <w:bCs/>
          <w:sz w:val="24"/>
        </w:rPr>
        <w:t>第十八条 合同修改或变更</w:t>
      </w:r>
    </w:p>
    <w:p>
      <w:pPr>
        <w:ind w:firstLine="480" w:firstLineChars="200"/>
        <w:rPr>
          <w:sz w:val="24"/>
        </w:rPr>
      </w:pPr>
      <w:r>
        <w:rPr>
          <w:sz w:val="24"/>
        </w:rPr>
        <w:t>（一）如无重大变故，甲乙双方不得擅自变更合同。</w:t>
      </w:r>
    </w:p>
    <w:p>
      <w:pPr>
        <w:ind w:firstLine="480" w:firstLineChars="200"/>
        <w:rPr>
          <w:sz w:val="24"/>
        </w:rPr>
      </w:pPr>
      <w:r>
        <w:rPr>
          <w:sz w:val="24"/>
        </w:rPr>
        <w:t>（二）如确需变更合同，甲乙双方应签署书面变更协议。变更协议为本合同不可分割的一部分。</w:t>
      </w:r>
    </w:p>
    <w:p>
      <w:pPr>
        <w:ind w:firstLine="480" w:firstLineChars="200"/>
        <w:rPr>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b/>
          <w:bCs/>
          <w:sz w:val="24"/>
        </w:rPr>
      </w:pPr>
      <w:r>
        <w:rPr>
          <w:b/>
          <w:bCs/>
          <w:sz w:val="24"/>
        </w:rPr>
        <w:t>第十九条 合同中止</w:t>
      </w:r>
    </w:p>
    <w:p>
      <w:pPr>
        <w:ind w:firstLine="480" w:firstLineChars="200"/>
        <w:rPr>
          <w:sz w:val="24"/>
        </w:rPr>
      </w:pPr>
      <w:r>
        <w:rPr>
          <w:sz w:val="24"/>
        </w:rPr>
        <w:t>（一）合同在履行过程中，因采购计划调整，甲方（用户）可以要求中止履行，待计划确定后继续履行。</w:t>
      </w:r>
    </w:p>
    <w:p>
      <w:pPr>
        <w:ind w:firstLine="480" w:firstLineChars="200"/>
        <w:rPr>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b/>
          <w:bCs/>
          <w:sz w:val="24"/>
        </w:rPr>
      </w:pPr>
      <w:r>
        <w:rPr>
          <w:b/>
          <w:bCs/>
          <w:sz w:val="24"/>
        </w:rPr>
        <w:t>第二十条 合同解除</w:t>
      </w:r>
    </w:p>
    <w:p>
      <w:pPr>
        <w:ind w:firstLine="480" w:firstLineChars="200"/>
        <w:rPr>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sz w:val="24"/>
        </w:rPr>
      </w:pPr>
      <w:r>
        <w:rPr>
          <w:sz w:val="24"/>
        </w:rPr>
        <w:t>（一）因违约解除合同</w:t>
      </w:r>
    </w:p>
    <w:p>
      <w:pPr>
        <w:ind w:firstLine="480" w:firstLineChars="200"/>
        <w:rPr>
          <w:sz w:val="24"/>
        </w:rPr>
      </w:pPr>
      <w:r>
        <w:rPr>
          <w:sz w:val="24"/>
        </w:rPr>
        <w:t>1.在甲方（用户）对乙方违约而采取的任何补救措施不受影响的情况下，甲方（用户）可向乙方发出书面违约通知书，提出解除部分或全部合同：</w:t>
      </w:r>
    </w:p>
    <w:p>
      <w:pPr>
        <w:ind w:firstLine="480" w:firstLineChars="200"/>
        <w:rPr>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sz w:val="24"/>
        </w:rPr>
      </w:pPr>
      <w:r>
        <w:rPr>
          <w:sz w:val="24"/>
        </w:rPr>
        <w:t>（3）如果乙方未能履行合同规定的其他任何义务。</w:t>
      </w:r>
    </w:p>
    <w:p>
      <w:pPr>
        <w:ind w:firstLine="480" w:firstLineChars="200"/>
        <w:rPr>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sz w:val="24"/>
        </w:rPr>
      </w:pPr>
      <w:r>
        <w:rPr>
          <w:sz w:val="24"/>
        </w:rPr>
        <w:t>（二）因破产而解除合同</w:t>
      </w:r>
    </w:p>
    <w:p>
      <w:pPr>
        <w:ind w:firstLine="480" w:firstLineChars="200"/>
        <w:rPr>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sz w:val="24"/>
        </w:rPr>
      </w:pPr>
      <w:r>
        <w:rPr>
          <w:sz w:val="24"/>
        </w:rPr>
        <w:t>2.该解除合同将不损害或影响甲方已经采取或将要采取的任何行动或补救措施的权利。</w:t>
      </w:r>
    </w:p>
    <w:p>
      <w:pPr>
        <w:ind w:firstLine="480" w:firstLineChars="200"/>
        <w:rPr>
          <w:sz w:val="24"/>
        </w:rPr>
      </w:pPr>
      <w:r>
        <w:rPr>
          <w:sz w:val="24"/>
        </w:rPr>
        <w:t>（三）其他解除合同情况</w:t>
      </w:r>
    </w:p>
    <w:p>
      <w:pPr>
        <w:ind w:firstLine="480" w:firstLineChars="200"/>
        <w:rPr>
          <w:sz w:val="24"/>
        </w:rPr>
      </w:pPr>
      <w:r>
        <w:rPr>
          <w:sz w:val="24"/>
        </w:rPr>
        <w:t>1.若合同继续履行将给甲方造成重大损失的，甲方（用户）可以解除合同而不给予乙方任何补偿。</w:t>
      </w:r>
    </w:p>
    <w:p>
      <w:pPr>
        <w:ind w:firstLine="480" w:firstLineChars="200"/>
        <w:rPr>
          <w:sz w:val="24"/>
        </w:rPr>
      </w:pPr>
      <w:r>
        <w:rPr>
          <w:sz w:val="24"/>
        </w:rPr>
        <w:t>2.乙方在执行合同的过程中发生重大变故，对履行合同有影响的，甲方（用户）可以解除合同而不给予乙方任何补偿。</w:t>
      </w:r>
    </w:p>
    <w:p>
      <w:pPr>
        <w:ind w:firstLine="480" w:firstLineChars="200"/>
        <w:rPr>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bookmarkStart w:id="84" w:name="孔子"/>
      <w:bookmarkEnd w:id="84"/>
      <w:r>
        <w:rPr>
          <w:snapToGrid w:val="0"/>
          <w:kern w:val="0"/>
          <w:sz w:val="24"/>
          <w:szCs w:val="24"/>
        </w:rPr>
        <w:t>（二）对本合同终止有过错的一方应赔偿另一方因合同终止而受到的损失。</w:t>
      </w:r>
    </w:p>
    <w:p>
      <w:pPr>
        <w:ind w:firstLine="482" w:firstLineChars="200"/>
        <w:rPr>
          <w:b/>
          <w:bCs/>
          <w:sz w:val="24"/>
        </w:rPr>
      </w:pPr>
      <w:r>
        <w:rPr>
          <w:b/>
          <w:bCs/>
          <w:sz w:val="24"/>
        </w:rPr>
        <w:t>第二十二条 其他</w:t>
      </w:r>
    </w:p>
    <w:p>
      <w:pPr>
        <w:ind w:firstLine="480" w:firstLineChars="200"/>
        <w:rPr>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b/>
          <w:bCs/>
          <w:sz w:val="24"/>
        </w:rPr>
      </w:pPr>
      <w:r>
        <w:rPr>
          <w:b/>
          <w:bCs/>
          <w:sz w:val="24"/>
        </w:rPr>
        <w:t>第二十四条 合同生效</w:t>
      </w:r>
    </w:p>
    <w:p>
      <w:pPr>
        <w:ind w:firstLine="480" w:firstLineChars="200"/>
        <w:rPr>
          <w:sz w:val="24"/>
        </w:rPr>
      </w:pPr>
      <w:r>
        <w:rPr>
          <w:sz w:val="24"/>
        </w:rPr>
        <w:t>本合同一式___份，甲方执___份，乙方执___份；自甲乙双方签字盖章之日起生效。对本合同的任何更改及补充，均需双方共同协商，并以书面形式盖章确认。</w:t>
      </w:r>
    </w:p>
    <w:p>
      <w:pPr>
        <w:rPr>
          <w:sz w:val="24"/>
        </w:rPr>
      </w:pPr>
    </w:p>
    <w:p>
      <w:pPr>
        <w:rPr>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sz w:val="24"/>
        </w:rPr>
      </w:pPr>
      <w:r>
        <w:rPr>
          <w:sz w:val="24"/>
        </w:rPr>
        <w:t xml:space="preserve">日期： 年  月  日                 日期：   年   月   日    </w:t>
      </w:r>
    </w:p>
    <w:p>
      <w:pPr>
        <w:rPr>
          <w:sz w:val="24"/>
        </w:rPr>
      </w:pPr>
      <w:r>
        <w:rPr>
          <w:sz w:val="24"/>
        </w:rPr>
        <w:t>联系人:                           联系人：</w:t>
      </w:r>
    </w:p>
    <w:p>
      <w:pPr>
        <w:rPr>
          <w:sz w:val="24"/>
        </w:rPr>
      </w:pPr>
      <w:r>
        <w:rPr>
          <w:sz w:val="24"/>
        </w:rPr>
        <w:t>电话:                             电话：</w:t>
      </w:r>
    </w:p>
    <w:p>
      <w:pPr>
        <w:rPr>
          <w:sz w:val="24"/>
        </w:rPr>
      </w:pPr>
      <w:r>
        <w:rPr>
          <w:sz w:val="24"/>
        </w:rPr>
        <w:t>地址：                            地址：</w:t>
      </w:r>
    </w:p>
    <w:p>
      <w:pPr>
        <w:rPr>
          <w:sz w:val="24"/>
        </w:rPr>
      </w:pPr>
      <w:r>
        <w:rPr>
          <w:rFonts w:hint="eastAsia"/>
          <w:sz w:val="24"/>
        </w:rPr>
        <w:br w:type="page"/>
      </w: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bCs/>
          <w:sz w:val="24"/>
        </w:rPr>
      </w:pPr>
      <w:r>
        <w:rPr>
          <w:rFonts w:hint="eastAsia"/>
          <w:bCs/>
          <w:sz w:val="24"/>
        </w:rPr>
        <w:br w:type="page"/>
      </w:r>
    </w:p>
    <w:p>
      <w:pPr>
        <w:rPr>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bCs/>
          <w:sz w:val="24"/>
        </w:rPr>
      </w:pPr>
      <w:r>
        <w:rPr>
          <w:rFonts w:hint="eastAsia"/>
          <w:bCs/>
          <w:sz w:val="24"/>
        </w:rPr>
        <w:br w:type="page"/>
      </w:r>
    </w:p>
    <w:p>
      <w:pPr>
        <w:rPr>
          <w:bCs/>
          <w:sz w:val="24"/>
        </w:rPr>
      </w:pPr>
      <w:r>
        <w:rPr>
          <w:rFonts w:hint="eastAsia"/>
          <w:bCs/>
          <w:sz w:val="24"/>
        </w:rPr>
        <w:t>附件3：技术支持及售后服务方案</w:t>
      </w:r>
    </w:p>
    <w:p>
      <w:pPr>
        <w:rPr>
          <w:rFonts w:hint="eastAsia" w:eastAsia="方正小标宋_GBK"/>
          <w:sz w:val="36"/>
          <w:szCs w:val="36"/>
        </w:rPr>
      </w:pPr>
      <w:r>
        <w:rPr>
          <w:rFonts w:hint="eastAsia" w:eastAsia="方正小标宋_GBK"/>
          <w:sz w:val="36"/>
          <w:szCs w:val="36"/>
        </w:rPr>
        <w:br w:type="page"/>
      </w:r>
    </w:p>
    <w:p>
      <w:pPr>
        <w:pStyle w:val="425"/>
        <w:rPr>
          <w:rFonts w:hint="eastAsia" w:eastAsia="方正小标宋_GBK"/>
          <w:sz w:val="36"/>
          <w:szCs w:val="36"/>
        </w:rPr>
      </w:pPr>
      <w:r>
        <w:rPr>
          <w:rFonts w:hint="eastAsia" w:eastAsia="方正小标宋_GBK"/>
          <w:sz w:val="36"/>
          <w:szCs w:val="36"/>
        </w:rPr>
        <w:t>02包</w:t>
      </w:r>
    </w:p>
    <w:p>
      <w:pPr>
        <w:pStyle w:val="425"/>
        <w:rPr>
          <w:rFonts w:eastAsia="方正小标宋_GBK"/>
          <w:sz w:val="36"/>
          <w:szCs w:val="36"/>
        </w:rPr>
      </w:pPr>
      <w:r>
        <w:rPr>
          <w:rFonts w:hint="eastAsia" w:eastAsia="方正小标宋_GBK"/>
          <w:sz w:val="36"/>
          <w:szCs w:val="36"/>
        </w:rPr>
        <w:t>深圳海关动植物检验检疫技术中心“荧光定量PCR仪（数字PCR仪）”设备采购项目</w:t>
      </w:r>
      <w:r>
        <w:rPr>
          <w:rFonts w:eastAsia="方正小标宋_GBK"/>
          <w:sz w:val="36"/>
          <w:szCs w:val="36"/>
        </w:rPr>
        <w:t>合同书</w:t>
      </w:r>
    </w:p>
    <w:p>
      <w:pPr>
        <w:rPr>
          <w:sz w:val="24"/>
        </w:rPr>
      </w:pPr>
    </w:p>
    <w:p>
      <w:pPr>
        <w:rPr>
          <w:sz w:val="24"/>
        </w:rPr>
      </w:pPr>
      <w:r>
        <w:rPr>
          <w:sz w:val="24"/>
        </w:rPr>
        <w:t>甲方（采购人）:</w:t>
      </w:r>
      <w:r>
        <w:rPr>
          <w:rFonts w:hint="eastAsia"/>
          <w:sz w:val="24"/>
        </w:rPr>
        <w:t>深圳海关动植物检验检疫技术中心</w:t>
      </w:r>
    </w:p>
    <w:p>
      <w:pPr>
        <w:rPr>
          <w:sz w:val="24"/>
        </w:rPr>
      </w:pPr>
      <w:r>
        <w:rPr>
          <w:sz w:val="24"/>
        </w:rPr>
        <w:t xml:space="preserve">乙方（供应商）:                                  </w:t>
      </w:r>
    </w:p>
    <w:p>
      <w:pPr>
        <w:widowControl w:val="0"/>
        <w:shd w:val="clear" w:color="auto" w:fill="auto"/>
        <w:tabs>
          <w:tab w:val="clear" w:pos="426"/>
        </w:tabs>
        <w:adjustRightInd/>
        <w:snapToGrid/>
        <w:spacing w:line="240" w:lineRule="auto"/>
        <w:ind w:firstLine="480" w:firstLineChars="200"/>
        <w:rPr>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深圳海关动植物检验检疫技术中心“荧光PCR仪”设备采购项目</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pPr>
        <w:ind w:firstLine="482" w:firstLineChars="200"/>
        <w:rPr>
          <w:b/>
          <w:bCs/>
          <w:sz w:val="24"/>
        </w:rPr>
      </w:pPr>
      <w:r>
        <w:rPr>
          <w:b/>
          <w:bCs/>
          <w:sz w:val="24"/>
        </w:rPr>
        <w:t>第一条 采购货物清单</w:t>
      </w:r>
    </w:p>
    <w:tbl>
      <w:tblPr>
        <w:tblStyle w:val="85"/>
        <w:tblW w:w="90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144"/>
        <w:gridCol w:w="1219"/>
        <w:gridCol w:w="1013"/>
        <w:gridCol w:w="900"/>
        <w:gridCol w:w="1481"/>
        <w:gridCol w:w="15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93" w:type="dxa"/>
            <w:tcBorders>
              <w:top w:val="single" w:color="auto" w:sz="4" w:space="0"/>
              <w:left w:val="single" w:color="auto" w:sz="4" w:space="0"/>
              <w:bottom w:val="single" w:color="auto" w:sz="4" w:space="0"/>
              <w:right w:val="single" w:color="auto" w:sz="4" w:space="0"/>
            </w:tcBorders>
            <w:vAlign w:val="center"/>
          </w:tcPr>
          <w:p>
            <w:pPr>
              <w:pStyle w:val="584"/>
              <w:autoSpaceDN w:val="0"/>
              <w:jc w:val="center"/>
              <w:rPr>
                <w:rFonts w:ascii="Times New Roman"/>
                <w:b/>
                <w:bCs/>
                <w:sz w:val="24"/>
                <w:szCs w:val="24"/>
              </w:rPr>
            </w:pPr>
            <w:r>
              <w:rPr>
                <w:rFonts w:ascii="Times New Roman"/>
                <w:b/>
                <w:bCs/>
                <w:sz w:val="24"/>
                <w:szCs w:val="24"/>
              </w:rPr>
              <w:t>货物名称</w:t>
            </w:r>
          </w:p>
        </w:tc>
        <w:tc>
          <w:tcPr>
            <w:tcW w:w="1144" w:type="dxa"/>
            <w:tcBorders>
              <w:top w:val="single" w:color="auto" w:sz="4" w:space="0"/>
              <w:left w:val="single" w:color="auto" w:sz="4" w:space="0"/>
              <w:bottom w:val="single" w:color="auto" w:sz="4" w:space="0"/>
              <w:right w:val="single" w:color="auto" w:sz="4" w:space="0"/>
            </w:tcBorders>
            <w:vAlign w:val="center"/>
          </w:tcPr>
          <w:p>
            <w:pPr>
              <w:pStyle w:val="585"/>
              <w:autoSpaceDN w:val="0"/>
              <w:jc w:val="center"/>
              <w:rPr>
                <w:rFonts w:ascii="Times New Roman"/>
                <w:b/>
                <w:bCs/>
                <w:sz w:val="24"/>
                <w:szCs w:val="24"/>
              </w:rPr>
            </w:pPr>
            <w:r>
              <w:rPr>
                <w:rFonts w:ascii="Times New Roman"/>
                <w:b/>
                <w:bCs/>
                <w:sz w:val="24"/>
                <w:szCs w:val="24"/>
              </w:rPr>
              <w:t>品牌</w:t>
            </w:r>
          </w:p>
        </w:tc>
        <w:tc>
          <w:tcPr>
            <w:tcW w:w="1219" w:type="dxa"/>
            <w:tcBorders>
              <w:top w:val="single" w:color="auto" w:sz="4" w:space="0"/>
              <w:left w:val="single" w:color="auto" w:sz="4" w:space="0"/>
              <w:bottom w:val="single" w:color="auto" w:sz="4" w:space="0"/>
              <w:right w:val="single" w:color="auto" w:sz="4" w:space="0"/>
            </w:tcBorders>
            <w:vAlign w:val="center"/>
          </w:tcPr>
          <w:p>
            <w:pPr>
              <w:pStyle w:val="586"/>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产地</w:t>
            </w:r>
          </w:p>
        </w:tc>
        <w:tc>
          <w:tcPr>
            <w:tcW w:w="900" w:type="dxa"/>
            <w:tcBorders>
              <w:top w:val="single" w:color="auto" w:sz="4" w:space="0"/>
              <w:left w:val="single" w:color="auto" w:sz="4" w:space="0"/>
              <w:bottom w:val="single" w:color="auto" w:sz="4" w:space="0"/>
              <w:right w:val="single" w:color="auto" w:sz="4" w:space="0"/>
            </w:tcBorders>
            <w:vAlign w:val="center"/>
          </w:tcPr>
          <w:p>
            <w:pPr>
              <w:pStyle w:val="587"/>
              <w:autoSpaceDN w:val="0"/>
              <w:jc w:val="center"/>
              <w:rPr>
                <w:rFonts w:ascii="Times New Roman"/>
                <w:b/>
                <w:bCs/>
                <w:sz w:val="24"/>
                <w:szCs w:val="24"/>
              </w:rPr>
            </w:pPr>
            <w:r>
              <w:rPr>
                <w:rFonts w:ascii="Times New Roman"/>
                <w:b/>
                <w:bCs/>
                <w:sz w:val="24"/>
                <w:szCs w:val="24"/>
              </w:rPr>
              <w:t>数量</w:t>
            </w:r>
          </w:p>
        </w:tc>
        <w:tc>
          <w:tcPr>
            <w:tcW w:w="1481" w:type="dxa"/>
            <w:tcBorders>
              <w:top w:val="single" w:color="auto" w:sz="4" w:space="0"/>
              <w:left w:val="single" w:color="auto" w:sz="4" w:space="0"/>
              <w:bottom w:val="single" w:color="auto" w:sz="4" w:space="0"/>
              <w:right w:val="single" w:color="auto" w:sz="4" w:space="0"/>
            </w:tcBorders>
            <w:vAlign w:val="center"/>
          </w:tcPr>
          <w:p>
            <w:pPr>
              <w:pStyle w:val="588"/>
              <w:autoSpaceDN w:val="0"/>
              <w:jc w:val="center"/>
              <w:rPr>
                <w:rFonts w:ascii="Times New Roman"/>
                <w:b/>
                <w:bCs/>
                <w:sz w:val="24"/>
                <w:szCs w:val="24"/>
              </w:rPr>
            </w:pPr>
            <w:r>
              <w:rPr>
                <w:rFonts w:ascii="Times New Roman"/>
                <w:b/>
                <w:bCs/>
                <w:sz w:val="24"/>
                <w:szCs w:val="24"/>
              </w:rPr>
              <w:t>单价（元）</w:t>
            </w:r>
          </w:p>
        </w:tc>
        <w:tc>
          <w:tcPr>
            <w:tcW w:w="1509" w:type="dxa"/>
            <w:tcBorders>
              <w:top w:val="single" w:color="auto" w:sz="4" w:space="0"/>
              <w:left w:val="single" w:color="auto" w:sz="4" w:space="0"/>
              <w:bottom w:val="single" w:color="auto" w:sz="4" w:space="0"/>
              <w:right w:val="single" w:color="auto" w:sz="4" w:space="0"/>
            </w:tcBorders>
            <w:vAlign w:val="center"/>
          </w:tcPr>
          <w:p>
            <w:pPr>
              <w:pStyle w:val="589"/>
              <w:autoSpaceDN w:val="0"/>
              <w:jc w:val="center"/>
              <w:rPr>
                <w:rFonts w:ascii="Times New Roman"/>
                <w:b/>
                <w:bCs/>
                <w:sz w:val="24"/>
                <w:szCs w:val="24"/>
              </w:rPr>
            </w:pPr>
            <w:r>
              <w:rPr>
                <w:rFonts w:ascii="Times New Roman"/>
                <w:b/>
                <w:bCs/>
                <w:sz w:val="24"/>
                <w:szCs w:val="24"/>
              </w:rPr>
              <w:t>合计（元）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0"/>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1"/>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2"/>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3"/>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594"/>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595"/>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793" w:type="dxa"/>
            <w:tcBorders>
              <w:top w:val="single" w:color="auto" w:sz="4" w:space="0"/>
              <w:left w:val="single" w:color="auto" w:sz="4" w:space="0"/>
              <w:bottom w:val="single" w:color="auto" w:sz="4" w:space="0"/>
              <w:right w:val="single" w:color="auto" w:sz="4" w:space="0"/>
            </w:tcBorders>
            <w:vAlign w:val="center"/>
          </w:tcPr>
          <w:p>
            <w:pPr>
              <w:pStyle w:val="596"/>
              <w:autoSpaceDN w:val="0"/>
              <w:jc w:val="center"/>
              <w:rPr>
                <w:rFonts w:ascii="Times New Roman"/>
                <w:b/>
                <w:bCs/>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597"/>
              <w:autoSpaceDN w:val="0"/>
              <w:jc w:val="center"/>
              <w:rPr>
                <w:rFonts w:ascii="Times New Roman"/>
                <w:b/>
                <w:bCs/>
                <w:sz w:val="24"/>
                <w:szCs w:val="24"/>
              </w:rPr>
            </w:pPr>
          </w:p>
        </w:tc>
        <w:tc>
          <w:tcPr>
            <w:tcW w:w="1219" w:type="dxa"/>
            <w:tcBorders>
              <w:top w:val="single" w:color="auto" w:sz="4" w:space="0"/>
              <w:left w:val="single" w:color="auto" w:sz="4" w:space="0"/>
              <w:bottom w:val="single" w:color="auto" w:sz="4" w:space="0"/>
              <w:right w:val="single" w:color="auto" w:sz="4" w:space="0"/>
            </w:tcBorders>
            <w:vAlign w:val="center"/>
          </w:tcPr>
          <w:p>
            <w:pPr>
              <w:pStyle w:val="598"/>
              <w:autoSpaceDN w:val="0"/>
              <w:jc w:val="center"/>
              <w:rPr>
                <w:rFonts w:ascii="Times New Roman"/>
                <w:b/>
                <w:bCs/>
                <w:sz w:val="24"/>
                <w:szCs w:val="24"/>
              </w:rPr>
            </w:pPr>
          </w:p>
        </w:tc>
        <w:tc>
          <w:tcPr>
            <w:tcW w:w="1013"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pPr>
              <w:pStyle w:val="599"/>
              <w:autoSpaceDN w:val="0"/>
              <w:jc w:val="center"/>
              <w:rPr>
                <w:rFonts w:ascii="Times New Roman"/>
                <w:b/>
                <w:bCs/>
                <w:sz w:val="24"/>
                <w:szCs w:val="24"/>
              </w:rPr>
            </w:pPr>
          </w:p>
        </w:tc>
        <w:tc>
          <w:tcPr>
            <w:tcW w:w="1481" w:type="dxa"/>
            <w:tcBorders>
              <w:top w:val="single" w:color="auto" w:sz="4" w:space="0"/>
              <w:left w:val="single" w:color="auto" w:sz="4" w:space="0"/>
              <w:bottom w:val="single" w:color="auto" w:sz="4" w:space="0"/>
              <w:right w:val="single" w:color="auto" w:sz="4" w:space="0"/>
            </w:tcBorders>
            <w:vAlign w:val="center"/>
          </w:tcPr>
          <w:p>
            <w:pPr>
              <w:pStyle w:val="600"/>
              <w:autoSpaceDN w:val="0"/>
              <w:jc w:val="center"/>
              <w:rPr>
                <w:rFonts w:ascii="Times New Roman"/>
                <w:b/>
                <w:bCs/>
                <w:sz w:val="24"/>
                <w:szCs w:val="24"/>
              </w:rPr>
            </w:pPr>
          </w:p>
        </w:tc>
        <w:tc>
          <w:tcPr>
            <w:tcW w:w="1509" w:type="dxa"/>
            <w:tcBorders>
              <w:top w:val="single" w:color="auto" w:sz="4" w:space="0"/>
              <w:left w:val="single" w:color="auto" w:sz="4" w:space="0"/>
              <w:bottom w:val="single" w:color="auto" w:sz="4" w:space="0"/>
              <w:right w:val="single" w:color="auto" w:sz="4" w:space="0"/>
            </w:tcBorders>
            <w:vAlign w:val="center"/>
          </w:tcPr>
          <w:p>
            <w:pPr>
              <w:pStyle w:val="601"/>
              <w:autoSpaceDN w:val="0"/>
              <w:jc w:val="center"/>
              <w:rPr>
                <w:rFonts w:ascii="Times New Roman"/>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7550" w:type="dxa"/>
            <w:gridSpan w:val="6"/>
            <w:tcBorders>
              <w:top w:val="single" w:color="auto" w:sz="4" w:space="0"/>
              <w:left w:val="single" w:color="auto" w:sz="4" w:space="0"/>
              <w:bottom w:val="single" w:color="auto" w:sz="4" w:space="0"/>
              <w:right w:val="single" w:color="auto" w:sz="4" w:space="0"/>
            </w:tcBorders>
            <w:vAlign w:val="center"/>
          </w:tcPr>
          <w:p>
            <w:pPr>
              <w:pStyle w:val="602"/>
              <w:autoSpaceDN w:val="0"/>
              <w:jc w:val="center"/>
              <w:rPr>
                <w:rFonts w:ascii="Times New Roman"/>
                <w:b/>
                <w:bCs/>
                <w:sz w:val="24"/>
                <w:szCs w:val="24"/>
              </w:rPr>
            </w:pPr>
            <w:r>
              <w:rPr>
                <w:rFonts w:ascii="Times New Roman"/>
                <w:b/>
                <w:bCs/>
                <w:sz w:val="24"/>
                <w:szCs w:val="24"/>
              </w:rPr>
              <w:t xml:space="preserve">                                                    合同总价                                                    </w:t>
            </w:r>
          </w:p>
        </w:tc>
        <w:tc>
          <w:tcPr>
            <w:tcW w:w="1509" w:type="dxa"/>
            <w:tcBorders>
              <w:top w:val="single" w:color="auto" w:sz="4" w:space="0"/>
              <w:left w:val="single" w:color="auto" w:sz="4" w:space="0"/>
              <w:bottom w:val="single" w:color="auto" w:sz="4" w:space="0"/>
              <w:right w:val="single" w:color="auto" w:sz="4" w:space="0"/>
            </w:tcBorders>
            <w:vAlign w:val="center"/>
          </w:tcPr>
          <w:p>
            <w:pPr>
              <w:pStyle w:val="536"/>
              <w:autoSpaceDN w:val="0"/>
              <w:adjustRightInd w:val="0"/>
              <w:snapToGrid w:val="0"/>
              <w:spacing w:line="360" w:lineRule="auto"/>
              <w:jc w:val="center"/>
              <w:rPr>
                <w:b/>
                <w:bCs/>
                <w:sz w:val="24"/>
              </w:rPr>
            </w:pPr>
          </w:p>
        </w:tc>
      </w:tr>
    </w:tbl>
    <w:p>
      <w:pPr>
        <w:ind w:firstLine="482" w:firstLineChars="200"/>
        <w:rPr>
          <w:b/>
          <w:bCs/>
          <w:sz w:val="24"/>
        </w:rPr>
      </w:pPr>
      <w:r>
        <w:rPr>
          <w:b/>
          <w:bCs/>
          <w:sz w:val="24"/>
        </w:rPr>
        <w:t>第二条 合同总价款</w:t>
      </w:r>
    </w:p>
    <w:p>
      <w:pPr>
        <w:pStyle w:val="620"/>
        <w:spacing w:line="360" w:lineRule="auto"/>
        <w:ind w:firstLine="480" w:firstLineChars="200"/>
        <w:rPr>
          <w:rFonts w:eastAsia="宋体"/>
          <w:sz w:val="24"/>
          <w:szCs w:val="24"/>
        </w:rPr>
      </w:pPr>
      <w:r>
        <w:rPr>
          <w:rFonts w:eastAsia="宋体"/>
          <w:sz w:val="24"/>
          <w:szCs w:val="24"/>
        </w:rPr>
        <w:t>甲方以支付总价款__________元，（人民币大写</w:t>
      </w:r>
      <w:r>
        <w:rPr>
          <w:rFonts w:hint="eastAsia" w:eastAsia="宋体"/>
          <w:sz w:val="24"/>
          <w:szCs w:val="24"/>
        </w:rPr>
        <w:t xml:space="preserve">：         </w:t>
      </w:r>
      <w:r>
        <w:rPr>
          <w:rFonts w:eastAsia="宋体"/>
          <w:sz w:val="24"/>
          <w:szCs w:val="24"/>
        </w:rPr>
        <w:t>）接受乙方对上述货物的供货和</w:t>
      </w:r>
      <w:r>
        <w:rPr>
          <w:rFonts w:hint="eastAsia" w:eastAsia="宋体"/>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r>
        <w:rPr>
          <w:rFonts w:hint="eastAsia" w:eastAsia="宋体"/>
          <w:sz w:val="24"/>
          <w:szCs w:val="24"/>
        </w:rPr>
        <w:t>（根据采购实际可自行调整。）</w:t>
      </w:r>
    </w:p>
    <w:p>
      <w:pPr>
        <w:pStyle w:val="621"/>
        <w:spacing w:line="360" w:lineRule="auto"/>
        <w:ind w:firstLine="482" w:firstLineChars="200"/>
        <w:rPr>
          <w:rFonts w:ascii="Times New Roman" w:eastAsia="宋体"/>
          <w:color w:val="auto"/>
          <w:sz w:val="24"/>
          <w:szCs w:val="24"/>
        </w:rPr>
      </w:pPr>
      <w:r>
        <w:rPr>
          <w:rFonts w:ascii="Times New Roman" w:eastAsia="宋体"/>
          <w:b/>
          <w:bCs/>
          <w:color w:val="auto"/>
          <w:sz w:val="24"/>
          <w:szCs w:val="24"/>
        </w:rPr>
        <w:t>第三条 付款条件</w:t>
      </w:r>
    </w:p>
    <w:p>
      <w:pPr>
        <w:ind w:firstLine="480" w:firstLineChars="200"/>
        <w:rPr>
          <w:sz w:val="24"/>
        </w:rPr>
      </w:pPr>
      <w:r>
        <w:rPr>
          <w:sz w:val="24"/>
        </w:rPr>
        <w:t>（一）本合同以人民币付款。</w:t>
      </w:r>
    </w:p>
    <w:p>
      <w:pPr>
        <w:ind w:firstLine="480" w:firstLineChars="200"/>
        <w:rPr>
          <w:sz w:val="24"/>
        </w:rPr>
      </w:pPr>
      <w:r>
        <w:rPr>
          <w:sz w:val="24"/>
        </w:rPr>
        <w:t>（二）付款办法：</w:t>
      </w:r>
    </w:p>
    <w:p>
      <w:pPr>
        <w:ind w:firstLine="480" w:firstLineChars="200"/>
        <w:rPr>
          <w:sz w:val="24"/>
        </w:rPr>
      </w:pPr>
      <w:r>
        <w:rPr>
          <w:sz w:val="24"/>
        </w:rPr>
        <w:t>1.乙方向甲方交付履约保</w:t>
      </w:r>
      <w:r>
        <w:rPr>
          <w:rFonts w:hint="eastAsia"/>
          <w:sz w:val="24"/>
        </w:rPr>
        <w:t>函或保证金，比例等于合同金额的10%，</w:t>
      </w:r>
      <w:r>
        <w:rPr>
          <w:sz w:val="24"/>
        </w:rPr>
        <w:t>并提交下列单据之日起10个工作日内，甲方向乙方支付合同总价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sz w:val="24"/>
        </w:rPr>
      </w:pPr>
      <w:r>
        <w:rPr>
          <w:sz w:val="24"/>
        </w:rPr>
        <w:t>乙方提交单据：合同（正文部分复印件）、中标通知书（或成交通知书复印件）、发票（原件）、履约保</w:t>
      </w:r>
      <w:r>
        <w:rPr>
          <w:rFonts w:hint="eastAsia"/>
          <w:sz w:val="24"/>
        </w:rPr>
        <w:t>函或保证金</w:t>
      </w:r>
      <w:r>
        <w:rPr>
          <w:sz w:val="24"/>
        </w:rPr>
        <w:t>单据复印件。</w:t>
      </w:r>
    </w:p>
    <w:p>
      <w:pPr>
        <w:ind w:firstLine="480" w:firstLineChars="200"/>
        <w:rPr>
          <w:sz w:val="24"/>
        </w:rPr>
      </w:pPr>
      <w:r>
        <w:rPr>
          <w:sz w:val="24"/>
        </w:rPr>
        <w:t>2.设备全部到货并经甲方（用户）签收后，乙方向甲方提交下列单据之日起10个工作日内，甲方向乙方支付合同总价</w:t>
      </w:r>
      <w:r>
        <w:rPr>
          <w:rFonts w:hint="eastAsia"/>
          <w:sz w:val="24"/>
          <w:u w:val="single"/>
        </w:rPr>
        <w:t>50</w:t>
      </w:r>
      <w:r>
        <w:rPr>
          <w:sz w:val="24"/>
        </w:rPr>
        <w:t>%合同款（金额</w:t>
      </w:r>
      <w:r>
        <w:rPr>
          <w:rFonts w:hint="eastAsia"/>
          <w:sz w:val="24"/>
        </w:rPr>
        <w:t xml:space="preserve">大写：            </w:t>
      </w:r>
      <w:r>
        <w:rPr>
          <w:sz w:val="24"/>
        </w:rPr>
        <w:t>）。</w:t>
      </w:r>
    </w:p>
    <w:p>
      <w:pPr>
        <w:ind w:firstLine="480" w:firstLineChars="200"/>
        <w:rPr>
          <w:sz w:val="24"/>
        </w:rPr>
      </w:pPr>
      <w:r>
        <w:rPr>
          <w:sz w:val="24"/>
        </w:rPr>
        <w:t>乙方提交单据：合同(正文部分复印件）、中标通知书（或成交通知书复印件）、发票（原件）、设备到签收单（复印件）。</w:t>
      </w:r>
    </w:p>
    <w:p>
      <w:pPr>
        <w:ind w:firstLine="480" w:firstLineChars="200"/>
        <w:rPr>
          <w:sz w:val="24"/>
        </w:rPr>
      </w:pPr>
      <w:r>
        <w:rPr>
          <w:sz w:val="24"/>
        </w:rPr>
        <w:t>3.设备全部安装调试，并经甲方（用户）验收合格后，乙方向甲方提交下列单据之日起</w:t>
      </w:r>
      <w:r>
        <w:rPr>
          <w:rFonts w:hint="eastAsia"/>
          <w:sz w:val="24"/>
        </w:rPr>
        <w:t>30</w:t>
      </w:r>
      <w:r>
        <w:rPr>
          <w:sz w:val="24"/>
        </w:rPr>
        <w:t>日内，甲方向乙方</w:t>
      </w:r>
      <w:r>
        <w:rPr>
          <w:rFonts w:hint="eastAsia"/>
          <w:sz w:val="24"/>
        </w:rPr>
        <w:t>无息退还履约保函或保证金</w:t>
      </w:r>
      <w:r>
        <w:rPr>
          <w:sz w:val="24"/>
        </w:rPr>
        <w:t>。</w:t>
      </w:r>
    </w:p>
    <w:p>
      <w:pPr>
        <w:ind w:firstLine="480" w:firstLineChars="200"/>
        <w:rPr>
          <w:sz w:val="24"/>
        </w:rPr>
      </w:pPr>
      <w:r>
        <w:rPr>
          <w:rFonts w:hint="eastAsia"/>
          <w:sz w:val="24"/>
        </w:rPr>
        <w:t>乙方提交单据：退还申请（原件）、安装调试验收合格报告（复印件）</w:t>
      </w:r>
      <w:r>
        <w:rPr>
          <w:sz w:val="24"/>
        </w:rPr>
        <w:t>。</w:t>
      </w:r>
    </w:p>
    <w:p>
      <w:pPr>
        <w:ind w:firstLine="480" w:firstLineChars="200"/>
        <w:rPr>
          <w:sz w:val="24"/>
        </w:rPr>
      </w:pPr>
      <w:r>
        <w:rPr>
          <w:sz w:val="24"/>
        </w:rPr>
        <w:t>4.因财政集中支付延误时间不计算在内</w:t>
      </w:r>
      <w:r>
        <w:rPr>
          <w:rFonts w:hint="eastAsia"/>
          <w:sz w:val="24"/>
        </w:rPr>
        <w:t>。</w:t>
      </w:r>
      <w:r>
        <w:rPr>
          <w:sz w:val="24"/>
        </w:rPr>
        <w:t>乙方提交付款单据延迟、缺失及账户信息错误的，甲方有权相应顺延付款期限，且甲方不承担延误付款责任。</w:t>
      </w:r>
    </w:p>
    <w:p>
      <w:pPr>
        <w:pStyle w:val="603"/>
        <w:autoSpaceDN w:val="0"/>
        <w:spacing w:after="231"/>
        <w:ind w:firstLine="480" w:firstLineChars="200"/>
        <w:jc w:val="left"/>
        <w:rPr>
          <w:snapToGrid w:val="0"/>
          <w:sz w:val="24"/>
          <w:szCs w:val="24"/>
        </w:rPr>
      </w:pPr>
      <w:r>
        <w:rPr>
          <w:snapToGrid w:val="0"/>
          <w:sz w:val="24"/>
          <w:szCs w:val="24"/>
        </w:rPr>
        <w:t>乙方收取货款账户为：</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vAlign w:val="center"/>
          </w:tcPr>
          <w:p>
            <w:pPr>
              <w:pStyle w:val="603"/>
              <w:autoSpaceDN w:val="0"/>
              <w:jc w:val="left"/>
              <w:rPr>
                <w:snapToGrid w:val="0"/>
                <w:sz w:val="24"/>
                <w:szCs w:val="24"/>
              </w:rPr>
            </w:pPr>
            <w:r>
              <w:rPr>
                <w:snapToGrid w:val="0"/>
                <w:sz w:val="24"/>
                <w:szCs w:val="24"/>
              </w:rPr>
              <w:t>乙方全称</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vAlign w:val="center"/>
          </w:tcPr>
          <w:p>
            <w:pPr>
              <w:pStyle w:val="603"/>
              <w:autoSpaceDN w:val="0"/>
              <w:jc w:val="left"/>
              <w:rPr>
                <w:snapToGrid w:val="0"/>
                <w:sz w:val="24"/>
                <w:szCs w:val="24"/>
              </w:rPr>
            </w:pPr>
            <w:r>
              <w:rPr>
                <w:snapToGrid w:val="0"/>
                <w:sz w:val="24"/>
                <w:szCs w:val="24"/>
              </w:rPr>
              <w:t>开户银行</w:t>
            </w:r>
          </w:p>
        </w:tc>
        <w:tc>
          <w:tcPr>
            <w:tcW w:w="6051" w:type="dxa"/>
            <w:vAlign w:val="center"/>
          </w:tcPr>
          <w:p>
            <w:pPr>
              <w:pStyle w:val="603"/>
              <w:autoSpaceDN w:val="0"/>
              <w:ind w:firstLine="480" w:firstLineChars="200"/>
              <w:jc w:val="left"/>
              <w:rPr>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vAlign w:val="center"/>
          </w:tcPr>
          <w:p>
            <w:pPr>
              <w:pStyle w:val="603"/>
              <w:autoSpaceDN w:val="0"/>
              <w:jc w:val="left"/>
              <w:rPr>
                <w:snapToGrid w:val="0"/>
                <w:sz w:val="24"/>
                <w:szCs w:val="24"/>
              </w:rPr>
            </w:pPr>
            <w:r>
              <w:rPr>
                <w:snapToGrid w:val="0"/>
                <w:sz w:val="24"/>
                <w:szCs w:val="24"/>
              </w:rPr>
              <w:t>账号</w:t>
            </w:r>
          </w:p>
        </w:tc>
        <w:tc>
          <w:tcPr>
            <w:tcW w:w="6051" w:type="dxa"/>
            <w:vAlign w:val="center"/>
          </w:tcPr>
          <w:p>
            <w:pPr>
              <w:pStyle w:val="603"/>
              <w:autoSpaceDN w:val="0"/>
              <w:ind w:firstLine="480" w:firstLineChars="200"/>
              <w:jc w:val="left"/>
              <w:rPr>
                <w:snapToGrid w:val="0"/>
                <w:sz w:val="24"/>
                <w:szCs w:val="24"/>
              </w:rPr>
            </w:pPr>
          </w:p>
        </w:tc>
      </w:tr>
    </w:tbl>
    <w:p>
      <w:pPr>
        <w:ind w:firstLine="482" w:firstLineChars="200"/>
        <w:rPr>
          <w:b/>
          <w:bCs/>
          <w:sz w:val="24"/>
        </w:rPr>
      </w:pPr>
      <w:r>
        <w:rPr>
          <w:b/>
          <w:bCs/>
          <w:sz w:val="24"/>
        </w:rPr>
        <w:t>第四条 履约保证金</w:t>
      </w:r>
    </w:p>
    <w:p>
      <w:pPr>
        <w:pStyle w:val="622"/>
        <w:spacing w:line="360" w:lineRule="auto"/>
        <w:ind w:firstLine="480" w:firstLineChars="200"/>
        <w:rPr>
          <w:rFonts w:eastAsia="宋体"/>
          <w:sz w:val="24"/>
          <w:szCs w:val="24"/>
        </w:rPr>
      </w:pPr>
      <w:r>
        <w:rPr>
          <w:rFonts w:eastAsia="宋体"/>
          <w:sz w:val="24"/>
          <w:szCs w:val="24"/>
        </w:rPr>
        <w:t>（一）合同签订之日起</w:t>
      </w:r>
      <w:r>
        <w:rPr>
          <w:rFonts w:hint="eastAsia" w:eastAsia="宋体"/>
          <w:sz w:val="24"/>
          <w:szCs w:val="24"/>
          <w:u w:val="single"/>
        </w:rPr>
        <w:t xml:space="preserve"> 10 </w:t>
      </w:r>
      <w:r>
        <w:rPr>
          <w:rFonts w:eastAsia="宋体"/>
          <w:sz w:val="24"/>
          <w:szCs w:val="24"/>
        </w:rPr>
        <w:t>个工作日内，乙方须按合同金额的</w:t>
      </w:r>
      <w:r>
        <w:rPr>
          <w:rFonts w:hint="eastAsia" w:eastAsia="宋体"/>
          <w:sz w:val="24"/>
          <w:szCs w:val="24"/>
          <w:u w:val="single"/>
        </w:rPr>
        <w:t xml:space="preserve"> 10  </w:t>
      </w:r>
      <w:r>
        <w:rPr>
          <w:rFonts w:eastAsia="宋体"/>
          <w:sz w:val="24"/>
          <w:szCs w:val="24"/>
        </w:rPr>
        <w:t>%向甲方交纳履约保证金</w:t>
      </w:r>
      <w:r>
        <w:rPr>
          <w:rFonts w:hint="eastAsia" w:eastAsia="宋体"/>
          <w:sz w:val="24"/>
          <w:szCs w:val="24"/>
        </w:rPr>
        <w:t>或保函</w:t>
      </w:r>
      <w:r>
        <w:rPr>
          <w:rFonts w:eastAsia="宋体"/>
          <w:sz w:val="24"/>
          <w:szCs w:val="24"/>
        </w:rPr>
        <w:t>。如果乙方未按照约定时间交付履约保证金的，甲方有权单方面解除合同。</w:t>
      </w:r>
    </w:p>
    <w:p>
      <w:pPr>
        <w:pStyle w:val="623"/>
        <w:autoSpaceDN w:val="0"/>
        <w:spacing w:line="360" w:lineRule="auto"/>
        <w:ind w:firstLine="480" w:firstLineChars="20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收款单位全称</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开户银行</w:t>
            </w:r>
          </w:p>
        </w:tc>
        <w:tc>
          <w:tcPr>
            <w:tcW w:w="5469" w:type="dxa"/>
            <w:vAlign w:val="center"/>
          </w:tcPr>
          <w:p>
            <w:pPr>
              <w:pStyle w:val="623"/>
              <w:autoSpaceDN w:val="0"/>
              <w:spacing w:line="360" w:lineRule="auto"/>
              <w:ind w:firstLine="480" w:firstLineChars="200"/>
              <w:jc w:val="left"/>
              <w:rPr>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vAlign w:val="center"/>
          </w:tcPr>
          <w:p>
            <w:pPr>
              <w:pStyle w:val="623"/>
              <w:autoSpaceDN w:val="0"/>
              <w:spacing w:line="360" w:lineRule="auto"/>
              <w:jc w:val="left"/>
              <w:rPr>
                <w:snapToGrid w:val="0"/>
                <w:kern w:val="0"/>
                <w:sz w:val="24"/>
                <w:szCs w:val="24"/>
              </w:rPr>
            </w:pPr>
            <w:r>
              <w:rPr>
                <w:snapToGrid w:val="0"/>
                <w:kern w:val="0"/>
                <w:sz w:val="24"/>
                <w:szCs w:val="24"/>
              </w:rPr>
              <w:t>账号</w:t>
            </w:r>
          </w:p>
        </w:tc>
        <w:tc>
          <w:tcPr>
            <w:tcW w:w="5469" w:type="dxa"/>
            <w:vAlign w:val="center"/>
          </w:tcPr>
          <w:p>
            <w:pPr>
              <w:pStyle w:val="623"/>
              <w:autoSpaceDN w:val="0"/>
              <w:spacing w:line="360" w:lineRule="auto"/>
              <w:ind w:firstLine="480" w:firstLineChars="200"/>
              <w:jc w:val="left"/>
              <w:rPr>
                <w:snapToGrid w:val="0"/>
                <w:kern w:val="0"/>
                <w:sz w:val="24"/>
                <w:szCs w:val="24"/>
              </w:rPr>
            </w:pPr>
          </w:p>
        </w:tc>
      </w:tr>
    </w:tbl>
    <w:p>
      <w:pPr>
        <w:pStyle w:val="622"/>
        <w:spacing w:after="231" w:line="360" w:lineRule="auto"/>
        <w:ind w:firstLine="480" w:firstLineChars="200"/>
        <w:rPr>
          <w:rFonts w:eastAsia="宋体"/>
          <w:sz w:val="24"/>
          <w:szCs w:val="24"/>
        </w:rPr>
      </w:pPr>
      <w:r>
        <w:rPr>
          <w:rFonts w:eastAsia="宋体"/>
          <w:sz w:val="24"/>
          <w:szCs w:val="24"/>
        </w:rPr>
        <w:t>（二）履约保证金以银行保函、银行电汇向甲方提供。</w:t>
      </w:r>
    </w:p>
    <w:p>
      <w:pPr>
        <w:ind w:firstLine="480" w:firstLineChars="200"/>
        <w:rPr>
          <w:sz w:val="24"/>
        </w:rPr>
      </w:pPr>
      <w:r>
        <w:rPr>
          <w:sz w:val="24"/>
        </w:rPr>
        <w:t>（三）如乙方未能履行合同规定的义务，甲方有权按照本合同的约定从履约保证金中进行相应扣除。乙方应在甲方扣除履约保证金之日起10个工作日内，及时补充扣除部分金额。</w:t>
      </w:r>
    </w:p>
    <w:p>
      <w:pPr>
        <w:ind w:firstLine="480" w:firstLineChars="200"/>
        <w:rPr>
          <w:sz w:val="24"/>
        </w:rPr>
      </w:pPr>
      <w:r>
        <w:rPr>
          <w:sz w:val="24"/>
        </w:rPr>
        <w:t>（</w:t>
      </w:r>
      <w:r>
        <w:rPr>
          <w:rFonts w:hint="eastAsia"/>
          <w:sz w:val="24"/>
        </w:rPr>
        <w:t>四</w:t>
      </w:r>
      <w:r>
        <w:rPr>
          <w:sz w:val="24"/>
        </w:rPr>
        <w:t>）如乙方不履行合同，或履行合同义务不符合约定使得合同目的不能实现，履约保证金不予退还。</w:t>
      </w:r>
    </w:p>
    <w:p>
      <w:pPr>
        <w:ind w:firstLine="482" w:firstLineChars="200"/>
        <w:rPr>
          <w:b/>
          <w:bCs/>
          <w:sz w:val="24"/>
        </w:rPr>
      </w:pPr>
      <w:r>
        <w:rPr>
          <w:b/>
          <w:bCs/>
          <w:sz w:val="24"/>
        </w:rPr>
        <w:t>第五条 包装</w:t>
      </w:r>
    </w:p>
    <w:p>
      <w:pPr>
        <w:pStyle w:val="624"/>
        <w:spacing w:line="360" w:lineRule="auto"/>
        <w:ind w:firstLine="480" w:firstLineChars="20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pPr>
        <w:pStyle w:val="624"/>
        <w:spacing w:line="360" w:lineRule="auto"/>
        <w:ind w:firstLine="480" w:firstLineChars="200"/>
        <w:rPr>
          <w:rFonts w:eastAsia="宋体"/>
          <w:sz w:val="24"/>
          <w:szCs w:val="24"/>
        </w:rPr>
      </w:pPr>
      <w:r>
        <w:rPr>
          <w:rFonts w:eastAsia="宋体"/>
          <w:sz w:val="24"/>
          <w:szCs w:val="24"/>
        </w:rPr>
        <w:t>（二）乙方应在包装箱外标明产品名称、型号，包装箱内随附一份详细装箱单和质量证书。</w:t>
      </w:r>
    </w:p>
    <w:p>
      <w:pPr>
        <w:ind w:firstLine="480" w:firstLineChars="200"/>
        <w:rPr>
          <w:sz w:val="24"/>
        </w:rPr>
      </w:pPr>
      <w:r>
        <w:rPr>
          <w:sz w:val="24"/>
        </w:rPr>
        <w:t>（三）乙方应承担由于其包装或防护措施不当而引起的货物损坏和丢失的任何损失责任和费用。</w:t>
      </w:r>
    </w:p>
    <w:p>
      <w:pPr>
        <w:ind w:firstLine="482" w:firstLineChars="200"/>
        <w:rPr>
          <w:b/>
          <w:bCs/>
          <w:sz w:val="24"/>
        </w:rPr>
      </w:pPr>
      <w:r>
        <w:rPr>
          <w:b/>
          <w:bCs/>
          <w:sz w:val="24"/>
        </w:rPr>
        <w:t>第六条 交货时间、地点、交货方法（运输方式）</w:t>
      </w:r>
    </w:p>
    <w:p>
      <w:pPr>
        <w:pStyle w:val="625"/>
        <w:spacing w:line="360" w:lineRule="auto"/>
        <w:ind w:firstLine="480" w:firstLineChars="20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货时间：中标人应在合同签订之日起30个日历日内交付货物并完成安装调试。</w:t>
      </w:r>
    </w:p>
    <w:p>
      <w:pPr>
        <w:pStyle w:val="626"/>
        <w:spacing w:line="360" w:lineRule="auto"/>
        <w:ind w:firstLine="480" w:firstLineChars="200"/>
        <w:rPr>
          <w:rFonts w:eastAsia="宋体"/>
          <w:sz w:val="24"/>
          <w:szCs w:val="24"/>
        </w:rPr>
      </w:pPr>
      <w:r>
        <w:rPr>
          <w:rFonts w:eastAsia="宋体"/>
          <w:sz w:val="24"/>
          <w:szCs w:val="24"/>
        </w:rPr>
        <w:t>（二）交货地点：</w:t>
      </w:r>
      <w:r>
        <w:rPr>
          <w:rFonts w:hint="eastAsia" w:eastAsia="宋体"/>
          <w:sz w:val="24"/>
          <w:szCs w:val="24"/>
        </w:rPr>
        <w:t>深圳市福田区福强路1011号深圳海关福强路办公区A栋指定地点</w:t>
      </w:r>
      <w:r>
        <w:rPr>
          <w:rFonts w:eastAsia="宋体"/>
          <w:sz w:val="24"/>
          <w:szCs w:val="24"/>
        </w:rPr>
        <w:t>。</w:t>
      </w:r>
    </w:p>
    <w:p>
      <w:pPr>
        <w:pStyle w:val="627"/>
        <w:spacing w:line="360" w:lineRule="auto"/>
        <w:ind w:firstLine="480" w:firstLineChars="20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乙方负责并承担相应费用。</w:t>
      </w:r>
    </w:p>
    <w:p>
      <w:pPr>
        <w:pStyle w:val="628"/>
        <w:spacing w:line="360" w:lineRule="auto"/>
        <w:ind w:firstLine="480" w:firstLineChars="200"/>
        <w:rPr>
          <w:rFonts w:eastAsia="宋体"/>
          <w:sz w:val="24"/>
          <w:szCs w:val="24"/>
        </w:rPr>
      </w:pPr>
      <w:r>
        <w:rPr>
          <w:rFonts w:eastAsia="宋体"/>
          <w:sz w:val="24"/>
          <w:szCs w:val="24"/>
        </w:rPr>
        <w:t>（四）风险责任承担：货物的风险责任和所有权在双方签署设备到货验收签收单/安装调试验收合格报告后由甲方承担和享有，此前的风险责任由乙方承担。</w:t>
      </w:r>
    </w:p>
    <w:p>
      <w:pPr>
        <w:pStyle w:val="629"/>
        <w:spacing w:line="360" w:lineRule="auto"/>
        <w:ind w:firstLine="482" w:firstLineChars="200"/>
        <w:rPr>
          <w:sz w:val="24"/>
          <w:szCs w:val="24"/>
        </w:rPr>
      </w:pPr>
      <w:r>
        <w:rPr>
          <w:b/>
          <w:bCs/>
          <w:sz w:val="24"/>
          <w:szCs w:val="24"/>
        </w:rPr>
        <w:t>第七条 货物验收</w:t>
      </w:r>
    </w:p>
    <w:p>
      <w:pPr>
        <w:pStyle w:val="630"/>
        <w:ind w:firstLine="480" w:firstLineChars="20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pPr>
        <w:pStyle w:val="631"/>
        <w:spacing w:line="360" w:lineRule="auto"/>
        <w:ind w:firstLine="480" w:firstLineChars="200"/>
        <w:rPr>
          <w:rFonts w:eastAsia="宋体"/>
          <w:sz w:val="24"/>
          <w:szCs w:val="24"/>
        </w:rPr>
      </w:pPr>
      <w:r>
        <w:rPr>
          <w:rFonts w:eastAsia="宋体"/>
          <w:sz w:val="24"/>
          <w:szCs w:val="24"/>
        </w:rPr>
        <w:t>（二）收货后</w:t>
      </w:r>
      <w:r>
        <w:rPr>
          <w:rFonts w:hint="eastAsia" w:eastAsia="宋体"/>
          <w:sz w:val="24"/>
          <w:szCs w:val="24"/>
          <w:u w:val="single"/>
        </w:rPr>
        <w:t xml:space="preserve"> 30 </w:t>
      </w:r>
      <w:r>
        <w:rPr>
          <w:rFonts w:eastAsia="宋体"/>
          <w:sz w:val="24"/>
          <w:szCs w:val="24"/>
        </w:rPr>
        <w:t>个工作日内甲乙双方进行到货验收工作。如验收合格，甲方（用户）应及时履行验收手续，双方签署设备到货验收签收单；如验收不合格，甲方（用户）应以书面形式通知乙方原因，乙方收到通知后</w:t>
      </w:r>
      <w:r>
        <w:rPr>
          <w:rFonts w:hint="eastAsia" w:eastAsia="宋体"/>
          <w:sz w:val="24"/>
          <w:szCs w:val="24"/>
          <w:u w:val="single"/>
        </w:rPr>
        <w:t xml:space="preserve"> 10  </w:t>
      </w:r>
      <w:r>
        <w:rPr>
          <w:rFonts w:eastAsia="宋体"/>
          <w:sz w:val="24"/>
          <w:szCs w:val="24"/>
        </w:rPr>
        <w:t>个工作日内提供解决方案。</w:t>
      </w:r>
    </w:p>
    <w:p>
      <w:pPr>
        <w:pStyle w:val="630"/>
        <w:ind w:firstLine="480" w:firstLineChars="200"/>
        <w:rPr>
          <w:sz w:val="24"/>
          <w:szCs w:val="24"/>
        </w:rPr>
      </w:pPr>
      <w:r>
        <w:rPr>
          <w:sz w:val="24"/>
          <w:szCs w:val="24"/>
        </w:rPr>
        <w:t>（三）在验收工作中，发现数量不足或有质量、技术等问题，乙方应按照合同要求采取补足、更换或退货等处理措施，并承担由此发生的一切费用和损失。</w:t>
      </w:r>
    </w:p>
    <w:p>
      <w:pPr>
        <w:pStyle w:val="630"/>
        <w:ind w:firstLine="480" w:firstLineChars="20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pPr>
        <w:pStyle w:val="630"/>
        <w:ind w:firstLine="480" w:firstLineChars="200"/>
        <w:rPr>
          <w:sz w:val="24"/>
          <w:szCs w:val="24"/>
        </w:rPr>
      </w:pPr>
      <w:r>
        <w:rPr>
          <w:sz w:val="24"/>
          <w:szCs w:val="24"/>
        </w:rPr>
        <w:t>（五）为验核货物内在功能是否完备，甲方（用户）有权组织委托有关检测单位进行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六</w:t>
      </w:r>
      <w:r>
        <w:rPr>
          <w:rFonts w:eastAsia="宋体"/>
          <w:sz w:val="24"/>
          <w:szCs w:val="24"/>
        </w:rPr>
        <w:t>）甲方（用户）认为必要时，对大型或者复杂的货物采购项目，可以邀请国家认可的质量检测机构参加验收工作，相关验收意见作为验收报告的参考资料，相关费用由乙方承担。</w:t>
      </w:r>
    </w:p>
    <w:p>
      <w:pPr>
        <w:pStyle w:val="632"/>
        <w:spacing w:line="360" w:lineRule="auto"/>
        <w:ind w:firstLine="480" w:firstLineChars="200"/>
        <w:rPr>
          <w:rFonts w:eastAsia="宋体"/>
          <w:sz w:val="24"/>
          <w:szCs w:val="24"/>
        </w:rPr>
      </w:pPr>
      <w:r>
        <w:rPr>
          <w:rFonts w:eastAsia="宋体"/>
          <w:sz w:val="24"/>
          <w:szCs w:val="24"/>
        </w:rPr>
        <w:t>（</w:t>
      </w:r>
      <w:r>
        <w:rPr>
          <w:rFonts w:hint="eastAsia" w:eastAsia="宋体"/>
          <w:sz w:val="24"/>
          <w:szCs w:val="24"/>
        </w:rPr>
        <w:t>七</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pPr>
        <w:pStyle w:val="630"/>
        <w:ind w:firstLine="482" w:firstLineChars="200"/>
        <w:rPr>
          <w:sz w:val="24"/>
          <w:szCs w:val="24"/>
        </w:rPr>
      </w:pPr>
      <w:r>
        <w:rPr>
          <w:b/>
          <w:bCs/>
          <w:sz w:val="24"/>
          <w:szCs w:val="24"/>
        </w:rPr>
        <w:t>第八条 质量保证</w:t>
      </w:r>
    </w:p>
    <w:p>
      <w:pPr>
        <w:ind w:firstLine="480" w:firstLineChars="200"/>
        <w:rPr>
          <w:sz w:val="24"/>
        </w:rPr>
      </w:pPr>
      <w:r>
        <w:rPr>
          <w:sz w:val="24"/>
        </w:rPr>
        <w:t>（一）乙方应保证所供货物为</w:t>
      </w:r>
      <w:r>
        <w:rPr>
          <w:rFonts w:hint="eastAsia"/>
          <w:sz w:val="24"/>
          <w:u w:val="single"/>
        </w:rPr>
        <w:t xml:space="preserve">              </w:t>
      </w:r>
      <w:r>
        <w:rPr>
          <w:sz w:val="24"/>
        </w:rPr>
        <w:t>公司制造生产、原包装、全新未使用过的产品，与投标文件/应答文件承诺一致，并完全符合或高于合同要求的质量、规格和技术性能。</w:t>
      </w:r>
    </w:p>
    <w:p>
      <w:pPr>
        <w:ind w:firstLine="480" w:firstLineChars="200"/>
        <w:rPr>
          <w:sz w:val="24"/>
        </w:rPr>
      </w:pPr>
      <w:r>
        <w:rPr>
          <w:sz w:val="24"/>
        </w:rPr>
        <w:t>（二）乙方应保证所供货物没有因乙方的行为或疏忽而产生材料或工艺上的缺陷，并保证其货物在正确安装、正常使用和保养条件下，在其使用寿命期内具有满意的性能。在货物最终交付验收后不少于合同规定或乙方承诺（两者以较长的为准）的质量保证期内，本保证保持有效。</w:t>
      </w:r>
    </w:p>
    <w:p>
      <w:pPr>
        <w:ind w:firstLine="480" w:firstLineChars="200"/>
        <w:rPr>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ind w:firstLine="480" w:firstLineChars="200"/>
        <w:rPr>
          <w:sz w:val="24"/>
        </w:rPr>
      </w:pPr>
      <w:r>
        <w:rPr>
          <w:sz w:val="24"/>
        </w:rPr>
        <w:t>（四）在质量保证期内所发现的缺陷，甲方（用户）应尽快以书面形式通知乙方。乙方收到通知后应10日内维修或更换有缺陷的货物或部件</w:t>
      </w:r>
      <w:r>
        <w:rPr>
          <w:rFonts w:hint="eastAsia" w:cs="Times New Roman"/>
          <w:kern w:val="2"/>
          <w:szCs w:val="21"/>
          <w:lang w:eastAsia="zh-TW"/>
        </w:rPr>
        <w:t>（不额外收费）</w:t>
      </w:r>
      <w:r>
        <w:rPr>
          <w:sz w:val="24"/>
        </w:rPr>
        <w:t>。</w:t>
      </w:r>
    </w:p>
    <w:p>
      <w:pPr>
        <w:ind w:firstLine="480" w:firstLineChars="200"/>
        <w:rPr>
          <w:sz w:val="24"/>
        </w:rPr>
      </w:pPr>
      <w:r>
        <w:rPr>
          <w:sz w:val="24"/>
        </w:rPr>
        <w:t>（五）乙方在约定的时间内未能弥补缺陷，甲方（用户）可采取必要的补救措施，但其风险和费用将由乙方承担，甲方（用户）根据合同规定对乙方行使的其他权利不受影响。</w:t>
      </w:r>
    </w:p>
    <w:p>
      <w:pPr>
        <w:widowControl w:val="0"/>
        <w:shd w:val="clear" w:color="auto" w:fill="auto"/>
        <w:tabs>
          <w:tab w:val="clear" w:pos="426"/>
        </w:tabs>
        <w:adjustRightInd/>
        <w:snapToGrid/>
        <w:spacing w:line="240" w:lineRule="auto"/>
        <w:ind w:firstLine="480" w:firstLineChars="200"/>
        <w:rPr>
          <w:rFonts w:cs="Times New Roman"/>
          <w:b/>
          <w:bCs/>
          <w:kern w:val="2"/>
          <w:szCs w:val="21"/>
        </w:rPr>
      </w:pPr>
      <w:r>
        <w:rPr>
          <w:sz w:val="24"/>
        </w:rPr>
        <w:t>（六）本合同项目所有货物质量保证期为：产品安装调试经采购人（用户）验收合格当天起，全机质保期3年，在质保期内，产品因故障停用，质保期相应顺延。质保期外2年内，能更及时地为采购人（用户）提供仪器关键零备件、消耗品等。</w:t>
      </w:r>
    </w:p>
    <w:p>
      <w:pPr>
        <w:ind w:firstLine="482" w:firstLineChars="200"/>
        <w:rPr>
          <w:b/>
          <w:bCs/>
          <w:sz w:val="24"/>
        </w:rPr>
      </w:pPr>
      <w:r>
        <w:rPr>
          <w:b/>
          <w:bCs/>
          <w:sz w:val="24"/>
        </w:rPr>
        <w:t>第九条 培训</w:t>
      </w:r>
    </w:p>
    <w:p>
      <w:pPr>
        <w:ind w:firstLine="480" w:firstLineChars="200"/>
        <w:rPr>
          <w:b/>
          <w:bCs/>
          <w:sz w:val="24"/>
        </w:rPr>
      </w:pPr>
      <w:r>
        <w:rPr>
          <w:bCs/>
          <w:sz w:val="24"/>
        </w:rPr>
        <w:t>本合同所包括的培训详见附件培训方案。</w:t>
      </w:r>
    </w:p>
    <w:p>
      <w:pPr>
        <w:ind w:firstLine="482" w:firstLineChars="200"/>
        <w:rPr>
          <w:b/>
          <w:bCs/>
          <w:sz w:val="24"/>
        </w:rPr>
      </w:pPr>
      <w:r>
        <w:rPr>
          <w:b/>
          <w:bCs/>
          <w:sz w:val="24"/>
        </w:rPr>
        <w:t>第十条 售后服务</w:t>
      </w:r>
      <w:r>
        <w:rPr>
          <w:rFonts w:hint="eastAsia"/>
          <w:b/>
          <w:bCs/>
          <w:sz w:val="24"/>
        </w:rPr>
        <w:t>（以需求为准）</w:t>
      </w:r>
    </w:p>
    <w:p>
      <w:pPr>
        <w:ind w:firstLine="480" w:firstLineChars="200"/>
        <w:rPr>
          <w:sz w:val="24"/>
        </w:rPr>
      </w:pPr>
      <w:r>
        <w:rPr>
          <w:sz w:val="24"/>
        </w:rPr>
        <w:t>（一）供应商（制造商）在质量保证期内提供</w:t>
      </w:r>
      <w:r>
        <w:rPr>
          <w:rFonts w:hint="eastAsia"/>
          <w:sz w:val="24"/>
          <w:u w:val="single"/>
        </w:rPr>
        <w:t xml:space="preserve"> 7*24 </w:t>
      </w:r>
      <w:r>
        <w:rPr>
          <w:sz w:val="24"/>
        </w:rPr>
        <w:t>小时的技术支持与售后服务，提供专线电话支持服务，</w:t>
      </w:r>
      <w:r>
        <w:rPr>
          <w:rFonts w:hint="eastAsia"/>
          <w:sz w:val="24"/>
          <w:u w:val="single"/>
        </w:rPr>
        <w:t xml:space="preserve"> 2 </w:t>
      </w:r>
      <w:r>
        <w:rPr>
          <w:sz w:val="24"/>
        </w:rPr>
        <w:t>小时内响应，保证_</w:t>
      </w:r>
      <w:r>
        <w:rPr>
          <w:rFonts w:hint="eastAsia"/>
          <w:sz w:val="24"/>
          <w:u w:val="single"/>
        </w:rPr>
        <w:t>48</w:t>
      </w:r>
      <w:r>
        <w:rPr>
          <w:sz w:val="24"/>
          <w:u w:val="single"/>
        </w:rPr>
        <w:t>_</w:t>
      </w:r>
      <w:r>
        <w:rPr>
          <w:sz w:val="24"/>
        </w:rPr>
        <w:t>_小时内到达现场并解决故障</w:t>
      </w:r>
      <w:r>
        <w:rPr>
          <w:rFonts w:hint="eastAsia"/>
          <w:sz w:val="24"/>
        </w:rPr>
        <w:t>（不额外收费）</w:t>
      </w:r>
      <w:r>
        <w:rPr>
          <w:sz w:val="24"/>
        </w:rPr>
        <w:t>。</w:t>
      </w:r>
    </w:p>
    <w:p>
      <w:pPr>
        <w:ind w:firstLine="480" w:firstLineChars="200"/>
        <w:rPr>
          <w:sz w:val="24"/>
        </w:rPr>
      </w:pPr>
      <w:r>
        <w:rPr>
          <w:sz w:val="24"/>
        </w:rPr>
        <w:t>（二）本合同所包含的售后服务，包含制造商售后服务和代理商售后服务，具体见附件技术支持及售后服务方案。</w:t>
      </w:r>
    </w:p>
    <w:p>
      <w:pPr>
        <w:ind w:firstLine="482" w:firstLineChars="200"/>
        <w:rPr>
          <w:b/>
          <w:bCs/>
          <w:sz w:val="24"/>
        </w:rPr>
      </w:pPr>
      <w:r>
        <w:rPr>
          <w:b/>
          <w:bCs/>
          <w:sz w:val="24"/>
        </w:rPr>
        <w:t>第十一条 违约责任</w:t>
      </w:r>
    </w:p>
    <w:p>
      <w:pPr>
        <w:ind w:firstLine="480" w:firstLineChars="200"/>
        <w:rPr>
          <w:sz w:val="24"/>
        </w:rPr>
      </w:pPr>
      <w:r>
        <w:rPr>
          <w:sz w:val="24"/>
        </w:rPr>
        <w:t>（一）因乙方原因未能按照本合同要求交付合格的货物或提供相关服务的违约责任。</w:t>
      </w:r>
    </w:p>
    <w:p>
      <w:pPr>
        <w:ind w:firstLine="480" w:firstLineChars="200"/>
        <w:rPr>
          <w:sz w:val="24"/>
        </w:rPr>
      </w:pPr>
      <w:r>
        <w:rPr>
          <w:sz w:val="24"/>
        </w:rPr>
        <w:t>1.对于货物被证实存在缺陷（包括潜在的缺陷）或者不符合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ind w:firstLine="480" w:firstLineChars="200"/>
        <w:rPr>
          <w:sz w:val="24"/>
        </w:rPr>
      </w:pPr>
      <w:r>
        <w:rPr>
          <w:sz w:val="24"/>
        </w:rPr>
        <w:t>（1）退货：甲方将货物退回乙方，乙方将合同货款退还给甲方，并承担由此发生的一切损失和费用。</w:t>
      </w:r>
    </w:p>
    <w:p>
      <w:pPr>
        <w:ind w:firstLine="480" w:firstLineChars="200"/>
        <w:rPr>
          <w:sz w:val="24"/>
        </w:rPr>
      </w:pPr>
      <w:r>
        <w:rPr>
          <w:sz w:val="24"/>
        </w:rPr>
        <w:t>（2）退货重新制作：甲方将货物退回乙方，乙方按照技术标准要求重新制作，并承担由此发生的一切损失和费用。</w:t>
      </w:r>
    </w:p>
    <w:p>
      <w:pPr>
        <w:ind w:firstLine="480" w:firstLineChars="200"/>
        <w:rPr>
          <w:sz w:val="24"/>
        </w:rPr>
      </w:pPr>
      <w:r>
        <w:rPr>
          <w:sz w:val="24"/>
        </w:rPr>
        <w:t>（3）新货替换：乙方用满足技术标准要求的货物替换存在缺陷的产品，承担甲方蒙受的全部损失和费用，并承担由此引发的一切风险，且相应延长所换货物的质量保证期。</w:t>
      </w:r>
    </w:p>
    <w:p>
      <w:pPr>
        <w:ind w:firstLine="480" w:firstLineChars="200"/>
        <w:rPr>
          <w:sz w:val="24"/>
        </w:rPr>
      </w:pPr>
      <w:r>
        <w:rPr>
          <w:sz w:val="24"/>
        </w:rPr>
        <w:t>2.</w:t>
      </w:r>
      <w:r>
        <w:rPr>
          <w:bCs/>
          <w:sz w:val="24"/>
        </w:rPr>
        <w:t>如果乙方</w:t>
      </w:r>
      <w:r>
        <w:rPr>
          <w:sz w:val="24"/>
        </w:rPr>
        <w:t>未在甲方要求的10日内或甲方同意的期限内，按照上述任何一种方式采取补救措施，甲方有权解除合同，扣除全部履约保证金并要求乙方退回甲方已支付的货款，并视损失情况根据《中华人民共和国民法典（合同编）》有关规定追究其相关责任，赔偿甲方（用户）的全部损失。</w:t>
      </w:r>
    </w:p>
    <w:p>
      <w:pPr>
        <w:pStyle w:val="633"/>
        <w:spacing w:line="360" w:lineRule="auto"/>
        <w:ind w:firstLine="480" w:firstLineChars="200"/>
        <w:rPr>
          <w:rFonts w:eastAsia="宋体"/>
          <w:sz w:val="24"/>
          <w:szCs w:val="24"/>
        </w:rPr>
      </w:pPr>
      <w:r>
        <w:rPr>
          <w:rFonts w:eastAsia="宋体"/>
          <w:sz w:val="24"/>
          <w:szCs w:val="24"/>
        </w:rPr>
        <w:t>3.对于未能按合同要求提供服务或被证实未提供应当承担的服务的，甲方有权要求限期整改。无合理理由不进行整改的视为根本违约。</w:t>
      </w:r>
    </w:p>
    <w:p>
      <w:pPr>
        <w:ind w:firstLine="480" w:firstLineChars="200"/>
        <w:rPr>
          <w:sz w:val="24"/>
        </w:rPr>
      </w:pPr>
      <w:r>
        <w:rPr>
          <w:sz w:val="24"/>
        </w:rPr>
        <w:t>（二）乙方未按照本合同规定的时间交货和提供服务的违约责任。</w:t>
      </w:r>
    </w:p>
    <w:p>
      <w:pPr>
        <w:pStyle w:val="634"/>
        <w:spacing w:line="360" w:lineRule="auto"/>
        <w:ind w:firstLine="480" w:firstLineChars="200"/>
        <w:rPr>
          <w:rFonts w:eastAsia="宋体"/>
          <w:sz w:val="24"/>
          <w:szCs w:val="24"/>
        </w:rPr>
      </w:pPr>
      <w:r>
        <w:rPr>
          <w:rFonts w:eastAsia="宋体"/>
          <w:sz w:val="24"/>
          <w:szCs w:val="24"/>
        </w:rPr>
        <w:t>1.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pStyle w:val="634"/>
        <w:spacing w:line="360" w:lineRule="auto"/>
        <w:ind w:firstLine="480" w:firstLineChars="200"/>
        <w:rPr>
          <w:rFonts w:eastAsia="宋体"/>
          <w:sz w:val="24"/>
          <w:szCs w:val="24"/>
        </w:rPr>
      </w:pPr>
      <w:r>
        <w:rPr>
          <w:rFonts w:eastAsia="宋体"/>
          <w:sz w:val="24"/>
          <w:szCs w:val="24"/>
        </w:rPr>
        <w:t>2.除甲乙双方另有约定外，如果乙方没有按照合同规定的时间交货和提供服务，甲方有权在不影响合同项下其他补救措施的情况下，要求乙方支付误期赔偿费，或从合同货款、履约保证金中扣除误期赔偿费。赔偿费按每周迟交货物价格或未提供服务费用的百分之零点五（0.5%）计收，直到交货或提供服务为止。但误期赔偿费的最高限额不超过误期货物或服务合同价格的百分之十（10%）。一周按七（7）天计算，不足七（7）天按一周计算。</w:t>
      </w:r>
    </w:p>
    <w:p>
      <w:pPr>
        <w:pStyle w:val="634"/>
        <w:spacing w:line="360" w:lineRule="auto"/>
        <w:ind w:firstLine="480" w:firstLineChars="200"/>
        <w:rPr>
          <w:rFonts w:eastAsia="宋体"/>
          <w:sz w:val="24"/>
          <w:szCs w:val="24"/>
        </w:rPr>
      </w:pPr>
      <w:r>
        <w:rPr>
          <w:rFonts w:eastAsia="宋体"/>
          <w:sz w:val="24"/>
          <w:szCs w:val="24"/>
        </w:rPr>
        <w:t>3.出现上述没有按照合同规定的时间交货和提供服务的情形时，甲方也可以选择解除合同，要求乙方退回甲方已支付货款、扣除履约保证金并追究乙方相应违约责任、赔偿甲方（用户）的全部损失。</w:t>
      </w:r>
    </w:p>
    <w:p>
      <w:pPr>
        <w:pStyle w:val="634"/>
        <w:spacing w:line="360" w:lineRule="auto"/>
        <w:ind w:firstLine="480" w:firstLineChars="200"/>
        <w:rPr>
          <w:rFonts w:eastAsia="宋体"/>
          <w:sz w:val="24"/>
          <w:szCs w:val="24"/>
        </w:rPr>
      </w:pPr>
      <w:r>
        <w:rPr>
          <w:rFonts w:eastAsia="宋体"/>
          <w:sz w:val="24"/>
          <w:szCs w:val="24"/>
        </w:rPr>
        <w:t>4.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pPr>
        <w:pStyle w:val="634"/>
        <w:spacing w:line="360" w:lineRule="auto"/>
        <w:ind w:firstLine="480" w:firstLineChars="200"/>
        <w:rPr>
          <w:rFonts w:eastAsia="宋体"/>
          <w:sz w:val="24"/>
          <w:szCs w:val="24"/>
        </w:rPr>
      </w:pPr>
      <w:r>
        <w:rPr>
          <w:rFonts w:eastAsia="宋体"/>
          <w:sz w:val="24"/>
          <w:szCs w:val="24"/>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pStyle w:val="635"/>
        <w:spacing w:line="360" w:lineRule="auto"/>
        <w:ind w:firstLine="480" w:firstLineChars="20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pPr>
        <w:pStyle w:val="636"/>
        <w:spacing w:line="360" w:lineRule="auto"/>
        <w:ind w:firstLine="482" w:firstLineChars="200"/>
        <w:rPr>
          <w:rFonts w:eastAsia="宋体"/>
          <w:b/>
          <w:bCs/>
          <w:sz w:val="24"/>
          <w:szCs w:val="24"/>
        </w:rPr>
      </w:pPr>
      <w:r>
        <w:rPr>
          <w:rFonts w:eastAsia="宋体"/>
          <w:b/>
          <w:bCs/>
          <w:sz w:val="24"/>
          <w:szCs w:val="24"/>
        </w:rPr>
        <w:t>第十二条 异议的期限和方法</w:t>
      </w:r>
    </w:p>
    <w:p>
      <w:pPr>
        <w:pStyle w:val="636"/>
        <w:spacing w:line="360" w:lineRule="auto"/>
        <w:ind w:firstLine="480" w:firstLineChars="200"/>
        <w:rPr>
          <w:rFonts w:eastAsia="宋体"/>
          <w:sz w:val="24"/>
          <w:szCs w:val="24"/>
        </w:rPr>
      </w:pPr>
      <w:r>
        <w:rPr>
          <w:rFonts w:eastAsia="宋体"/>
          <w:sz w:val="24"/>
          <w:szCs w:val="24"/>
        </w:rPr>
        <w:t>（一）异议期限自质量保证期开始之日起3个月内。如果属于产品设计、材料、工艺或其他潜在的质量缺陷，甲方（用户）以书面形式提出异议及其处理意见。</w:t>
      </w:r>
    </w:p>
    <w:p>
      <w:pPr>
        <w:pStyle w:val="636"/>
        <w:spacing w:line="360" w:lineRule="auto"/>
        <w:ind w:firstLine="480" w:firstLineChars="200"/>
        <w:rPr>
          <w:rFonts w:eastAsia="宋体"/>
          <w:sz w:val="24"/>
          <w:szCs w:val="24"/>
        </w:rPr>
      </w:pPr>
      <w:r>
        <w:rPr>
          <w:rFonts w:eastAsia="宋体"/>
          <w:sz w:val="24"/>
          <w:szCs w:val="24"/>
        </w:rPr>
        <w:t>（二）乙方接到甲方（用户）书面异议及其处理意见后，应在10日内到甲方（用户）项目现场处理，否则即视为默认甲方（用户）提出的异议和处理意见。</w:t>
      </w:r>
    </w:p>
    <w:p>
      <w:pPr>
        <w:pStyle w:val="636"/>
        <w:spacing w:line="360" w:lineRule="auto"/>
        <w:ind w:firstLine="482" w:firstLineChars="200"/>
        <w:rPr>
          <w:rFonts w:eastAsia="宋体"/>
          <w:b/>
          <w:bCs/>
          <w:sz w:val="24"/>
          <w:szCs w:val="24"/>
        </w:rPr>
      </w:pPr>
      <w:r>
        <w:rPr>
          <w:rFonts w:eastAsia="宋体"/>
          <w:b/>
          <w:bCs/>
          <w:sz w:val="24"/>
          <w:szCs w:val="24"/>
        </w:rPr>
        <w:t>第十三条 使用合同文件和资料</w:t>
      </w:r>
    </w:p>
    <w:p>
      <w:pPr>
        <w:pStyle w:val="636"/>
        <w:spacing w:line="360" w:lineRule="auto"/>
        <w:ind w:firstLine="480" w:firstLineChars="20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w:t>
      </w:r>
    </w:p>
    <w:p>
      <w:pPr>
        <w:pStyle w:val="636"/>
        <w:spacing w:line="360" w:lineRule="auto"/>
        <w:ind w:firstLine="480" w:firstLineChars="200"/>
        <w:rPr>
          <w:rFonts w:eastAsia="宋体"/>
          <w:sz w:val="24"/>
          <w:szCs w:val="24"/>
        </w:rPr>
      </w:pPr>
      <w:r>
        <w:rPr>
          <w:rFonts w:eastAsia="宋体"/>
          <w:sz w:val="24"/>
          <w:szCs w:val="24"/>
        </w:rPr>
        <w:t>（二）没有甲方（用户）事先书面同意，除了履行本合同之外，乙方不应使用、传播与本合同相关的任何文件、资料。</w:t>
      </w:r>
    </w:p>
    <w:p>
      <w:pPr>
        <w:ind w:firstLine="482" w:firstLineChars="200"/>
        <w:rPr>
          <w:b/>
          <w:bCs/>
          <w:sz w:val="24"/>
        </w:rPr>
      </w:pPr>
      <w:r>
        <w:rPr>
          <w:b/>
          <w:bCs/>
          <w:sz w:val="24"/>
        </w:rPr>
        <w:t>第十四条 知识产权</w:t>
      </w:r>
    </w:p>
    <w:p>
      <w:pPr>
        <w:ind w:firstLine="480" w:firstLineChars="200"/>
        <w:rPr>
          <w:sz w:val="24"/>
        </w:rPr>
      </w:pPr>
      <w:r>
        <w:rPr>
          <w:sz w:val="24"/>
        </w:rPr>
        <w:t>（一）乙方应保证所提供的货物及服务不侵犯任何第三方的知识产权(专利权、商标权、版权等)及其他任何合法权益。如果甲方（用户）在使用乙方货物或服务的任何一部分过程中，遭致第三方索赔或主张权利的，乙方应当修正以避免侵权。</w:t>
      </w:r>
    </w:p>
    <w:p>
      <w:pPr>
        <w:ind w:firstLine="480" w:firstLineChars="200"/>
        <w:rPr>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pPr>
        <w:ind w:firstLine="480" w:firstLineChars="200"/>
        <w:rPr>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pPr>
        <w:ind w:firstLine="482" w:firstLineChars="200"/>
        <w:rPr>
          <w:b/>
          <w:bCs/>
          <w:sz w:val="24"/>
        </w:rPr>
      </w:pPr>
      <w:r>
        <w:rPr>
          <w:b/>
          <w:bCs/>
          <w:sz w:val="24"/>
        </w:rPr>
        <w:t>第十五条 权利瑕疵担保</w:t>
      </w:r>
    </w:p>
    <w:p>
      <w:pPr>
        <w:ind w:firstLine="480" w:firstLineChars="200"/>
        <w:rPr>
          <w:sz w:val="24"/>
        </w:rPr>
      </w:pPr>
      <w:r>
        <w:rPr>
          <w:sz w:val="24"/>
        </w:rPr>
        <w:t>（一）乙方保证对其所提供的货物享有完全的所有权等合法权利，不存在任何未曾向甲方（用户）透露的担保物权（如抵押权、质押权、留置权等）或其他任何权利负担或争议。</w:t>
      </w:r>
    </w:p>
    <w:p>
      <w:pPr>
        <w:pStyle w:val="637"/>
        <w:spacing w:line="360" w:lineRule="auto"/>
        <w:ind w:firstLine="480" w:firstLineChars="20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pPr>
        <w:ind w:firstLine="480" w:firstLineChars="200"/>
        <w:rPr>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pPr>
        <w:ind w:firstLine="482" w:firstLineChars="200"/>
        <w:rPr>
          <w:b/>
          <w:bCs/>
          <w:sz w:val="24"/>
        </w:rPr>
      </w:pPr>
      <w:r>
        <w:rPr>
          <w:b/>
          <w:bCs/>
          <w:sz w:val="24"/>
        </w:rPr>
        <w:t>第十六条 不可抗力及其免责</w:t>
      </w:r>
    </w:p>
    <w:p>
      <w:pPr>
        <w:ind w:firstLine="480" w:firstLineChars="200"/>
        <w:rPr>
          <w:sz w:val="24"/>
        </w:rPr>
      </w:pPr>
      <w:r>
        <w:rPr>
          <w:sz w:val="24"/>
        </w:rPr>
        <w:t>（一）如果乙方因不可抗力而导致合同实施延误或不能履行合同义务时，在不可抗力影响的范围内不应该被没收履约保证金，也不承担误期赔偿或终止合同的责任。</w:t>
      </w:r>
    </w:p>
    <w:p>
      <w:pPr>
        <w:ind w:firstLine="480" w:firstLineChars="200"/>
        <w:rPr>
          <w:sz w:val="24"/>
        </w:rPr>
      </w:pPr>
      <w:r>
        <w:rPr>
          <w:sz w:val="24"/>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ind w:firstLine="480" w:firstLineChars="200"/>
        <w:rPr>
          <w:sz w:val="24"/>
        </w:rPr>
      </w:pPr>
      <w:r>
        <w:rPr>
          <w:sz w:val="24"/>
        </w:rPr>
        <w:t>（三）乙方在延迟履行合同期间由于不可抗力而不能履行合同的，不能被免除责任。</w:t>
      </w:r>
    </w:p>
    <w:p>
      <w:pPr>
        <w:ind w:firstLine="480" w:firstLineChars="200"/>
        <w:rPr>
          <w:sz w:val="24"/>
        </w:rPr>
      </w:pPr>
      <w:r>
        <w:rPr>
          <w:sz w:val="24"/>
        </w:rPr>
        <w:t>（四）甲方（用户）如遇不可抗力，应尽快以书面形式通知乙方，并尽实际可能履行不受不可抗力影响的其他事项。甲方（用户）不承担因不可抗力不能履行合同所造成的损失。</w:t>
      </w:r>
    </w:p>
    <w:p>
      <w:pPr>
        <w:ind w:firstLine="480" w:firstLineChars="200"/>
        <w:rPr>
          <w:sz w:val="24"/>
        </w:rPr>
      </w:pPr>
      <w:r>
        <w:rPr>
          <w:sz w:val="24"/>
        </w:rPr>
        <w:t>（五）本条所述的“不可抗力”指那些不能预见、不能避免并不能克服的客观情况，包括但不限于战争、动乱、严重火灾、洪水、台风、地震等及其他双方同意的情况，但不包括违约或疏忽。</w:t>
      </w:r>
    </w:p>
    <w:p>
      <w:pPr>
        <w:ind w:firstLine="482" w:firstLineChars="200"/>
        <w:rPr>
          <w:b/>
          <w:bCs/>
          <w:sz w:val="24"/>
        </w:rPr>
      </w:pPr>
      <w:r>
        <w:rPr>
          <w:b/>
          <w:bCs/>
          <w:sz w:val="24"/>
        </w:rPr>
        <w:t>第十七条 争议的解决</w:t>
      </w:r>
    </w:p>
    <w:p>
      <w:pPr>
        <w:ind w:firstLine="480" w:firstLineChars="200"/>
        <w:rPr>
          <w:sz w:val="24"/>
        </w:rPr>
      </w:pPr>
      <w:r>
        <w:rPr>
          <w:sz w:val="24"/>
        </w:rPr>
        <w:t>合同实施或与合同有关的一切争议应通过双方友好协商解决。如果友好协商开始还不能解决，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的部分外，本合同其他部分应继续履行。</w:t>
      </w:r>
    </w:p>
    <w:p>
      <w:pPr>
        <w:ind w:firstLine="482" w:firstLineChars="200"/>
        <w:rPr>
          <w:b/>
          <w:bCs/>
          <w:sz w:val="24"/>
        </w:rPr>
      </w:pPr>
      <w:r>
        <w:rPr>
          <w:b/>
          <w:bCs/>
          <w:sz w:val="24"/>
        </w:rPr>
        <w:t>第十八条 合同修改或变更</w:t>
      </w:r>
    </w:p>
    <w:p>
      <w:pPr>
        <w:ind w:firstLine="480" w:firstLineChars="200"/>
        <w:rPr>
          <w:sz w:val="24"/>
        </w:rPr>
      </w:pPr>
      <w:r>
        <w:rPr>
          <w:sz w:val="24"/>
        </w:rPr>
        <w:t>（一）如无重大变故，甲乙双方不得擅自变更合同。</w:t>
      </w:r>
    </w:p>
    <w:p>
      <w:pPr>
        <w:ind w:firstLine="480" w:firstLineChars="200"/>
        <w:rPr>
          <w:sz w:val="24"/>
        </w:rPr>
      </w:pPr>
      <w:r>
        <w:rPr>
          <w:sz w:val="24"/>
        </w:rPr>
        <w:t>（二）如确需变更合同，甲乙双方应签署书面变更协议。变更协议为本合同不可分割的一部分。</w:t>
      </w:r>
    </w:p>
    <w:p>
      <w:pPr>
        <w:ind w:firstLine="480" w:firstLineChars="200"/>
        <w:rPr>
          <w:sz w:val="24"/>
        </w:rPr>
      </w:pPr>
      <w:r>
        <w:rPr>
          <w:sz w:val="24"/>
        </w:rPr>
        <w:t>（三）在不改变合同其他条款的前提下，甲方（用户）有权在合同价款10%的范围内追加与合同标的相同的货物或服务，并就此与乙方签订补充合同，乙方不得拒绝。</w:t>
      </w:r>
    </w:p>
    <w:p>
      <w:pPr>
        <w:ind w:firstLine="482" w:firstLineChars="200"/>
        <w:rPr>
          <w:b/>
          <w:bCs/>
          <w:sz w:val="24"/>
        </w:rPr>
      </w:pPr>
      <w:r>
        <w:rPr>
          <w:b/>
          <w:bCs/>
          <w:sz w:val="24"/>
        </w:rPr>
        <w:t>第十九条 合同中止</w:t>
      </w:r>
    </w:p>
    <w:p>
      <w:pPr>
        <w:ind w:firstLine="480" w:firstLineChars="200"/>
        <w:rPr>
          <w:sz w:val="24"/>
        </w:rPr>
      </w:pPr>
      <w:r>
        <w:rPr>
          <w:sz w:val="24"/>
        </w:rPr>
        <w:t>（一）合同在履行过程中，因采购计划调整，甲方（用户）可以要求中止履行，待计划确定后继续履行。</w:t>
      </w:r>
    </w:p>
    <w:p>
      <w:pPr>
        <w:ind w:firstLine="480" w:firstLineChars="200"/>
        <w:rPr>
          <w:sz w:val="24"/>
        </w:rPr>
      </w:pPr>
      <w:r>
        <w:rPr>
          <w:sz w:val="24"/>
        </w:rPr>
        <w:t>（二）合同签订或履行过程中因其他供应商就采购过程或结果提起质疑、投诉、行政复议、行政诉讼的，甲方（用户）认为有必要或财政部责令中止的，应当中止合同的履行。</w:t>
      </w:r>
    </w:p>
    <w:p>
      <w:pPr>
        <w:ind w:firstLine="482" w:firstLineChars="200"/>
        <w:rPr>
          <w:b/>
          <w:bCs/>
          <w:sz w:val="24"/>
        </w:rPr>
      </w:pPr>
      <w:r>
        <w:rPr>
          <w:b/>
          <w:bCs/>
          <w:sz w:val="24"/>
        </w:rPr>
        <w:t>第二十条 合同解除</w:t>
      </w:r>
    </w:p>
    <w:p>
      <w:pPr>
        <w:ind w:firstLine="480" w:firstLineChars="200"/>
        <w:rPr>
          <w:sz w:val="24"/>
        </w:rPr>
      </w:pPr>
      <w:r>
        <w:rPr>
          <w:sz w:val="24"/>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ind w:firstLine="480" w:firstLineChars="200"/>
        <w:rPr>
          <w:sz w:val="24"/>
        </w:rPr>
      </w:pPr>
      <w:r>
        <w:rPr>
          <w:sz w:val="24"/>
        </w:rPr>
        <w:t>（一）因违约解除合同</w:t>
      </w:r>
    </w:p>
    <w:p>
      <w:pPr>
        <w:ind w:firstLine="480" w:firstLineChars="200"/>
        <w:rPr>
          <w:sz w:val="24"/>
        </w:rPr>
      </w:pPr>
      <w:r>
        <w:rPr>
          <w:sz w:val="24"/>
        </w:rPr>
        <w:t>1.在甲方（用户）对乙方违约而采取的任何补救措施不受影响的情况下，甲方（用户）可向乙方发出书面违约通知书，提出解除部分或全部合同：</w:t>
      </w:r>
    </w:p>
    <w:p>
      <w:pPr>
        <w:ind w:firstLine="480" w:firstLineChars="200"/>
        <w:rPr>
          <w:sz w:val="24"/>
        </w:rPr>
      </w:pPr>
      <w:r>
        <w:rPr>
          <w:sz w:val="24"/>
        </w:rPr>
        <w:t>（1）如果乙方未能在合同规定的期限或甲方（用户）根据合同条款的规定同意延长的限期内提供部分或全部的货物或服务，达到合同所规定的要求；</w:t>
      </w:r>
    </w:p>
    <w:p>
      <w:pPr>
        <w:pStyle w:val="638"/>
        <w:spacing w:line="360" w:lineRule="auto"/>
        <w:ind w:firstLine="480" w:firstLineChars="200"/>
        <w:rPr>
          <w:rFonts w:eastAsia="宋体"/>
          <w:sz w:val="24"/>
          <w:szCs w:val="24"/>
        </w:rPr>
      </w:pPr>
      <w:r>
        <w:rPr>
          <w:rFonts w:eastAsia="宋体"/>
          <w:sz w:val="24"/>
          <w:szCs w:val="24"/>
        </w:rPr>
        <w:t>（2）如果甲方（用户）发现乙方在本合同的竞争或实施中有欺诈行为。</w:t>
      </w:r>
    </w:p>
    <w:p>
      <w:pPr>
        <w:ind w:firstLine="480" w:firstLineChars="200"/>
        <w:rPr>
          <w:sz w:val="24"/>
        </w:rPr>
      </w:pPr>
      <w:r>
        <w:rPr>
          <w:sz w:val="24"/>
        </w:rPr>
        <w:t>（3）如果乙方未能履行合同规定的其他任何义务。</w:t>
      </w:r>
    </w:p>
    <w:p>
      <w:pPr>
        <w:ind w:firstLine="480" w:firstLineChars="200"/>
        <w:rPr>
          <w:sz w:val="24"/>
        </w:rPr>
      </w:pPr>
      <w:r>
        <w:rPr>
          <w:sz w:val="24"/>
        </w:rPr>
        <w:t>2.如果甲方（用户）根据上述规定与乙方全部或部分解除合同，</w:t>
      </w:r>
      <w:r>
        <w:rPr>
          <w:bCs/>
          <w:sz w:val="24"/>
        </w:rPr>
        <w:t>甲方（用户）可以依其认为适当的条件和方法购买乙方未能提供的货物或服务，乙方应对甲方购买类似货物或服务所超出的费用负责</w:t>
      </w:r>
      <w:r>
        <w:rPr>
          <w:sz w:val="24"/>
        </w:rPr>
        <w:t>。</w:t>
      </w:r>
      <w:r>
        <w:rPr>
          <w:bCs/>
          <w:sz w:val="24"/>
        </w:rPr>
        <w:t>同时，乙方应继续执行合同中未解除的部分。</w:t>
      </w:r>
    </w:p>
    <w:p>
      <w:pPr>
        <w:ind w:firstLine="480" w:firstLineChars="200"/>
        <w:rPr>
          <w:sz w:val="24"/>
        </w:rPr>
      </w:pPr>
      <w:r>
        <w:rPr>
          <w:sz w:val="24"/>
        </w:rPr>
        <w:t>（二）因破产而解除合同</w:t>
      </w:r>
    </w:p>
    <w:p>
      <w:pPr>
        <w:ind w:firstLine="480" w:firstLineChars="200"/>
        <w:rPr>
          <w:sz w:val="24"/>
        </w:rPr>
      </w:pPr>
      <w:r>
        <w:rPr>
          <w:sz w:val="24"/>
        </w:rPr>
        <w:t>1.如果乙方破产或无清偿能力，甲方（用户）可在任何时候以书面形式通知乙方，提出解除合同而不给乙方补偿，并有权要求乙方退回甲方（用户）已支付的合同货款。</w:t>
      </w:r>
    </w:p>
    <w:p>
      <w:pPr>
        <w:ind w:firstLine="480" w:firstLineChars="200"/>
        <w:rPr>
          <w:sz w:val="24"/>
        </w:rPr>
      </w:pPr>
      <w:r>
        <w:rPr>
          <w:sz w:val="24"/>
        </w:rPr>
        <w:t>2.该解除合同将不损害或影响甲方已经采取或将要采取的任何行动或补救措施的权利。</w:t>
      </w:r>
    </w:p>
    <w:p>
      <w:pPr>
        <w:ind w:firstLine="480" w:firstLineChars="200"/>
        <w:rPr>
          <w:sz w:val="24"/>
        </w:rPr>
      </w:pPr>
      <w:r>
        <w:rPr>
          <w:sz w:val="24"/>
        </w:rPr>
        <w:t>（三）其他解除合同情况</w:t>
      </w:r>
    </w:p>
    <w:p>
      <w:pPr>
        <w:ind w:firstLine="480" w:firstLineChars="200"/>
        <w:rPr>
          <w:sz w:val="24"/>
        </w:rPr>
      </w:pPr>
      <w:r>
        <w:rPr>
          <w:sz w:val="24"/>
        </w:rPr>
        <w:t>1.若合同继续履行将给甲方造成重大损失的，甲方（用户）可以解除合同而不给予乙方任何补偿。</w:t>
      </w:r>
    </w:p>
    <w:p>
      <w:pPr>
        <w:ind w:firstLine="480" w:firstLineChars="200"/>
        <w:rPr>
          <w:sz w:val="24"/>
        </w:rPr>
      </w:pPr>
      <w:r>
        <w:rPr>
          <w:sz w:val="24"/>
        </w:rPr>
        <w:t>2.乙方在执行合同的过程中发生重大变故，对履行合同有影响的，甲方（用户）可以解除合同而不给予乙方任何补偿。</w:t>
      </w:r>
    </w:p>
    <w:p>
      <w:pPr>
        <w:ind w:firstLine="480" w:firstLineChars="200"/>
        <w:rPr>
          <w:sz w:val="24"/>
        </w:rPr>
      </w:pPr>
      <w:r>
        <w:rPr>
          <w:sz w:val="24"/>
        </w:rPr>
        <w:t>3.甲方（用户）因重大变故取消或部分取消原来的采购任务，导致合同全部或部分内容无需继续履行的，可以解除合同而不给予乙方任何补偿。</w:t>
      </w:r>
    </w:p>
    <w:p>
      <w:pPr>
        <w:ind w:firstLine="482" w:firstLineChars="200"/>
        <w:rPr>
          <w:b/>
          <w:bCs/>
          <w:sz w:val="24"/>
        </w:rPr>
      </w:pPr>
      <w:r>
        <w:rPr>
          <w:b/>
          <w:bCs/>
          <w:sz w:val="24"/>
        </w:rPr>
        <w:t>第二十一条 合同终止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（一）本合同因下列原因而终止：</w:t>
      </w:r>
    </w:p>
    <w:p>
      <w:pPr>
        <w:pStyle w:val="639"/>
        <w:autoSpaceDN w:val="0"/>
        <w:spacing w:line="360" w:lineRule="auto"/>
        <w:ind w:firstLine="480" w:firstLineChars="200"/>
        <w:jc w:val="left"/>
        <w:rPr>
          <w:snapToGrid w:val="0"/>
          <w:kern w:val="0"/>
          <w:sz w:val="24"/>
          <w:szCs w:val="24"/>
        </w:rPr>
      </w:pPr>
      <w:r>
        <w:rPr>
          <w:snapToGrid w:val="0"/>
          <w:kern w:val="0"/>
          <w:sz w:val="24"/>
          <w:szCs w:val="24"/>
        </w:rPr>
        <w:t>1.本合同正常履行完毕；</w:t>
      </w:r>
    </w:p>
    <w:p>
      <w:pPr>
        <w:pStyle w:val="639"/>
        <w:autoSpaceDN w:val="0"/>
        <w:spacing w:line="360" w:lineRule="auto"/>
        <w:ind w:firstLine="480" w:firstLineChars="200"/>
        <w:jc w:val="left"/>
        <w:rPr>
          <w:snapToGrid w:val="0"/>
          <w:kern w:val="0"/>
          <w:sz w:val="24"/>
          <w:szCs w:val="24"/>
        </w:rPr>
      </w:pPr>
      <w:r>
        <w:rPr>
          <w:snapToGrid w:val="0"/>
          <w:kern w:val="0"/>
          <w:sz w:val="24"/>
          <w:szCs w:val="24"/>
        </w:rPr>
        <w:t>2.合同双方协议终止本合同的履行；</w:t>
      </w:r>
    </w:p>
    <w:p>
      <w:pPr>
        <w:pStyle w:val="639"/>
        <w:autoSpaceDN w:val="0"/>
        <w:spacing w:line="360" w:lineRule="auto"/>
        <w:ind w:firstLine="480" w:firstLineChars="200"/>
        <w:jc w:val="left"/>
        <w:rPr>
          <w:snapToGrid w:val="0"/>
          <w:kern w:val="0"/>
          <w:sz w:val="24"/>
          <w:szCs w:val="24"/>
        </w:rPr>
      </w:pPr>
      <w:r>
        <w:rPr>
          <w:snapToGrid w:val="0"/>
          <w:kern w:val="0"/>
          <w:sz w:val="24"/>
          <w:szCs w:val="24"/>
        </w:rPr>
        <w:t>3.不可抗力事件导致本合同无法履行或履行不必要；</w:t>
      </w:r>
    </w:p>
    <w:p>
      <w:pPr>
        <w:pStyle w:val="639"/>
        <w:autoSpaceDN w:val="0"/>
        <w:spacing w:line="360" w:lineRule="auto"/>
        <w:ind w:firstLine="480" w:firstLineChars="200"/>
        <w:jc w:val="left"/>
        <w:rPr>
          <w:snapToGrid w:val="0"/>
          <w:kern w:val="0"/>
          <w:sz w:val="24"/>
          <w:szCs w:val="24"/>
        </w:rPr>
      </w:pPr>
      <w:r>
        <w:rPr>
          <w:snapToGrid w:val="0"/>
          <w:kern w:val="0"/>
          <w:sz w:val="24"/>
          <w:szCs w:val="24"/>
        </w:rPr>
        <w:t>4.任何一方行使解除权，解除本合同；</w:t>
      </w:r>
    </w:p>
    <w:p>
      <w:pPr>
        <w:pStyle w:val="639"/>
        <w:autoSpaceDN w:val="0"/>
        <w:spacing w:line="360" w:lineRule="auto"/>
        <w:ind w:firstLine="480" w:firstLineChars="200"/>
        <w:jc w:val="left"/>
        <w:rPr>
          <w:snapToGrid w:val="0"/>
          <w:kern w:val="0"/>
          <w:sz w:val="24"/>
          <w:szCs w:val="24"/>
        </w:rPr>
      </w:pPr>
      <w:r>
        <w:rPr>
          <w:snapToGrid w:val="0"/>
          <w:kern w:val="0"/>
          <w:sz w:val="24"/>
          <w:szCs w:val="24"/>
        </w:rPr>
        <w:t>（二）对本合同终止有过错的一方应赔偿另一方因合同终止而受到的损失。</w:t>
      </w:r>
    </w:p>
    <w:p>
      <w:pPr>
        <w:ind w:firstLine="482" w:firstLineChars="200"/>
        <w:rPr>
          <w:b/>
          <w:bCs/>
          <w:sz w:val="24"/>
        </w:rPr>
      </w:pPr>
      <w:r>
        <w:rPr>
          <w:b/>
          <w:bCs/>
          <w:sz w:val="24"/>
        </w:rPr>
        <w:t>第二十二条 其他</w:t>
      </w:r>
    </w:p>
    <w:p>
      <w:pPr>
        <w:ind w:firstLine="480" w:firstLineChars="200"/>
        <w:rPr>
          <w:sz w:val="24"/>
        </w:rPr>
      </w:pPr>
      <w:r>
        <w:rPr>
          <w:sz w:val="24"/>
        </w:rPr>
        <w:t>中标通知书（成交通知书）、中标人的投标文件/应答文件、招标文件/谈判文件/询价通知书/磋商文件/单一来源、合同条款、合同附件（协商、变更的，明确双方权利义务的，以书面形式而表现出来的协议或书面通知或确认书等）是本合同不可分割的部分，与本合同具有同等法律效力。</w:t>
      </w:r>
    </w:p>
    <w:p>
      <w:pPr>
        <w:ind w:firstLine="482" w:firstLineChars="200"/>
        <w:rPr>
          <w:b/>
          <w:bCs/>
          <w:sz w:val="24"/>
        </w:rPr>
      </w:pPr>
      <w:r>
        <w:rPr>
          <w:b/>
          <w:bCs/>
          <w:sz w:val="24"/>
        </w:rPr>
        <w:t>第二十四条 合同生效</w:t>
      </w:r>
    </w:p>
    <w:p>
      <w:pPr>
        <w:ind w:firstLine="480" w:firstLineChars="200"/>
        <w:rPr>
          <w:sz w:val="24"/>
        </w:rPr>
      </w:pPr>
      <w:r>
        <w:rPr>
          <w:sz w:val="24"/>
        </w:rPr>
        <w:t>本合同一式___份，甲方执___份，乙方执___份；自甲乙双方签字盖章之日起生效。对本合同的任何更改及补充，均需双方共同协商，并以书面形式盖章确认。</w:t>
      </w:r>
    </w:p>
    <w:p>
      <w:pPr>
        <w:rPr>
          <w:sz w:val="24"/>
        </w:rPr>
      </w:pPr>
    </w:p>
    <w:p>
      <w:pPr>
        <w:rPr>
          <w:sz w:val="24"/>
        </w:rPr>
      </w:pPr>
      <w:r>
        <w:rPr>
          <w:sz w:val="24"/>
        </w:rPr>
        <w:t>甲方（公章</w:t>
      </w:r>
      <w:r>
        <w:rPr>
          <w:snapToGrid w:val="0"/>
          <w:sz w:val="24"/>
        </w:rPr>
        <w:t>或合同章</w:t>
      </w:r>
      <w:r>
        <w:rPr>
          <w:sz w:val="24"/>
        </w:rPr>
        <w:t>）：            乙方（公章</w:t>
      </w:r>
      <w:r>
        <w:rPr>
          <w:snapToGrid w:val="0"/>
          <w:sz w:val="24"/>
        </w:rPr>
        <w:t>或合同章</w:t>
      </w:r>
      <w:r>
        <w:rPr>
          <w:sz w:val="24"/>
        </w:rPr>
        <w:t>）：</w:t>
      </w:r>
    </w:p>
    <w:p>
      <w:pPr>
        <w:rPr>
          <w:sz w:val="24"/>
        </w:rPr>
      </w:pPr>
      <w:r>
        <w:rPr>
          <w:rFonts w:hint="eastAsia"/>
          <w:sz w:val="24"/>
        </w:rPr>
        <w:t>甲方代表</w:t>
      </w:r>
      <w:r>
        <w:rPr>
          <w:sz w:val="24"/>
        </w:rPr>
        <w:t xml:space="preserve">或授权人签字：            </w:t>
      </w:r>
      <w:r>
        <w:rPr>
          <w:rFonts w:hint="eastAsia"/>
          <w:sz w:val="24"/>
        </w:rPr>
        <w:t>乙方代表</w:t>
      </w:r>
      <w:r>
        <w:rPr>
          <w:sz w:val="24"/>
        </w:rPr>
        <w:t>或授权人签字：</w:t>
      </w:r>
    </w:p>
    <w:p>
      <w:pPr>
        <w:rPr>
          <w:sz w:val="24"/>
        </w:rPr>
      </w:pPr>
      <w:r>
        <w:rPr>
          <w:sz w:val="24"/>
        </w:rPr>
        <w:t xml:space="preserve">日期： 年  月  日                 日期：   年   月   日    </w:t>
      </w:r>
    </w:p>
    <w:p>
      <w:pPr>
        <w:rPr>
          <w:sz w:val="24"/>
        </w:rPr>
      </w:pPr>
      <w:r>
        <w:rPr>
          <w:sz w:val="24"/>
        </w:rPr>
        <w:t>联系人:                           联系人：</w:t>
      </w:r>
    </w:p>
    <w:p>
      <w:pPr>
        <w:rPr>
          <w:sz w:val="24"/>
        </w:rPr>
      </w:pPr>
      <w:r>
        <w:rPr>
          <w:sz w:val="24"/>
        </w:rPr>
        <w:t>电话:                             电话：</w:t>
      </w:r>
    </w:p>
    <w:p>
      <w:pPr>
        <w:shd w:val="clear" w:color="auto" w:fill="auto"/>
        <w:tabs>
          <w:tab w:val="clear" w:pos="426"/>
        </w:tabs>
        <w:adjustRightInd/>
        <w:snapToGrid/>
        <w:spacing w:line="240" w:lineRule="auto"/>
        <w:jc w:val="left"/>
        <w:rPr>
          <w:rFonts w:ascii="Calibri" w:hAnsi="Calibri" w:cs="Times New Roman"/>
          <w:kern w:val="2"/>
        </w:rPr>
      </w:pPr>
      <w:r>
        <w:rPr>
          <w:sz w:val="24"/>
        </w:rPr>
        <w:t>地址：                            地址：</w:t>
      </w:r>
      <w:r>
        <w:rPr>
          <w:rFonts w:ascii="Calibri" w:hAnsi="Calibri" w:cs="Times New Roman"/>
          <w:kern w:val="2"/>
        </w:rPr>
        <w:br w:type="page"/>
      </w:r>
    </w:p>
    <w:p>
      <w:pPr>
        <w:rPr>
          <w:sz w:val="24"/>
        </w:rPr>
      </w:pPr>
      <w:r>
        <w:rPr>
          <w:rFonts w:hint="eastAsia"/>
          <w:sz w:val="24"/>
        </w:rPr>
        <w:t>附件1：</w:t>
      </w:r>
      <w:r>
        <w:rPr>
          <w:rFonts w:hint="eastAsia"/>
          <w:bCs/>
          <w:sz w:val="24"/>
        </w:rPr>
        <w:t>分项报价表、设备配置清单和技术偏离表</w:t>
      </w:r>
    </w:p>
    <w:p>
      <w:pPr>
        <w:shd w:val="clear" w:color="auto" w:fill="auto"/>
        <w:tabs>
          <w:tab w:val="clear" w:pos="426"/>
        </w:tabs>
        <w:adjustRightInd/>
        <w:snapToGrid/>
        <w:spacing w:line="240" w:lineRule="auto"/>
        <w:jc w:val="left"/>
        <w:rPr>
          <w:bCs/>
          <w:sz w:val="24"/>
        </w:rPr>
      </w:pPr>
      <w:r>
        <w:rPr>
          <w:rFonts w:hint="eastAsia"/>
          <w:bCs/>
          <w:sz w:val="24"/>
        </w:rPr>
        <w:br w:type="page"/>
      </w:r>
    </w:p>
    <w:p>
      <w:pPr>
        <w:rPr>
          <w:bCs/>
          <w:sz w:val="24"/>
        </w:rPr>
      </w:pPr>
      <w:r>
        <w:rPr>
          <w:bCs/>
          <w:sz w:val="24"/>
        </w:rPr>
        <w:t>附件</w:t>
      </w:r>
      <w:r>
        <w:rPr>
          <w:rFonts w:hint="eastAsia"/>
          <w:bCs/>
          <w:sz w:val="24"/>
        </w:rPr>
        <w:t>2：</w:t>
      </w:r>
      <w:r>
        <w:rPr>
          <w:bCs/>
          <w:sz w:val="24"/>
        </w:rPr>
        <w:t>培训方案</w:t>
      </w:r>
    </w:p>
    <w:p>
      <w:pPr>
        <w:shd w:val="clear" w:color="auto" w:fill="auto"/>
        <w:tabs>
          <w:tab w:val="clear" w:pos="426"/>
        </w:tabs>
        <w:adjustRightInd/>
        <w:snapToGrid/>
        <w:spacing w:line="240" w:lineRule="auto"/>
        <w:jc w:val="left"/>
        <w:rPr>
          <w:bCs/>
          <w:sz w:val="24"/>
        </w:rPr>
      </w:pPr>
      <w:r>
        <w:rPr>
          <w:rFonts w:hint="eastAsia"/>
          <w:bCs/>
          <w:sz w:val="24"/>
        </w:rPr>
        <w:br w:type="page"/>
      </w:r>
    </w:p>
    <w:p>
      <w:pPr>
        <w:rPr>
          <w:bCs/>
          <w:sz w:val="24"/>
        </w:rPr>
      </w:pPr>
      <w:r>
        <w:rPr>
          <w:rFonts w:hint="eastAsia"/>
          <w:bCs/>
          <w:sz w:val="24"/>
        </w:rPr>
        <w:t>附件3：技术支持及售后服务方案</w:t>
      </w:r>
    </w:p>
    <w:p>
      <w:pPr>
        <w:rPr>
          <w:sz w:val="24"/>
        </w:rPr>
      </w:pPr>
    </w:p>
    <w:p>
      <w:pPr>
        <w:pStyle w:val="62"/>
      </w:pPr>
      <w:r>
        <w:br w:type="page"/>
      </w:r>
      <w:bookmarkEnd w:id="79"/>
      <w:bookmarkEnd w:id="80"/>
      <w:bookmarkStart w:id="85" w:name="_Toc4933"/>
      <w:r>
        <w:rPr>
          <w:rFonts w:hint="eastAsia"/>
        </w:rPr>
        <w:t>第六章 投标资料表</w:t>
      </w:r>
      <w:bookmarkEnd w:id="85"/>
    </w:p>
    <w:p>
      <w:pPr>
        <w:tabs>
          <w:tab w:val="clear" w:pos="426"/>
        </w:tabs>
        <w:spacing w:line="276" w:lineRule="auto"/>
        <w:rPr>
          <w:rFonts w:asciiTheme="minorEastAsia" w:hAnsiTheme="minorEastAsia" w:eastAsiaTheme="minorEastAsia"/>
        </w:rPr>
      </w:pPr>
    </w:p>
    <w:p>
      <w:pPr>
        <w:tabs>
          <w:tab w:val="clear" w:pos="426"/>
        </w:tabs>
        <w:spacing w:line="276" w:lineRule="auto"/>
        <w:rPr>
          <w:rFonts w:asciiTheme="minorEastAsia" w:hAnsiTheme="minorEastAsia" w:eastAsiaTheme="minorEastAsia"/>
        </w:rPr>
      </w:pP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投标文件组成：</w:t>
      </w:r>
    </w:p>
    <w:p>
      <w:pPr>
        <w:tabs>
          <w:tab w:val="clear" w:pos="426"/>
        </w:tabs>
        <w:spacing w:line="276" w:lineRule="auto"/>
        <w:rPr>
          <w:rFonts w:asciiTheme="minorEastAsia" w:hAnsiTheme="minorEastAsia" w:eastAsiaTheme="minorEastAsia"/>
        </w:rPr>
      </w:pP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密封袋封条格式</w:t>
      </w: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投标文件封面格式</w:t>
      </w: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目录（目录格式自定）</w:t>
      </w:r>
    </w:p>
    <w:p>
      <w:pPr>
        <w:tabs>
          <w:tab w:val="clear" w:pos="426"/>
        </w:tabs>
        <w:spacing w:line="276" w:lineRule="auto"/>
        <w:rPr>
          <w:rFonts w:asciiTheme="minorEastAsia" w:hAnsiTheme="minorEastAsia" w:eastAsiaTheme="minorEastAsia"/>
        </w:rPr>
      </w:pPr>
      <w:r>
        <w:rPr>
          <w:rFonts w:hint="eastAsia" w:asciiTheme="minorEastAsia" w:hAnsiTheme="minorEastAsia" w:eastAsiaTheme="minorEastAsia"/>
        </w:rPr>
        <w:t>评标指引表</w:t>
      </w:r>
    </w:p>
    <w:p>
      <w:pPr>
        <w:pStyle w:val="315"/>
        <w:numPr>
          <w:ilvl w:val="255"/>
          <w:numId w:val="0"/>
        </w:numPr>
        <w:spacing w:line="240" w:lineRule="auto"/>
        <w:ind w:left="567" w:leftChars="270"/>
        <w:rPr>
          <w:rFonts w:asciiTheme="minorEastAsia" w:hAnsiTheme="minorEastAsia" w:eastAsiaTheme="minorEastAsia"/>
          <w:bCs/>
          <w:sz w:val="21"/>
          <w:szCs w:val="21"/>
        </w:rPr>
      </w:pPr>
      <w:r>
        <w:rPr>
          <w:rFonts w:hint="eastAsia" w:asciiTheme="minorEastAsia" w:hAnsiTheme="minorEastAsia" w:eastAsiaTheme="minorEastAsia"/>
          <w:sz w:val="21"/>
          <w:szCs w:val="21"/>
        </w:rPr>
        <w:t>格式1：投标函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格式2：法定代表人（单位负责人）证明书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格式3：授权委托书</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格式4：资格条款偏离表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格式5：法人或者其他组织的营业执照等证明文件</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格式6：投标人资格声明函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格式7：开标一览表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格式8：投标分项报价表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格式9：技术规格偏离表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格式10：技术保障措施</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格式11：售后服务方案</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格式12：商务条款偏离表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格式13：投标人综合概况简表</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格式14：企业类型声明函（可选）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格式15：残疾人福利性单位声明函（可选）</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格式16：同类项目业绩情况</w:t>
      </w:r>
      <w:r>
        <w:rPr>
          <w:rFonts w:hint="eastAsia" w:asciiTheme="minorEastAsia" w:hAnsiTheme="minorEastAsia" w:eastAsiaTheme="minorEastAsia"/>
          <w:sz w:val="21"/>
          <w:szCs w:val="21"/>
        </w:rPr>
        <w:cr/>
      </w:r>
      <w:r>
        <w:rPr>
          <w:rFonts w:hint="eastAsia" w:asciiTheme="minorEastAsia" w:hAnsiTheme="minorEastAsia" w:eastAsiaTheme="minorEastAsia"/>
          <w:sz w:val="21"/>
          <w:szCs w:val="21"/>
        </w:rPr>
        <w:t>格式17：相关认证情况</w:t>
      </w:r>
      <w:r>
        <w:rPr>
          <w:rFonts w:hint="eastAsia" w:asciiTheme="minorEastAsia" w:hAnsiTheme="minorEastAsia" w:eastAsiaTheme="minorEastAsia"/>
          <w:sz w:val="21"/>
          <w:szCs w:val="21"/>
        </w:rPr>
        <w:cr/>
      </w:r>
    </w:p>
    <w:p>
      <w:pPr>
        <w:adjustRightInd/>
        <w:snapToGrid/>
        <w:spacing w:before="280" w:after="290" w:line="377" w:lineRule="auto"/>
        <w:jc w:val="center"/>
      </w:pPr>
      <w:r>
        <w:br w:type="page"/>
      </w:r>
      <w:bookmarkStart w:id="86" w:name="_Toc518464366"/>
      <w:bookmarkStart w:id="87" w:name="_Toc528675178"/>
      <w:bookmarkStart w:id="88" w:name="_Toc528170806"/>
    </w:p>
    <w:p>
      <w:pPr>
        <w:pStyle w:val="62"/>
      </w:pPr>
      <w:bookmarkStart w:id="89" w:name="_Toc25551"/>
      <w:r>
        <w:rPr>
          <w:rFonts w:hint="eastAsia"/>
        </w:rPr>
        <w:t>第七章投标文件格式</w:t>
      </w:r>
      <w:bookmarkEnd w:id="89"/>
    </w:p>
    <w:p>
      <w:pPr>
        <w:adjustRightInd/>
        <w:snapToGrid/>
        <w:spacing w:before="280" w:after="290" w:line="377" w:lineRule="auto"/>
        <w:jc w:val="center"/>
        <w:outlineLvl w:val="2"/>
        <w:rPr>
          <w:b/>
          <w:sz w:val="24"/>
        </w:rPr>
      </w:pPr>
      <w:bookmarkStart w:id="90" w:name="_Toc20740"/>
      <w:r>
        <w:rPr>
          <w:rFonts w:hint="eastAsia"/>
          <w:b/>
          <w:sz w:val="24"/>
        </w:rPr>
        <w:t>投标文件编制说明</w:t>
      </w:r>
      <w:bookmarkEnd w:id="90"/>
    </w:p>
    <w:p>
      <w:pPr>
        <w:tabs>
          <w:tab w:val="clear" w:pos="426"/>
        </w:tabs>
        <w:spacing w:line="276" w:lineRule="auto"/>
        <w:ind w:firstLine="420" w:firstLineChars="200"/>
      </w:pPr>
      <w:r>
        <w:rPr>
          <w:rFonts w:hint="eastAsia"/>
        </w:rPr>
        <w:t>投标供应商在编辑投标文件时，应严格按照招标文件提供的格式进行编写，因未按要求编写导致投标文件不予受理、无效标或废标的，一切后果由供应商自行承担。</w:t>
      </w:r>
    </w:p>
    <w:p>
      <w:pPr>
        <w:tabs>
          <w:tab w:val="clear" w:pos="426"/>
        </w:tabs>
        <w:spacing w:line="276" w:lineRule="auto"/>
        <w:ind w:firstLine="422" w:firstLineChars="200"/>
        <w:rPr>
          <w:b/>
          <w:bCs/>
        </w:rPr>
      </w:pPr>
      <w:r>
        <w:rPr>
          <w:rFonts w:hint="eastAsia"/>
          <w:b/>
          <w:bCs/>
        </w:rPr>
        <w:t>投标供应商制作标书时，若同时投标2个包，要求必须对2个包分别响应。每个包的投标文件以包为单位分开制作，按照本招标文件中的投标文件格式进行密封装订，并请注意填写封面投标包的相关信息。若只投标1个包，按照本招标文件中的投标文件格式进行密封装订，并请注意填写封面投标包的相关信息。</w:t>
      </w:r>
    </w:p>
    <w:p>
      <w:pPr>
        <w:adjustRightInd/>
        <w:snapToGrid/>
        <w:spacing w:before="280" w:after="290" w:line="377" w:lineRule="auto"/>
        <w:jc w:val="center"/>
        <w:rPr>
          <w:b/>
          <w:sz w:val="24"/>
        </w:rPr>
      </w:pPr>
    </w:p>
    <w:p>
      <w:pPr>
        <w:rPr>
          <w:b/>
          <w:sz w:val="24"/>
        </w:rPr>
      </w:pPr>
      <w:r>
        <w:rPr>
          <w:rFonts w:hint="eastAsia"/>
          <w:b/>
          <w:sz w:val="24"/>
        </w:rPr>
        <w:br w:type="page"/>
      </w:r>
    </w:p>
    <w:p>
      <w:pPr>
        <w:adjustRightInd/>
        <w:snapToGrid/>
        <w:spacing w:before="280" w:after="290" w:line="377" w:lineRule="auto"/>
        <w:jc w:val="center"/>
        <w:rPr>
          <w:b/>
          <w:sz w:val="24"/>
        </w:rPr>
      </w:pPr>
      <w:r>
        <w:rPr>
          <w:rFonts w:hint="eastAsia"/>
          <w:b/>
          <w:sz w:val="24"/>
        </w:rPr>
        <w:t>密封袋封条格式</w:t>
      </w:r>
      <w:bookmarkEnd w:id="86"/>
      <w:bookmarkEnd w:id="87"/>
      <w:bookmarkEnd w:id="88"/>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深圳海关动植物检验检疫技术中心“荧光PCR仪”设备采购项目</w:t>
      </w:r>
    </w:p>
    <w:p>
      <w:pPr>
        <w:tabs>
          <w:tab w:val="clear" w:pos="426"/>
        </w:tabs>
        <w:jc w:val="center"/>
        <w:rPr>
          <w:sz w:val="44"/>
          <w:szCs w:val="44"/>
        </w:rPr>
      </w:pPr>
      <w:r>
        <w:rPr>
          <w:sz w:val="44"/>
          <w:szCs w:val="44"/>
          <w:u w:val="single"/>
        </w:rPr>
        <w:t xml:space="preserve">   </w:t>
      </w:r>
      <w:r>
        <w:rPr>
          <w:rFonts w:hint="eastAsia"/>
          <w:sz w:val="44"/>
          <w:szCs w:val="44"/>
        </w:rPr>
        <w:t>包</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rPr>
          <w:sz w:val="52"/>
          <w:szCs w:val="52"/>
        </w:rPr>
      </w:pPr>
      <w:r>
        <w:rPr>
          <w:rFonts w:hint="eastAsia"/>
          <w:sz w:val="52"/>
          <w:szCs w:val="52"/>
        </w:rPr>
        <w:t>□开标信封</w:t>
      </w: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pPr>
    </w:p>
    <w:p>
      <w:pPr>
        <w:tabs>
          <w:tab w:val="clear" w:pos="426"/>
        </w:tabs>
        <w:ind w:left="708" w:leftChars="337" w:right="706" w:rightChars="336"/>
        <w:rPr>
          <w:sz w:val="28"/>
          <w:szCs w:val="28"/>
        </w:rPr>
      </w:pPr>
      <w:r>
        <w:rPr>
          <w:rFonts w:hint="eastAsia"/>
          <w:sz w:val="28"/>
          <w:szCs w:val="28"/>
        </w:rPr>
        <w:t>项目编号：</w:t>
      </w:r>
    </w:p>
    <w:p>
      <w:pPr>
        <w:tabs>
          <w:tab w:val="clear" w:pos="426"/>
        </w:tabs>
        <w:ind w:left="708" w:leftChars="337"/>
        <w:rPr>
          <w:sz w:val="28"/>
          <w:szCs w:val="28"/>
        </w:rPr>
      </w:pPr>
      <w:r>
        <w:rPr>
          <w:rFonts w:hint="eastAsia"/>
          <w:sz w:val="28"/>
          <w:szCs w:val="28"/>
        </w:rPr>
        <w:t>投标供应商名称（公章)：</w:t>
      </w:r>
    </w:p>
    <w:p>
      <w:pPr>
        <w:tabs>
          <w:tab w:val="clear" w:pos="426"/>
        </w:tabs>
        <w:ind w:left="708" w:leftChars="337"/>
        <w:rPr>
          <w:sz w:val="28"/>
          <w:szCs w:val="28"/>
        </w:rPr>
      </w:pPr>
      <w:r>
        <w:rPr>
          <w:rFonts w:hint="eastAsia"/>
          <w:sz w:val="28"/>
          <w:szCs w:val="28"/>
        </w:rPr>
        <w:t>投标供应商代表（签字或盖章）：</w:t>
      </w:r>
    </w:p>
    <w:p>
      <w:pPr>
        <w:tabs>
          <w:tab w:val="clear" w:pos="426"/>
        </w:tabs>
        <w:ind w:left="708" w:leftChars="337"/>
        <w:rPr>
          <w:sz w:val="28"/>
          <w:szCs w:val="28"/>
        </w:rPr>
      </w:pPr>
      <w:r>
        <w:rPr>
          <w:rFonts w:hint="eastAsia"/>
          <w:sz w:val="28"/>
          <w:szCs w:val="28"/>
        </w:rPr>
        <w:t>投标截止日期：_</w:t>
      </w:r>
      <w:r>
        <w:rPr>
          <w:sz w:val="28"/>
          <w:szCs w:val="28"/>
        </w:rPr>
        <w:t>___</w:t>
      </w:r>
      <w:r>
        <w:rPr>
          <w:rFonts w:hint="eastAsia"/>
          <w:sz w:val="28"/>
          <w:szCs w:val="28"/>
        </w:rPr>
        <w:t>______年____月____日____时____分（</w:t>
      </w:r>
      <w:r>
        <w:rPr>
          <w:sz w:val="28"/>
          <w:szCs w:val="28"/>
        </w:rPr>
        <w:t>前不得开封</w:t>
      </w:r>
      <w:r>
        <w:rPr>
          <w:rFonts w:hint="eastAsia"/>
          <w:sz w:val="28"/>
          <w:szCs w:val="28"/>
        </w:rPr>
        <w:t>）</w:t>
      </w:r>
    </w:p>
    <w:p>
      <w:pPr>
        <w:adjustRightInd/>
        <w:snapToGrid/>
        <w:spacing w:before="280" w:after="290" w:line="377" w:lineRule="auto"/>
        <w:jc w:val="center"/>
        <w:rPr>
          <w:b/>
          <w:sz w:val="24"/>
        </w:rPr>
      </w:pPr>
      <w:r>
        <w:br w:type="page"/>
      </w:r>
      <w:bookmarkStart w:id="91" w:name="_Toc518464367"/>
      <w:bookmarkStart w:id="92" w:name="_Toc528170807"/>
      <w:bookmarkStart w:id="93" w:name="_Toc528675179"/>
      <w:r>
        <w:rPr>
          <w:rFonts w:hint="eastAsia"/>
          <w:b/>
          <w:sz w:val="24"/>
        </w:rPr>
        <w:t>投标文件封面格式</w:t>
      </w:r>
      <w:bookmarkEnd w:id="91"/>
      <w:bookmarkEnd w:id="92"/>
      <w:bookmarkEnd w:id="93"/>
    </w:p>
    <w:p>
      <w:pPr>
        <w:tabs>
          <w:tab w:val="clear" w:pos="426"/>
        </w:tabs>
        <w:jc w:val="right"/>
        <w:rPr>
          <w:sz w:val="44"/>
          <w:szCs w:val="44"/>
          <w:u w:val="single"/>
        </w:rPr>
      </w:pPr>
      <w:r>
        <w:rPr>
          <w:rFonts w:hint="eastAsia"/>
          <w:sz w:val="44"/>
          <w:szCs w:val="44"/>
          <w:u w:val="single"/>
        </w:rPr>
        <w:t>正/副本</w:t>
      </w:r>
    </w:p>
    <w:p>
      <w:pPr>
        <w:tabs>
          <w:tab w:val="clear" w:pos="426"/>
        </w:tabs>
        <w:jc w:val="center"/>
        <w:rPr>
          <w:sz w:val="44"/>
          <w:szCs w:val="44"/>
          <w:u w:val="single"/>
        </w:rPr>
      </w:pPr>
    </w:p>
    <w:p>
      <w:pPr>
        <w:tabs>
          <w:tab w:val="clear" w:pos="426"/>
        </w:tabs>
        <w:jc w:val="center"/>
        <w:rPr>
          <w:sz w:val="44"/>
          <w:szCs w:val="44"/>
        </w:rPr>
      </w:pPr>
      <w:r>
        <w:rPr>
          <w:rFonts w:hint="eastAsia"/>
          <w:sz w:val="44"/>
          <w:szCs w:val="44"/>
          <w:u w:val="single"/>
        </w:rPr>
        <w:t>深圳海关动植物检验检疫技术中心“荧光PCR仪”设备采购项目</w:t>
      </w:r>
    </w:p>
    <w:p>
      <w:pPr>
        <w:tabs>
          <w:tab w:val="clear" w:pos="426"/>
        </w:tabs>
        <w:jc w:val="center"/>
        <w:rPr>
          <w:sz w:val="44"/>
          <w:szCs w:val="44"/>
        </w:rPr>
      </w:pPr>
      <w:r>
        <w:rPr>
          <w:sz w:val="44"/>
          <w:szCs w:val="44"/>
          <w:u w:val="single"/>
        </w:rPr>
        <w:t xml:space="preserve">   </w:t>
      </w:r>
      <w:r>
        <w:rPr>
          <w:rFonts w:hint="eastAsia"/>
          <w:sz w:val="44"/>
          <w:szCs w:val="44"/>
        </w:rPr>
        <w:t>包</w:t>
      </w:r>
    </w:p>
    <w:p>
      <w:pPr>
        <w:tabs>
          <w:tab w:val="clear" w:pos="426"/>
        </w:tabs>
        <w:jc w:val="center"/>
      </w:pPr>
    </w:p>
    <w:p>
      <w:pPr>
        <w:tabs>
          <w:tab w:val="clear" w:pos="426"/>
        </w:tabs>
        <w:jc w:val="center"/>
      </w:pPr>
    </w:p>
    <w:p>
      <w:pPr>
        <w:tabs>
          <w:tab w:val="clear" w:pos="426"/>
        </w:tabs>
        <w:jc w:val="center"/>
        <w:rPr>
          <w:sz w:val="52"/>
          <w:szCs w:val="52"/>
        </w:rPr>
      </w:pPr>
      <w:r>
        <w:rPr>
          <w:rFonts w:hint="eastAsia"/>
          <w:sz w:val="52"/>
          <w:szCs w:val="52"/>
        </w:rPr>
        <w:t>投标文件</w:t>
      </w:r>
    </w:p>
    <w:p>
      <w:pPr>
        <w:tabs>
          <w:tab w:val="clear" w:pos="426"/>
        </w:tabs>
        <w:jc w:val="center"/>
      </w:pPr>
    </w:p>
    <w:p>
      <w:pPr>
        <w:tabs>
          <w:tab w:val="clear" w:pos="426"/>
        </w:tabs>
        <w:jc w:val="center"/>
      </w:pPr>
    </w:p>
    <w:p>
      <w:pPr>
        <w:tabs>
          <w:tab w:val="clear" w:pos="426"/>
        </w:tabs>
      </w:pPr>
    </w:p>
    <w:p>
      <w:pPr>
        <w:tabs>
          <w:tab w:val="clear" w:pos="426"/>
        </w:tabs>
      </w:pPr>
    </w:p>
    <w:p>
      <w:pPr>
        <w:tabs>
          <w:tab w:val="clear" w:pos="426"/>
        </w:tabs>
      </w:pPr>
    </w:p>
    <w:p>
      <w:pPr>
        <w:tabs>
          <w:tab w:val="clear" w:pos="426"/>
        </w:tabs>
      </w:pPr>
    </w:p>
    <w:p>
      <w:pPr>
        <w:tabs>
          <w:tab w:val="clear" w:pos="426"/>
        </w:tabs>
        <w:ind w:left="1275" w:leftChars="607"/>
        <w:rPr>
          <w:sz w:val="28"/>
          <w:szCs w:val="28"/>
        </w:rPr>
      </w:pPr>
      <w:r>
        <w:rPr>
          <w:rFonts w:hint="eastAsia"/>
          <w:sz w:val="28"/>
          <w:szCs w:val="28"/>
        </w:rPr>
        <w:t>项目编号：</w:t>
      </w:r>
    </w:p>
    <w:p>
      <w:pPr>
        <w:tabs>
          <w:tab w:val="clear" w:pos="426"/>
        </w:tabs>
        <w:ind w:left="1275" w:leftChars="607"/>
        <w:rPr>
          <w:sz w:val="28"/>
          <w:szCs w:val="28"/>
        </w:rPr>
      </w:pPr>
      <w:r>
        <w:rPr>
          <w:rFonts w:hint="eastAsia"/>
          <w:sz w:val="28"/>
          <w:szCs w:val="28"/>
        </w:rPr>
        <w:t>投标供应商名称（公章)：</w:t>
      </w:r>
    </w:p>
    <w:p>
      <w:pPr>
        <w:tabs>
          <w:tab w:val="clear" w:pos="426"/>
        </w:tabs>
        <w:ind w:left="1275" w:leftChars="607"/>
        <w:rPr>
          <w:sz w:val="28"/>
          <w:szCs w:val="28"/>
        </w:rPr>
      </w:pPr>
      <w:r>
        <w:rPr>
          <w:rFonts w:hint="eastAsia"/>
          <w:sz w:val="28"/>
          <w:szCs w:val="28"/>
        </w:rPr>
        <w:t>投标供应商代表（签字或盖章）：</w:t>
      </w:r>
    </w:p>
    <w:p>
      <w:pPr>
        <w:tabs>
          <w:tab w:val="clear" w:pos="426"/>
        </w:tabs>
        <w:ind w:left="1275" w:leftChars="607"/>
        <w:rPr>
          <w:sz w:val="28"/>
          <w:szCs w:val="28"/>
        </w:rPr>
      </w:pPr>
      <w:r>
        <w:rPr>
          <w:rFonts w:hint="eastAsia"/>
          <w:sz w:val="28"/>
          <w:szCs w:val="28"/>
        </w:rPr>
        <w:t>投标日期：_</w:t>
      </w:r>
      <w:r>
        <w:rPr>
          <w:sz w:val="28"/>
          <w:szCs w:val="28"/>
        </w:rPr>
        <w:t>___</w:t>
      </w:r>
      <w:r>
        <w:rPr>
          <w:rFonts w:hint="eastAsia"/>
          <w:sz w:val="28"/>
          <w:szCs w:val="28"/>
        </w:rPr>
        <w:t>______年____月____日</w:t>
      </w:r>
    </w:p>
    <w:p>
      <w:pPr>
        <w:tabs>
          <w:tab w:val="clear" w:pos="426"/>
        </w:tabs>
      </w:pPr>
    </w:p>
    <w:p>
      <w:pPr>
        <w:adjustRightInd/>
        <w:snapToGrid/>
        <w:spacing w:before="280" w:after="290" w:line="377" w:lineRule="auto"/>
        <w:jc w:val="center"/>
        <w:rPr>
          <w:b/>
          <w:sz w:val="24"/>
        </w:rPr>
      </w:pPr>
      <w:r>
        <w:br w:type="page"/>
      </w:r>
      <w:bookmarkStart w:id="94" w:name="_Toc518464368"/>
      <w:bookmarkStart w:id="95" w:name="_Toc528170808"/>
      <w:bookmarkStart w:id="96" w:name="_Toc528675180"/>
      <w:r>
        <w:rPr>
          <w:rFonts w:hint="eastAsia"/>
          <w:b/>
          <w:sz w:val="24"/>
        </w:rPr>
        <w:t>投标文件目录（目录格式自定）</w:t>
      </w:r>
      <w:bookmarkEnd w:id="94"/>
      <w:bookmarkEnd w:id="95"/>
      <w:bookmarkEnd w:id="96"/>
    </w:p>
    <w:p>
      <w:pPr>
        <w:tabs>
          <w:tab w:val="clear" w:pos="426"/>
        </w:tabs>
      </w:pPr>
      <w:r>
        <w:rPr>
          <w:rFonts w:hint="eastAsia"/>
        </w:rPr>
        <w:t>按照招标文件的要求编制投标文件相应内容，请标明各部分内容的页码。</w:t>
      </w:r>
    </w:p>
    <w:p>
      <w:pPr>
        <w:tabs>
          <w:tab w:val="clear" w:pos="426"/>
        </w:tabs>
      </w:pPr>
    </w:p>
    <w:p>
      <w:pPr>
        <w:tabs>
          <w:tab w:val="clear" w:pos="426"/>
        </w:tabs>
      </w:pPr>
    </w:p>
    <w:p>
      <w:pPr>
        <w:adjustRightInd/>
        <w:snapToGrid/>
        <w:spacing w:before="280" w:after="290" w:line="377" w:lineRule="auto"/>
        <w:jc w:val="center"/>
        <w:rPr>
          <w:b/>
          <w:sz w:val="24"/>
        </w:rPr>
      </w:pPr>
      <w:r>
        <w:br w:type="page"/>
      </w:r>
      <w:bookmarkStart w:id="97" w:name="_Toc528170809"/>
      <w:bookmarkStart w:id="98" w:name="_Toc528675181"/>
      <w:bookmarkStart w:id="99" w:name="_Toc518464369"/>
      <w:r>
        <w:rPr>
          <w:rFonts w:hint="eastAsia"/>
          <w:b/>
          <w:sz w:val="24"/>
        </w:rPr>
        <w:t>评标指引表</w:t>
      </w:r>
      <w:bookmarkEnd w:id="97"/>
      <w:bookmarkEnd w:id="98"/>
      <w:bookmarkEnd w:id="99"/>
    </w:p>
    <w:p>
      <w:pPr>
        <w:tabs>
          <w:tab w:val="clear" w:pos="426"/>
        </w:tabs>
        <w:jc w:val="center"/>
        <w:rPr>
          <w:b/>
        </w:rPr>
      </w:pPr>
      <w:r>
        <w:rPr>
          <w:rFonts w:hint="eastAsia"/>
          <w:b/>
        </w:rPr>
        <w:t>（置于投标文件的首页）</w:t>
      </w:r>
    </w:p>
    <w:p>
      <w:pPr>
        <w:tabs>
          <w:tab w:val="clear" w:pos="426"/>
        </w:tabs>
        <w:ind w:firstLine="420" w:firstLineChars="200"/>
      </w:pPr>
      <w:r>
        <w:rPr>
          <w:rFonts w:hint="eastAsia"/>
          <w:szCs w:val="21"/>
        </w:rPr>
        <w:t>为方便参与该项目的评委专家的评标，快速找到评标事项与该项目投标文件所对应的位置，请投标供应商参照下表格式，编制本项目评标指引表。</w:t>
      </w:r>
    </w:p>
    <w:p>
      <w:pPr>
        <w:pStyle w:val="7"/>
        <w:tabs>
          <w:tab w:val="clear" w:pos="426"/>
        </w:tabs>
        <w:ind w:firstLine="0"/>
      </w:pPr>
      <w:r>
        <w:rPr>
          <w:rFonts w:hint="eastAsia"/>
        </w:rPr>
        <w:t>项目名称：</w:t>
      </w:r>
    </w:p>
    <w:p>
      <w:pPr>
        <w:pStyle w:val="7"/>
        <w:tabs>
          <w:tab w:val="clear" w:pos="426"/>
        </w:tabs>
        <w:ind w:firstLine="0"/>
      </w:pPr>
      <w:r>
        <w:rPr>
          <w:rFonts w:hint="eastAsia"/>
        </w:rPr>
        <w:t>项目编号：</w:t>
      </w:r>
    </w:p>
    <w:p>
      <w:pPr>
        <w:tabs>
          <w:tab w:val="clear" w:pos="426"/>
        </w:tabs>
        <w:jc w:val="center"/>
        <w:rPr>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570" w:type="dxa"/>
            <w:gridSpan w:val="7"/>
            <w:vAlign w:val="center"/>
          </w:tcPr>
          <w:p>
            <w:pPr>
              <w:tabs>
                <w:tab w:val="clear" w:pos="426"/>
              </w:tabs>
              <w:adjustRightInd/>
              <w:snapToGrid/>
              <w:spacing w:line="240" w:lineRule="auto"/>
              <w:jc w:val="center"/>
              <w:rPr>
                <w:b/>
              </w:rPr>
            </w:pPr>
            <w:r>
              <w:rPr>
                <w:rFonts w:hint="eastAsia"/>
                <w:b/>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rPr>
            </w:pPr>
            <w:r>
              <w:rPr>
                <w:rFonts w:hint="eastAsia"/>
                <w:b/>
              </w:rPr>
              <w:t>序号</w:t>
            </w:r>
          </w:p>
        </w:tc>
        <w:tc>
          <w:tcPr>
            <w:tcW w:w="4203" w:type="dxa"/>
            <w:gridSpan w:val="2"/>
            <w:vAlign w:val="center"/>
          </w:tcPr>
          <w:p>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pPr>
              <w:tabs>
                <w:tab w:val="clear" w:pos="426"/>
              </w:tabs>
              <w:adjustRightInd/>
              <w:snapToGrid/>
              <w:spacing w:line="240" w:lineRule="auto"/>
              <w:jc w:val="center"/>
              <w:rPr>
                <w:b/>
              </w:rPr>
            </w:pPr>
            <w:r>
              <w:rPr>
                <w:rFonts w:hint="eastAsia"/>
                <w:b/>
              </w:rPr>
              <w:t>证明文件</w:t>
            </w:r>
          </w:p>
        </w:tc>
        <w:tc>
          <w:tcPr>
            <w:tcW w:w="1397" w:type="dxa"/>
            <w:vAlign w:val="center"/>
          </w:tcPr>
          <w:p>
            <w:pPr>
              <w:tabs>
                <w:tab w:val="clear" w:pos="426"/>
              </w:tabs>
              <w:adjustRightInd/>
              <w:snapToGrid/>
              <w:spacing w:line="240" w:lineRule="auto"/>
              <w:jc w:val="center"/>
              <w:rPr>
                <w:b/>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pPr>
              <w:tabs>
                <w:tab w:val="clear" w:pos="426"/>
              </w:tabs>
              <w:adjustRightInd/>
              <w:snapToGrid/>
              <w:spacing w:line="240" w:lineRule="auto"/>
              <w:jc w:val="center"/>
              <w:rPr>
                <w:b/>
                <w:kern w:val="2"/>
              </w:rPr>
            </w:pPr>
            <w:r>
              <w:rPr>
                <w:rFonts w:hint="eastAsia"/>
              </w:rPr>
              <w:t>申请人的资格要求</w:t>
            </w:r>
          </w:p>
        </w:tc>
        <w:tc>
          <w:tcPr>
            <w:tcW w:w="3105" w:type="dxa"/>
            <w:gridSpan w:val="3"/>
            <w:vAlign w:val="center"/>
          </w:tcPr>
          <w:p>
            <w:pPr>
              <w:tabs>
                <w:tab w:val="clear" w:pos="426"/>
              </w:tabs>
              <w:adjustRightInd/>
              <w:snapToGrid/>
              <w:spacing w:line="240" w:lineRule="auto"/>
              <w:jc w:val="center"/>
              <w:rPr>
                <w:kern w:val="2"/>
              </w:rPr>
            </w:pPr>
            <w:r>
              <w:rPr>
                <w:rFonts w:hint="eastAsia"/>
              </w:rPr>
              <w:t>营业执照</w:t>
            </w: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pPr>
            <w:r>
              <w:rPr>
                <w:rFonts w:hint="eastAsia"/>
              </w:rPr>
              <w:t>…</w:t>
            </w: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pPr>
              <w:tabs>
                <w:tab w:val="clear" w:pos="426"/>
              </w:tabs>
              <w:adjustRightInd/>
              <w:snapToGrid/>
              <w:spacing w:line="240" w:lineRule="auto"/>
              <w:jc w:val="center"/>
              <w:rPr>
                <w:b/>
              </w:rPr>
            </w:pPr>
          </w:p>
        </w:tc>
        <w:tc>
          <w:tcPr>
            <w:tcW w:w="4203" w:type="dxa"/>
            <w:gridSpan w:val="2"/>
            <w:vMerge w:val="continue"/>
            <w:vAlign w:val="center"/>
          </w:tcPr>
          <w:p>
            <w:pPr>
              <w:tabs>
                <w:tab w:val="clear" w:pos="426"/>
              </w:tabs>
              <w:adjustRightInd/>
              <w:snapToGrid/>
              <w:spacing w:line="240" w:lineRule="auto"/>
              <w:jc w:val="center"/>
            </w:pPr>
          </w:p>
        </w:tc>
        <w:tc>
          <w:tcPr>
            <w:tcW w:w="3105" w:type="dxa"/>
            <w:gridSpan w:val="3"/>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b/>
                <w:kern w:val="2"/>
              </w:rPr>
            </w:pPr>
            <w:r>
              <w:rPr>
                <w:rFonts w:hint="eastAsia"/>
                <w:b/>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pPr>
              <w:tabs>
                <w:tab w:val="clear" w:pos="426"/>
              </w:tabs>
              <w:adjustRightInd/>
              <w:snapToGrid/>
              <w:spacing w:line="240" w:lineRule="auto"/>
              <w:jc w:val="center"/>
              <w:rPr>
                <w:b/>
                <w:kern w:val="2"/>
              </w:rPr>
            </w:pPr>
            <w:r>
              <w:rPr>
                <w:rFonts w:hint="eastAsia"/>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w:t>
            </w:r>
          </w:p>
        </w:tc>
        <w:tc>
          <w:tcPr>
            <w:tcW w:w="5943" w:type="dxa"/>
            <w:gridSpan w:val="4"/>
            <w:vAlign w:val="center"/>
          </w:tcPr>
          <w:p>
            <w:pPr>
              <w:tabs>
                <w:tab w:val="clear" w:pos="426"/>
              </w:tabs>
              <w:adjustRightInd/>
              <w:snapToGrid/>
              <w:spacing w:line="240" w:lineRule="auto"/>
            </w:pPr>
            <w:r>
              <w:rPr>
                <w:rFonts w:hint="eastAsia"/>
              </w:rPr>
              <w:t>未出现将一个包或一个标段的内容拆开投标；</w:t>
            </w:r>
          </w:p>
        </w:tc>
        <w:tc>
          <w:tcPr>
            <w:tcW w:w="2762" w:type="dxa"/>
            <w:gridSpan w:val="2"/>
            <w:vAlign w:val="center"/>
          </w:tcPr>
          <w:p>
            <w:pPr>
              <w:tabs>
                <w:tab w:val="clear" w:pos="426"/>
              </w:tabs>
              <w:adjustRightInd/>
              <w:snapToGrid/>
              <w:spacing w:line="240" w:lineRule="auto"/>
              <w:jc w:val="center"/>
              <w:rPr>
                <w:kern w:val="2"/>
              </w:rPr>
            </w:pPr>
            <w:r>
              <w:rPr>
                <w:rFonts w:hint="eastAsia"/>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2</w:t>
            </w:r>
          </w:p>
        </w:tc>
        <w:tc>
          <w:tcPr>
            <w:tcW w:w="5943" w:type="dxa"/>
            <w:gridSpan w:val="4"/>
            <w:vAlign w:val="center"/>
          </w:tcPr>
          <w:p>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3</w:t>
            </w:r>
          </w:p>
        </w:tc>
        <w:tc>
          <w:tcPr>
            <w:tcW w:w="5943" w:type="dxa"/>
            <w:gridSpan w:val="4"/>
            <w:vAlign w:val="center"/>
          </w:tcPr>
          <w:p>
            <w:pPr>
              <w:tabs>
                <w:tab w:val="clear" w:pos="426"/>
              </w:tabs>
              <w:adjustRightInd/>
              <w:snapToGrid/>
              <w:spacing w:line="240" w:lineRule="auto"/>
            </w:pPr>
            <w:r>
              <w:rPr>
                <w:rFonts w:hint="eastAsia"/>
              </w:rPr>
              <w:t>除招标文件规定允许有替代方案外，对同一项目投标时，未提供两套或两套以上的投标方案(招标文件另有规定的除外)；</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4</w:t>
            </w:r>
          </w:p>
        </w:tc>
        <w:tc>
          <w:tcPr>
            <w:tcW w:w="5943" w:type="dxa"/>
            <w:gridSpan w:val="4"/>
            <w:vAlign w:val="center"/>
          </w:tcPr>
          <w:p>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5</w:t>
            </w:r>
          </w:p>
        </w:tc>
        <w:tc>
          <w:tcPr>
            <w:tcW w:w="5943" w:type="dxa"/>
            <w:gridSpan w:val="4"/>
            <w:vAlign w:val="center"/>
          </w:tcPr>
          <w:p>
            <w:pPr>
              <w:tabs>
                <w:tab w:val="clear" w:pos="426"/>
              </w:tabs>
              <w:adjustRightInd/>
              <w:snapToGrid/>
              <w:spacing w:line="240" w:lineRule="auto"/>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6</w:t>
            </w:r>
          </w:p>
        </w:tc>
        <w:tc>
          <w:tcPr>
            <w:tcW w:w="5943" w:type="dxa"/>
            <w:gridSpan w:val="4"/>
            <w:vAlign w:val="center"/>
          </w:tcPr>
          <w:p>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7</w:t>
            </w:r>
          </w:p>
        </w:tc>
        <w:tc>
          <w:tcPr>
            <w:tcW w:w="5943" w:type="dxa"/>
            <w:gridSpan w:val="4"/>
            <w:vAlign w:val="center"/>
          </w:tcPr>
          <w:p>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8</w:t>
            </w:r>
          </w:p>
        </w:tc>
        <w:tc>
          <w:tcPr>
            <w:tcW w:w="5943" w:type="dxa"/>
            <w:gridSpan w:val="4"/>
            <w:vAlign w:val="center"/>
          </w:tcPr>
          <w:p>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9</w:t>
            </w:r>
          </w:p>
        </w:tc>
        <w:tc>
          <w:tcPr>
            <w:tcW w:w="5943" w:type="dxa"/>
            <w:gridSpan w:val="4"/>
            <w:vAlign w:val="center"/>
          </w:tcPr>
          <w:p>
            <w:pPr>
              <w:tabs>
                <w:tab w:val="clear" w:pos="426"/>
              </w:tabs>
              <w:adjustRightInd/>
              <w:snapToGrid/>
              <w:spacing w:line="240" w:lineRule="auto"/>
            </w:pPr>
            <w:r>
              <w:rPr>
                <w:rFonts w:hint="eastAsia"/>
              </w:rPr>
              <w:t>投标文件载明的交货期未超过招标文件规定的期限；</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10</w:t>
            </w:r>
          </w:p>
        </w:tc>
        <w:tc>
          <w:tcPr>
            <w:tcW w:w="5943" w:type="dxa"/>
            <w:gridSpan w:val="4"/>
            <w:vAlign w:val="center"/>
          </w:tcPr>
          <w:p>
            <w:pPr>
              <w:tabs>
                <w:tab w:val="clear" w:pos="426"/>
              </w:tabs>
              <w:adjustRightInd/>
              <w:snapToGrid/>
              <w:spacing w:line="240" w:lineRule="auto"/>
            </w:pPr>
            <w:r>
              <w:rPr>
                <w:rFonts w:hint="eastAsia"/>
              </w:rPr>
              <w:t>投标文件载明的质保期未低于招标文件规定的期限；</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11</w:t>
            </w:r>
          </w:p>
        </w:tc>
        <w:tc>
          <w:tcPr>
            <w:tcW w:w="5943" w:type="dxa"/>
            <w:gridSpan w:val="4"/>
            <w:vAlign w:val="center"/>
          </w:tcPr>
          <w:p>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rPr>
                <w:kern w:val="2"/>
              </w:rPr>
            </w:pPr>
            <w:r>
              <w:rPr>
                <w:rFonts w:hint="eastAsia"/>
              </w:rPr>
              <w:t>12</w:t>
            </w:r>
          </w:p>
        </w:tc>
        <w:tc>
          <w:tcPr>
            <w:tcW w:w="5943" w:type="dxa"/>
            <w:gridSpan w:val="4"/>
            <w:vAlign w:val="center"/>
          </w:tcPr>
          <w:p>
            <w:pPr>
              <w:tabs>
                <w:tab w:val="clear" w:pos="426"/>
              </w:tabs>
              <w:adjustRightInd/>
              <w:snapToGrid/>
              <w:spacing w:line="240" w:lineRule="auto"/>
            </w:pPr>
            <w:r>
              <w:rPr>
                <w:rFonts w:hint="eastAsia"/>
              </w:rPr>
              <w:t>投标报价没有严重缺漏项目；投标报价没有对招标文件规定的货物清单项目及数量进行修改；采购标的响应齐全；</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w:t>
            </w:r>
            <w:r>
              <w:t>3</w:t>
            </w:r>
          </w:p>
        </w:tc>
        <w:tc>
          <w:tcPr>
            <w:tcW w:w="5943" w:type="dxa"/>
            <w:gridSpan w:val="4"/>
            <w:vAlign w:val="center"/>
          </w:tcPr>
          <w:p>
            <w:pPr>
              <w:tabs>
                <w:tab w:val="clear" w:pos="426"/>
              </w:tabs>
              <w:adjustRightInd/>
              <w:snapToGrid/>
              <w:spacing w:line="240" w:lineRule="auto"/>
            </w:pPr>
            <w:r>
              <w:rPr>
                <w:rFonts w:hint="eastAsia"/>
              </w:rPr>
              <w:t>《技术规格偏离表》或《商务条款偏离表》未出现填写不全、不明或不实；</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w:t>
            </w:r>
            <w:r>
              <w:t>4</w:t>
            </w:r>
          </w:p>
        </w:tc>
        <w:tc>
          <w:tcPr>
            <w:tcW w:w="5943" w:type="dxa"/>
            <w:gridSpan w:val="4"/>
            <w:vAlign w:val="center"/>
          </w:tcPr>
          <w:p>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pPr>
              <w:widowControl w:val="0"/>
              <w:shd w:val="clear" w:color="auto" w:fill="auto"/>
              <w:tabs>
                <w:tab w:val="clear" w:pos="426"/>
              </w:tabs>
              <w:adjustRightInd/>
              <w:snapToGrid/>
              <w:spacing w:line="240" w:lineRule="auto"/>
              <w:jc w:val="center"/>
            </w:pPr>
            <w:r>
              <w:rPr>
                <w:rFonts w:hint="eastAsia"/>
              </w:rPr>
              <w:t>15</w:t>
            </w:r>
          </w:p>
        </w:tc>
        <w:tc>
          <w:tcPr>
            <w:tcW w:w="5943" w:type="dxa"/>
            <w:gridSpan w:val="4"/>
            <w:vAlign w:val="center"/>
          </w:tcPr>
          <w:p>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pPr>
              <w:tabs>
                <w:tab w:val="clear" w:pos="426"/>
              </w:tabs>
              <w:adjustRightInd/>
              <w:snapToGrid/>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pPr>
              <w:tabs>
                <w:tab w:val="clear" w:pos="426"/>
              </w:tabs>
              <w:adjustRightInd/>
              <w:snapToGrid/>
              <w:spacing w:line="240" w:lineRule="auto"/>
              <w:jc w:val="center"/>
              <w:rPr>
                <w:b/>
                <w:kern w:val="2"/>
              </w:rPr>
            </w:pPr>
            <w:r>
              <w:rPr>
                <w:rFonts w:hint="eastAsia"/>
                <w:b/>
              </w:rPr>
              <w:t>对应章节</w:t>
            </w:r>
          </w:p>
        </w:tc>
        <w:tc>
          <w:tcPr>
            <w:tcW w:w="1397" w:type="dxa"/>
            <w:vAlign w:val="center"/>
          </w:tcPr>
          <w:p>
            <w:pPr>
              <w:tabs>
                <w:tab w:val="clear" w:pos="426"/>
              </w:tabs>
              <w:adjustRightInd/>
              <w:snapToGrid/>
              <w:spacing w:line="240" w:lineRule="auto"/>
              <w:jc w:val="center"/>
              <w:rPr>
                <w:b/>
                <w:kern w:val="2"/>
              </w:rPr>
            </w:pPr>
            <w:r>
              <w:rPr>
                <w:rFonts w:hint="eastAsia"/>
                <w:b/>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rPr>
            </w:pPr>
          </w:p>
        </w:tc>
        <w:tc>
          <w:tcPr>
            <w:tcW w:w="5499" w:type="dxa"/>
            <w:gridSpan w:val="2"/>
            <w:vAlign w:val="center"/>
          </w:tcPr>
          <w:p>
            <w:pPr>
              <w:tabs>
                <w:tab w:val="clear" w:pos="426"/>
              </w:tabs>
              <w:adjustRightInd/>
              <w:snapToGrid/>
              <w:spacing w:line="240" w:lineRule="auto"/>
              <w:jc w:val="cente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pPr>
              <w:tabs>
                <w:tab w:val="clear" w:pos="426"/>
              </w:tabs>
              <w:adjustRightInd/>
              <w:snapToGrid/>
              <w:spacing w:line="240" w:lineRule="auto"/>
              <w:jc w:val="center"/>
              <w:rPr>
                <w:b/>
                <w:kern w:val="2"/>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pPr>
              <w:tabs>
                <w:tab w:val="clear" w:pos="426"/>
              </w:tabs>
              <w:adjustRightInd/>
              <w:snapToGrid/>
              <w:spacing w:line="240" w:lineRule="auto"/>
              <w:jc w:val="center"/>
              <w:rPr>
                <w:b/>
              </w:rPr>
            </w:pPr>
          </w:p>
        </w:tc>
        <w:tc>
          <w:tcPr>
            <w:tcW w:w="5499" w:type="dxa"/>
            <w:gridSpan w:val="2"/>
            <w:vAlign w:val="center"/>
          </w:tcPr>
          <w:p>
            <w:pPr>
              <w:tabs>
                <w:tab w:val="clear" w:pos="426"/>
              </w:tabs>
              <w:adjustRightInd/>
              <w:snapToGrid/>
              <w:spacing w:line="240" w:lineRule="auto"/>
              <w:jc w:val="center"/>
              <w:rPr>
                <w:b/>
              </w:rPr>
            </w:pPr>
          </w:p>
        </w:tc>
        <w:tc>
          <w:tcPr>
            <w:tcW w:w="1463" w:type="dxa"/>
            <w:gridSpan w:val="2"/>
            <w:vAlign w:val="center"/>
          </w:tcPr>
          <w:p>
            <w:pPr>
              <w:tabs>
                <w:tab w:val="clear" w:pos="426"/>
              </w:tabs>
              <w:adjustRightInd/>
              <w:snapToGrid/>
              <w:spacing w:line="240" w:lineRule="auto"/>
              <w:jc w:val="center"/>
              <w:rPr>
                <w:b/>
              </w:rPr>
            </w:pPr>
          </w:p>
        </w:tc>
        <w:tc>
          <w:tcPr>
            <w:tcW w:w="1397" w:type="dxa"/>
            <w:vAlign w:val="center"/>
          </w:tcPr>
          <w:p>
            <w:pPr>
              <w:tabs>
                <w:tab w:val="clear" w:pos="426"/>
              </w:tabs>
              <w:adjustRightInd/>
              <w:snapToGrid/>
              <w:spacing w:line="240" w:lineRule="auto"/>
              <w:jc w:val="center"/>
              <w:rPr>
                <w:b/>
              </w:rPr>
            </w:pPr>
          </w:p>
        </w:tc>
      </w:tr>
    </w:tbl>
    <w:p>
      <w:pPr>
        <w:tabs>
          <w:tab w:val="clear" w:pos="426"/>
        </w:tabs>
        <w:rPr>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pPr>
        <w:adjustRightInd/>
        <w:snapToGrid/>
        <w:spacing w:before="280" w:after="290" w:line="377" w:lineRule="auto"/>
        <w:outlineLvl w:val="2"/>
        <w:rPr>
          <w:b/>
          <w:sz w:val="24"/>
        </w:rPr>
      </w:pPr>
      <w:bookmarkStart w:id="100" w:name="_Toc151386161"/>
      <w:bookmarkStart w:id="101" w:name="_Toc150960251"/>
      <w:bookmarkStart w:id="102" w:name="_Toc32283"/>
      <w:bookmarkStart w:id="103" w:name="_Toc50691037"/>
      <w:bookmarkStart w:id="104" w:name="_Toc43264525"/>
      <w:bookmarkStart w:id="105" w:name="_Toc43264518"/>
      <w:bookmarkStart w:id="106" w:name="_Toc50703730"/>
      <w:r>
        <w:rPr>
          <w:rFonts w:hint="eastAsia"/>
          <w:b/>
          <w:sz w:val="24"/>
        </w:rPr>
        <w:t>格式1：投标函</w:t>
      </w:r>
      <w:bookmarkEnd w:id="100"/>
      <w:bookmarkEnd w:id="101"/>
      <w:bookmarkEnd w:id="102"/>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07" w:name="_Toc201743120"/>
      <w:bookmarkStart w:id="108" w:name="_Toc201742865"/>
      <w:bookmarkStart w:id="109" w:name="_Toc201997950"/>
      <w:bookmarkStart w:id="110" w:name="_Toc201719122"/>
      <w:r>
        <w:rPr>
          <w:rFonts w:hint="eastAsia" w:cs="Times New Roman"/>
          <w:bCs/>
          <w:kern w:val="2"/>
          <w:sz w:val="32"/>
          <w:szCs w:val="32"/>
        </w:rPr>
        <w:t>投标函</w:t>
      </w:r>
      <w:bookmarkEnd w:id="107"/>
      <w:bookmarkEnd w:id="108"/>
      <w:bookmarkEnd w:id="109"/>
      <w:bookmarkEnd w:id="110"/>
    </w:p>
    <w:p>
      <w:pPr>
        <w:tabs>
          <w:tab w:val="clear" w:pos="426"/>
        </w:tabs>
        <w:spacing w:line="300" w:lineRule="auto"/>
        <w:rPr>
          <w:szCs w:val="21"/>
        </w:rPr>
      </w:pPr>
    </w:p>
    <w:p>
      <w:pPr>
        <w:tabs>
          <w:tab w:val="clear" w:pos="426"/>
        </w:tabs>
        <w:spacing w:line="300" w:lineRule="auto"/>
        <w:rPr>
          <w:szCs w:val="21"/>
        </w:rPr>
      </w:pPr>
      <w:r>
        <w:rPr>
          <w:rFonts w:hint="eastAsia"/>
          <w:szCs w:val="21"/>
        </w:rPr>
        <w:t>致：</w:t>
      </w:r>
      <w:r>
        <w:rPr>
          <w:rFonts w:hint="eastAsia"/>
          <w:szCs w:val="21"/>
          <w:u w:val="single"/>
        </w:rPr>
        <w:t>深圳市深水水务咨询有限公司</w:t>
      </w:r>
    </w:p>
    <w:p>
      <w:pPr>
        <w:spacing w:after="231" w:afterLines="50"/>
        <w:ind w:firstLine="420" w:firstLineChars="200"/>
        <w:rPr>
          <w:szCs w:val="21"/>
        </w:rPr>
      </w:pPr>
      <w:r>
        <w:rPr>
          <w:rFonts w:hint="eastAsia"/>
          <w:szCs w:val="21"/>
        </w:rPr>
        <w:t>1.根据已收到贵方的项目编号为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pPr>
        <w:spacing w:after="231" w:afterLines="50"/>
        <w:ind w:firstLine="420" w:firstLineChars="200"/>
        <w:rPr>
          <w:rFonts w:hAnsi="Times New Roman"/>
          <w:szCs w:val="21"/>
        </w:rPr>
      </w:pPr>
      <w:r>
        <w:rPr>
          <w:rFonts w:hAnsi="Times New Roman"/>
          <w:szCs w:val="21"/>
        </w:rPr>
        <w:t>2.</w:t>
      </w:r>
      <w:r>
        <w:rPr>
          <w:rFonts w:hint="eastAsia" w:hAnsi="Times New Roman"/>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after="231" w:afterLines="50"/>
        <w:ind w:firstLine="411" w:firstLineChars="196"/>
        <w:rPr>
          <w:rFonts w:hAnsi="Times New Roman"/>
          <w:szCs w:val="21"/>
        </w:rPr>
      </w:pPr>
      <w:r>
        <w:rPr>
          <w:rFonts w:hAnsi="Times New Roman"/>
          <w:szCs w:val="21"/>
        </w:rPr>
        <w:t>3.</w:t>
      </w:r>
      <w:r>
        <w:rPr>
          <w:rFonts w:hint="eastAsia" w:hAnsi="Times New Roman"/>
          <w:szCs w:val="21"/>
        </w:rPr>
        <w:t>我方同意所递交的投标文件在“对通用条款的补充内容”中的投标有效期内有效，在此期间内我方的投标有可能中标，我方将受此约束。如果在投标有效期内撤回其投标，自行承担一切后果。</w:t>
      </w:r>
    </w:p>
    <w:p>
      <w:pPr>
        <w:spacing w:after="231" w:afterLines="50"/>
        <w:ind w:firstLine="411" w:firstLineChars="196"/>
        <w:rPr>
          <w:rFonts w:hAnsi="Times New Roman"/>
          <w:szCs w:val="21"/>
        </w:rPr>
      </w:pPr>
      <w:r>
        <w:rPr>
          <w:rFonts w:hAnsi="Times New Roman"/>
          <w:szCs w:val="21"/>
        </w:rPr>
        <w:t>4.</w:t>
      </w:r>
      <w:r>
        <w:rPr>
          <w:rFonts w:hint="eastAsia" w:hAnsi="Times New Roman"/>
          <w:szCs w:val="21"/>
        </w:rPr>
        <w:t>除非另外达成协议并生效，贵方的中标通知书和本投标文件将构成约束我们双方的合同。</w:t>
      </w:r>
    </w:p>
    <w:p>
      <w:pPr>
        <w:spacing w:after="231" w:afterLines="50"/>
        <w:ind w:firstLine="420" w:firstLineChars="200"/>
        <w:rPr>
          <w:rFonts w:hAnsi="Times New Roman"/>
          <w:szCs w:val="21"/>
        </w:rPr>
      </w:pPr>
      <w:r>
        <w:rPr>
          <w:rFonts w:hAnsi="Times New Roman"/>
          <w:szCs w:val="21"/>
        </w:rPr>
        <w:t>5.</w:t>
      </w:r>
      <w:r>
        <w:rPr>
          <w:rFonts w:hint="eastAsia" w:hAnsi="Times New Roman"/>
          <w:szCs w:val="21"/>
        </w:rPr>
        <w:t>我方理解贵方将不受必须接受你们所收到的最低标价或其它任何投标文件的约束。</w:t>
      </w:r>
    </w:p>
    <w:p>
      <w:pPr>
        <w:tabs>
          <w:tab w:val="clear" w:pos="426"/>
        </w:tabs>
        <w:spacing w:line="300" w:lineRule="auto"/>
        <w:ind w:left="424" w:leftChars="202"/>
        <w:rPr>
          <w:szCs w:val="21"/>
        </w:rPr>
      </w:pPr>
    </w:p>
    <w:p>
      <w:pPr>
        <w:tabs>
          <w:tab w:val="clear" w:pos="426"/>
        </w:tabs>
        <w:spacing w:line="300" w:lineRule="auto"/>
        <w:ind w:left="424" w:leftChars="202"/>
        <w:rPr>
          <w:szCs w:val="21"/>
        </w:rPr>
      </w:pPr>
    </w:p>
    <w:p>
      <w:pPr>
        <w:tabs>
          <w:tab w:val="clear" w:pos="426"/>
        </w:tabs>
        <w:spacing w:line="300" w:lineRule="auto"/>
        <w:ind w:left="424" w:leftChars="202"/>
        <w:rPr>
          <w:szCs w:val="21"/>
        </w:rPr>
      </w:pPr>
    </w:p>
    <w:p>
      <w:pPr>
        <w:tabs>
          <w:tab w:val="clear" w:pos="426"/>
        </w:tabs>
        <w:spacing w:line="300" w:lineRule="auto"/>
        <w:ind w:left="424" w:leftChars="202"/>
        <w:rPr>
          <w:szCs w:val="21"/>
        </w:rPr>
      </w:pPr>
      <w:r>
        <w:rPr>
          <w:rFonts w:hint="eastAsia"/>
          <w:szCs w:val="21"/>
        </w:rPr>
        <w:t>地址：</w:t>
      </w:r>
      <w:r>
        <w:rPr>
          <w:rFonts w:hint="eastAsia"/>
          <w:szCs w:val="21"/>
          <w:u w:val="single"/>
        </w:rPr>
        <w:t>__________________________</w:t>
      </w:r>
      <w:r>
        <w:rPr>
          <w:rFonts w:hint="eastAsia"/>
          <w:szCs w:val="21"/>
        </w:rPr>
        <w:t xml:space="preserve">  电话：</w:t>
      </w:r>
      <w:r>
        <w:rPr>
          <w:rFonts w:hint="eastAsia"/>
          <w:szCs w:val="21"/>
          <w:u w:val="single"/>
        </w:rPr>
        <w:t>________________________</w:t>
      </w:r>
    </w:p>
    <w:p>
      <w:pPr>
        <w:tabs>
          <w:tab w:val="clear" w:pos="426"/>
        </w:tabs>
        <w:spacing w:line="300" w:lineRule="auto"/>
        <w:ind w:left="424" w:leftChars="202"/>
        <w:rPr>
          <w:szCs w:val="21"/>
          <w:u w:val="single"/>
        </w:rPr>
      </w:pPr>
      <w:r>
        <w:rPr>
          <w:rFonts w:hint="eastAsia"/>
          <w:szCs w:val="21"/>
        </w:rPr>
        <w:t>投标人名称（公章）：</w:t>
      </w:r>
      <w:r>
        <w:rPr>
          <w:rFonts w:hint="eastAsia"/>
          <w:szCs w:val="21"/>
          <w:u w:val="single"/>
        </w:rPr>
        <w:t>_____________________________________________</w:t>
      </w:r>
    </w:p>
    <w:p>
      <w:pPr>
        <w:tabs>
          <w:tab w:val="clear" w:pos="426"/>
        </w:tabs>
        <w:spacing w:line="300" w:lineRule="auto"/>
        <w:ind w:left="424" w:leftChars="202"/>
        <w:rPr>
          <w:szCs w:val="21"/>
          <w:u w:val="single"/>
        </w:rPr>
      </w:pPr>
      <w:r>
        <w:rPr>
          <w:rFonts w:hint="eastAsia"/>
          <w:szCs w:val="21"/>
        </w:rPr>
        <w:t xml:space="preserve">投标人代表（签字或盖章)： </w:t>
      </w:r>
      <w:r>
        <w:rPr>
          <w:rFonts w:hint="eastAsia"/>
          <w:szCs w:val="21"/>
          <w:u w:val="single"/>
        </w:rPr>
        <w:t>_____________________________________________</w:t>
      </w:r>
    </w:p>
    <w:p>
      <w:pPr>
        <w:tabs>
          <w:tab w:val="clear" w:pos="426"/>
        </w:tabs>
        <w:spacing w:line="300" w:lineRule="auto"/>
        <w:ind w:left="424" w:leftChars="202"/>
        <w:rPr>
          <w:szCs w:val="21"/>
          <w:u w:val="single"/>
        </w:rPr>
      </w:pPr>
      <w:r>
        <w:rPr>
          <w:rFonts w:hint="eastAsia"/>
          <w:szCs w:val="21"/>
        </w:rPr>
        <w:t>日期：</w:t>
      </w:r>
      <w:r>
        <w:rPr>
          <w:rFonts w:hint="eastAsia"/>
          <w:szCs w:val="21"/>
          <w:u w:val="single"/>
        </w:rPr>
        <w:t>___________________________________________________________</w:t>
      </w:r>
    </w:p>
    <w:p>
      <w:pPr>
        <w:tabs>
          <w:tab w:val="clear" w:pos="426"/>
        </w:tabs>
        <w:spacing w:line="300" w:lineRule="auto"/>
      </w:pPr>
    </w:p>
    <w:p>
      <w:pPr>
        <w:tabs>
          <w:tab w:val="clear" w:pos="426"/>
        </w:tabs>
      </w:pPr>
      <w:r>
        <w:br w:type="page"/>
      </w:r>
      <w:bookmarkStart w:id="111" w:name="_Toc151386163"/>
      <w:bookmarkStart w:id="112" w:name="_Toc150960253"/>
      <w:bookmarkStart w:id="113" w:name="_Toc480754205"/>
      <w:bookmarkStart w:id="114" w:name="_Toc50737297"/>
      <w:bookmarkStart w:id="115" w:name="_Toc52165081"/>
      <w:bookmarkStart w:id="116" w:name="_Toc50737329"/>
      <w:bookmarkStart w:id="117" w:name="_Toc50736477"/>
      <w:bookmarkStart w:id="118" w:name="_Toc275865607"/>
      <w:bookmarkStart w:id="119" w:name="_Toc50737296"/>
      <w:bookmarkStart w:id="120" w:name="_Toc50737328"/>
      <w:bookmarkStart w:id="121" w:name="_Toc50691034"/>
      <w:bookmarkStart w:id="122" w:name="_Toc52165080"/>
      <w:bookmarkStart w:id="123" w:name="_Toc50736476"/>
    </w:p>
    <w:p>
      <w:pPr>
        <w:adjustRightInd/>
        <w:snapToGrid/>
        <w:spacing w:before="280" w:after="290" w:line="377" w:lineRule="auto"/>
        <w:outlineLvl w:val="2"/>
        <w:rPr>
          <w:b/>
          <w:sz w:val="24"/>
        </w:rPr>
      </w:pPr>
      <w:bookmarkStart w:id="124" w:name="_Toc9501"/>
      <w:r>
        <w:rPr>
          <w:rFonts w:hint="eastAsia"/>
          <w:b/>
          <w:sz w:val="24"/>
        </w:rPr>
        <w:t>格式2：</w:t>
      </w:r>
      <w:bookmarkEnd w:id="111"/>
      <w:bookmarkEnd w:id="112"/>
      <w:r>
        <w:rPr>
          <w:rFonts w:hint="eastAsia"/>
          <w:b/>
          <w:sz w:val="24"/>
        </w:rPr>
        <w:t>法定代表人（单位负责人）证明书</w:t>
      </w:r>
      <w:bookmarkEnd w:id="124"/>
    </w:p>
    <w:bookmarkEnd w:id="113"/>
    <w:bookmarkEnd w:id="114"/>
    <w:bookmarkEnd w:id="115"/>
    <w:bookmarkEnd w:id="116"/>
    <w:bookmarkEnd w:id="117"/>
    <w:bookmarkEnd w:id="118"/>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法定代表人（单位负责人）证明书</w:t>
      </w:r>
    </w:p>
    <w:p>
      <w:pPr>
        <w:tabs>
          <w:tab w:val="clear" w:pos="426"/>
        </w:tabs>
        <w:spacing w:line="480" w:lineRule="auto"/>
        <w:ind w:firstLine="424" w:firstLineChars="202"/>
        <w:rPr>
          <w:u w:val="single"/>
        </w:rPr>
      </w:pPr>
    </w:p>
    <w:p>
      <w:pPr>
        <w:tabs>
          <w:tab w:val="clear" w:pos="426"/>
        </w:tabs>
        <w:spacing w:line="480" w:lineRule="auto"/>
        <w:ind w:firstLine="424" w:firstLineChars="202"/>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pPr>
        <w:tabs>
          <w:tab w:val="clear" w:pos="426"/>
        </w:tabs>
        <w:spacing w:line="480" w:lineRule="auto"/>
        <w:ind w:firstLine="424" w:firstLineChars="202"/>
      </w:pPr>
      <w:r>
        <w:rPr>
          <w:rFonts w:hint="eastAsia"/>
        </w:rPr>
        <w:t>本证明书自签发之日起生效，有效期与本公司投标文件中标注的投标有效期相同。</w:t>
      </w:r>
    </w:p>
    <w:p>
      <w:pPr>
        <w:tabs>
          <w:tab w:val="clear" w:pos="426"/>
        </w:tabs>
        <w:spacing w:line="480" w:lineRule="auto"/>
        <w:ind w:firstLine="424" w:firstLineChars="202"/>
      </w:pPr>
      <w:r>
        <w:rPr>
          <w:rFonts w:hint="eastAsia"/>
        </w:rPr>
        <w:t>附：</w:t>
      </w:r>
    </w:p>
    <w:p>
      <w:pPr>
        <w:tabs>
          <w:tab w:val="clear" w:pos="426"/>
        </w:tabs>
        <w:spacing w:line="480" w:lineRule="auto"/>
        <w:ind w:firstLine="424" w:firstLineChars="202"/>
      </w:pPr>
      <w:r>
        <w:rPr>
          <w:rFonts w:hint="eastAsia"/>
        </w:rPr>
        <w:t>营业执照（注册号）：</w:t>
      </w:r>
      <w:r>
        <w:rPr>
          <w:rFonts w:hint="eastAsia"/>
          <w:u w:val="single"/>
        </w:rPr>
        <w:t>_______________________________________________</w:t>
      </w:r>
    </w:p>
    <w:p>
      <w:pPr>
        <w:tabs>
          <w:tab w:val="clear" w:pos="426"/>
        </w:tabs>
        <w:spacing w:line="480" w:lineRule="auto"/>
        <w:ind w:firstLine="424" w:firstLineChars="202"/>
        <w:rPr>
          <w:u w:val="single"/>
        </w:rPr>
      </w:pPr>
      <w:r>
        <w:rPr>
          <w:rFonts w:hint="eastAsia"/>
        </w:rPr>
        <w:t>经济性质：</w:t>
      </w:r>
      <w:r>
        <w:rPr>
          <w:rFonts w:hint="eastAsia"/>
          <w:u w:val="single"/>
        </w:rPr>
        <w:t>_________________________________________________________</w:t>
      </w:r>
    </w:p>
    <w:p>
      <w:pPr>
        <w:tabs>
          <w:tab w:val="clear" w:pos="426"/>
        </w:tabs>
        <w:spacing w:line="480" w:lineRule="auto"/>
        <w:ind w:firstLine="424" w:firstLineChars="202"/>
        <w:rPr>
          <w:u w:val="single"/>
        </w:rPr>
      </w:pPr>
      <w:r>
        <w:rPr>
          <w:rFonts w:hint="eastAsia"/>
        </w:rPr>
        <w:t>主营（产）：</w:t>
      </w:r>
      <w:r>
        <w:rPr>
          <w:rFonts w:hint="eastAsia"/>
          <w:u w:val="single"/>
        </w:rPr>
        <w:t>_______________________________________________________</w:t>
      </w:r>
    </w:p>
    <w:p>
      <w:pPr>
        <w:tabs>
          <w:tab w:val="clear" w:pos="426"/>
        </w:tabs>
        <w:spacing w:line="480" w:lineRule="auto"/>
        <w:ind w:firstLine="424" w:firstLineChars="202"/>
        <w:rPr>
          <w:u w:val="single"/>
        </w:rPr>
      </w:pPr>
      <w:r>
        <w:rPr>
          <w:rFonts w:hint="eastAsia"/>
        </w:rPr>
        <w:t>兼营（产）：</w:t>
      </w:r>
      <w:r>
        <w:rPr>
          <w:rFonts w:hint="eastAsia"/>
          <w:u w:val="single"/>
        </w:rPr>
        <w:t>_______________________________________________________</w:t>
      </w:r>
    </w:p>
    <w:p>
      <w:pPr>
        <w:tabs>
          <w:tab w:val="clear" w:pos="426"/>
        </w:tabs>
        <w:ind w:firstLine="424" w:firstLineChars="202"/>
      </w:pPr>
    </w:p>
    <w:p>
      <w:pPr>
        <w:tabs>
          <w:tab w:val="clear" w:pos="426"/>
        </w:tabs>
        <w:ind w:firstLine="424" w:firstLineChars="202"/>
        <w:rPr>
          <w:szCs w:val="21"/>
        </w:rPr>
      </w:pPr>
      <w:r>
        <w:rPr>
          <w:rFonts w:hint="eastAsia"/>
          <w:szCs w:val="21"/>
        </w:rPr>
        <w:t>附：法定代表人（单位负责人）身份证正反面复印件：</w:t>
      </w:r>
    </w:p>
    <w:p>
      <w:pPr>
        <w:tabs>
          <w:tab w:val="clear" w:pos="426"/>
        </w:tabs>
        <w:ind w:firstLine="424" w:firstLineChars="202"/>
        <w:rPr>
          <w:szCs w:val="21"/>
        </w:rPr>
      </w:pPr>
    </w:p>
    <w:p>
      <w:pPr>
        <w:tabs>
          <w:tab w:val="clear" w:pos="426"/>
        </w:tabs>
        <w:ind w:firstLine="424" w:firstLineChars="202"/>
        <w:rPr>
          <w:szCs w:val="21"/>
        </w:rPr>
      </w:pPr>
    </w:p>
    <w:p>
      <w:pPr>
        <w:tabs>
          <w:tab w:val="clear" w:pos="426"/>
        </w:tabs>
        <w:ind w:firstLine="424" w:firstLineChars="202"/>
        <w:rPr>
          <w:szCs w:val="21"/>
        </w:rPr>
      </w:pPr>
    </w:p>
    <w:p>
      <w:pPr>
        <w:tabs>
          <w:tab w:val="clear" w:pos="426"/>
        </w:tabs>
        <w:spacing w:line="500" w:lineRule="exact"/>
        <w:ind w:left="3826" w:leftChars="1822"/>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pPr>
        <w:tabs>
          <w:tab w:val="clear" w:pos="426"/>
        </w:tabs>
        <w:spacing w:line="500" w:lineRule="exact"/>
        <w:ind w:left="3826" w:leftChars="1822"/>
        <w:rPr>
          <w:u w:val="single"/>
        </w:rPr>
      </w:pPr>
      <w:r>
        <w:rPr>
          <w:rFonts w:hint="eastAsia"/>
        </w:rPr>
        <w:t>地址：</w:t>
      </w:r>
      <w:r>
        <w:rPr>
          <w:rFonts w:hint="eastAsia"/>
          <w:u w:val="single"/>
        </w:rPr>
        <w:t>___________________________________________</w:t>
      </w:r>
    </w:p>
    <w:p>
      <w:pPr>
        <w:tabs>
          <w:tab w:val="clear" w:pos="426"/>
        </w:tabs>
        <w:spacing w:line="500" w:lineRule="exact"/>
        <w:ind w:left="3826" w:leftChars="1822"/>
        <w:rPr>
          <w:u w:val="single"/>
        </w:rPr>
      </w:pPr>
      <w:r>
        <w:rPr>
          <w:rFonts w:hint="eastAsia"/>
        </w:rPr>
        <w:t>签发日期：</w:t>
      </w:r>
      <w:r>
        <w:rPr>
          <w:rFonts w:hint="eastAsia"/>
          <w:u w:val="single"/>
        </w:rPr>
        <w:t>_______________________________________</w:t>
      </w:r>
    </w:p>
    <w:p>
      <w:pPr>
        <w:tabs>
          <w:tab w:val="clear" w:pos="426"/>
        </w:tabs>
        <w:spacing w:line="500" w:lineRule="exact"/>
        <w:ind w:left="3826" w:leftChars="1822"/>
        <w:rPr>
          <w:b/>
          <w:bCs/>
          <w:u w:val="single"/>
        </w:rPr>
      </w:pPr>
    </w:p>
    <w:bookmarkEnd w:id="119"/>
    <w:bookmarkEnd w:id="120"/>
    <w:bookmarkEnd w:id="121"/>
    <w:bookmarkEnd w:id="122"/>
    <w:bookmarkEnd w:id="123"/>
    <w:p>
      <w:pPr>
        <w:tabs>
          <w:tab w:val="clear" w:pos="426"/>
        </w:tabs>
        <w:spacing w:line="300" w:lineRule="auto"/>
        <w:jc w:val="center"/>
      </w:pPr>
      <w:r>
        <w:br w:type="page"/>
      </w:r>
    </w:p>
    <w:p>
      <w:pPr>
        <w:adjustRightInd/>
        <w:snapToGrid/>
        <w:spacing w:before="280" w:after="290" w:line="377" w:lineRule="auto"/>
        <w:outlineLvl w:val="2"/>
        <w:rPr>
          <w:b/>
          <w:sz w:val="24"/>
        </w:rPr>
      </w:pPr>
      <w:bookmarkStart w:id="125" w:name="_Toc16372"/>
      <w:r>
        <w:rPr>
          <w:rFonts w:hint="eastAsia"/>
          <w:b/>
          <w:sz w:val="24"/>
        </w:rPr>
        <w:t>格式3：授权委托书</w:t>
      </w:r>
      <w:bookmarkEnd w:id="125"/>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授权委托书</w:t>
      </w:r>
    </w:p>
    <w:p>
      <w:pPr>
        <w:tabs>
          <w:tab w:val="clear" w:pos="426"/>
        </w:tabs>
        <w:ind w:firstLine="420" w:firstLineChars="200"/>
        <w:rPr>
          <w:rFonts w:hAnsi="Courier New" w:cs="Times New Roman"/>
          <w:kern w:val="2"/>
          <w:szCs w:val="20"/>
        </w:rPr>
      </w:pPr>
    </w:p>
    <w:p>
      <w:pPr>
        <w:tabs>
          <w:tab w:val="clear" w:pos="426"/>
        </w:tabs>
        <w:ind w:firstLine="420" w:firstLineChars="200"/>
        <w:rPr>
          <w:rFonts w:hAnsi="Courier New" w:cs="Times New Roman"/>
          <w:kern w:val="2"/>
          <w:szCs w:val="20"/>
        </w:rPr>
      </w:pPr>
      <w:r>
        <w:rPr>
          <w:rFonts w:hint="eastAsia" w:hAnsi="Courier New" w:cs="Times New Roman"/>
          <w:kern w:val="2"/>
          <w:szCs w:val="20"/>
        </w:rPr>
        <w:t>本授权委托书声明：注册于</w:t>
      </w:r>
      <w:r>
        <w:rPr>
          <w:rFonts w:hint="eastAsia" w:hAnsi="Courier New" w:cs="Times New Roman"/>
          <w:kern w:val="2"/>
          <w:szCs w:val="20"/>
          <w:u w:val="single"/>
        </w:rPr>
        <w:t>（投标人地址）</w:t>
      </w:r>
      <w:r>
        <w:rPr>
          <w:rFonts w:hint="eastAsia" w:hAnsi="Courier New" w:cs="Times New Roman"/>
          <w:kern w:val="2"/>
          <w:szCs w:val="20"/>
        </w:rPr>
        <w:t>的</w:t>
      </w:r>
      <w:r>
        <w:rPr>
          <w:rFonts w:hint="eastAsia" w:hAnsi="Courier New" w:cs="Times New Roman"/>
          <w:kern w:val="2"/>
          <w:szCs w:val="20"/>
          <w:u w:val="single"/>
        </w:rPr>
        <w:t>（投标人名称）</w:t>
      </w:r>
      <w:r>
        <w:rPr>
          <w:rFonts w:hint="eastAsia" w:hAnsi="Courier New" w:cs="Times New Roman"/>
          <w:kern w:val="2"/>
          <w:szCs w:val="20"/>
        </w:rPr>
        <w:t>在下面签名的</w:t>
      </w:r>
      <w:r>
        <w:rPr>
          <w:rFonts w:hint="eastAsia" w:hAnsi="Courier New" w:cs="Times New Roman"/>
          <w:kern w:val="2"/>
          <w:szCs w:val="20"/>
          <w:u w:val="single"/>
        </w:rPr>
        <w:t>（法定代表人（单位负责人）姓名、职务）</w:t>
      </w:r>
      <w:r>
        <w:rPr>
          <w:rFonts w:hint="eastAsia" w:hAnsi="Courier New" w:cs="Times New Roman"/>
          <w:kern w:val="2"/>
          <w:szCs w:val="20"/>
        </w:rPr>
        <w:t>在此授权</w:t>
      </w:r>
      <w:r>
        <w:rPr>
          <w:rFonts w:hint="eastAsia" w:hAnsi="Courier New" w:cs="Times New Roman"/>
          <w:kern w:val="2"/>
          <w:szCs w:val="20"/>
          <w:u w:val="single"/>
        </w:rPr>
        <w:t>（被授权人姓名、职务）</w:t>
      </w:r>
      <w:r>
        <w:rPr>
          <w:rFonts w:hint="eastAsia" w:hAnsi="Courier New" w:cs="Times New Roman"/>
          <w:kern w:val="2"/>
          <w:szCs w:val="20"/>
        </w:rPr>
        <w:t>作为我公司的合法代理人，就</w:t>
      </w:r>
      <w:r>
        <w:rPr>
          <w:rFonts w:hint="eastAsia" w:hAnsi="Courier New" w:cs="Times New Roman"/>
          <w:kern w:val="2"/>
          <w:szCs w:val="20"/>
          <w:u w:val="single"/>
        </w:rPr>
        <w:t>（项目名称、项目编号</w:t>
      </w:r>
      <w:r>
        <w:rPr>
          <w:rFonts w:hint="eastAsia" w:hAnsi="Courier New" w:cs="Times New Roman"/>
          <w:kern w:val="2"/>
          <w:szCs w:val="20"/>
        </w:rPr>
        <w:t>）的招投标活动，采购合同的签订、执行、完成和售后服务，作为投标人代表以我方的名义处理一切与之有关的事务。</w:t>
      </w:r>
    </w:p>
    <w:p>
      <w:pPr>
        <w:tabs>
          <w:tab w:val="clear" w:pos="426"/>
        </w:tabs>
        <w:ind w:firstLine="420" w:firstLineChars="200"/>
        <w:rPr>
          <w:rFonts w:hAnsi="Courier New" w:cs="Times New Roman"/>
          <w:kern w:val="2"/>
          <w:szCs w:val="20"/>
        </w:rPr>
      </w:pPr>
      <w:r>
        <w:rPr>
          <w:rFonts w:hint="eastAsia" w:hAnsi="Courier New" w:cs="Times New Roman"/>
          <w:kern w:val="2"/>
          <w:szCs w:val="20"/>
        </w:rPr>
        <w:t>被授权人（投标人授权代表）无转委托权限。</w:t>
      </w:r>
    </w:p>
    <w:p>
      <w:pPr>
        <w:tabs>
          <w:tab w:val="clear" w:pos="426"/>
        </w:tabs>
        <w:ind w:firstLine="420" w:firstLineChars="200"/>
        <w:rPr>
          <w:szCs w:val="21"/>
        </w:rPr>
      </w:pPr>
      <w:r>
        <w:rPr>
          <w:rFonts w:hint="eastAsia"/>
          <w:szCs w:val="21"/>
        </w:rPr>
        <w:t>本授权书自法定代表人（单位负责人）签字之日起生效，特此声明。</w:t>
      </w: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2" w:firstLineChars="200"/>
        <w:rPr>
          <w:b/>
          <w:szCs w:val="21"/>
        </w:rPr>
      </w:pPr>
    </w:p>
    <w:p>
      <w:pPr>
        <w:tabs>
          <w:tab w:val="clear" w:pos="426"/>
        </w:tabs>
        <w:ind w:firstLine="424" w:firstLineChars="202"/>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pPr>
        <w:tabs>
          <w:tab w:val="clear" w:pos="426"/>
        </w:tabs>
        <w:ind w:firstLine="424" w:firstLineChars="202"/>
        <w:rPr>
          <w:szCs w:val="21"/>
          <w:u w:val="single"/>
        </w:rPr>
      </w:pPr>
      <w:r>
        <w:rPr>
          <w:rFonts w:hint="eastAsia"/>
          <w:szCs w:val="21"/>
        </w:rPr>
        <w:t>地      址：</w:t>
      </w:r>
      <w:r>
        <w:rPr>
          <w:rFonts w:hint="eastAsia"/>
          <w:szCs w:val="21"/>
          <w:u w:val="single"/>
        </w:rPr>
        <w:t>___________________________________________________________________</w:t>
      </w:r>
    </w:p>
    <w:p>
      <w:pPr>
        <w:tabs>
          <w:tab w:val="clear" w:pos="426"/>
        </w:tabs>
        <w:ind w:firstLine="424" w:firstLineChars="202"/>
        <w:rPr>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pPr>
        <w:tabs>
          <w:tab w:val="clear" w:pos="426"/>
        </w:tabs>
        <w:ind w:firstLine="424" w:firstLineChars="202"/>
        <w:rPr>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pPr>
        <w:tabs>
          <w:tab w:val="clear" w:pos="426"/>
        </w:tabs>
        <w:ind w:firstLine="424" w:firstLineChars="202"/>
        <w:rPr>
          <w:szCs w:val="21"/>
        </w:rPr>
      </w:pPr>
      <w:r>
        <w:rPr>
          <w:rFonts w:hint="eastAsia"/>
          <w:szCs w:val="21"/>
        </w:rPr>
        <w:t>被授权人（投标人授权代表）（签字或盖章）：</w:t>
      </w:r>
      <w:r>
        <w:rPr>
          <w:rFonts w:hint="eastAsia"/>
          <w:szCs w:val="21"/>
          <w:u w:val="single"/>
        </w:rPr>
        <w:t>____________________________________</w:t>
      </w:r>
    </w:p>
    <w:p>
      <w:pPr>
        <w:tabs>
          <w:tab w:val="clear" w:pos="426"/>
        </w:tabs>
        <w:ind w:firstLine="424" w:firstLineChars="202"/>
        <w:rPr>
          <w:szCs w:val="21"/>
        </w:rPr>
      </w:pPr>
    </w:p>
    <w:p>
      <w:pPr>
        <w:tabs>
          <w:tab w:val="clear" w:pos="426"/>
        </w:tabs>
        <w:ind w:firstLine="424" w:firstLineChars="202"/>
        <w:rPr>
          <w:szCs w:val="21"/>
        </w:rPr>
      </w:pPr>
      <w:r>
        <w:rPr>
          <w:rFonts w:hint="eastAsia"/>
          <w:szCs w:val="21"/>
        </w:rPr>
        <w:t>附：被授权人身份证复印正反面件：</w:t>
      </w:r>
    </w:p>
    <w:p>
      <w:pPr>
        <w:tabs>
          <w:tab w:val="clear" w:pos="426"/>
        </w:tabs>
        <w:ind w:firstLine="424" w:firstLineChars="202"/>
        <w:rPr>
          <w:szCs w:val="21"/>
        </w:rPr>
      </w:pPr>
    </w:p>
    <w:p/>
    <w:p>
      <w:pPr>
        <w:adjustRightInd/>
        <w:snapToGrid/>
        <w:spacing w:before="280" w:after="290" w:line="377" w:lineRule="auto"/>
        <w:outlineLvl w:val="2"/>
        <w:rPr>
          <w:b/>
          <w:sz w:val="24"/>
        </w:rPr>
      </w:pPr>
      <w:r>
        <w:br w:type="page"/>
      </w:r>
      <w:bookmarkStart w:id="126" w:name="_Toc12237"/>
      <w:r>
        <w:rPr>
          <w:rFonts w:hint="eastAsia"/>
          <w:b/>
          <w:sz w:val="24"/>
        </w:rPr>
        <w:t>格式4：资格条款偏离表</w:t>
      </w:r>
      <w:bookmarkEnd w:id="126"/>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资格条款偏离表</w:t>
      </w:r>
    </w:p>
    <w:p>
      <w:pPr>
        <w:tabs>
          <w:tab w:val="clear" w:pos="426"/>
        </w:tabs>
        <w:rPr>
          <w:rFonts w:ascii="Times New Roman" w:hAnsi="Times New Roman" w:cs="Times New Roman"/>
        </w:rPr>
      </w:pPr>
    </w:p>
    <w:p>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Style w:val="85"/>
        <w:tblW w:w="49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603"/>
        <w:gridCol w:w="2218"/>
        <w:gridCol w:w="943"/>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pPr>
              <w:tabs>
                <w:tab w:val="clear" w:pos="426"/>
              </w:tabs>
              <w:spacing w:line="240" w:lineRule="auto"/>
              <w:jc w:val="center"/>
              <w:rPr>
                <w:rFonts w:ascii="Times New Roman" w:hAnsi="Times New Roman" w:cs="Times New Roman"/>
                <w:bCs/>
              </w:rPr>
            </w:pPr>
            <w:r>
              <w:rPr>
                <w:rFonts w:hint="eastAsia" w:ascii="Times New Roman" w:hAnsi="Times New Roman" w:cs="Times New Roman"/>
                <w:bCs/>
              </w:rPr>
              <w:t>资格条款</w:t>
            </w:r>
          </w:p>
        </w:tc>
        <w:tc>
          <w:tcPr>
            <w:tcW w:w="1480"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hint="eastAsia" w:ascii="Times New Roman" w:hAnsi="Times New Roman" w:cs="Times New Roman"/>
                <w:bCs/>
              </w:rPr>
              <w:t>情况</w:t>
            </w:r>
          </w:p>
        </w:tc>
        <w:tc>
          <w:tcPr>
            <w:tcW w:w="7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cs="Arial"/>
                <w:bCs/>
                <w:szCs w:val="21"/>
              </w:rPr>
              <w:t>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满足《中华人民共和国政府采购法》第二十二条规定（由供应商在《投标人资格声明函》中作出声明）。</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cs="Arial"/>
                <w:bCs/>
                <w:szCs w:val="21"/>
              </w:rPr>
              <w:t>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本项目属于不专门面向中小企业采购的项目。</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cs="Arial"/>
                <w:bCs/>
                <w:szCs w:val="21"/>
              </w:rPr>
              <w:t>3</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4</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本项目不接受投标人选用进口产品参与投标。（进口产品是指通过中国海关报关验收进入中国境内且产自境外的产品）。</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5</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根据财库〔2016〕125号文的有关规定，投标人需未被列入失信被执行人、重大税收违法案件当事人名单、政府采购严重违法失信行为记录名单（提供书面《投标人资格声明函》加盖公章，采购代理机构将通过“信用中国”网站（www.creditchina.gov.cn）、中国政府采购网（www.ccgp.gov.cn）等渠道查询相关主体信用记录，并做好信用信息查询记录和证据留存，信用信息查询记录及相关证据将与其他采购文件一并保存）。</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6</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投标人参与本项目投标前三年内，在经营活动中没有重大违法记录（提供《投标人资格声明函》，并加盖投标人公章）。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7</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投标人参与本项目投标近三年内，在经营活动中没有发生重大安全和质量事故（提供《投标人资格声明函》，并加盖投标人公章）。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8</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投标人参与本项目政府采购活动时不存在被有关部门禁止参与政府采购活动且在有效期内的情况（提供《投标人资格声明函》，并加盖投标人公章）。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9</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单位负责人为同一人或者存在直接控股、管理关系的不同供应商，不得参加同一合同项下的政府采购活动（提供《投标人资格声明函》，并加盖投标人公章，采购代理机构将通过国家企业信用信息公示系统（https://www.gsxt.gov.cn/index.html）或机关赋码和事业单位登记管理网（http://www.gjsy.gov.cn/sydwfrxxcx/）或全国社会组织信用信息公示平台（https://xxgs.chinanpo.mca.gov.cn/gsxt/newList）网站查询投标人信息，并做好信用信息查询记录和证据留存，信用信息查询记录及相关证据将与其他采购文件一并保存，相关信息以截标当日的查询结果为准）。</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10</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11</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参与本项目政府采购活动不存在与其他采购参加人串通投标，隐瞒真实情况，提供虚假资料等违法违规情形（提供《投标人资格声明函》，并加盖投标人公章）</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Align w:val="center"/>
          </w:tcPr>
          <w:p>
            <w:pPr>
              <w:tabs>
                <w:tab w:val="clear" w:pos="426"/>
              </w:tabs>
              <w:adjustRightInd/>
              <w:snapToGrid/>
              <w:spacing w:line="240" w:lineRule="auto"/>
              <w:jc w:val="center"/>
              <w:rPr>
                <w:rFonts w:cs="Arial"/>
                <w:bCs/>
                <w:szCs w:val="21"/>
              </w:rPr>
            </w:pPr>
            <w:r>
              <w:rPr>
                <w:rFonts w:hint="eastAsia" w:cs="Arial"/>
                <w:bCs/>
                <w:szCs w:val="21"/>
              </w:rPr>
              <w:t>12</w:t>
            </w:r>
          </w:p>
        </w:tc>
        <w:tc>
          <w:tcPr>
            <w:tcW w:w="1480" w:type="pct"/>
            <w:vAlign w:val="center"/>
          </w:tcPr>
          <w:p>
            <w:pPr>
              <w:tabs>
                <w:tab w:val="clear" w:pos="426"/>
              </w:tabs>
              <w:spacing w:line="240" w:lineRule="auto"/>
              <w:rPr>
                <w:rFonts w:ascii="Times New Roman" w:hAnsi="Times New Roman" w:cs="Times New Roman"/>
                <w:bCs/>
              </w:rPr>
            </w:pPr>
            <w:r>
              <w:rPr>
                <w:rFonts w:hint="eastAsia" w:ascii="Times New Roman" w:hAnsi="Times New Roman" w:cs="Times New Roman"/>
                <w:bCs/>
              </w:rPr>
              <w:t>本项目不接受联合体形式进行投标，不允许转包及分包。</w:t>
            </w:r>
          </w:p>
        </w:tc>
        <w:tc>
          <w:tcPr>
            <w:tcW w:w="1480" w:type="pct"/>
            <w:vAlign w:val="center"/>
          </w:tcPr>
          <w:p>
            <w:pPr>
              <w:tabs>
                <w:tab w:val="clear" w:pos="426"/>
              </w:tabs>
              <w:spacing w:line="240" w:lineRule="auto"/>
              <w:jc w:val="center"/>
              <w:rPr>
                <w:rFonts w:ascii="Times New Roman" w:hAnsi="Times New Roman" w:cs="Times New Roman"/>
                <w:bCs/>
              </w:rPr>
            </w:pPr>
          </w:p>
        </w:tc>
        <w:tc>
          <w:tcPr>
            <w:tcW w:w="735" w:type="pct"/>
            <w:vAlign w:val="center"/>
          </w:tcPr>
          <w:p>
            <w:pPr>
              <w:tabs>
                <w:tab w:val="clear" w:pos="426"/>
              </w:tabs>
              <w:spacing w:line="240" w:lineRule="auto"/>
              <w:jc w:val="center"/>
              <w:rPr>
                <w:rFonts w:ascii="Times New Roman" w:hAnsi="Times New Roman" w:cs="Times New Roman"/>
                <w:bCs/>
              </w:rPr>
            </w:pPr>
          </w:p>
        </w:tc>
        <w:tc>
          <w:tcPr>
            <w:tcW w:w="912"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w:t>
      </w:r>
      <w:r>
        <w:rPr>
          <w:rFonts w:hint="eastAsia" w:ascii="Times New Roman" w:hAnsi="Times New Roman" w:cs="Times New Roman"/>
          <w:bCs/>
        </w:rPr>
        <w:t>资格条款</w:t>
      </w:r>
      <w:r>
        <w:rPr>
          <w:rFonts w:ascii="Times New Roman" w:hAnsi="Times New Roman" w:cs="Times New Roman"/>
          <w:bCs/>
        </w:rPr>
        <w:t>”一栏应填写招标文件</w:t>
      </w:r>
      <w:r>
        <w:rPr>
          <w:rFonts w:hint="eastAsia" w:ascii="Times New Roman" w:hAnsi="Times New Roman" w:cs="Times New Roman"/>
          <w:bCs/>
        </w:rPr>
        <w:t xml:space="preserve">第一册 </w:t>
      </w:r>
      <w:r>
        <w:rPr>
          <w:rFonts w:ascii="Times New Roman" w:hAnsi="Times New Roman" w:cs="Times New Roman"/>
          <w:bCs/>
        </w:rPr>
        <w:t>第</w:t>
      </w:r>
      <w:r>
        <w:rPr>
          <w:rFonts w:hint="eastAsia" w:ascii="Times New Roman" w:hAnsi="Times New Roman" w:cs="Times New Roman"/>
          <w:bCs/>
        </w:rPr>
        <w:t>一</w:t>
      </w:r>
      <w:r>
        <w:rPr>
          <w:rFonts w:ascii="Times New Roman" w:hAnsi="Times New Roman" w:cs="Times New Roman"/>
          <w:bCs/>
        </w:rPr>
        <w:t>章“</w:t>
      </w:r>
      <w:r>
        <w:rPr>
          <w:rFonts w:hint="eastAsia" w:ascii="Times New Roman" w:hAnsi="Times New Roman" w:cs="Times New Roman"/>
          <w:bCs/>
        </w:rPr>
        <w:t>二、申请人的资格要求</w:t>
      </w:r>
      <w:r>
        <w:rPr>
          <w:rFonts w:ascii="Times New Roman" w:hAnsi="Times New Roman" w:cs="Times New Roman"/>
          <w:bCs/>
        </w:rPr>
        <w:t>”的内容；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w:t>
      </w:r>
      <w:r>
        <w:rPr>
          <w:rFonts w:hint="eastAsia" w:ascii="Times New Roman" w:hAnsi="Times New Roman" w:cs="Times New Roman"/>
          <w:bCs/>
        </w:rPr>
        <w:t>响应情况</w:t>
      </w:r>
      <w:r>
        <w:rPr>
          <w:rFonts w:ascii="Times New Roman" w:hAnsi="Times New Roman" w:cs="Times New Roman"/>
          <w:bCs/>
        </w:rPr>
        <w:t>”一栏必须</w:t>
      </w:r>
      <w:r>
        <w:rPr>
          <w:rFonts w:hint="eastAsia" w:ascii="Times New Roman" w:hAnsi="Times New Roman" w:cs="Times New Roman"/>
          <w:bCs/>
        </w:rPr>
        <w:t>如实填写投标人自身情况</w:t>
      </w:r>
      <w:r>
        <w:rPr>
          <w:rFonts w:ascii="Times New Roman" w:hAnsi="Times New Roman" w:cs="Times New Roman"/>
          <w:bCs/>
        </w:rPr>
        <w:t>，并应对照</w:t>
      </w:r>
      <w:r>
        <w:rPr>
          <w:rFonts w:hint="eastAsia" w:ascii="Times New Roman" w:hAnsi="Times New Roman" w:cs="Times New Roman"/>
          <w:bCs/>
        </w:rPr>
        <w:t>资格条款</w:t>
      </w:r>
      <w:r>
        <w:rPr>
          <w:rFonts w:ascii="Times New Roman" w:hAnsi="Times New Roman" w:cs="Times New Roman"/>
          <w:bCs/>
        </w:rPr>
        <w:t>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r>
        <w:rPr>
          <w:rFonts w:hint="eastAsia" w:ascii="Times New Roman" w:hAnsi="Times New Roman" w:cs="Times New Roman"/>
          <w:bCs/>
        </w:rPr>
        <w:t>，</w:t>
      </w:r>
      <w:r>
        <w:rPr>
          <w:rFonts w:ascii="Times New Roman" w:hAnsi="Times New Roman" w:cs="Times New Roman"/>
          <w:bCs/>
        </w:rPr>
        <w:t>负偏离视为未实质性满足招标文件要求作投标无效处理。</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w:t>
      </w:r>
      <w:r>
        <w:rPr>
          <w:rFonts w:hint="eastAsia" w:ascii="Times New Roman" w:hAnsi="Times New Roman" w:cs="Times New Roman"/>
          <w:bCs/>
        </w:rPr>
        <w:t>“说明”</w:t>
      </w:r>
      <w:r>
        <w:rPr>
          <w:rFonts w:ascii="Times New Roman" w:hAnsi="Times New Roman" w:cs="Times New Roman"/>
          <w:bCs/>
        </w:rPr>
        <w:t>一栏</w:t>
      </w:r>
      <w:r>
        <w:rPr>
          <w:rFonts w:hint="eastAsia" w:ascii="Times New Roman" w:hAnsi="Times New Roman" w:cs="Times New Roman"/>
          <w:bCs/>
        </w:rPr>
        <w:t>填写所要求的证明材料（如有）的对应页码或阐明其他补充内容。</w:t>
      </w:r>
    </w:p>
    <w:p>
      <w:pPr>
        <w:tabs>
          <w:tab w:val="clear" w:pos="426"/>
        </w:tabs>
        <w:spacing w:line="240" w:lineRule="auto"/>
        <w:ind w:firstLine="424" w:firstLineChars="202"/>
        <w:rPr>
          <w:rFonts w:ascii="Times New Roman" w:hAnsi="Times New Roman" w:cs="Times New Roman"/>
          <w:bCs/>
        </w:rPr>
      </w:pPr>
      <w:r>
        <w:rPr>
          <w:rFonts w:hint="eastAsia" w:ascii="Times New Roman" w:hAnsi="Times New Roman" w:cs="Times New Roman"/>
          <w:bCs/>
        </w:rPr>
        <w:t>5.投标人所填写的“偏离情况”与评审委员会判定不一致时，以评审委员会意见为主。</w:t>
      </w:r>
    </w:p>
    <w:p/>
    <w:p>
      <w:r>
        <w:rPr>
          <w:rFonts w:hint="eastAsia"/>
        </w:rPr>
        <w:br w:type="page"/>
      </w:r>
    </w:p>
    <w:p>
      <w:pPr>
        <w:adjustRightInd/>
        <w:snapToGrid/>
        <w:spacing w:before="280" w:after="290" w:line="377" w:lineRule="auto"/>
        <w:outlineLvl w:val="2"/>
        <w:rPr>
          <w:b/>
          <w:sz w:val="24"/>
        </w:rPr>
      </w:pPr>
      <w:bookmarkStart w:id="127" w:name="_Toc3927"/>
      <w:r>
        <w:rPr>
          <w:rFonts w:hint="eastAsia"/>
          <w:b/>
          <w:sz w:val="24"/>
        </w:rPr>
        <w:t>格式5：法人或者其他组织的营业执照等证明文件</w:t>
      </w:r>
      <w:bookmarkEnd w:id="127"/>
    </w:p>
    <w:p>
      <w:pPr>
        <w:tabs>
          <w:tab w:val="clear" w:pos="426"/>
        </w:tabs>
        <w:spacing w:before="231" w:beforeLines="50"/>
        <w:ind w:firstLine="424" w:firstLineChars="201"/>
        <w:rPr>
          <w:b/>
        </w:rPr>
      </w:pPr>
      <w:r>
        <w:rPr>
          <w:rFonts w:hint="eastAsia"/>
          <w:b/>
        </w:rPr>
        <w:t>投标人须按本招标文件第一章投标邀请 “申请人的资格要求”提供相关的资质证明，且已接受报名的单位，不代表资格审查通过。投标文件中未提供或提供不完整、不符合要求的，投标文件将按无效标的情形处理。</w:t>
      </w:r>
    </w:p>
    <w:p>
      <w:pPr>
        <w:rPr>
          <w:b/>
          <w:sz w:val="24"/>
        </w:rPr>
      </w:pPr>
      <w:bookmarkStart w:id="128" w:name="_Toc151386165"/>
      <w:bookmarkStart w:id="129" w:name="_Toc150960255"/>
      <w:r>
        <w:rPr>
          <w:rFonts w:hint="eastAsia"/>
          <w:b/>
          <w:sz w:val="24"/>
        </w:rPr>
        <w:br w:type="page"/>
      </w:r>
    </w:p>
    <w:p>
      <w:pPr>
        <w:adjustRightInd/>
        <w:snapToGrid/>
        <w:spacing w:before="280" w:after="290" w:line="377" w:lineRule="auto"/>
        <w:outlineLvl w:val="2"/>
        <w:rPr>
          <w:b/>
          <w:sz w:val="24"/>
        </w:rPr>
      </w:pPr>
      <w:bookmarkStart w:id="130" w:name="_Toc21226"/>
      <w:r>
        <w:rPr>
          <w:rFonts w:hint="eastAsia"/>
          <w:b/>
          <w:sz w:val="24"/>
        </w:rPr>
        <w:t>格式6：投标人资格声明函</w:t>
      </w:r>
      <w:bookmarkEnd w:id="130"/>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投标人资格声明函</w:t>
      </w:r>
    </w:p>
    <w:p>
      <w:pPr>
        <w:tabs>
          <w:tab w:val="clear" w:pos="426"/>
        </w:tabs>
      </w:pPr>
    </w:p>
    <w:p>
      <w:pPr>
        <w:tabs>
          <w:tab w:val="clear" w:pos="426"/>
        </w:tabs>
      </w:pPr>
      <w:r>
        <w:rPr>
          <w:rFonts w:hint="eastAsia"/>
        </w:rPr>
        <w:t>深圳市深水水务咨询有限公司：</w:t>
      </w:r>
    </w:p>
    <w:p>
      <w:pPr>
        <w:ind w:firstLine="424" w:firstLineChars="202"/>
        <w:rPr>
          <w:rFonts w:hAnsi="Times New Roman"/>
        </w:rPr>
      </w:pPr>
      <w:r>
        <w:rPr>
          <w:rFonts w:hint="eastAsia" w:hAnsi="Times New Roman"/>
        </w:rPr>
        <w:t>关于贵公司发布</w:t>
      </w:r>
      <w:r>
        <w:rPr>
          <w:rFonts w:hint="eastAsia" w:hAnsi="Times New Roman"/>
          <w:szCs w:val="21"/>
          <w:u w:val="single"/>
        </w:rPr>
        <w:t>（项目名称</w:t>
      </w:r>
      <w:r>
        <w:rPr>
          <w:rFonts w:hAnsi="Times New Roman"/>
          <w:szCs w:val="21"/>
          <w:u w:val="single"/>
        </w:rPr>
        <w:t>)</w:t>
      </w:r>
      <w:r>
        <w:rPr>
          <w:rFonts w:hint="eastAsia" w:hAnsi="Times New Roman"/>
        </w:rPr>
        <w:t>项目（项目编号：</w:t>
      </w:r>
      <w:r>
        <w:rPr>
          <w:rFonts w:hint="eastAsia" w:hAnsi="Times New Roman"/>
          <w:u w:val="single"/>
        </w:rPr>
        <w:t>（项目编号）</w:t>
      </w:r>
      <w:r>
        <w:rPr>
          <w:rFonts w:hint="eastAsia" w:hAnsi="Times New Roman"/>
        </w:rPr>
        <w:t>）的招标公告，本公司（企业）愿意参加投标，并声明：</w:t>
      </w:r>
    </w:p>
    <w:p>
      <w:pPr>
        <w:ind w:firstLine="424" w:firstLineChars="202"/>
        <w:rPr>
          <w:rFonts w:hAnsi="Times New Roman"/>
        </w:rPr>
      </w:pPr>
      <w:r>
        <w:rPr>
          <w:rFonts w:hint="eastAsia" w:hAnsi="Times New Roman"/>
        </w:rPr>
        <w:t>我单位承诺：</w:t>
      </w:r>
    </w:p>
    <w:p>
      <w:pPr>
        <w:ind w:firstLine="424" w:firstLineChars="202"/>
        <w:rPr>
          <w:rFonts w:hAnsi="Times New Roman"/>
        </w:rPr>
      </w:pPr>
      <w:r>
        <w:rPr>
          <w:rFonts w:hint="eastAsia" w:hAnsi="Times New Roman"/>
        </w:rPr>
        <w:t>1.我单位参与本项目所投标（响应）的货物、工程或服务，不存在侵犯知识产权的情况；已知悉并同意中标（成交）结果信息公示（公开）的内容。</w:t>
      </w:r>
    </w:p>
    <w:p>
      <w:pPr>
        <w:ind w:firstLine="424" w:firstLineChars="202"/>
        <w:rPr>
          <w:rFonts w:hAnsi="Times New Roman"/>
        </w:rPr>
      </w:pPr>
      <w:r>
        <w:rPr>
          <w:rFonts w:hint="eastAsia" w:hAnsi="Times New Roman"/>
        </w:rPr>
        <w:t>2.我单位参与该项目投标，符合招标文件关于联合体及进口产品的相关资格要求。</w:t>
      </w:r>
    </w:p>
    <w:p>
      <w:pPr>
        <w:ind w:firstLine="424" w:firstLineChars="202"/>
        <w:rPr>
          <w:rFonts w:hAnsi="Times New Roman"/>
        </w:rPr>
      </w:pPr>
      <w:r>
        <w:rPr>
          <w:rFonts w:hint="eastAsia" w:hAnsi="Times New Roman"/>
        </w:rPr>
        <w:t>3.我单位参与本项目政府采购活动时不存在被有关部门禁止参与政府采购活动且在有效期内的情况。</w:t>
      </w:r>
    </w:p>
    <w:p>
      <w:pPr>
        <w:ind w:firstLine="424" w:firstLineChars="202"/>
        <w:rPr>
          <w:rFonts w:hAnsi="Times New Roman"/>
        </w:rPr>
      </w:pPr>
      <w:r>
        <w:rPr>
          <w:rFonts w:hint="eastAsia" w:hAnsi="Times New Roman"/>
        </w:rPr>
        <w:t>4</w:t>
      </w:r>
      <w:r>
        <w:rPr>
          <w:rFonts w:hAnsi="Times New Roman"/>
        </w:rPr>
        <w:t>.</w:t>
      </w:r>
      <w:r>
        <w:rPr>
          <w:rFonts w:hint="eastAsia" w:hAnsi="Times New Roman"/>
        </w:rPr>
        <w:t>我单位参与本项目投标前三年内，在经营活动中没有重大违法记录。</w:t>
      </w:r>
    </w:p>
    <w:p>
      <w:pPr>
        <w:ind w:firstLine="424" w:firstLineChars="202"/>
        <w:rPr>
          <w:rFonts w:hAnsi="Times New Roman"/>
        </w:rPr>
      </w:pPr>
      <w:r>
        <w:rPr>
          <w:rFonts w:hAnsi="Times New Roman"/>
        </w:rPr>
        <w:t>5</w:t>
      </w:r>
      <w:r>
        <w:rPr>
          <w:rFonts w:hint="eastAsia" w:hAnsi="Times New Roman"/>
        </w:rPr>
        <w:t>.我单位参与本项目投标近三年内，在经营活动中没有发生重大安全和质量事故。</w:t>
      </w:r>
    </w:p>
    <w:p>
      <w:pPr>
        <w:ind w:firstLine="424" w:firstLineChars="202"/>
        <w:rPr>
          <w:rFonts w:hAnsi="Times New Roman"/>
        </w:rPr>
      </w:pPr>
      <w:r>
        <w:rPr>
          <w:rFonts w:hAnsi="Times New Roman"/>
        </w:rPr>
        <w:t>6.</w:t>
      </w:r>
      <w:r>
        <w:rPr>
          <w:rFonts w:hint="eastAsia" w:hAnsi="Times New Roman"/>
        </w:rPr>
        <w:t>我单位具备《中华人民共和国政府采购法》第二十二条的条件。</w:t>
      </w:r>
    </w:p>
    <w:p>
      <w:pPr>
        <w:ind w:firstLine="424" w:firstLineChars="202"/>
        <w:rPr>
          <w:rFonts w:hAnsi="Times New Roman"/>
        </w:rPr>
      </w:pPr>
      <w:r>
        <w:rPr>
          <w:rFonts w:hAnsi="Times New Roman"/>
        </w:rPr>
        <w:t>7</w:t>
      </w:r>
      <w:r>
        <w:rPr>
          <w:rFonts w:hint="eastAsia" w:hAnsi="Times New Roman"/>
        </w:rPr>
        <w:t>.我单位未被列入失信被执行人、重大税收违法案件当事人名单（重大税收违法失信主体）、政府采购严重违法失信行为记录名单</w:t>
      </w:r>
    </w:p>
    <w:p>
      <w:pPr>
        <w:ind w:firstLine="424" w:firstLineChars="202"/>
        <w:rPr>
          <w:rFonts w:hAnsi="Times New Roman"/>
        </w:rPr>
      </w:pPr>
      <w:r>
        <w:rPr>
          <w:rFonts w:hAnsi="Times New Roman"/>
        </w:rPr>
        <w:t>8</w:t>
      </w:r>
      <w:r>
        <w:rPr>
          <w:rFonts w:hint="eastAsia" w:hAnsi="Times New Roma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4" w:firstLineChars="202"/>
        <w:rPr>
          <w:rFonts w:hAnsi="Times New Roman"/>
        </w:rPr>
      </w:pPr>
      <w:r>
        <w:rPr>
          <w:rFonts w:hAnsi="Times New Roman"/>
        </w:rPr>
        <w:t>9</w:t>
      </w:r>
      <w:r>
        <w:rPr>
          <w:rFonts w:hint="eastAsia" w:hAnsi="Times New Roma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4" w:firstLineChars="202"/>
        <w:rPr>
          <w:rFonts w:hAnsi="Times New Roman"/>
        </w:rPr>
      </w:pPr>
      <w:r>
        <w:rPr>
          <w:rFonts w:hint="eastAsia" w:hAnsi="Times New Roma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4" w:firstLineChars="202"/>
        <w:rPr>
          <w:rFonts w:hAnsi="Times New Roman"/>
        </w:rPr>
      </w:pPr>
      <w:r>
        <w:rPr>
          <w:rFonts w:hAnsi="Times New Roman"/>
        </w:rPr>
        <w:t>10</w:t>
      </w:r>
      <w:r>
        <w:rPr>
          <w:rFonts w:hint="eastAsia" w:hAnsi="Times New Roma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4" w:firstLineChars="202"/>
        <w:rPr>
          <w:rFonts w:hAnsi="Times New Roman"/>
        </w:rPr>
      </w:pPr>
      <w:r>
        <w:rPr>
          <w:rFonts w:hAnsi="Times New Roman"/>
        </w:rPr>
        <w:t>11</w:t>
      </w:r>
      <w:r>
        <w:rPr>
          <w:rFonts w:hint="eastAsia" w:hAnsi="Times New Roman"/>
        </w:rPr>
        <w:t>.我单位承诺中标后项目不转包，未经采购人同意不进行分包。</w:t>
      </w:r>
    </w:p>
    <w:p>
      <w:pPr>
        <w:ind w:firstLine="424" w:firstLineChars="202"/>
        <w:rPr>
          <w:rFonts w:hAnsi="Times New Roman"/>
        </w:rPr>
      </w:pPr>
      <w:r>
        <w:rPr>
          <w:rFonts w:hint="eastAsia" w:hAnsi="Times New Roman"/>
        </w:rPr>
        <w:t>1</w:t>
      </w:r>
      <w:r>
        <w:rPr>
          <w:rFonts w:hAnsi="Times New Roman"/>
        </w:rPr>
        <w:t>2</w:t>
      </w:r>
      <w:r>
        <w:rPr>
          <w:rFonts w:hint="eastAsia" w:hAnsi="Times New Roma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4" w:firstLineChars="202"/>
        <w:rPr>
          <w:rFonts w:hAnsi="Times New Roman"/>
        </w:rPr>
      </w:pPr>
      <w:r>
        <w:rPr>
          <w:rFonts w:hint="eastAsia" w:hAnsi="Times New Roman"/>
        </w:rPr>
        <w:t>1</w:t>
      </w:r>
      <w:r>
        <w:rPr>
          <w:rFonts w:hAnsi="Times New Roman"/>
        </w:rPr>
        <w:t>3</w:t>
      </w:r>
      <w:r>
        <w:rPr>
          <w:rFonts w:hint="eastAsia" w:hAnsi="Times New Roman"/>
        </w:rPr>
        <w:t>.我单位保证，若所投货物涉及《财政部生态环境部关于印发节能产品政府采购品目清单的通知》（财库〔2019〕19号）列明的政府采购强制产品，则所投该产品符合节能产品的认证要求。</w:t>
      </w:r>
    </w:p>
    <w:p>
      <w:pPr>
        <w:ind w:firstLine="424" w:firstLineChars="202"/>
        <w:rPr>
          <w:rFonts w:hAnsi="Times New Roman"/>
        </w:rPr>
      </w:pPr>
      <w:r>
        <w:rPr>
          <w:rFonts w:hint="eastAsia" w:hAnsi="Times New Roman"/>
        </w:rPr>
        <w:t>1</w:t>
      </w:r>
      <w:r>
        <w:rPr>
          <w:rFonts w:hAnsi="Times New Roman"/>
        </w:rPr>
        <w:t>4</w:t>
      </w:r>
      <w:r>
        <w:rPr>
          <w:rFonts w:hint="eastAsia" w:hAnsi="Times New Roman"/>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ind w:firstLine="420"/>
        <w:rPr>
          <w:rFonts w:hAnsi="Times New Roman"/>
        </w:rPr>
      </w:pPr>
      <w:r>
        <w:rPr>
          <w:rFonts w:hint="eastAsia" w:hAnsi="Times New Roman"/>
        </w:rPr>
        <w:t>15.我单位保证，参与本项目政府采购活动不存在与其他采购参加人串通投标、隐瞒真实情况、提供虚假资料等违法违规情形。</w:t>
      </w:r>
    </w:p>
    <w:p>
      <w:pPr>
        <w:ind w:firstLine="424" w:firstLineChars="202"/>
        <w:rPr>
          <w:rFonts w:hAnsi="Times New Roman"/>
        </w:rPr>
      </w:pPr>
      <w:r>
        <w:rPr>
          <w:rFonts w:hint="eastAsia" w:hAnsi="Times New Roman"/>
        </w:rPr>
        <w:t>16.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4" w:firstLineChars="202"/>
        <w:rPr>
          <w:rFonts w:hAnsi="Times New Roman"/>
        </w:rPr>
      </w:pPr>
      <w:r>
        <w:rPr>
          <w:rFonts w:hint="eastAsia" w:hAnsi="Times New Roman"/>
        </w:rPr>
        <w:t>以上承诺，如有违反，愿依照国家相关法律处理，并承担由此给采购人带来的损失。</w:t>
      </w:r>
    </w:p>
    <w:p>
      <w:pPr>
        <w:ind w:firstLine="420"/>
        <w:rPr>
          <w:rFonts w:hAnsi="Times New Roman"/>
        </w:rPr>
      </w:pPr>
      <w:r>
        <w:rPr>
          <w:rFonts w:hint="eastAsia" w:hAnsi="Times New Roman"/>
        </w:rPr>
        <w:t>特此声明！</w:t>
      </w:r>
    </w:p>
    <w:p>
      <w:pPr>
        <w:tabs>
          <w:tab w:val="clear" w:pos="426"/>
        </w:tabs>
        <w:ind w:firstLine="420"/>
      </w:pPr>
    </w:p>
    <w:p>
      <w:pPr>
        <w:tabs>
          <w:tab w:val="clear" w:pos="426"/>
        </w:tabs>
        <w:ind w:firstLine="420"/>
        <w:rPr>
          <w:u w:val="single"/>
        </w:rPr>
      </w:pPr>
      <w:r>
        <w:rPr>
          <w:rFonts w:hint="eastAsia"/>
        </w:rPr>
        <w:t>单位名称：</w:t>
      </w:r>
      <w:r>
        <w:rPr>
          <w:rFonts w:hint="eastAsia"/>
          <w:u w:val="single"/>
        </w:rPr>
        <w:t>_____________________________________________________________</w:t>
      </w:r>
    </w:p>
    <w:p>
      <w:pPr>
        <w:tabs>
          <w:tab w:val="clear" w:pos="426"/>
        </w:tabs>
        <w:ind w:firstLine="420"/>
        <w:rPr>
          <w:u w:val="single"/>
        </w:rPr>
      </w:pPr>
      <w:r>
        <w:rPr>
          <w:rFonts w:hint="eastAsia"/>
        </w:rPr>
        <w:t>法定代表人或投标人授权代表（签字或盖章）：</w:t>
      </w:r>
      <w:r>
        <w:rPr>
          <w:rFonts w:hint="eastAsia"/>
          <w:u w:val="single"/>
        </w:rPr>
        <w:t>_____________________________</w:t>
      </w:r>
    </w:p>
    <w:p>
      <w:pPr>
        <w:tabs>
          <w:tab w:val="clear" w:pos="426"/>
        </w:tabs>
        <w:ind w:firstLine="420"/>
        <w:rPr>
          <w:u w:val="single"/>
        </w:rPr>
      </w:pPr>
      <w:r>
        <w:rPr>
          <w:rFonts w:hint="eastAsia"/>
        </w:rPr>
        <w:t>单位地址：</w:t>
      </w:r>
      <w:r>
        <w:rPr>
          <w:rFonts w:hint="eastAsia"/>
          <w:u w:val="single"/>
        </w:rPr>
        <w:t>_____________________________________________________________</w:t>
      </w:r>
    </w:p>
    <w:p>
      <w:pPr>
        <w:tabs>
          <w:tab w:val="clear" w:pos="426"/>
        </w:tabs>
        <w:ind w:firstLine="420"/>
        <w:rPr>
          <w:u w:val="single"/>
        </w:rPr>
      </w:pPr>
      <w:r>
        <w:rPr>
          <w:rFonts w:hint="eastAsia"/>
        </w:rPr>
        <w:t>单位公章：</w:t>
      </w:r>
      <w:r>
        <w:rPr>
          <w:rFonts w:hint="eastAsia"/>
          <w:u w:val="single"/>
        </w:rPr>
        <w:t>_____________________________________________________________</w:t>
      </w:r>
    </w:p>
    <w:p>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__________________________</w:t>
      </w:r>
    </w:p>
    <w:p>
      <w:pPr>
        <w:tabs>
          <w:tab w:val="clear" w:pos="426"/>
        </w:tabs>
        <w:ind w:firstLine="420" w:firstLineChars="200"/>
        <w:rPr>
          <w:u w:val="single"/>
        </w:rPr>
      </w:pPr>
      <w:r>
        <w:rPr>
          <w:rFonts w:hint="eastAsia"/>
        </w:rPr>
        <w:t>联系电话：</w:t>
      </w:r>
      <w:r>
        <w:rPr>
          <w:rFonts w:hint="eastAsia"/>
          <w:u w:val="single"/>
        </w:rPr>
        <w:t>_____________________________________________________________</w:t>
      </w:r>
    </w:p>
    <w:p/>
    <w:p>
      <w:pPr>
        <w:rPr>
          <w:b/>
          <w:sz w:val="24"/>
        </w:rPr>
      </w:pPr>
      <w:r>
        <w:rPr>
          <w:rFonts w:hint="eastAsia"/>
          <w:b/>
          <w:sz w:val="24"/>
        </w:rPr>
        <w:br w:type="page"/>
      </w:r>
    </w:p>
    <w:p>
      <w:pPr>
        <w:adjustRightInd/>
        <w:snapToGrid/>
        <w:spacing w:before="280" w:after="290" w:line="377" w:lineRule="auto"/>
        <w:outlineLvl w:val="2"/>
        <w:rPr>
          <w:b/>
          <w:sz w:val="24"/>
        </w:rPr>
      </w:pPr>
      <w:bookmarkStart w:id="131" w:name="_Toc21325"/>
      <w:r>
        <w:rPr>
          <w:rFonts w:hint="eastAsia"/>
          <w:b/>
          <w:sz w:val="24"/>
        </w:rPr>
        <w:t>格式7：开标一览表</w:t>
      </w:r>
      <w:bookmarkEnd w:id="128"/>
      <w:bookmarkEnd w:id="129"/>
      <w:bookmarkEnd w:id="131"/>
    </w:p>
    <w:p>
      <w:pPr>
        <w:widowControl w:val="0"/>
        <w:shd w:val="clear" w:color="auto" w:fill="auto"/>
        <w:tabs>
          <w:tab w:val="clear" w:pos="426"/>
        </w:tabs>
        <w:adjustRightInd/>
        <w:snapToGrid/>
        <w:spacing w:line="300" w:lineRule="auto"/>
        <w:jc w:val="center"/>
        <w:rPr>
          <w:rFonts w:cs="Times New Roman"/>
          <w:bCs/>
          <w:kern w:val="2"/>
          <w:sz w:val="32"/>
          <w:szCs w:val="32"/>
        </w:rPr>
      </w:pPr>
      <w:bookmarkStart w:id="132" w:name="_Toc480754208"/>
      <w:bookmarkStart w:id="133" w:name="_Toc480755929"/>
      <w:bookmarkStart w:id="134" w:name="_Toc480789479"/>
      <w:bookmarkStart w:id="135" w:name="_Toc480756075"/>
      <w:r>
        <w:rPr>
          <w:rFonts w:hint="eastAsia" w:cs="Times New Roman"/>
          <w:bCs/>
          <w:kern w:val="2"/>
          <w:sz w:val="32"/>
          <w:szCs w:val="32"/>
        </w:rPr>
        <w:t>开标一览表</w:t>
      </w:r>
      <w:bookmarkEnd w:id="132"/>
      <w:bookmarkEnd w:id="133"/>
      <w:bookmarkEnd w:id="134"/>
      <w:bookmarkEnd w:id="135"/>
    </w:p>
    <w:p>
      <w:pPr>
        <w:tabs>
          <w:tab w:val="clear" w:pos="426"/>
        </w:tabs>
        <w:jc w:val="left"/>
      </w:pPr>
    </w:p>
    <w:p>
      <w:pPr>
        <w:tabs>
          <w:tab w:val="clear" w:pos="426"/>
        </w:tabs>
        <w:jc w:val="left"/>
        <w:rPr>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75"/>
        <w:gridCol w:w="3983"/>
        <w:gridCol w:w="2656"/>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03" w:type="pct"/>
            <w:vAlign w:val="center"/>
          </w:tcPr>
          <w:p>
            <w:pPr>
              <w:jc w:val="center"/>
              <w:rPr>
                <w:b/>
                <w:szCs w:val="21"/>
              </w:rPr>
            </w:pPr>
            <w:r>
              <w:rPr>
                <w:rFonts w:hint="eastAsia"/>
                <w:b/>
                <w:szCs w:val="21"/>
              </w:rPr>
              <w:t>序号</w:t>
            </w:r>
          </w:p>
        </w:tc>
        <w:tc>
          <w:tcPr>
            <w:tcW w:w="666" w:type="pct"/>
            <w:vAlign w:val="center"/>
          </w:tcPr>
          <w:p>
            <w:pPr>
              <w:jc w:val="center"/>
              <w:rPr>
                <w:b/>
                <w:szCs w:val="21"/>
              </w:rPr>
            </w:pPr>
            <w:r>
              <w:rPr>
                <w:rFonts w:hint="eastAsia"/>
                <w:b/>
                <w:szCs w:val="21"/>
              </w:rPr>
              <w:t>包号</w:t>
            </w:r>
          </w:p>
        </w:tc>
        <w:tc>
          <w:tcPr>
            <w:tcW w:w="2080" w:type="pct"/>
            <w:vAlign w:val="center"/>
          </w:tcPr>
          <w:p>
            <w:pPr>
              <w:jc w:val="center"/>
              <w:rPr>
                <w:b/>
                <w:szCs w:val="21"/>
              </w:rPr>
            </w:pPr>
            <w:r>
              <w:rPr>
                <w:rFonts w:hint="eastAsia"/>
                <w:b/>
                <w:szCs w:val="21"/>
              </w:rPr>
              <w:t>项目名称</w:t>
            </w:r>
          </w:p>
        </w:tc>
        <w:tc>
          <w:tcPr>
            <w:tcW w:w="1387" w:type="pct"/>
            <w:vAlign w:val="center"/>
          </w:tcPr>
          <w:p>
            <w:pPr>
              <w:jc w:val="center"/>
              <w:rPr>
                <w:b/>
                <w:szCs w:val="21"/>
              </w:rPr>
            </w:pPr>
            <w:r>
              <w:rPr>
                <w:rFonts w:hint="eastAsia"/>
                <w:b/>
                <w:szCs w:val="21"/>
              </w:rPr>
              <w:t>投标总价（元）</w:t>
            </w:r>
          </w:p>
        </w:tc>
        <w:tc>
          <w:tcPr>
            <w:tcW w:w="462" w:type="pct"/>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3" w:type="pct"/>
            <w:vAlign w:val="center"/>
          </w:tcPr>
          <w:p>
            <w:pPr>
              <w:jc w:val="center"/>
              <w:rPr>
                <w:bCs/>
                <w:szCs w:val="21"/>
              </w:rPr>
            </w:pPr>
          </w:p>
        </w:tc>
        <w:tc>
          <w:tcPr>
            <w:tcW w:w="666" w:type="pct"/>
            <w:vAlign w:val="center"/>
          </w:tcPr>
          <w:p>
            <w:pPr>
              <w:jc w:val="center"/>
              <w:rPr>
                <w:b/>
                <w:szCs w:val="21"/>
              </w:rPr>
            </w:pPr>
          </w:p>
        </w:tc>
        <w:tc>
          <w:tcPr>
            <w:tcW w:w="2080" w:type="pct"/>
            <w:vAlign w:val="center"/>
          </w:tcPr>
          <w:p>
            <w:pPr>
              <w:jc w:val="center"/>
              <w:rPr>
                <w:b/>
                <w:szCs w:val="21"/>
              </w:rPr>
            </w:pPr>
          </w:p>
        </w:tc>
        <w:tc>
          <w:tcPr>
            <w:tcW w:w="1387" w:type="pct"/>
            <w:vAlign w:val="center"/>
          </w:tcPr>
          <w:p>
            <w:pPr>
              <w:jc w:val="left"/>
              <w:rPr>
                <w:b/>
                <w:szCs w:val="21"/>
              </w:rPr>
            </w:pPr>
            <w:r>
              <w:rPr>
                <w:rFonts w:hint="eastAsia"/>
                <w:b/>
                <w:szCs w:val="21"/>
              </w:rPr>
              <w:t>大写：</w:t>
            </w:r>
          </w:p>
          <w:p>
            <w:pPr>
              <w:jc w:val="left"/>
              <w:rPr>
                <w:b/>
                <w:szCs w:val="21"/>
              </w:rPr>
            </w:pPr>
            <w:r>
              <w:rPr>
                <w:rFonts w:hint="eastAsia"/>
                <w:b/>
                <w:szCs w:val="21"/>
              </w:rPr>
              <w:t>小写：</w:t>
            </w:r>
          </w:p>
        </w:tc>
        <w:tc>
          <w:tcPr>
            <w:tcW w:w="462" w:type="pct"/>
            <w:vAlign w:val="center"/>
          </w:tcPr>
          <w:p>
            <w:pPr>
              <w:jc w:val="center"/>
              <w:rPr>
                <w:b/>
                <w:szCs w:val="21"/>
              </w:rPr>
            </w:pPr>
          </w:p>
        </w:tc>
      </w:tr>
    </w:tbl>
    <w:p>
      <w:pPr>
        <w:tabs>
          <w:tab w:val="clear" w:pos="426"/>
        </w:tabs>
        <w:jc w:val="left"/>
        <w:rPr>
          <w:u w:val="single"/>
        </w:rPr>
      </w:pPr>
    </w:p>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pPr>
        <w:tabs>
          <w:tab w:val="clear" w:pos="426"/>
        </w:tabs>
        <w:spacing w:line="400" w:lineRule="exact"/>
        <w:rPr>
          <w:b/>
          <w:bCs/>
          <w:szCs w:val="21"/>
        </w:rPr>
      </w:pPr>
    </w:p>
    <w:p>
      <w:pPr>
        <w:tabs>
          <w:tab w:val="clear" w:pos="426"/>
        </w:tabs>
        <w:spacing w:line="400" w:lineRule="exact"/>
        <w:rPr>
          <w:b/>
          <w:bCs/>
          <w:szCs w:val="21"/>
        </w:rPr>
      </w:pPr>
      <w:r>
        <w:rPr>
          <w:rFonts w:hint="eastAsia"/>
          <w:b/>
          <w:bCs/>
          <w:szCs w:val="21"/>
        </w:rPr>
        <w:t>备注：</w:t>
      </w:r>
    </w:p>
    <w:p>
      <w:pPr>
        <w:numPr>
          <w:ilvl w:val="1"/>
          <w:numId w:val="6"/>
        </w:numPr>
        <w:tabs>
          <w:tab w:val="left" w:pos="0"/>
        </w:tabs>
        <w:ind w:left="0" w:firstLine="424" w:firstLineChars="201"/>
        <w:rPr>
          <w:rFonts w:hAnsi="Times New Roman"/>
          <w:b/>
          <w:bCs/>
          <w:szCs w:val="21"/>
        </w:rPr>
      </w:pPr>
      <w:r>
        <w:rPr>
          <w:rFonts w:hAnsi="Times New Roman"/>
          <w:b/>
        </w:rPr>
        <w:t>此表</w:t>
      </w:r>
      <w:r>
        <w:rPr>
          <w:rFonts w:hint="eastAsia" w:hAnsi="Times New Roman"/>
          <w:b/>
        </w:rPr>
        <w:t>为投标文件的组成部分，</w:t>
      </w:r>
      <w:r>
        <w:rPr>
          <w:rFonts w:hAnsi="Times New Roman"/>
          <w:b/>
        </w:rPr>
        <w:t>须附在正、副本的投标文件中，并另封装一份于开标信封中</w:t>
      </w:r>
      <w:r>
        <w:rPr>
          <w:rFonts w:hint="eastAsia" w:hAnsi="Times New Roman"/>
          <w:b/>
        </w:rPr>
        <w:t>（信封中须同时提供法定代表人（单位负责人）证明书、授权委托书、被授权人身份证复印件）。</w:t>
      </w:r>
    </w:p>
    <w:p>
      <w:pPr>
        <w:numPr>
          <w:ilvl w:val="1"/>
          <w:numId w:val="6"/>
        </w:numPr>
        <w:tabs>
          <w:tab w:val="left" w:pos="0"/>
        </w:tabs>
        <w:ind w:left="0" w:firstLine="424" w:firstLineChars="201"/>
        <w:rPr>
          <w:rFonts w:hAnsi="Times New Roman"/>
          <w:b/>
          <w:bCs/>
          <w:szCs w:val="21"/>
        </w:rPr>
      </w:pPr>
      <w:r>
        <w:rPr>
          <w:rFonts w:hint="eastAsia" w:hAnsi="Times New Roman"/>
          <w:b/>
        </w:rPr>
        <w:t>此表内投标报价为最终价，开标信封及投标文件内不得含有任何对本报价进行修改的其他说明或资料，否则为无效投标</w:t>
      </w:r>
      <w:r>
        <w:rPr>
          <w:rFonts w:hint="eastAsia" w:hAnsi="Times New Roman"/>
          <w:b/>
          <w:bCs/>
          <w:szCs w:val="21"/>
        </w:rPr>
        <w:t>。</w:t>
      </w:r>
    </w:p>
    <w:p>
      <w:pPr>
        <w:numPr>
          <w:ilvl w:val="1"/>
          <w:numId w:val="6"/>
        </w:numPr>
        <w:tabs>
          <w:tab w:val="left" w:pos="0"/>
        </w:tabs>
        <w:ind w:left="0" w:firstLine="424" w:firstLineChars="201"/>
        <w:rPr>
          <w:rFonts w:hAnsi="Times New Roman"/>
          <w:b/>
        </w:rPr>
      </w:pPr>
      <w:r>
        <w:rPr>
          <w:rFonts w:hint="eastAsia" w:hAnsi="Times New Roman"/>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pPr>
        <w:numPr>
          <w:ilvl w:val="1"/>
          <w:numId w:val="6"/>
        </w:numPr>
        <w:tabs>
          <w:tab w:val="left" w:pos="0"/>
        </w:tabs>
        <w:ind w:left="0" w:firstLine="424" w:firstLineChars="201"/>
        <w:rPr>
          <w:rFonts w:hAnsi="Times New Roman"/>
          <w:b/>
        </w:rPr>
      </w:pPr>
      <w:r>
        <w:rPr>
          <w:rFonts w:hint="eastAsia" w:hAnsi="Times New Roman"/>
          <w:b/>
        </w:rPr>
        <w:t>投标报价得分四舍五入后，小数点后保留两位有效数。</w:t>
      </w: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widowControl w:val="0"/>
        <w:shd w:val="clear" w:color="auto" w:fill="auto"/>
        <w:tabs>
          <w:tab w:val="clear" w:pos="426"/>
        </w:tabs>
        <w:adjustRightInd/>
        <w:rPr>
          <w:b/>
          <w:bCs/>
          <w:szCs w:val="21"/>
        </w:rPr>
      </w:pPr>
    </w:p>
    <w:p>
      <w:pPr>
        <w:adjustRightInd/>
        <w:snapToGrid/>
        <w:spacing w:before="280" w:after="290" w:line="377" w:lineRule="auto"/>
        <w:outlineLvl w:val="2"/>
        <w:rPr>
          <w:b/>
          <w:sz w:val="24"/>
        </w:rPr>
      </w:pPr>
      <w:r>
        <w:rPr>
          <w:b/>
        </w:rPr>
        <w:br w:type="page"/>
      </w:r>
      <w:bookmarkStart w:id="136" w:name="_Toc23484"/>
      <w:r>
        <w:rPr>
          <w:rFonts w:hint="eastAsia"/>
          <w:b/>
          <w:sz w:val="24"/>
        </w:rPr>
        <w:t>格式8：投标分项报价表</w:t>
      </w:r>
      <w:bookmarkEnd w:id="136"/>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（一）项目报价表</w:t>
      </w:r>
    </w:p>
    <w:p>
      <w:pPr>
        <w:tabs>
          <w:tab w:val="clear" w:pos="426"/>
        </w:tabs>
        <w:wordWrap w:val="0"/>
      </w:pPr>
      <w:r>
        <w:rPr>
          <w:rFonts w:hint="eastAsia"/>
        </w:rPr>
        <w:t>项目名称：</w:t>
      </w:r>
      <w:r>
        <w:rPr>
          <w:rFonts w:hint="eastAsia"/>
          <w:u w:val="single"/>
        </w:rPr>
        <w:t>_____________________________________</w:t>
      </w:r>
      <w:r>
        <w:rPr>
          <w:rFonts w:hint="eastAsia"/>
        </w:rPr>
        <w:t>项目编号：</w:t>
      </w:r>
      <w:r>
        <w:rPr>
          <w:rFonts w:hint="eastAsia" w:ascii="ˎ̥" w:hAnsi="ˎ̥"/>
          <w:sz w:val="18"/>
          <w:szCs w:val="18"/>
          <w:u w:val="single"/>
        </w:rPr>
        <w:t>________________________________</w:t>
      </w:r>
    </w:p>
    <w:tbl>
      <w:tblPr>
        <w:tblStyle w:val="85"/>
        <w:tblW w:w="11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47"/>
        <w:gridCol w:w="1417"/>
        <w:gridCol w:w="851"/>
        <w:gridCol w:w="992"/>
        <w:gridCol w:w="709"/>
        <w:gridCol w:w="737"/>
        <w:gridCol w:w="798"/>
        <w:gridCol w:w="1316"/>
        <w:gridCol w:w="1276"/>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Cs w:val="21"/>
              </w:rPr>
            </w:pPr>
            <w:r>
              <w:rPr>
                <w:rFonts w:hint="eastAsia"/>
                <w:szCs w:val="21"/>
              </w:rPr>
              <w:t>序号</w:t>
            </w:r>
          </w:p>
        </w:tc>
        <w:tc>
          <w:tcPr>
            <w:tcW w:w="1347" w:type="dxa"/>
            <w:vAlign w:val="center"/>
          </w:tcPr>
          <w:p>
            <w:pPr>
              <w:spacing w:line="240" w:lineRule="auto"/>
              <w:jc w:val="center"/>
              <w:rPr>
                <w:szCs w:val="21"/>
              </w:rPr>
            </w:pPr>
            <w:r>
              <w:rPr>
                <w:rFonts w:hint="eastAsia"/>
                <w:szCs w:val="21"/>
              </w:rPr>
              <w:t>货物名称</w:t>
            </w:r>
          </w:p>
        </w:tc>
        <w:tc>
          <w:tcPr>
            <w:tcW w:w="1417" w:type="dxa"/>
            <w:vAlign w:val="center"/>
          </w:tcPr>
          <w:p>
            <w:pPr>
              <w:spacing w:line="240" w:lineRule="auto"/>
              <w:jc w:val="center"/>
              <w:rPr>
                <w:szCs w:val="21"/>
              </w:rPr>
            </w:pPr>
            <w:r>
              <w:rPr>
                <w:rFonts w:hint="eastAsia"/>
                <w:szCs w:val="21"/>
              </w:rPr>
              <w:t>规格/型号</w:t>
            </w:r>
          </w:p>
        </w:tc>
        <w:tc>
          <w:tcPr>
            <w:tcW w:w="851" w:type="dxa"/>
            <w:vAlign w:val="center"/>
          </w:tcPr>
          <w:p>
            <w:pPr>
              <w:spacing w:line="240" w:lineRule="auto"/>
              <w:jc w:val="center"/>
              <w:rPr>
                <w:b/>
                <w:szCs w:val="21"/>
              </w:rPr>
            </w:pPr>
            <w:r>
              <w:rPr>
                <w:rFonts w:hint="eastAsia"/>
                <w:b/>
                <w:szCs w:val="21"/>
              </w:rPr>
              <w:t>原产地</w:t>
            </w:r>
          </w:p>
        </w:tc>
        <w:tc>
          <w:tcPr>
            <w:tcW w:w="992" w:type="dxa"/>
            <w:vAlign w:val="center"/>
          </w:tcPr>
          <w:p>
            <w:pPr>
              <w:spacing w:line="240" w:lineRule="auto"/>
              <w:jc w:val="center"/>
              <w:rPr>
                <w:szCs w:val="21"/>
              </w:rPr>
            </w:pPr>
            <w:r>
              <w:rPr>
                <w:rFonts w:hint="eastAsia"/>
                <w:szCs w:val="21"/>
              </w:rPr>
              <w:t>制造商名称</w:t>
            </w:r>
          </w:p>
        </w:tc>
        <w:tc>
          <w:tcPr>
            <w:tcW w:w="709" w:type="dxa"/>
            <w:vAlign w:val="center"/>
          </w:tcPr>
          <w:p>
            <w:pPr>
              <w:spacing w:line="240" w:lineRule="auto"/>
              <w:jc w:val="center"/>
              <w:rPr>
                <w:szCs w:val="21"/>
              </w:rPr>
            </w:pPr>
            <w:r>
              <w:rPr>
                <w:rFonts w:hint="eastAsia"/>
                <w:szCs w:val="21"/>
              </w:rPr>
              <w:t>数量</w:t>
            </w:r>
          </w:p>
        </w:tc>
        <w:tc>
          <w:tcPr>
            <w:tcW w:w="737" w:type="dxa"/>
            <w:vAlign w:val="center"/>
          </w:tcPr>
          <w:p>
            <w:pPr>
              <w:spacing w:line="240" w:lineRule="auto"/>
              <w:jc w:val="center"/>
              <w:rPr>
                <w:szCs w:val="21"/>
              </w:rPr>
            </w:pPr>
            <w:r>
              <w:rPr>
                <w:rFonts w:hint="eastAsia"/>
                <w:szCs w:val="21"/>
              </w:rPr>
              <w:t>单位</w:t>
            </w:r>
          </w:p>
        </w:tc>
        <w:tc>
          <w:tcPr>
            <w:tcW w:w="798" w:type="dxa"/>
            <w:vAlign w:val="center"/>
          </w:tcPr>
          <w:p>
            <w:pPr>
              <w:spacing w:line="240" w:lineRule="auto"/>
              <w:jc w:val="center"/>
              <w:rPr>
                <w:szCs w:val="21"/>
              </w:rPr>
            </w:pPr>
            <w:r>
              <w:rPr>
                <w:rFonts w:hint="eastAsia"/>
                <w:szCs w:val="21"/>
              </w:rPr>
              <w:t>是否核心产品</w:t>
            </w:r>
          </w:p>
        </w:tc>
        <w:tc>
          <w:tcPr>
            <w:tcW w:w="1316" w:type="dxa"/>
            <w:vAlign w:val="center"/>
          </w:tcPr>
          <w:p>
            <w:pPr>
              <w:spacing w:line="240" w:lineRule="auto"/>
              <w:jc w:val="center"/>
              <w:rPr>
                <w:szCs w:val="21"/>
              </w:rPr>
            </w:pPr>
            <w:r>
              <w:rPr>
                <w:rFonts w:hint="eastAsia"/>
                <w:szCs w:val="21"/>
              </w:rPr>
              <w:t>单价(元)</w:t>
            </w:r>
          </w:p>
        </w:tc>
        <w:tc>
          <w:tcPr>
            <w:tcW w:w="1276" w:type="dxa"/>
            <w:vAlign w:val="center"/>
          </w:tcPr>
          <w:p>
            <w:pPr>
              <w:spacing w:line="240" w:lineRule="auto"/>
              <w:jc w:val="center"/>
              <w:rPr>
                <w:szCs w:val="21"/>
              </w:rPr>
            </w:pPr>
            <w:r>
              <w:rPr>
                <w:rFonts w:hint="eastAsia"/>
                <w:szCs w:val="21"/>
              </w:rPr>
              <w:t>合价(元)</w:t>
            </w:r>
          </w:p>
        </w:tc>
        <w:tc>
          <w:tcPr>
            <w:tcW w:w="1082" w:type="dxa"/>
            <w:vAlign w:val="center"/>
          </w:tcPr>
          <w:p>
            <w:pPr>
              <w:spacing w:line="240" w:lineRule="auto"/>
              <w:jc w:val="center"/>
              <w:rPr>
                <w:szCs w:val="21"/>
              </w:rPr>
            </w:pPr>
            <w:r>
              <w:rPr>
                <w:rFonts w:hint="eastAsia"/>
                <w:szCs w:val="21"/>
              </w:rPr>
              <w:t>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spacing w:line="240" w:lineRule="auto"/>
              <w:jc w:val="center"/>
              <w:rPr>
                <w:sz w:val="24"/>
              </w:rPr>
            </w:pPr>
          </w:p>
        </w:tc>
        <w:tc>
          <w:tcPr>
            <w:tcW w:w="1347" w:type="dxa"/>
            <w:vAlign w:val="center"/>
          </w:tcPr>
          <w:p>
            <w:pPr>
              <w:spacing w:line="240" w:lineRule="auto"/>
              <w:jc w:val="center"/>
              <w:rPr>
                <w:sz w:val="24"/>
              </w:rPr>
            </w:pPr>
          </w:p>
        </w:tc>
        <w:tc>
          <w:tcPr>
            <w:tcW w:w="1417" w:type="dxa"/>
            <w:vAlign w:val="center"/>
          </w:tcPr>
          <w:p>
            <w:pPr>
              <w:spacing w:line="240" w:lineRule="auto"/>
              <w:jc w:val="center"/>
              <w:rPr>
                <w:sz w:val="24"/>
              </w:rPr>
            </w:pPr>
          </w:p>
        </w:tc>
        <w:tc>
          <w:tcPr>
            <w:tcW w:w="851" w:type="dxa"/>
            <w:vAlign w:val="center"/>
          </w:tcPr>
          <w:p>
            <w:pPr>
              <w:spacing w:line="240" w:lineRule="auto"/>
              <w:jc w:val="center"/>
              <w:rPr>
                <w:sz w:val="24"/>
              </w:rPr>
            </w:pPr>
          </w:p>
        </w:tc>
        <w:tc>
          <w:tcPr>
            <w:tcW w:w="992" w:type="dxa"/>
            <w:vAlign w:val="center"/>
          </w:tcPr>
          <w:p>
            <w:pPr>
              <w:spacing w:line="240" w:lineRule="auto"/>
              <w:jc w:val="center"/>
              <w:rPr>
                <w:sz w:val="24"/>
              </w:rPr>
            </w:pPr>
          </w:p>
        </w:tc>
        <w:tc>
          <w:tcPr>
            <w:tcW w:w="709" w:type="dxa"/>
            <w:vAlign w:val="center"/>
          </w:tcPr>
          <w:p>
            <w:pPr>
              <w:spacing w:line="240" w:lineRule="auto"/>
              <w:jc w:val="center"/>
              <w:rPr>
                <w:sz w:val="24"/>
              </w:rPr>
            </w:pPr>
          </w:p>
        </w:tc>
        <w:tc>
          <w:tcPr>
            <w:tcW w:w="737" w:type="dxa"/>
            <w:vAlign w:val="center"/>
          </w:tcPr>
          <w:p>
            <w:pPr>
              <w:spacing w:line="240" w:lineRule="auto"/>
              <w:jc w:val="center"/>
              <w:rPr>
                <w:sz w:val="24"/>
              </w:rPr>
            </w:pPr>
          </w:p>
        </w:tc>
        <w:tc>
          <w:tcPr>
            <w:tcW w:w="798" w:type="dxa"/>
            <w:vAlign w:val="center"/>
          </w:tcPr>
          <w:p>
            <w:pPr>
              <w:spacing w:line="240" w:lineRule="auto"/>
              <w:jc w:val="center"/>
              <w:rPr>
                <w:sz w:val="24"/>
              </w:rPr>
            </w:pPr>
          </w:p>
        </w:tc>
        <w:tc>
          <w:tcPr>
            <w:tcW w:w="1316" w:type="dxa"/>
            <w:vAlign w:val="center"/>
          </w:tcPr>
          <w:p>
            <w:pPr>
              <w:spacing w:line="240" w:lineRule="auto"/>
              <w:jc w:val="center"/>
              <w:rPr>
                <w:sz w:val="24"/>
              </w:rPr>
            </w:pP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7" w:type="dxa"/>
            <w:gridSpan w:val="9"/>
            <w:vAlign w:val="center"/>
          </w:tcPr>
          <w:p>
            <w:pPr>
              <w:spacing w:line="240" w:lineRule="auto"/>
              <w:jc w:val="left"/>
              <w:rPr>
                <w:sz w:val="24"/>
              </w:rPr>
            </w:pPr>
            <w:r>
              <w:rPr>
                <w:rFonts w:hint="eastAsia"/>
                <w:sz w:val="24"/>
              </w:rPr>
              <w:t>合计（即：投标总价；币种：人民币；单位：元）：大写：</w:t>
            </w:r>
          </w:p>
        </w:tc>
        <w:tc>
          <w:tcPr>
            <w:tcW w:w="1276" w:type="dxa"/>
            <w:vAlign w:val="center"/>
          </w:tcPr>
          <w:p>
            <w:pPr>
              <w:spacing w:line="240" w:lineRule="auto"/>
              <w:jc w:val="center"/>
              <w:rPr>
                <w:sz w:val="24"/>
              </w:rPr>
            </w:pPr>
          </w:p>
        </w:tc>
        <w:tc>
          <w:tcPr>
            <w:tcW w:w="1082" w:type="dxa"/>
            <w:vAlign w:val="center"/>
          </w:tcPr>
          <w:p>
            <w:pPr>
              <w:spacing w:line="240" w:lineRule="auto"/>
              <w:jc w:val="center"/>
              <w:rPr>
                <w:sz w:val="24"/>
              </w:rPr>
            </w:pPr>
          </w:p>
        </w:tc>
      </w:tr>
    </w:tbl>
    <w:p>
      <w:pPr>
        <w:spacing w:line="240" w:lineRule="auto"/>
        <w:rPr>
          <w:b/>
          <w:sz w:val="24"/>
        </w:rPr>
      </w:pPr>
    </w:p>
    <w:p>
      <w:pPr>
        <w:spacing w:line="240" w:lineRule="auto"/>
        <w:rPr>
          <w:b/>
          <w:sz w:val="24"/>
        </w:rPr>
      </w:pPr>
      <w:r>
        <w:rPr>
          <w:rFonts w:hint="eastAsia"/>
          <w:b/>
          <w:sz w:val="24"/>
        </w:rPr>
        <w:t>备注：</w:t>
      </w:r>
    </w:p>
    <w:p>
      <w:pPr>
        <w:spacing w:line="240" w:lineRule="auto"/>
        <w:ind w:firstLine="424" w:firstLineChars="176"/>
        <w:rPr>
          <w:b/>
          <w:sz w:val="24"/>
        </w:rPr>
      </w:pPr>
      <w:r>
        <w:rPr>
          <w:rFonts w:hint="eastAsia"/>
          <w:b/>
          <w:sz w:val="24"/>
        </w:rPr>
        <w:t>1.请根据“第二章</w:t>
      </w:r>
      <w:r>
        <w:rPr>
          <w:b/>
          <w:sz w:val="24"/>
        </w:rPr>
        <w:t xml:space="preserve"> 项目需求” “</w:t>
      </w:r>
      <w:r>
        <w:rPr>
          <w:rFonts w:hint="eastAsia"/>
          <w:b/>
          <w:sz w:val="24"/>
        </w:rPr>
        <w:t>一</w:t>
      </w:r>
      <w:r>
        <w:rPr>
          <w:b/>
          <w:sz w:val="24"/>
        </w:rPr>
        <w:t>、货物清单</w:t>
      </w:r>
      <w:r>
        <w:rPr>
          <w:rFonts w:hint="eastAsia"/>
          <w:b/>
          <w:sz w:val="24"/>
        </w:rPr>
        <w:t>一览表</w:t>
      </w:r>
      <w:r>
        <w:rPr>
          <w:b/>
          <w:sz w:val="24"/>
        </w:rPr>
        <w:t>”填写；本表格式不得修改。</w:t>
      </w:r>
    </w:p>
    <w:p>
      <w:pPr>
        <w:spacing w:line="240" w:lineRule="auto"/>
        <w:ind w:firstLine="424" w:firstLineChars="176"/>
        <w:rPr>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pPr>
        <w:spacing w:line="240" w:lineRule="auto"/>
        <w:ind w:firstLine="424" w:firstLineChars="176"/>
        <w:rPr>
          <w:b/>
          <w:sz w:val="24"/>
        </w:rPr>
      </w:pPr>
      <w:r>
        <w:rPr>
          <w:rFonts w:hint="eastAsia"/>
          <w:b/>
          <w:sz w:val="24"/>
        </w:rPr>
        <w:t>3.单价、合价和投标总价为包干价，即三者均应包含设备的价款、包装、运输、装卸、安装、调试、技术指导、培训、咨询、服务、保险、税费、检测、验收合格交付使用之前以及技术和售后服务等其他各项有关费用。</w:t>
      </w:r>
    </w:p>
    <w:p>
      <w:pPr>
        <w:spacing w:line="240" w:lineRule="auto"/>
        <w:ind w:firstLine="424" w:firstLineChars="176"/>
        <w:rPr>
          <w:b/>
          <w:sz w:val="24"/>
        </w:rPr>
      </w:pPr>
      <w:r>
        <w:rPr>
          <w:rFonts w:hint="eastAsia"/>
          <w:b/>
          <w:sz w:val="24"/>
        </w:rPr>
        <w:t>4.“原产地”是指该产品的实际生产加工地，而非品牌总公司所在地。</w:t>
      </w:r>
    </w:p>
    <w:p>
      <w:pPr>
        <w:spacing w:line="240" w:lineRule="auto"/>
        <w:ind w:firstLine="424" w:firstLineChars="176"/>
        <w:rPr>
          <w:b/>
          <w:sz w:val="24"/>
        </w:rPr>
      </w:pPr>
      <w:r>
        <w:rPr>
          <w:b/>
          <w:sz w:val="24"/>
        </w:rPr>
        <w:t>5.详细填写所投货物的制造商名称；若如所投产品属于定制类的非量产货物或无具体型号的货物，可以不填写型号等信息，但应当标注投标产品为定制产品。</w:t>
      </w:r>
    </w:p>
    <w:p>
      <w:pPr>
        <w:spacing w:line="240" w:lineRule="auto"/>
        <w:ind w:firstLine="424" w:firstLineChars="176"/>
        <w:rPr>
          <w:b/>
          <w:sz w:val="24"/>
        </w:rPr>
      </w:pPr>
      <w:r>
        <w:rPr>
          <w:b/>
          <w:sz w:val="24"/>
        </w:rPr>
        <w:t>6.</w:t>
      </w:r>
      <w:r>
        <w:rPr>
          <w:rFonts w:hint="eastAsia"/>
          <w:b/>
          <w:sz w:val="24"/>
        </w:rPr>
        <w:t>上述报价最多保留两位小数。</w:t>
      </w:r>
    </w:p>
    <w:p>
      <w:pPr>
        <w:widowControl w:val="0"/>
        <w:shd w:val="clear" w:color="auto" w:fill="auto"/>
        <w:tabs>
          <w:tab w:val="clear" w:pos="426"/>
        </w:tabs>
        <w:adjustRightInd/>
        <w:snapToGrid/>
        <w:spacing w:line="300" w:lineRule="auto"/>
        <w:jc w:val="center"/>
        <w:rPr>
          <w:rFonts w:cs="Times New Roman"/>
          <w:b/>
          <w:bCs/>
          <w:kern w:val="2"/>
          <w:sz w:val="28"/>
          <w:szCs w:val="28"/>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（二）核心产品的品牌情况</w:t>
      </w:r>
    </w:p>
    <w:p>
      <w:pPr>
        <w:widowControl w:val="0"/>
        <w:shd w:val="clear" w:color="auto" w:fill="auto"/>
        <w:tabs>
          <w:tab w:val="clear" w:pos="426"/>
        </w:tabs>
        <w:adjustRightInd/>
        <w:snapToGrid/>
        <w:spacing w:line="300" w:lineRule="auto"/>
        <w:jc w:val="left"/>
        <w:rPr>
          <w:b/>
          <w:sz w:val="24"/>
        </w:rPr>
      </w:pPr>
      <w:r>
        <w:rPr>
          <w:rFonts w:hint="eastAsia"/>
          <w:b/>
          <w:sz w:val="24"/>
        </w:rPr>
        <w:t>我公司所投核心产品的品牌为：</w:t>
      </w:r>
      <w:r>
        <w:rPr>
          <w:rFonts w:hint="eastAsia"/>
          <w:b/>
          <w:sz w:val="24"/>
          <w:u w:val="single"/>
        </w:rPr>
        <w:t xml:space="preserve"> </w:t>
      </w:r>
      <w:r>
        <w:rPr>
          <w:b/>
          <w:sz w:val="24"/>
          <w:u w:val="single"/>
        </w:rPr>
        <w:t xml:space="preserve">          </w:t>
      </w:r>
      <w:r>
        <w:rPr>
          <w:rFonts w:hint="eastAsia"/>
          <w:b/>
          <w:sz w:val="24"/>
        </w:rPr>
        <w:t>。</w:t>
      </w:r>
    </w:p>
    <w:p>
      <w:pPr>
        <w:widowControl w:val="0"/>
        <w:shd w:val="clear" w:color="auto" w:fill="auto"/>
        <w:tabs>
          <w:tab w:val="clear" w:pos="426"/>
        </w:tabs>
        <w:adjustRightInd/>
        <w:snapToGrid/>
        <w:spacing w:line="300" w:lineRule="auto"/>
        <w:jc w:val="left"/>
        <w:rPr>
          <w:b/>
          <w:sz w:val="24"/>
        </w:rPr>
      </w:pPr>
      <w:r>
        <w:rPr>
          <w:rFonts w:hint="eastAsia"/>
          <w:b/>
          <w:sz w:val="24"/>
        </w:rPr>
        <w:t>备注：招标文件未列明核心品牌的，无需填写该项。</w:t>
      </w:r>
    </w:p>
    <w:p>
      <w:pPr>
        <w:widowControl w:val="0"/>
        <w:shd w:val="clear" w:color="auto" w:fill="auto"/>
        <w:tabs>
          <w:tab w:val="clear" w:pos="426"/>
        </w:tabs>
        <w:adjustRightInd/>
        <w:snapToGrid/>
        <w:spacing w:line="300" w:lineRule="auto"/>
        <w:jc w:val="center"/>
        <w:rPr>
          <w:rFonts w:cs="Times New Roman"/>
          <w:b/>
          <w:bCs/>
          <w:kern w:val="2"/>
          <w:sz w:val="28"/>
          <w:szCs w:val="28"/>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（三）可选配件报价清单（不包括在总报价内）</w:t>
      </w:r>
    </w:p>
    <w:p>
      <w:pPr>
        <w:tabs>
          <w:tab w:val="clear" w:pos="426"/>
        </w:tabs>
        <w:spacing w:line="500" w:lineRule="exact"/>
        <w:rPr>
          <w:b/>
          <w:sz w:val="24"/>
        </w:rPr>
      </w:pPr>
      <w:r>
        <w:rPr>
          <w:rFonts w:hint="eastAsia"/>
          <w:b/>
          <w:sz w:val="24"/>
        </w:rPr>
        <w:t>备注：格式参照《（一）项目报价表》表格，但须提供相应的品牌、规格型号、原产地、单价等详细信息</w:t>
      </w:r>
    </w:p>
    <w:p>
      <w:pPr>
        <w:widowControl w:val="0"/>
        <w:shd w:val="clear" w:color="auto" w:fill="auto"/>
        <w:tabs>
          <w:tab w:val="clear" w:pos="426"/>
        </w:tabs>
        <w:adjustRightInd/>
        <w:snapToGrid/>
        <w:spacing w:line="300" w:lineRule="auto"/>
        <w:jc w:val="center"/>
        <w:rPr>
          <w:rFonts w:cs="Times New Roman"/>
          <w:b/>
          <w:bCs/>
          <w:kern w:val="2"/>
          <w:sz w:val="32"/>
          <w:szCs w:val="32"/>
        </w:rPr>
      </w:pPr>
    </w:p>
    <w:p>
      <w:pPr>
        <w:widowControl w:val="0"/>
        <w:shd w:val="clear" w:color="auto" w:fill="auto"/>
        <w:tabs>
          <w:tab w:val="clear" w:pos="426"/>
        </w:tabs>
        <w:adjustRightInd/>
        <w:snapToGrid/>
        <w:spacing w:line="300" w:lineRule="auto"/>
        <w:jc w:val="center"/>
        <w:rPr>
          <w:rFonts w:cs="Times New Roman"/>
          <w:b/>
          <w:bCs/>
          <w:kern w:val="2"/>
          <w:sz w:val="28"/>
          <w:szCs w:val="28"/>
        </w:rPr>
      </w:pPr>
      <w:r>
        <w:rPr>
          <w:rFonts w:hint="eastAsia" w:cs="Times New Roman"/>
          <w:b/>
          <w:bCs/>
          <w:kern w:val="2"/>
          <w:sz w:val="28"/>
          <w:szCs w:val="28"/>
        </w:rPr>
        <w:t>（四）供应商认为需要涉及的其他内容报价清单</w:t>
      </w:r>
    </w:p>
    <w:p>
      <w:pPr>
        <w:tabs>
          <w:tab w:val="clear" w:pos="426"/>
        </w:tabs>
        <w:spacing w:line="500" w:lineRule="exact"/>
        <w:rPr>
          <w:spacing w:val="4"/>
        </w:rPr>
      </w:pPr>
    </w:p>
    <w:p>
      <w:pPr>
        <w:tabs>
          <w:tab w:val="clear" w:pos="426"/>
        </w:tabs>
        <w:spacing w:line="500" w:lineRule="exact"/>
        <w:rPr>
          <w:spacing w:val="4"/>
        </w:rPr>
      </w:pPr>
    </w:p>
    <w:p>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pPr>
        <w:tabs>
          <w:tab w:val="clear" w:pos="426"/>
        </w:tabs>
        <w:spacing w:line="520" w:lineRule="exact"/>
        <w:rPr>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pPr>
        <w:rPr>
          <w:b/>
          <w:sz w:val="24"/>
        </w:rPr>
      </w:pPr>
      <w:r>
        <w:rPr>
          <w:rFonts w:hint="eastAsia"/>
          <w:b/>
          <w:sz w:val="24"/>
        </w:rPr>
        <w:br w:type="page"/>
      </w:r>
    </w:p>
    <w:p>
      <w:pPr>
        <w:adjustRightInd/>
        <w:snapToGrid/>
        <w:spacing w:before="280" w:after="290" w:line="377" w:lineRule="auto"/>
        <w:outlineLvl w:val="2"/>
        <w:rPr>
          <w:b/>
          <w:sz w:val="24"/>
        </w:rPr>
      </w:pPr>
      <w:bookmarkStart w:id="137" w:name="_Toc9437"/>
      <w:r>
        <w:rPr>
          <w:rFonts w:hint="eastAsia"/>
          <w:b/>
          <w:sz w:val="24"/>
        </w:rPr>
        <w:t>格式9：</w:t>
      </w:r>
      <w:bookmarkEnd w:id="137"/>
      <w:r>
        <w:rPr>
          <w:rFonts w:hint="eastAsia"/>
          <w:b/>
          <w:sz w:val="24"/>
        </w:rPr>
        <w:t>技术规格偏离表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38" w:name="OLE_LINK1"/>
      <w:r>
        <w:rPr>
          <w:rFonts w:hint="eastAsia" w:ascii="Times New Roman" w:hAnsi="Times New Roman" w:cs="Times New Roman"/>
          <w:bCs/>
          <w:kern w:val="2"/>
          <w:sz w:val="32"/>
          <w:szCs w:val="32"/>
        </w:rPr>
        <w:t>技术规格偏离表</w:t>
      </w:r>
    </w:p>
    <w:bookmarkEnd w:id="138"/>
    <w:p>
      <w:pPr>
        <w:tabs>
          <w:tab w:val="clear" w:pos="426"/>
        </w:tabs>
        <w:rPr>
          <w:rFonts w:ascii="Times New Roman" w:hAnsi="Times New Roman" w:cs="Times New Roman"/>
        </w:rPr>
      </w:pPr>
    </w:p>
    <w:p>
      <w:pPr>
        <w:tabs>
          <w:tab w:val="clear" w:pos="426"/>
        </w:tabs>
        <w:rPr>
          <w:rFonts w:ascii="Times New Roman" w:hAnsi="Times New Roman" w:cs="Times New Roman"/>
        </w:rPr>
      </w:pPr>
      <w:bookmarkStart w:id="139"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bookmarkEnd w:id="139"/>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109"/>
        <w:gridCol w:w="1791"/>
        <w:gridCol w:w="1829"/>
        <w:gridCol w:w="1394"/>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cs="Arial"/>
                <w:bCs/>
                <w:szCs w:val="21"/>
              </w:rPr>
              <w:t>1</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cs="Arial"/>
                <w:bCs/>
                <w:szCs w:val="21"/>
              </w:rPr>
              <w:t>2</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cs="Arial"/>
                <w:bCs/>
                <w:szCs w:val="21"/>
              </w:rPr>
              <w:t>3</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pPr>
              <w:tabs>
                <w:tab w:val="clear" w:pos="426"/>
              </w:tabs>
              <w:adjustRightInd/>
              <w:snapToGrid/>
              <w:spacing w:line="240" w:lineRule="auto"/>
              <w:jc w:val="center"/>
              <w:rPr>
                <w:rFonts w:cs="Arial"/>
                <w:bCs/>
                <w:szCs w:val="21"/>
              </w:rPr>
            </w:pPr>
            <w:r>
              <w:rPr>
                <w:rFonts w:hint="eastAsia" w:cs="Arial"/>
                <w:bCs/>
                <w:szCs w:val="21"/>
              </w:rPr>
              <w:t>……</w:t>
            </w:r>
          </w:p>
        </w:tc>
        <w:tc>
          <w:tcPr>
            <w:tcW w:w="1101" w:type="pct"/>
            <w:vAlign w:val="center"/>
          </w:tcPr>
          <w:p>
            <w:pPr>
              <w:tabs>
                <w:tab w:val="clear" w:pos="426"/>
              </w:tabs>
              <w:spacing w:line="240" w:lineRule="auto"/>
              <w:jc w:val="center"/>
              <w:rPr>
                <w:rFonts w:ascii="Times New Roman" w:hAnsi="Times New Roman" w:cs="Times New Roman"/>
                <w:bCs/>
              </w:rPr>
            </w:pPr>
          </w:p>
        </w:tc>
        <w:tc>
          <w:tcPr>
            <w:tcW w:w="935" w:type="pct"/>
            <w:vAlign w:val="center"/>
          </w:tcPr>
          <w:p>
            <w:pPr>
              <w:tabs>
                <w:tab w:val="clear" w:pos="426"/>
              </w:tabs>
              <w:spacing w:line="240" w:lineRule="auto"/>
              <w:jc w:val="center"/>
              <w:rPr>
                <w:rFonts w:ascii="Times New Roman" w:hAnsi="Times New Roman" w:cs="Times New Roman"/>
                <w:bCs/>
              </w:rPr>
            </w:pPr>
          </w:p>
        </w:tc>
        <w:tc>
          <w:tcPr>
            <w:tcW w:w="955" w:type="pct"/>
            <w:vAlign w:val="center"/>
          </w:tcPr>
          <w:p>
            <w:pPr>
              <w:tabs>
                <w:tab w:val="clear" w:pos="426"/>
              </w:tabs>
              <w:spacing w:line="240" w:lineRule="auto"/>
              <w:jc w:val="center"/>
              <w:rPr>
                <w:rFonts w:ascii="Times New Roman" w:hAnsi="Times New Roman" w:cs="Times New Roman"/>
                <w:bCs/>
              </w:rPr>
            </w:pPr>
          </w:p>
        </w:tc>
        <w:tc>
          <w:tcPr>
            <w:tcW w:w="728" w:type="pct"/>
            <w:vAlign w:val="center"/>
          </w:tcPr>
          <w:p>
            <w:pPr>
              <w:tabs>
                <w:tab w:val="clear" w:pos="426"/>
              </w:tabs>
              <w:spacing w:line="240" w:lineRule="auto"/>
              <w:jc w:val="center"/>
              <w:rPr>
                <w:rFonts w:ascii="Times New Roman" w:hAnsi="Times New Roman" w:cs="Times New Roman"/>
                <w:bCs/>
              </w:rPr>
            </w:pPr>
          </w:p>
        </w:tc>
        <w:tc>
          <w:tcPr>
            <w:tcW w:w="903" w:type="pct"/>
            <w:vAlign w:val="center"/>
          </w:tcPr>
          <w:p>
            <w:pPr>
              <w:tabs>
                <w:tab w:val="clear" w:pos="426"/>
              </w:tabs>
              <w:spacing w:line="240" w:lineRule="auto"/>
              <w:jc w:val="center"/>
              <w:rPr>
                <w:rFonts w:ascii="Times New Roman" w:hAnsi="Times New Roman" w:cs="Times New Roman"/>
                <w:bCs/>
              </w:rPr>
            </w:pPr>
          </w:p>
        </w:tc>
      </w:tr>
    </w:tbl>
    <w:p>
      <w:pPr>
        <w:tabs>
          <w:tab w:val="clear" w:pos="426"/>
        </w:tabs>
        <w:spacing w:line="240" w:lineRule="auto"/>
        <w:rPr>
          <w:rFonts w:ascii="Times New Roman" w:hAnsi="Times New Roman" w:cs="Times New Roman"/>
          <w:bCs/>
        </w:rPr>
      </w:pPr>
    </w:p>
    <w:p>
      <w:pPr>
        <w:tabs>
          <w:tab w:val="clear" w:pos="426"/>
        </w:tabs>
        <w:spacing w:line="240" w:lineRule="auto"/>
        <w:rPr>
          <w:rFonts w:ascii="Times New Roman" w:hAnsi="Times New Roman" w:cs="Times New Roman"/>
          <w:bCs/>
        </w:rPr>
      </w:pPr>
      <w:r>
        <w:rPr>
          <w:rFonts w:ascii="Times New Roman" w:hAnsi="Times New Roman" w:cs="Times New Roman"/>
          <w:bCs/>
        </w:rPr>
        <w:t>备注：</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1.“招标技术要求”一栏应填写招标文件第</w:t>
      </w:r>
      <w:r>
        <w:rPr>
          <w:rFonts w:hint="eastAsia" w:ascii="Times New Roman" w:hAnsi="Times New Roman" w:cs="Times New Roman"/>
          <w:bCs/>
        </w:rPr>
        <w:t>二</w:t>
      </w:r>
      <w:r>
        <w:rPr>
          <w:rFonts w:ascii="Times New Roman" w:hAnsi="Times New Roman" w:cs="Times New Roman"/>
          <w:bCs/>
        </w:rPr>
        <w:t>章“技术要求”的内容；</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2.“投标技术响应”一栏必须详细填写投标产品的具体参数，并应对照招标技术要求一一对应响应；</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3</w:t>
      </w:r>
      <w:r>
        <w:rPr>
          <w:rFonts w:hint="eastAsia" w:ascii="Times New Roman" w:hAnsi="Times New Roman" w:cs="Times New Roman"/>
          <w:bCs/>
        </w:rPr>
        <w:t>.</w:t>
      </w:r>
      <w:r>
        <w:rPr>
          <w:rFonts w:ascii="Times New Roman" w:hAnsi="Times New Roman" w:cs="Times New Roman"/>
          <w:bCs/>
        </w:rPr>
        <w:t>“偏离情况”一栏应如实填写“正偏离”、“负偏离”或“无偏离”。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4.投标人在《</w:t>
      </w:r>
      <w:r>
        <w:rPr>
          <w:rFonts w:hint="eastAsia" w:ascii="Times New Roman" w:hAnsi="Times New Roman" w:cs="Times New Roman"/>
          <w:bCs/>
        </w:rPr>
        <w:t>技术规格偏离表</w:t>
      </w:r>
      <w:r>
        <w:rPr>
          <w:rFonts w:ascii="Times New Roman" w:hAnsi="Times New Roman" w:cs="Times New Roman"/>
          <w:bCs/>
        </w:rPr>
        <w:t>》填写的“投标技术响应”与“招标技术要求”存在填写不全的情况，将被视为未实质性满足招标文件要求作投标无效处理。示例，“招标技术要求”共有10项参数，投标人只响应了9项，填写不全，则视为未实质性满足招标文件要求作投标无效处理。</w:t>
      </w:r>
      <w:bookmarkStart w:id="140" w:name="OLE_LINK2"/>
      <w:r>
        <w:rPr>
          <w:rFonts w:hint="eastAsia" w:ascii="Times New Roman" w:hAnsi="Times New Roman" w:cs="Times New Roman"/>
          <w:bCs/>
        </w:rPr>
        <w:t>带★招标技术要求，不允许有任何负偏离，否则将作投标无效处理。</w:t>
      </w:r>
    </w:p>
    <w:bookmarkEnd w:id="140"/>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5.投标人所填写的“偏离情况”与评审委员会判定不一致时，以评审委员会意见为主。</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6.投标产品的技术参数应按《</w:t>
      </w:r>
      <w:r>
        <w:rPr>
          <w:rFonts w:hint="eastAsia" w:ascii="Times New Roman" w:hAnsi="Times New Roman" w:cs="Times New Roman"/>
          <w:bCs/>
        </w:rPr>
        <w:t>技术规格偏离表</w:t>
      </w:r>
      <w:r>
        <w:rPr>
          <w:rFonts w:ascii="Times New Roman" w:hAnsi="Times New Roman" w:cs="Times New Roman"/>
          <w:bCs/>
        </w:rPr>
        <w:t>》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提供的证明资料显示产品参数信息不符合招标文件要求的，如果投标人偏离程度响应为“无偏离或正偏离”的，则应判断为负偏离；提供的证明材料模糊不清，导致评审专家无法判断的，如果投标人偏离程度响应为“无偏离或正偏离”的，则应判断为负偏离。若《</w:t>
      </w:r>
      <w:r>
        <w:rPr>
          <w:rFonts w:hint="eastAsia" w:ascii="Times New Roman" w:hAnsi="Times New Roman" w:cs="Times New Roman"/>
          <w:bCs/>
        </w:rPr>
        <w:t>技术规格偏离表</w:t>
      </w:r>
      <w:r>
        <w:rPr>
          <w:rFonts w:ascii="Times New Roman" w:hAnsi="Times New Roman" w:cs="Times New Roman"/>
          <w:bCs/>
        </w:rPr>
        <w:t>》中未要求提供相应证明材料的，投标人可以不提供。</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7.证明资料（均为扫描件）的提供要求：</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tabs>
          <w:tab w:val="clear" w:pos="426"/>
        </w:tabs>
        <w:spacing w:line="240" w:lineRule="auto"/>
        <w:ind w:firstLine="424" w:firstLineChars="202"/>
        <w:rPr>
          <w:rFonts w:ascii="Times New Roman" w:hAnsi="Times New Roman" w:cs="Times New Roman"/>
          <w:bCs/>
        </w:rPr>
      </w:pPr>
      <w:r>
        <w:rPr>
          <w:rFonts w:ascii="Times New Roman" w:hAnsi="Times New Roman" w:cs="Times New Roman"/>
          <w:bCs/>
        </w:rPr>
        <w:t>（2）我国政府机构出具的产品检验和核准证件应为证件正面、背面和附件标注的全部具体内容；产品检验和核准证件的尺寸和清晰度应该能够在电脑上被阅读、识别和判断。</w:t>
      </w:r>
    </w:p>
    <w:p>
      <w:pPr>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b/>
          <w:sz w:val="24"/>
        </w:rPr>
      </w:pPr>
      <w:bookmarkStart w:id="141" w:name="_Toc25758"/>
      <w:r>
        <w:rPr>
          <w:rFonts w:hint="eastAsia"/>
          <w:b/>
          <w:sz w:val="24"/>
        </w:rPr>
        <w:t>格式10：技术保障措施</w:t>
      </w:r>
      <w:bookmarkEnd w:id="141"/>
    </w:p>
    <w:p>
      <w:pPr>
        <w:adjustRightInd/>
        <w:snapToGrid/>
        <w:spacing w:before="280" w:after="290" w:line="377" w:lineRule="auto"/>
        <w:outlineLvl w:val="2"/>
        <w:rPr>
          <w:b/>
          <w:sz w:val="24"/>
        </w:rPr>
      </w:pPr>
      <w:bookmarkStart w:id="142" w:name="_Toc19609"/>
      <w:r>
        <w:rPr>
          <w:rFonts w:hint="eastAsia"/>
          <w:b/>
          <w:sz w:val="24"/>
        </w:rPr>
        <w:t>格式11：售后服务方案</w:t>
      </w:r>
      <w:bookmarkEnd w:id="142"/>
    </w:p>
    <w:p>
      <w:pPr>
        <w:tabs>
          <w:tab w:val="clear" w:pos="426"/>
        </w:tabs>
        <w:spacing w:line="440" w:lineRule="exact"/>
        <w:rPr>
          <w:b/>
          <w:bCs/>
        </w:rPr>
      </w:pPr>
    </w:p>
    <w:p>
      <w:pPr>
        <w:tabs>
          <w:tab w:val="clear" w:pos="426"/>
        </w:tabs>
        <w:spacing w:line="440" w:lineRule="exact"/>
        <w:rPr>
          <w:b/>
          <w:szCs w:val="21"/>
        </w:rPr>
      </w:pPr>
      <w:r>
        <w:rPr>
          <w:rFonts w:hint="eastAsia"/>
          <w:b/>
          <w:bCs/>
        </w:rPr>
        <w:t>备注：以上节点请</w:t>
      </w:r>
      <w:r>
        <w:rPr>
          <w:rFonts w:hint="eastAsia"/>
          <w:b/>
          <w:szCs w:val="21"/>
        </w:rPr>
        <w:t>根据评审表的要求提交相应资料，格式自拟。</w:t>
      </w:r>
    </w:p>
    <w:p/>
    <w:p>
      <w:pPr>
        <w:tabs>
          <w:tab w:val="clear" w:pos="426"/>
        </w:tabs>
        <w:spacing w:line="240" w:lineRule="auto"/>
        <w:ind w:firstLine="424" w:firstLineChars="202"/>
      </w:pPr>
    </w:p>
    <w:p>
      <w:pPr>
        <w:tabs>
          <w:tab w:val="clear" w:pos="426"/>
        </w:tabs>
        <w:spacing w:line="240" w:lineRule="auto"/>
        <w:ind w:firstLine="424" w:firstLineChars="202"/>
        <w:rPr>
          <w:rFonts w:ascii="Times New Roman" w:hAnsi="Times New Roman" w:cs="Times New Roman"/>
          <w:bCs/>
        </w:rPr>
      </w:pPr>
    </w:p>
    <w:p>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pPr>
        <w:adjustRightInd/>
        <w:snapToGrid/>
        <w:spacing w:before="280" w:after="290" w:line="377" w:lineRule="auto"/>
        <w:outlineLvl w:val="2"/>
        <w:rPr>
          <w:b/>
          <w:sz w:val="24"/>
        </w:rPr>
      </w:pPr>
      <w:bookmarkStart w:id="143" w:name="_Toc29923"/>
      <w:r>
        <w:rPr>
          <w:rFonts w:hint="eastAsia"/>
          <w:b/>
          <w:sz w:val="24"/>
        </w:rPr>
        <w:t>格式12：商务条款偏离表</w:t>
      </w:r>
      <w:bookmarkEnd w:id="143"/>
    </w:p>
    <w:p>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hint="eastAsia" w:ascii="Times New Roman" w:hAnsi="Times New Roman" w:cs="Times New Roman"/>
          <w:bCs/>
          <w:kern w:val="2"/>
          <w:sz w:val="32"/>
          <w:szCs w:val="32"/>
        </w:rPr>
        <w:t>商务条款偏离表</w:t>
      </w:r>
    </w:p>
    <w:p>
      <w:pPr>
        <w:widowControl w:val="0"/>
        <w:shd w:val="clear" w:color="auto" w:fill="auto"/>
        <w:tabs>
          <w:tab w:val="clear" w:pos="426"/>
        </w:tabs>
        <w:spacing w:line="300" w:lineRule="auto"/>
        <w:jc w:val="center"/>
        <w:rPr>
          <w:rFonts w:ascii="Times New Roman" w:hAnsi="Times New Roman" w:cs="Times New Roman"/>
          <w:bCs/>
          <w:kern w:val="2"/>
          <w:sz w:val="32"/>
          <w:szCs w:val="32"/>
        </w:rPr>
      </w:pPr>
    </w:p>
    <w:p>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Style w:val="85"/>
        <w:tblpPr w:leftFromText="180" w:rightFromText="180" w:vertAnchor="text"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158"/>
        <w:gridCol w:w="2123"/>
        <w:gridCol w:w="2123"/>
        <w:gridCol w:w="1543"/>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1109" w:type="pct"/>
            <w:vAlign w:val="center"/>
          </w:tcPr>
          <w:p>
            <w:pPr>
              <w:tabs>
                <w:tab w:val="clear" w:pos="426"/>
              </w:tabs>
              <w:spacing w:line="240" w:lineRule="auto"/>
              <w:jc w:val="center"/>
              <w:rPr>
                <w:rFonts w:ascii="Times New Roman" w:hAnsi="Times New Roman" w:cs="Times New Roman"/>
              </w:rPr>
            </w:pPr>
          </w:p>
        </w:tc>
        <w:tc>
          <w:tcPr>
            <w:tcW w:w="806" w:type="pct"/>
            <w:vAlign w:val="center"/>
          </w:tcPr>
          <w:p>
            <w:pPr>
              <w:tabs>
                <w:tab w:val="clear" w:pos="426"/>
              </w:tabs>
              <w:spacing w:line="240" w:lineRule="auto"/>
              <w:jc w:val="center"/>
              <w:rPr>
                <w:rFonts w:ascii="Times New Roman" w:hAnsi="Times New Roman" w:cs="Times New Roman"/>
              </w:rPr>
            </w:pPr>
          </w:p>
        </w:tc>
        <w:tc>
          <w:tcPr>
            <w:tcW w:w="908" w:type="pct"/>
            <w:vAlign w:val="center"/>
          </w:tcPr>
          <w:p>
            <w:pPr>
              <w:tabs>
                <w:tab w:val="clear" w:pos="426"/>
              </w:tabs>
              <w:spacing w:line="240" w:lineRule="auto"/>
              <w:jc w:val="center"/>
              <w:rPr>
                <w:rFonts w:ascii="Times New Roman" w:hAnsi="Times New Roman" w:cs="Times New Roman"/>
              </w:rPr>
            </w:pPr>
          </w:p>
        </w:tc>
      </w:tr>
    </w:tbl>
    <w:p>
      <w:pPr>
        <w:tabs>
          <w:tab w:val="clear" w:pos="426"/>
        </w:tabs>
        <w:rPr>
          <w:rFonts w:ascii="Times New Roman" w:hAnsi="Times New Roman" w:cs="Times New Roman"/>
        </w:rPr>
      </w:pPr>
    </w:p>
    <w:p>
      <w:pPr>
        <w:tabs>
          <w:tab w:val="clear" w:pos="426"/>
        </w:tabs>
        <w:spacing w:line="240" w:lineRule="auto"/>
        <w:rPr>
          <w:rFonts w:ascii="Times New Roman" w:hAnsi="Times New Roman" w:cs="Times New Roman"/>
        </w:rPr>
      </w:pPr>
      <w:r>
        <w:rPr>
          <w:rFonts w:ascii="Times New Roman" w:hAnsi="Times New Roman" w:cs="Times New Roman"/>
        </w:rPr>
        <w:t>备注：</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1.“招标商务条款”一栏必须填写招标文件第</w:t>
      </w:r>
      <w:r>
        <w:rPr>
          <w:rFonts w:hint="eastAsia" w:ascii="Times New Roman" w:hAnsi="Times New Roman" w:cs="Times New Roman"/>
        </w:rPr>
        <w:t>二</w:t>
      </w:r>
      <w:r>
        <w:rPr>
          <w:rFonts w:ascii="Times New Roman" w:hAnsi="Times New Roman" w:cs="Times New Roman"/>
        </w:rPr>
        <w:t>章“商务</w:t>
      </w:r>
      <w:r>
        <w:rPr>
          <w:rFonts w:hint="eastAsia" w:ascii="Times New Roman" w:hAnsi="Times New Roman" w:cs="Times New Roman"/>
        </w:rPr>
        <w:t>要求</w:t>
      </w:r>
      <w:r>
        <w:rPr>
          <w:rFonts w:ascii="Times New Roman" w:hAnsi="Times New Roman" w:cs="Times New Roman"/>
        </w:rPr>
        <w:t>”的内容进行填写。</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2.“投标商务条款”一栏必须详细填写投标商务条款的内容。</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3.“偏离情况”栏中应如实填写“正偏离”、“负偏离”或“无偏离”。</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rPr>
        <w:t>4．投标人在《商务条款偏离表》填写的“投标商务条款”与 “招标商务条款”存在填写不全的，将被视为未实质性满足招标文件要求作投标无效处理。示例，“招标商务条款”共有10项参数，投标人只响应了9项，填写不全，则视为未实质性满足招标文件要求作投标无效处理。</w:t>
      </w:r>
      <w:r>
        <w:rPr>
          <w:rFonts w:hint="eastAsia" w:ascii="Times New Roman" w:hAnsi="Times New Roman" w:cs="Times New Roman"/>
          <w:bCs/>
        </w:rPr>
        <w:t>带★招标商务要求，不允许有任何负偏离，否则将作投标无效处理。</w:t>
      </w:r>
    </w:p>
    <w:p>
      <w:pPr>
        <w:tabs>
          <w:tab w:val="clear" w:pos="426"/>
        </w:tabs>
        <w:spacing w:line="240" w:lineRule="auto"/>
        <w:ind w:firstLine="424" w:firstLineChars="202"/>
        <w:rPr>
          <w:rFonts w:ascii="Times New Roman" w:hAnsi="Times New Roman" w:cs="Times New Roman"/>
        </w:rPr>
      </w:pPr>
      <w:r>
        <w:rPr>
          <w:rFonts w:ascii="Times New Roman" w:hAnsi="Times New Roman" w:cs="Times New Roman"/>
          <w:bCs/>
        </w:rPr>
        <w:t>5．</w:t>
      </w:r>
      <w:r>
        <w:rPr>
          <w:rFonts w:ascii="Times New Roman" w:hAnsi="Times New Roman" w:cs="Times New Roman"/>
        </w:rPr>
        <w:t>投标人所填写的“偏离情况”与评审委员会判定不一致时，以评审委员会意见为主。</w:t>
      </w:r>
    </w:p>
    <w:p>
      <w:pPr>
        <w:tabs>
          <w:tab w:val="clear" w:pos="426"/>
        </w:tabs>
        <w:spacing w:line="240" w:lineRule="auto"/>
        <w:ind w:firstLine="424" w:firstLineChars="202"/>
      </w:pPr>
      <w:r>
        <w:rPr>
          <w:rFonts w:ascii="Times New Roman" w:hAnsi="Times New Roman" w:cs="Times New Roman"/>
        </w:rPr>
        <w:t>6.交货期条款为不可负偏离条款，投标文件响应为“负偏离”的，投标文件将按无效投标处理。</w:t>
      </w:r>
    </w:p>
    <w:p>
      <w:r>
        <w:rPr>
          <w:rFonts w:hint="eastAsia"/>
        </w:rPr>
        <w:br w:type="page"/>
      </w:r>
    </w:p>
    <w:p>
      <w:pPr>
        <w:adjustRightInd/>
        <w:snapToGrid/>
        <w:spacing w:before="280" w:after="290" w:line="377" w:lineRule="auto"/>
        <w:outlineLvl w:val="2"/>
        <w:rPr>
          <w:b/>
          <w:sz w:val="24"/>
        </w:rPr>
      </w:pPr>
      <w:bookmarkStart w:id="144" w:name="_Toc6533"/>
      <w:r>
        <w:rPr>
          <w:rFonts w:hint="eastAsia"/>
          <w:b/>
          <w:sz w:val="24"/>
        </w:rPr>
        <w:t>格式13：投标人综合概况简表</w:t>
      </w:r>
      <w:bookmarkEnd w:id="144"/>
    </w:p>
    <w:p>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投标人综合概况简表</w:t>
      </w:r>
    </w:p>
    <w:p>
      <w:pPr>
        <w:widowControl w:val="0"/>
        <w:shd w:val="clear" w:color="auto" w:fill="auto"/>
        <w:tabs>
          <w:tab w:val="clear" w:pos="426"/>
        </w:tabs>
        <w:adjustRightInd/>
        <w:snapToGrid/>
        <w:rPr>
          <w:rFonts w:cs="Arial"/>
          <w:b/>
          <w:szCs w:val="21"/>
        </w:rPr>
      </w:pPr>
      <w:r>
        <w:rPr>
          <w:rFonts w:hint="eastAsia" w:cs="Arial"/>
          <w:b/>
          <w:szCs w:val="21"/>
        </w:rPr>
        <w:t>一、</w:t>
      </w:r>
      <w:r>
        <w:rPr>
          <w:rFonts w:cs="Arial"/>
          <w:b/>
          <w:szCs w:val="21"/>
        </w:rPr>
        <w:t>公司基本情况</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______________________________</w:t>
      </w:r>
      <w:r>
        <w:rPr>
          <w:rFonts w:cs="Arial"/>
          <w:szCs w:val="21"/>
        </w:rPr>
        <w:t xml:space="preserve">  电话号码：</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地    址：</w:t>
      </w:r>
      <w:r>
        <w:rPr>
          <w:rFonts w:cs="Arial"/>
          <w:szCs w:val="21"/>
          <w:u w:val="single"/>
        </w:rPr>
        <w:t>______________________________</w:t>
      </w:r>
      <w:r>
        <w:rPr>
          <w:rFonts w:cs="Arial"/>
          <w:szCs w:val="21"/>
        </w:rPr>
        <w:t xml:space="preserve">  传    真：</w:t>
      </w:r>
      <w:r>
        <w:rPr>
          <w:rFonts w:cs="Arial"/>
          <w:szCs w:val="21"/>
          <w:u w:val="single"/>
        </w:rPr>
        <w:t>____________________________</w:t>
      </w:r>
    </w:p>
    <w:p>
      <w:pPr>
        <w:widowControl w:val="0"/>
        <w:numPr>
          <w:ilvl w:val="1"/>
          <w:numId w:val="7"/>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经济性质：</w:t>
      </w:r>
      <w:r>
        <w:rPr>
          <w:rFonts w:cs="Arial"/>
          <w:szCs w:val="21"/>
          <w:u w:val="single"/>
        </w:rPr>
        <w:t>______</w:t>
      </w:r>
      <w:r>
        <w:rPr>
          <w:rFonts w:hint="eastAsia" w:cs="Arial"/>
          <w:szCs w:val="21"/>
          <w:u w:val="single"/>
        </w:rPr>
        <w:t>___________________</w:t>
      </w:r>
      <w:r>
        <w:rPr>
          <w:rFonts w:cs="Arial"/>
          <w:szCs w:val="21"/>
          <w:u w:val="single"/>
        </w:rPr>
        <w:t>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公司开户银行名称及账号：</w:t>
      </w:r>
      <w:r>
        <w:rPr>
          <w:rFonts w:hint="eastAsia" w:cs="Arial"/>
          <w:szCs w:val="21"/>
          <w:u w:val="single"/>
        </w:rPr>
        <w:t>________________________________________________________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营业注册执照号：</w:t>
      </w:r>
      <w:r>
        <w:rPr>
          <w:rFonts w:hint="eastAsia" w:cs="Arial"/>
          <w:szCs w:val="21"/>
          <w:u w:val="single"/>
        </w:rPr>
        <w:t>________________________________________________________________</w:t>
      </w:r>
    </w:p>
    <w:p>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公司简介</w:t>
      </w:r>
    </w:p>
    <w:p>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pPr>
        <w:tabs>
          <w:tab w:val="clear" w:pos="426"/>
        </w:tabs>
        <w:spacing w:line="440" w:lineRule="exact"/>
        <w:rPr>
          <w:b/>
          <w:bCs/>
        </w:rPr>
      </w:pPr>
    </w:p>
    <w:p>
      <w:pPr>
        <w:rPr>
          <w:b/>
          <w:bCs/>
        </w:rPr>
      </w:pPr>
      <w:r>
        <w:rPr>
          <w:rFonts w:hint="eastAsia"/>
          <w:b/>
          <w:bCs/>
        </w:rPr>
        <w:br w:type="page"/>
      </w:r>
    </w:p>
    <w:p>
      <w:pPr>
        <w:adjustRightInd/>
        <w:snapToGrid/>
        <w:spacing w:before="280" w:after="290" w:line="377" w:lineRule="auto"/>
        <w:outlineLvl w:val="2"/>
        <w:rPr>
          <w:b/>
          <w:sz w:val="24"/>
        </w:rPr>
      </w:pPr>
      <w:bookmarkStart w:id="145" w:name="_Toc22664"/>
      <w:r>
        <w:rPr>
          <w:rFonts w:hint="eastAsia"/>
          <w:b/>
          <w:sz w:val="24"/>
        </w:rPr>
        <w:t>格式14：企业类型声明函</w:t>
      </w:r>
      <w:bookmarkEnd w:id="145"/>
    </w:p>
    <w:p>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141"/>
          <w:rFonts w:ascii="Times New Roman" w:hAnsi="Times New Roman" w:cs="Times New Roman"/>
          <w:color w:val="auto"/>
        </w:rPr>
        <w:t>-</w:t>
      </w:r>
      <w:r>
        <w:fldChar w:fldCharType="begin"/>
      </w:r>
      <w:r>
        <w:instrText xml:space="preserve"> HYPERLINK "http://www.szsszx.com/Files/Editor/file/202106041655230146.rar" </w:instrText>
      </w:r>
      <w:r>
        <w:fldChar w:fldCharType="separate"/>
      </w:r>
      <w:r>
        <w:rPr>
          <w:rStyle w:val="141"/>
          <w:rFonts w:ascii="Times New Roman" w:hAnsi="Times New Roman" w:cs="Times New Roman"/>
          <w:bCs/>
          <w:color w:val="auto"/>
          <w:szCs w:val="21"/>
        </w:rPr>
        <w:t>点此下载</w:t>
      </w:r>
      <w:r>
        <w:rPr>
          <w:rStyle w:val="141"/>
          <w:rFonts w:ascii="Times New Roman" w:hAnsi="Times New Roman" w:cs="Times New Roman"/>
          <w:bCs/>
          <w:color w:val="auto"/>
          <w:szCs w:val="21"/>
        </w:rPr>
        <w:fldChar w:fldCharType="end"/>
      </w:r>
      <w:r>
        <w:rPr>
          <w:rStyle w:val="141"/>
          <w:rFonts w:ascii="Times New Roman" w:hAnsi="Times New Roman" w:cs="Times New Roman"/>
          <w:color w:val="auto"/>
        </w:rPr>
        <w:t>-</w:t>
      </w:r>
      <w:r>
        <w:rPr>
          <w:rFonts w:ascii="Times New Roman" w:hAnsi="Times New Roman" w:cs="Times New Roman"/>
          <w:bCs/>
          <w:szCs w:val="21"/>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hAnsi="Times New Roman" w:cs="Times New Roman"/>
          <w:bCs/>
          <w:szCs w:val="21"/>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pPr>
        <w:spacing w:line="240" w:lineRule="auto"/>
        <w:ind w:firstLine="422" w:firstLineChars="200"/>
        <w:rPr>
          <w:rFonts w:ascii="Times New Roman" w:hAnsi="Times New Roman" w:cs="Times New Roman"/>
          <w:b/>
          <w:bCs/>
        </w:rPr>
      </w:pPr>
      <w:r>
        <w:rPr>
          <w:rFonts w:ascii="Times New Roman" w:hAnsi="Times New Roman" w:cs="Times New Roman"/>
          <w:b/>
          <w:bCs/>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rPr>
        <w:t>。</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（2）声明是监狱企业须填写《监狱企业声明函》的三项内容（填写位置的字体已加粗），具体参照以上《中小企业声明函》填写要求执行。 </w:t>
      </w:r>
    </w:p>
    <w:p>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（一）中小企业声明函（样表）</w:t>
      </w:r>
    </w:p>
    <w:p>
      <w:pPr>
        <w:spacing w:line="240" w:lineRule="auto"/>
        <w:ind w:firstLine="420" w:firstLineChars="200"/>
        <w:jc w:val="left"/>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b/>
          <w:bCs/>
          <w:szCs w:val="21"/>
          <w:u w:val="single"/>
        </w:rPr>
        <w:t xml:space="preserve"> </w:t>
      </w:r>
      <w:r>
        <w:rPr>
          <w:rFonts w:ascii="Times New Roman" w:hAnsi="Times New Roman" w:cs="Times New Roman"/>
          <w:b/>
          <w:bCs/>
          <w:szCs w:val="21"/>
          <w:u w:val="single"/>
        </w:rPr>
        <w:t xml:space="preserve">(采购单位名称) </w:t>
      </w:r>
      <w:r>
        <w:rPr>
          <w:rFonts w:ascii="Times New Roman" w:hAnsi="Times New Roman" w:cs="Times New Roman"/>
          <w:szCs w:val="21"/>
        </w:rPr>
        <w:t>的</w:t>
      </w:r>
      <w:r>
        <w:rPr>
          <w:rFonts w:ascii="Times New Roman" w:hAnsi="Times New Roman" w:cs="Times New Roman"/>
          <w:b/>
          <w:bCs/>
          <w:szCs w:val="21"/>
          <w:u w:val="single"/>
        </w:rPr>
        <w:t>（采购项目名称）</w:t>
      </w:r>
      <w:r>
        <w:rPr>
          <w:rFonts w:hint="eastAsia" w:ascii="Times New Roman" w:hAnsi="Times New Roman" w:cs="Times New Roman"/>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企业名称（盖章）：</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日期：</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w:t>
      </w:r>
      <w:r>
        <w:rPr>
          <w:rFonts w:ascii="Times New Roman" w:hAnsi="Times New Roman" w:cs="Times New Roman"/>
          <w:b/>
          <w:bCs/>
          <w:szCs w:val="21"/>
        </w:rPr>
        <w:t>;□提供其他监狱企业制造的货物（承诺人在□处打√）</w:t>
      </w:r>
      <w:r>
        <w:rPr>
          <w:rFonts w:ascii="Times New Roman" w:hAnsi="Times New Roman" w:cs="Times New Roman"/>
          <w:szCs w:val="21"/>
        </w:rPr>
        <w:t>。本条所称货物是指单一产品采购项目中的货物，或者非单一产品采购项目中的核心产品（货物）。</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ind w:firstLine="420"/>
        <w:rPr>
          <w:rFonts w:ascii="Times New Roman" w:hAnsi="Times New Roman" w:cs="Times New Roman"/>
        </w:rPr>
      </w:pPr>
    </w:p>
    <w:p>
      <w:pPr>
        <w:ind w:firstLine="420"/>
        <w:rPr>
          <w:rFonts w:ascii="Times New Roman" w:hAnsi="Times New Roman" w:cs="Times New Roman"/>
        </w:rPr>
      </w:pPr>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w:t>
      </w:r>
      <w:r>
        <w:rPr>
          <w:rFonts w:hint="eastAsia" w:ascii="Times New Roman" w:hAnsi="Times New Roman" w:cs="Times New Roman"/>
          <w:b/>
          <w:sz w:val="32"/>
          <w:szCs w:val="32"/>
        </w:rPr>
        <w:t>三</w:t>
      </w:r>
      <w:r>
        <w:rPr>
          <w:rFonts w:ascii="Times New Roman" w:hAnsi="Times New Roman" w:cs="Times New Roman"/>
          <w:b/>
          <w:sz w:val="32"/>
          <w:szCs w:val="32"/>
        </w:rPr>
        <w:t>）含有小型、微型企业的联合体声明函（样表）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w:t>
      </w:r>
      <w:r>
        <w:rPr>
          <w:rFonts w:ascii="Times New Roman" w:hAnsi="Times New Roman" w:cs="Times New Roman"/>
          <w:b/>
          <w:bCs/>
          <w:szCs w:val="21"/>
        </w:rPr>
        <w:t>□小微企业制造的货物</w:t>
      </w:r>
      <w:r>
        <w:rPr>
          <w:rFonts w:ascii="Times New Roman" w:hAnsi="Times New Roman" w:cs="Times New Roman"/>
          <w:szCs w:val="21"/>
        </w:rPr>
        <w:t>，□小微企业承担的工程、提供服务，</w:t>
      </w:r>
      <w:r>
        <w:rPr>
          <w:rFonts w:ascii="Times New Roman" w:hAnsi="Times New Roman" w:cs="Times New Roman"/>
          <w:b/>
          <w:bCs/>
          <w:szCs w:val="21"/>
        </w:rPr>
        <w:t>□提供其他小微企业制造的货物；不包括使用大型企业注册商标的货物</w:t>
      </w:r>
      <w:r>
        <w:rPr>
          <w:rFonts w:ascii="Times New Roman" w:hAnsi="Times New Roman" w:cs="Times New Roman"/>
          <w:szCs w:val="21"/>
        </w:rPr>
        <w:t>；请承诺人在□处打√），符合《政府采购促进中小企业发展暂行办法》(财库〔2011〕181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pPr>
        <w:rPr>
          <w:szCs w:val="21"/>
        </w:rPr>
      </w:pPr>
      <w:r>
        <w:rPr>
          <w:rFonts w:hint="eastAsia"/>
          <w:szCs w:val="21"/>
        </w:rPr>
        <w:br w:type="page"/>
      </w:r>
    </w:p>
    <w:p>
      <w:pPr>
        <w:adjustRightInd/>
        <w:snapToGrid/>
        <w:spacing w:before="280" w:after="290" w:line="377" w:lineRule="auto"/>
        <w:outlineLvl w:val="2"/>
        <w:rPr>
          <w:b/>
          <w:sz w:val="24"/>
        </w:rPr>
      </w:pPr>
      <w:bookmarkStart w:id="146" w:name="_Toc17528"/>
      <w:r>
        <w:rPr>
          <w:rFonts w:hint="eastAsia"/>
          <w:b/>
          <w:sz w:val="24"/>
        </w:rPr>
        <w:t>格式15：残疾人福利性单位声明函</w:t>
      </w:r>
      <w:bookmarkEnd w:id="146"/>
    </w:p>
    <w:p>
      <w:pPr>
        <w:tabs>
          <w:tab w:val="clear" w:pos="426"/>
        </w:tabs>
        <w:spacing w:line="240" w:lineRule="auto"/>
        <w:ind w:left="-2" w:leftChars="-1" w:firstLine="420" w:firstLineChars="200"/>
        <w:rPr>
          <w:rFonts w:ascii="Times New Roman" w:hAnsi="Times New Roman" w:cs="Times New Roman"/>
          <w:bCs/>
          <w:szCs w:val="21"/>
        </w:rPr>
      </w:pPr>
      <w:r>
        <w:rPr>
          <w:rFonts w:hint="eastAsia" w:ascii="Times New Roman" w:hAnsi="Times New Roman" w:cs="Times New Roman"/>
          <w:bCs/>
          <w:szCs w:val="21"/>
        </w:rPr>
        <w:t>填写指引：声明是残疾人福利性单位须填写《残疾人福利性单位声明函》的三项内容（填写位置的字体已加粗），具体参照以上《中小企业声明函》填写要求执行。</w:t>
      </w:r>
    </w:p>
    <w:p/>
    <w:p>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pPr>
        <w:spacing w:line="240" w:lineRule="auto"/>
        <w:ind w:firstLine="420" w:firstLineChars="200"/>
        <w:rPr>
          <w:rFonts w:ascii="Times New Roman" w:hAnsi="Times New Roman" w:cs="Times New Roman"/>
          <w:szCs w:val="21"/>
        </w:rPr>
      </w:pPr>
    </w:p>
    <w:p>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b/>
          <w:bCs/>
          <w:szCs w:val="21"/>
        </w:rPr>
        <w:t>□本单位制造的货物</w:t>
      </w:r>
      <w:r>
        <w:rPr>
          <w:rFonts w:ascii="Times New Roman" w:hAnsi="Times New Roman" w:cs="Times New Roman"/>
          <w:szCs w:val="21"/>
        </w:rPr>
        <w:t>;□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pPr>
        <w:tabs>
          <w:tab w:val="clear" w:pos="426"/>
        </w:tabs>
        <w:spacing w:line="440" w:lineRule="exact"/>
        <w:rPr>
          <w:b/>
          <w:bCs/>
        </w:rPr>
      </w:pPr>
    </w:p>
    <w:p>
      <w:pPr>
        <w:shd w:val="clear" w:color="auto" w:fill="auto"/>
        <w:tabs>
          <w:tab w:val="clear" w:pos="426"/>
        </w:tabs>
        <w:adjustRightInd/>
        <w:snapToGrid/>
        <w:spacing w:line="240" w:lineRule="auto"/>
        <w:jc w:val="left"/>
        <w:rPr>
          <w:b/>
          <w:bCs/>
        </w:rPr>
      </w:pPr>
      <w:r>
        <w:rPr>
          <w:rFonts w:hint="eastAsia"/>
          <w:b/>
          <w:bCs/>
        </w:rPr>
        <w:br w:type="page"/>
      </w:r>
    </w:p>
    <w:p>
      <w:pPr>
        <w:adjustRightInd/>
        <w:snapToGrid/>
        <w:spacing w:before="280" w:after="290" w:line="377" w:lineRule="auto"/>
        <w:outlineLvl w:val="2"/>
        <w:rPr>
          <w:b/>
          <w:sz w:val="24"/>
        </w:rPr>
      </w:pPr>
      <w:bookmarkStart w:id="147" w:name="_Toc14001"/>
      <w:r>
        <w:rPr>
          <w:rFonts w:hint="eastAsia"/>
          <w:b/>
          <w:sz w:val="24"/>
        </w:rPr>
        <w:t>格式16：同类项目业绩情况</w:t>
      </w:r>
      <w:bookmarkEnd w:id="147"/>
    </w:p>
    <w:tbl>
      <w:tblPr>
        <w:tblStyle w:val="8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2021"/>
        <w:gridCol w:w="1487"/>
        <w:gridCol w:w="1487"/>
        <w:gridCol w:w="1488"/>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rFonts w:hint="eastAsia"/>
                <w:b/>
                <w:bCs/>
              </w:rPr>
              <w:t>序号</w:t>
            </w:r>
          </w:p>
        </w:tc>
        <w:tc>
          <w:tcPr>
            <w:tcW w:w="2021" w:type="dxa"/>
            <w:vAlign w:val="center"/>
          </w:tcPr>
          <w:p>
            <w:pPr>
              <w:widowControl w:val="0"/>
              <w:shd w:val="clear" w:color="auto" w:fill="auto"/>
              <w:tabs>
                <w:tab w:val="clear" w:pos="426"/>
              </w:tabs>
              <w:spacing w:line="240" w:lineRule="auto"/>
              <w:jc w:val="center"/>
              <w:rPr>
                <w:b/>
                <w:bCs/>
              </w:rPr>
            </w:pPr>
            <w:r>
              <w:rPr>
                <w:rFonts w:hint="eastAsia"/>
                <w:b/>
                <w:bCs/>
              </w:rPr>
              <w:t>项目名称</w:t>
            </w:r>
          </w:p>
        </w:tc>
        <w:tc>
          <w:tcPr>
            <w:tcW w:w="1487" w:type="dxa"/>
            <w:vAlign w:val="center"/>
          </w:tcPr>
          <w:p>
            <w:pPr>
              <w:widowControl w:val="0"/>
              <w:shd w:val="clear" w:color="auto" w:fill="auto"/>
              <w:tabs>
                <w:tab w:val="clear" w:pos="426"/>
              </w:tabs>
              <w:spacing w:line="240" w:lineRule="auto"/>
              <w:jc w:val="center"/>
              <w:rPr>
                <w:b/>
                <w:bCs/>
              </w:rPr>
            </w:pPr>
            <w:r>
              <w:rPr>
                <w:rFonts w:hint="eastAsia"/>
                <w:b/>
                <w:bCs/>
              </w:rPr>
              <w:t>合同金额</w:t>
            </w:r>
          </w:p>
        </w:tc>
        <w:tc>
          <w:tcPr>
            <w:tcW w:w="1487" w:type="dxa"/>
            <w:vAlign w:val="center"/>
          </w:tcPr>
          <w:p>
            <w:pPr>
              <w:widowControl w:val="0"/>
              <w:shd w:val="clear" w:color="auto" w:fill="auto"/>
              <w:tabs>
                <w:tab w:val="clear" w:pos="426"/>
              </w:tabs>
              <w:spacing w:line="240" w:lineRule="auto"/>
              <w:jc w:val="center"/>
              <w:rPr>
                <w:b/>
                <w:bCs/>
              </w:rPr>
            </w:pPr>
            <w:r>
              <w:rPr>
                <w:rFonts w:hint="eastAsia"/>
                <w:b/>
                <w:bCs/>
              </w:rPr>
              <w:t>签约日期</w:t>
            </w:r>
          </w:p>
        </w:tc>
        <w:tc>
          <w:tcPr>
            <w:tcW w:w="1488" w:type="dxa"/>
            <w:vAlign w:val="center"/>
          </w:tcPr>
          <w:p>
            <w:pPr>
              <w:widowControl w:val="0"/>
              <w:shd w:val="clear" w:color="auto" w:fill="auto"/>
              <w:tabs>
                <w:tab w:val="clear" w:pos="426"/>
              </w:tabs>
              <w:spacing w:line="240" w:lineRule="auto"/>
              <w:jc w:val="center"/>
              <w:rPr>
                <w:b/>
                <w:bCs/>
              </w:rPr>
            </w:pPr>
            <w:r>
              <w:rPr>
                <w:rFonts w:hint="eastAsia"/>
                <w:b/>
                <w:bCs/>
              </w:rPr>
              <w:t>完工验收结果</w:t>
            </w:r>
          </w:p>
        </w:tc>
        <w:tc>
          <w:tcPr>
            <w:tcW w:w="1488" w:type="dxa"/>
            <w:vAlign w:val="center"/>
          </w:tcPr>
          <w:p>
            <w:pPr>
              <w:widowControl w:val="0"/>
              <w:shd w:val="clear" w:color="auto" w:fill="auto"/>
              <w:tabs>
                <w:tab w:val="clear" w:pos="426"/>
              </w:tabs>
              <w:spacing w:line="240" w:lineRule="auto"/>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rFonts w:hint="eastAsia"/>
                <w:b/>
                <w:bCs/>
              </w:rPr>
              <w:t>1</w:t>
            </w:r>
          </w:p>
        </w:tc>
        <w:tc>
          <w:tcPr>
            <w:tcW w:w="2021"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rFonts w:hint="eastAsia"/>
                <w:b/>
                <w:bCs/>
              </w:rPr>
              <w:t>2</w:t>
            </w:r>
          </w:p>
        </w:tc>
        <w:tc>
          <w:tcPr>
            <w:tcW w:w="2021"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rFonts w:hint="eastAsia"/>
                <w:b/>
                <w:bCs/>
              </w:rPr>
              <w:t>3</w:t>
            </w:r>
          </w:p>
        </w:tc>
        <w:tc>
          <w:tcPr>
            <w:tcW w:w="2021"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 w:type="dxa"/>
            <w:vAlign w:val="center"/>
          </w:tcPr>
          <w:p>
            <w:pPr>
              <w:widowControl w:val="0"/>
              <w:shd w:val="clear" w:color="auto" w:fill="auto"/>
              <w:tabs>
                <w:tab w:val="clear" w:pos="426"/>
              </w:tabs>
              <w:spacing w:line="240" w:lineRule="auto"/>
              <w:jc w:val="center"/>
              <w:rPr>
                <w:b/>
                <w:bCs/>
              </w:rPr>
            </w:pPr>
            <w:r>
              <w:rPr>
                <w:b/>
                <w:bCs/>
              </w:rPr>
              <w:t>……</w:t>
            </w:r>
          </w:p>
        </w:tc>
        <w:tc>
          <w:tcPr>
            <w:tcW w:w="2021"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7"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c>
          <w:tcPr>
            <w:tcW w:w="1488" w:type="dxa"/>
            <w:vAlign w:val="center"/>
          </w:tcPr>
          <w:p>
            <w:pPr>
              <w:widowControl w:val="0"/>
              <w:shd w:val="clear" w:color="auto" w:fill="auto"/>
              <w:tabs>
                <w:tab w:val="clear" w:pos="426"/>
              </w:tabs>
              <w:spacing w:line="240" w:lineRule="auto"/>
              <w:jc w:val="center"/>
              <w:rPr>
                <w:b/>
                <w:bCs/>
              </w:rPr>
            </w:pPr>
          </w:p>
        </w:tc>
      </w:tr>
    </w:tbl>
    <w:p>
      <w:pPr>
        <w:tabs>
          <w:tab w:val="clear" w:pos="426"/>
        </w:tabs>
        <w:spacing w:line="440" w:lineRule="exact"/>
        <w:rPr>
          <w:b/>
          <w:bCs/>
        </w:rPr>
      </w:pPr>
      <w:r>
        <w:rPr>
          <w:rFonts w:hint="eastAsia"/>
          <w:b/>
          <w:bCs/>
        </w:rPr>
        <w:t>备注：1.以上表格格式可根据评审表的要求调整，业绩证明材料及其他相关资料附后。</w:t>
      </w:r>
    </w:p>
    <w:p>
      <w:pPr>
        <w:shd w:val="clear" w:color="auto" w:fill="auto"/>
        <w:tabs>
          <w:tab w:val="clear" w:pos="426"/>
        </w:tabs>
        <w:adjustRightInd/>
        <w:snapToGrid/>
        <w:spacing w:line="240" w:lineRule="auto"/>
        <w:jc w:val="left"/>
        <w:rPr>
          <w:b/>
          <w:bCs/>
        </w:rPr>
      </w:pPr>
      <w:r>
        <w:rPr>
          <w:rFonts w:hint="eastAsia"/>
          <w:b/>
          <w:bCs/>
        </w:rPr>
        <w:br w:type="page"/>
      </w:r>
    </w:p>
    <w:p>
      <w:pPr>
        <w:adjustRightInd/>
        <w:snapToGrid/>
        <w:spacing w:before="280" w:after="290" w:line="377" w:lineRule="auto"/>
        <w:outlineLvl w:val="2"/>
        <w:rPr>
          <w:b/>
          <w:sz w:val="24"/>
        </w:rPr>
      </w:pPr>
      <w:bookmarkStart w:id="148" w:name="_Toc27416"/>
      <w:r>
        <w:rPr>
          <w:rFonts w:hint="eastAsia"/>
          <w:b/>
          <w:sz w:val="24"/>
        </w:rPr>
        <w:t>格式17：相关认证情况</w:t>
      </w:r>
      <w:bookmarkEnd w:id="148"/>
    </w:p>
    <w:p>
      <w:pPr>
        <w:tabs>
          <w:tab w:val="clear" w:pos="426"/>
        </w:tabs>
        <w:spacing w:line="440" w:lineRule="exact"/>
        <w:rPr>
          <w:b/>
          <w:bCs/>
        </w:rPr>
      </w:pPr>
    </w:p>
    <w:p>
      <w:pPr>
        <w:tabs>
          <w:tab w:val="clear" w:pos="426"/>
        </w:tabs>
        <w:spacing w:line="440" w:lineRule="exact"/>
        <w:rPr>
          <w:b/>
          <w:szCs w:val="21"/>
        </w:rPr>
      </w:pPr>
      <w:r>
        <w:rPr>
          <w:rFonts w:hint="eastAsia"/>
          <w:b/>
          <w:bCs/>
        </w:rPr>
        <w:t>备注：以上节点请</w:t>
      </w:r>
      <w:r>
        <w:rPr>
          <w:rFonts w:hint="eastAsia"/>
          <w:b/>
          <w:szCs w:val="21"/>
        </w:rPr>
        <w:t>根据评审表的要求提交相应资料，格式自拟。</w:t>
      </w:r>
      <w:bookmarkEnd w:id="103"/>
      <w:bookmarkEnd w:id="104"/>
      <w:bookmarkEnd w:id="105"/>
      <w:bookmarkEnd w:id="106"/>
    </w:p>
    <w:p>
      <w:pPr>
        <w:pStyle w:val="81"/>
        <w:tabs>
          <w:tab w:val="clear" w:pos="426"/>
        </w:tabs>
      </w:pPr>
      <w:r>
        <w:br w:type="page"/>
      </w:r>
      <w:bookmarkStart w:id="149" w:name="_Toc14427253"/>
      <w:bookmarkStart w:id="150" w:name="_Toc530152521"/>
      <w:bookmarkStart w:id="151" w:name="_Toc25882"/>
      <w:r>
        <w:rPr>
          <w:rFonts w:hint="eastAsia"/>
        </w:rPr>
        <w:t>招标文件第二册（通用</w:t>
      </w:r>
      <w:bookmarkEnd w:id="149"/>
      <w:bookmarkEnd w:id="150"/>
      <w:r>
        <w:rPr>
          <w:rFonts w:hint="eastAsia"/>
        </w:rPr>
        <w:t>部分）</w:t>
      </w:r>
      <w:bookmarkEnd w:id="151"/>
    </w:p>
    <w:p>
      <w:pPr>
        <w:jc w:val="center"/>
        <w:rPr>
          <w:b/>
        </w:rPr>
      </w:pPr>
      <w:r>
        <w:rPr>
          <w:rFonts w:hint="eastAsia"/>
          <w:b/>
        </w:rPr>
        <w:t>（投标供应商须知）</w:t>
      </w:r>
    </w:p>
    <w:p>
      <w:pPr>
        <w:pStyle w:val="5"/>
      </w:pPr>
      <w:bookmarkStart w:id="152" w:name="_Toc530152522"/>
      <w:bookmarkStart w:id="153" w:name="_Toc14427254"/>
      <w:bookmarkStart w:id="154" w:name="_Toc18466"/>
      <w:bookmarkStart w:id="155" w:name="_Toc529280581"/>
      <w:r>
        <w:rPr>
          <w:rFonts w:hint="eastAsia"/>
        </w:rPr>
        <w:t>第一章 总则</w:t>
      </w:r>
      <w:bookmarkEnd w:id="152"/>
      <w:bookmarkEnd w:id="153"/>
      <w:bookmarkEnd w:id="154"/>
      <w:bookmarkEnd w:id="155"/>
    </w:p>
    <w:p>
      <w:pPr>
        <w:tabs>
          <w:tab w:val="clear" w:pos="426"/>
        </w:tabs>
      </w:pPr>
      <w:r>
        <w:rPr>
          <w:rFonts w:hint="eastAsia"/>
        </w:rPr>
        <w:t>1.通用条款说明</w:t>
      </w:r>
    </w:p>
    <w:p>
      <w:pPr>
        <w:tabs>
          <w:tab w:val="clear" w:pos="426"/>
        </w:tabs>
      </w:pPr>
      <w:r>
        <w:rPr>
          <w:rFonts w:hint="eastAsia"/>
        </w:rPr>
        <w:t>1.1采购代理机构发出招标文件通用条款版本，列出采购项目进行招标采购所适用的通用条款内容。如有需要，采购代理机构可以对这些条款增加附录或补充内容。</w:t>
      </w:r>
    </w:p>
    <w:p>
      <w:pPr>
        <w:tabs>
          <w:tab w:val="clear" w:pos="426"/>
        </w:tabs>
      </w:pPr>
      <w:r>
        <w:rPr>
          <w:rFonts w:hint="eastAsia"/>
        </w:rPr>
        <w:t>2</w:t>
      </w:r>
      <w:r>
        <w:t>．</w:t>
      </w:r>
      <w:r>
        <w:rPr>
          <w:rFonts w:hint="eastAsia"/>
        </w:rPr>
        <w:t>招标说明</w:t>
      </w:r>
    </w:p>
    <w:p>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pPr>
        <w:tabs>
          <w:tab w:val="clear" w:pos="426"/>
        </w:tabs>
        <w:rPr>
          <w:szCs w:val="21"/>
        </w:rPr>
      </w:pPr>
      <w:r>
        <w:rPr>
          <w:rFonts w:hint="eastAsia"/>
          <w:szCs w:val="21"/>
        </w:rPr>
        <w:t>本招标文件的解释权归属深圳市深水水务咨询有限公司。</w:t>
      </w:r>
    </w:p>
    <w:p>
      <w:pPr>
        <w:tabs>
          <w:tab w:val="clear" w:pos="426"/>
        </w:tabs>
      </w:pPr>
      <w:r>
        <w:t>3．定义</w:t>
      </w:r>
    </w:p>
    <w:p>
      <w:pPr>
        <w:tabs>
          <w:tab w:val="clear" w:pos="426"/>
        </w:tabs>
      </w:pPr>
      <w:r>
        <w:t>招标文件中下列术语应解释为：</w:t>
      </w:r>
    </w:p>
    <w:p>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w:t>
      </w:r>
      <w:r>
        <w:t>系指</w:t>
      </w:r>
      <w:r>
        <w:rPr>
          <w:rFonts w:hint="eastAsia"/>
        </w:rPr>
        <w:t>深圳市深水水务咨询有限公司；</w:t>
      </w:r>
    </w:p>
    <w:p>
      <w:pPr>
        <w:tabs>
          <w:tab w:val="clear" w:pos="426"/>
        </w:tabs>
      </w:pPr>
      <w:r>
        <w:t xml:space="preserve">3.2“采购人”或“采购单位”：系指利用财政性资金依法进行采购的国家机关、事业单位、团体组织； </w:t>
      </w:r>
    </w:p>
    <w:p>
      <w:pPr>
        <w:tabs>
          <w:tab w:val="clear" w:pos="426"/>
        </w:tabs>
      </w:pPr>
      <w:r>
        <w:t>3.3“投标供应商”或“投标方”，即供应商，是指参加投标竞争并愿意按照招标文件要求向采购人提供货物、工程或者服务的依法成立的法人、其他组织或者自然人；</w:t>
      </w:r>
    </w:p>
    <w:p>
      <w:pPr>
        <w:tabs>
          <w:tab w:val="clear" w:pos="426"/>
        </w:tabs>
      </w:pPr>
      <w:r>
        <w:t>3.4“评标委员会”和“谈判小组”是依据有关规定组建的专门负责本次招标其评标（谈判）工作的临时性机构；</w:t>
      </w:r>
    </w:p>
    <w:p>
      <w:pPr>
        <w:tabs>
          <w:tab w:val="clear" w:pos="426"/>
        </w:tabs>
      </w:pPr>
      <w:r>
        <w:t>3.5“日期”指</w:t>
      </w:r>
      <w:r>
        <w:rPr>
          <w:rFonts w:hint="eastAsia"/>
        </w:rPr>
        <w:t>公历日；</w:t>
      </w:r>
    </w:p>
    <w:p>
      <w:pPr>
        <w:tabs>
          <w:tab w:val="clear" w:pos="426"/>
        </w:tabs>
      </w:pPr>
      <w:r>
        <w:t>3.6“合同”指由本次招标所产生的合同或合约文件；</w:t>
      </w:r>
    </w:p>
    <w:p>
      <w:pPr>
        <w:tabs>
          <w:tab w:val="clear" w:pos="426"/>
        </w:tabs>
      </w:pPr>
      <w:r>
        <w:t>3.7招标文件中的标题或题名仅起引导作用，而不应视为对招标文件内容的理解和解释。</w:t>
      </w:r>
    </w:p>
    <w:p>
      <w:pPr>
        <w:tabs>
          <w:tab w:val="clear" w:pos="426"/>
        </w:tabs>
      </w:pPr>
      <w:r>
        <w:t>4.</w:t>
      </w:r>
      <w:r>
        <w:rPr>
          <w:rFonts w:hint="eastAsia"/>
        </w:rPr>
        <w:t>供应商责任</w:t>
      </w:r>
    </w:p>
    <w:p>
      <w:pPr>
        <w:tabs>
          <w:tab w:val="clear" w:pos="426"/>
        </w:tabs>
      </w:pPr>
      <w:r>
        <w:t>4.1欢迎诚信、有实力和有社会责任心的供应商参与采购事业。</w:t>
      </w:r>
    </w:p>
    <w:p>
      <w:pPr>
        <w:tabs>
          <w:tab w:val="clear" w:pos="426"/>
        </w:tabs>
      </w:pPr>
      <w: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pPr>
        <w:tabs>
          <w:tab w:val="clear" w:pos="426"/>
        </w:tabs>
      </w:pPr>
      <w:r>
        <w:t>5．合格的投标供应商</w:t>
      </w:r>
    </w:p>
    <w:p>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投标供应商是响应招标并且符合招标文件规定资格条件和参加投标竞争的法人、其他组织或者自然人。</w:t>
      </w:r>
    </w:p>
    <w:p>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pPr>
        <w:widowControl w:val="0"/>
        <w:shd w:val="clear" w:color="auto" w:fill="auto"/>
        <w:tabs>
          <w:tab w:val="clear" w:pos="426"/>
        </w:tabs>
        <w:autoSpaceDE w:val="0"/>
        <w:autoSpaceDN w:val="0"/>
        <w:rPr>
          <w:szCs w:val="21"/>
        </w:rPr>
      </w:pPr>
      <w:r>
        <w:rPr>
          <w:szCs w:val="21"/>
        </w:rPr>
        <w:t>5.2.1 具有独立承担民事责任的能力。</w:t>
      </w:r>
    </w:p>
    <w:p>
      <w:pPr>
        <w:widowControl w:val="0"/>
        <w:shd w:val="clear" w:color="auto" w:fill="auto"/>
        <w:tabs>
          <w:tab w:val="clear" w:pos="426"/>
        </w:tabs>
        <w:autoSpaceDE w:val="0"/>
        <w:autoSpaceDN w:val="0"/>
        <w:rPr>
          <w:szCs w:val="21"/>
        </w:rPr>
      </w:pPr>
      <w:r>
        <w:rPr>
          <w:szCs w:val="21"/>
        </w:rPr>
        <w:t>5.2.2 具有良好的商业信誉和健全的财务会计制度</w:t>
      </w:r>
      <w:r>
        <w:rPr>
          <w:rFonts w:hint="eastAsia"/>
          <w:szCs w:val="21"/>
        </w:rPr>
        <w:t>。</w:t>
      </w:r>
    </w:p>
    <w:p>
      <w:pPr>
        <w:widowControl w:val="0"/>
        <w:shd w:val="clear" w:color="auto" w:fill="auto"/>
        <w:tabs>
          <w:tab w:val="clear" w:pos="426"/>
        </w:tabs>
        <w:autoSpaceDE w:val="0"/>
        <w:autoSpaceDN w:val="0"/>
        <w:rPr>
          <w:szCs w:val="21"/>
        </w:rPr>
      </w:pPr>
      <w:r>
        <w:rPr>
          <w:szCs w:val="21"/>
        </w:rPr>
        <w:t>5.2.3 具有履行合同所必需的</w:t>
      </w:r>
      <w:r>
        <w:rPr>
          <w:rFonts w:hint="eastAsia"/>
          <w:szCs w:val="21"/>
        </w:rPr>
        <w:t>设备</w:t>
      </w:r>
      <w:r>
        <w:rPr>
          <w:szCs w:val="21"/>
        </w:rPr>
        <w:t>和专业技术能力</w:t>
      </w:r>
      <w:r>
        <w:rPr>
          <w:rFonts w:hint="eastAsia"/>
          <w:szCs w:val="21"/>
        </w:rPr>
        <w:t>。</w:t>
      </w:r>
    </w:p>
    <w:p>
      <w:pPr>
        <w:widowControl w:val="0"/>
        <w:shd w:val="clear" w:color="auto" w:fill="auto"/>
        <w:tabs>
          <w:tab w:val="clear" w:pos="426"/>
        </w:tabs>
        <w:autoSpaceDE w:val="0"/>
        <w:autoSpaceDN w:val="0"/>
        <w:rPr>
          <w:szCs w:val="21"/>
        </w:rPr>
      </w:pPr>
      <w:r>
        <w:rPr>
          <w:szCs w:val="21"/>
        </w:rPr>
        <w:t>5.2.4 有依法缴纳税收和社会保障资金的良好记录</w:t>
      </w:r>
      <w:r>
        <w:rPr>
          <w:rFonts w:hint="eastAsia"/>
          <w:szCs w:val="21"/>
        </w:rPr>
        <w:t>。</w:t>
      </w:r>
    </w:p>
    <w:p>
      <w:pPr>
        <w:widowControl w:val="0"/>
        <w:shd w:val="clear" w:color="auto" w:fill="auto"/>
        <w:tabs>
          <w:tab w:val="clear" w:pos="426"/>
        </w:tabs>
        <w:autoSpaceDE w:val="0"/>
        <w:autoSpaceDN w:val="0"/>
        <w:rPr>
          <w:szCs w:val="21"/>
        </w:rPr>
      </w:pPr>
      <w:r>
        <w:rPr>
          <w:szCs w:val="21"/>
        </w:rPr>
        <w:t>5.2.5 参加采购活动前三年内，在经营活动中没有重大违法记录</w:t>
      </w:r>
      <w:r>
        <w:rPr>
          <w:rFonts w:hint="eastAsia"/>
          <w:szCs w:val="21"/>
        </w:rPr>
        <w:t>。</w:t>
      </w:r>
    </w:p>
    <w:p>
      <w:pPr>
        <w:widowControl w:val="0"/>
        <w:shd w:val="clear" w:color="auto" w:fill="auto"/>
        <w:tabs>
          <w:tab w:val="clear" w:pos="426"/>
        </w:tabs>
        <w:autoSpaceDE w:val="0"/>
        <w:autoSpaceDN w:val="0"/>
        <w:rPr>
          <w:szCs w:val="21"/>
        </w:rPr>
      </w:pPr>
      <w:r>
        <w:rPr>
          <w:szCs w:val="21"/>
        </w:rPr>
        <w:t>5.2.6 法律、行政法规规定的其他条件</w:t>
      </w:r>
      <w:r>
        <w:rPr>
          <w:rFonts w:hint="eastAsia"/>
          <w:szCs w:val="21"/>
        </w:rPr>
        <w:t>。</w:t>
      </w:r>
    </w:p>
    <w:p>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只有在法律上和财务上独立、合法运作并独立于采购人和代理机构的供货商才能参加投标。</w:t>
      </w:r>
    </w:p>
    <w:p>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hint="eastAsia" w:cs="黑体"/>
          <w:szCs w:val="21"/>
        </w:rPr>
        <w:t>第一章采购公告“投标供应商资格要求”</w:t>
      </w:r>
      <w:r>
        <w:rPr>
          <w:rFonts w:hint="eastAsia"/>
          <w:szCs w:val="21"/>
        </w:rPr>
        <w:t>的条款</w:t>
      </w:r>
      <w:r>
        <w:rPr>
          <w:rFonts w:hint="eastAsia" w:cs="黑体"/>
          <w:szCs w:val="21"/>
        </w:rPr>
        <w:t>。</w:t>
      </w:r>
    </w:p>
    <w:p>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pPr>
        <w:tabs>
          <w:tab w:val="clear" w:pos="426"/>
        </w:tabs>
      </w:pPr>
      <w:r>
        <w:t>6．联合体投标</w:t>
      </w:r>
    </w:p>
    <w:p>
      <w:pPr>
        <w:tabs>
          <w:tab w:val="clear" w:pos="426"/>
        </w:tabs>
      </w:pPr>
      <w:r>
        <w:t>6.1　以下有关联合体投标的条款仅适用于允许投标供应商组成联合体投标的项目。</w:t>
      </w:r>
    </w:p>
    <w:p>
      <w:pPr>
        <w:tabs>
          <w:tab w:val="clear" w:pos="426"/>
        </w:tabs>
      </w:pPr>
      <w:r>
        <w:t>6.2　由两个或两个以上的自然人、法人或者其他组织可以组成一个联合体，以一个供应商的身份共同投标时，应符合以下原则：</w:t>
      </w:r>
    </w:p>
    <w:p>
      <w:pPr>
        <w:tabs>
          <w:tab w:val="clear" w:pos="426"/>
        </w:tabs>
      </w:pPr>
      <w:r>
        <w:t>6.2.</w:t>
      </w:r>
      <w:r>
        <w:rPr>
          <w:bCs/>
        </w:rPr>
        <w:t>1投标联合体应满足采购公告有关投标供应商资格要求中对联合体的要求；</w:t>
      </w:r>
    </w:p>
    <w:p>
      <w:pPr>
        <w:tabs>
          <w:tab w:val="clear" w:pos="426"/>
        </w:tabs>
      </w:pPr>
      <w:r>
        <w:t>6.2.2对于采购公告中所要求投标供应商应具有的某一资质，若联合体各方均具有，则将以联合体各方中最低的资质等级作为联合体在这一资质条件上的资质等级；联合体各方的不同资质可优势互补。</w:t>
      </w:r>
    </w:p>
    <w:p>
      <w:pPr>
        <w:tabs>
          <w:tab w:val="clear" w:pos="426"/>
        </w:tabs>
      </w:pPr>
      <w:r>
        <w:t>6.2.3投标供应商的投标文件及中标后签署的合同协议对联合体各方均具法律约束力；</w:t>
      </w:r>
    </w:p>
    <w:p>
      <w:pPr>
        <w:tabs>
          <w:tab w:val="clear" w:pos="426"/>
        </w:tabs>
      </w:pPr>
      <w:r>
        <w:t>6.2.4联合体各方应当签订共同投标协议，明确约定各方拟承担的工作和责任，并将该共同投标协议随投标文件一并递交给代理机构；</w:t>
      </w:r>
    </w:p>
    <w:p>
      <w:pPr>
        <w:tabs>
          <w:tab w:val="clear" w:pos="426"/>
        </w:tabs>
      </w:pPr>
      <w:r>
        <w:t>6.2.5联合体的各方应当共同推荐一联合体投标授权代表人，由联合体各方提交一份授权书，证明其有资格代表联合体各方签署投标文件，该授权书作为投标文件的组成部分一并提交给代理机构；</w:t>
      </w:r>
    </w:p>
    <w:p>
      <w:pPr>
        <w:tabs>
          <w:tab w:val="clear" w:pos="426"/>
        </w:tabs>
      </w:pPr>
      <w:r>
        <w:t>6.2.6参加联合体的各方不得再以自己的名义单独投标，不得同时参加两个或两个以上的联合体投标、不得以分包商或其它形式参与投标，出现上述情况者，其投标和与此有关联合体、总包单位的投标将被拒绝；</w:t>
      </w:r>
    </w:p>
    <w:p>
      <w:pPr>
        <w:tabs>
          <w:tab w:val="clear" w:pos="426"/>
        </w:tabs>
      </w:pPr>
      <w:r>
        <w:t>6.2.7除非另有规定或说明，本须知中“投标供应商”一词亦指联合体各方。</w:t>
      </w:r>
    </w:p>
    <w:p>
      <w:pPr>
        <w:tabs>
          <w:tab w:val="clear" w:pos="426"/>
        </w:tabs>
      </w:pPr>
      <w:r>
        <w:t xml:space="preserve">7. </w:t>
      </w:r>
      <w:r>
        <w:rPr>
          <w:rFonts w:hint="eastAsia"/>
        </w:rPr>
        <w:t>合格的服务和货物</w:t>
      </w:r>
    </w:p>
    <w:p>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pPr>
        <w:tabs>
          <w:tab w:val="clear" w:pos="426"/>
        </w:tabs>
      </w:pPr>
      <w:r>
        <w:t>8．投标费用</w:t>
      </w:r>
    </w:p>
    <w:p>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pPr>
        <w:tabs>
          <w:tab w:val="clear" w:pos="426"/>
        </w:tabs>
      </w:pPr>
      <w:r>
        <w:t>9．踏勘现场</w:t>
      </w:r>
    </w:p>
    <w:p>
      <w:pPr>
        <w:tabs>
          <w:tab w:val="clear" w:pos="426"/>
        </w:tabs>
      </w:pPr>
      <w:r>
        <w:t>9.1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pPr>
        <w:tabs>
          <w:tab w:val="clear" w:pos="426"/>
        </w:tabs>
      </w:pPr>
      <w:r>
        <w:t>9.2投标供应商及其人员经过采购单位的允许，可以踏勘目的进入采购单位的项目现场。若本项目招标文件要求投标供应商于统一时间地点踏勘现场的，投标供应商按时前往。</w:t>
      </w:r>
    </w:p>
    <w:p>
      <w:pPr>
        <w:tabs>
          <w:tab w:val="clear" w:pos="426"/>
        </w:tabs>
      </w:pPr>
      <w:r>
        <w:t>9.3采购单位必须通过采购代理机构向投标供应商提供有关现场的资料和数据。</w:t>
      </w:r>
    </w:p>
    <w:p>
      <w:pPr>
        <w:tabs>
          <w:tab w:val="clear" w:pos="426"/>
        </w:tabs>
      </w:pPr>
      <w:r>
        <w:t>9.4任何人或任何组织在踏勘现场时向投标供应商提交的任何书面或口头上的资料，未经采购代理机构在网上发布或书面通知，均作无效处理。采购代理机构对投标供应商由此而做出的推论、理解和结论概不负责。</w:t>
      </w:r>
    </w:p>
    <w:p>
      <w:pPr>
        <w:tabs>
          <w:tab w:val="clear" w:pos="426"/>
        </w:tabs>
      </w:pPr>
      <w:r>
        <w:t xml:space="preserve">9.5 </w:t>
      </w:r>
      <w:r>
        <w:rPr>
          <w:rFonts w:hint="eastAsia"/>
        </w:rPr>
        <w:t>未参与现场踏勘不作为否定投标供应商资格的理由。</w:t>
      </w:r>
    </w:p>
    <w:p>
      <w:pPr>
        <w:tabs>
          <w:tab w:val="clear" w:pos="426"/>
        </w:tabs>
      </w:pPr>
      <w:r>
        <w:t>10．招标答疑</w:t>
      </w:r>
    </w:p>
    <w:p>
      <w:pPr>
        <w:tabs>
          <w:tab w:val="clear" w:pos="426"/>
        </w:tabs>
      </w:pPr>
      <w:r>
        <w:t>10.1招标答疑的目的是澄清、解答投标供应商在查阅招标文件后或现场踏勘中可能提出的与投标有关的疑问或询问。</w:t>
      </w:r>
    </w:p>
    <w:p>
      <w:pPr>
        <w:tabs>
          <w:tab w:val="clear" w:pos="426"/>
        </w:tabs>
      </w:pPr>
      <w:r>
        <w:t xml:space="preserve">10.2投标供应商提出的与投标有关的问题须在招标文件规定的答疑截止时间前以 </w:t>
      </w:r>
      <w:r>
        <w:rPr>
          <w:rFonts w:hint="eastAsia"/>
        </w:rPr>
        <w:t>“质疑函</w:t>
      </w:r>
      <w:r>
        <w:t>”</w:t>
      </w:r>
      <w:r>
        <w:rPr>
          <w:rFonts w:hint="eastAsia"/>
        </w:rPr>
        <w:t>的形式提交给采购代理机构，质疑函应该加盖质疑单位公章。</w:t>
      </w:r>
    </w:p>
    <w:p>
      <w:pPr>
        <w:tabs>
          <w:tab w:val="clear" w:pos="426"/>
        </w:tabs>
      </w:pPr>
      <w:r>
        <w:t>10.3采购代理机构对疑问所做出的澄清和解答，以书面答复（包括网站发布信息）为准。答疑纪要的有效性规定按照本通用条款第13.3</w:t>
      </w:r>
      <w:r>
        <w:rPr>
          <w:rFonts w:hint="eastAsia"/>
        </w:rPr>
        <w:t>、</w:t>
      </w:r>
      <w:r>
        <w:t>13.4</w:t>
      </w:r>
      <w:r>
        <w:rPr>
          <w:rFonts w:hint="eastAsia"/>
        </w:rPr>
        <w:t>款规定执行。</w:t>
      </w:r>
    </w:p>
    <w:p>
      <w:pPr>
        <w:tabs>
          <w:tab w:val="clear" w:pos="426"/>
        </w:tabs>
      </w:pPr>
      <w:r>
        <w:t>10.4如采购代理机构认为有必要组织现场答疑会，投标供应商应按照招标文件规定的时间或采购代理机构另行书面通知（包括网站发布的通知）的时间和地点，参与现场答疑会。</w:t>
      </w:r>
    </w:p>
    <w:p>
      <w:pPr>
        <w:tabs>
          <w:tab w:val="clear" w:pos="426"/>
        </w:tabs>
      </w:pPr>
      <w:r>
        <w:t>10.5未参与招标答疑不作为否定投标供应商资格的理由。</w:t>
      </w:r>
    </w:p>
    <w:p>
      <w:pPr>
        <w:pStyle w:val="5"/>
        <w:tabs>
          <w:tab w:val="clear" w:pos="426"/>
        </w:tabs>
      </w:pPr>
      <w:bookmarkStart w:id="156" w:name="_Toc10191"/>
      <w:bookmarkStart w:id="157" w:name="_Toc530152523"/>
      <w:bookmarkStart w:id="158" w:name="_Toc14427255"/>
      <w:bookmarkStart w:id="159" w:name="_Toc529280582"/>
      <w:r>
        <w:rPr>
          <w:rFonts w:hint="eastAsia"/>
        </w:rPr>
        <w:t>第二章 招标文件</w:t>
      </w:r>
      <w:bookmarkEnd w:id="156"/>
      <w:bookmarkEnd w:id="157"/>
      <w:bookmarkEnd w:id="158"/>
      <w:bookmarkEnd w:id="159"/>
    </w:p>
    <w:p>
      <w:pPr>
        <w:tabs>
          <w:tab w:val="clear" w:pos="426"/>
        </w:tabs>
      </w:pPr>
      <w:r>
        <w:t>11．招标文件的编制与组成</w:t>
      </w:r>
    </w:p>
    <w:p>
      <w:pPr>
        <w:tabs>
          <w:tab w:val="clear" w:pos="426"/>
        </w:tabs>
      </w:pPr>
      <w:r>
        <w:t>11.1招标文件除以下内容外，采购代理机构在招标（或谈判）期间发出的答疑纪要和其他补充修改函件，均是招标文件的组成部分，对投标供应商起约束作用；</w:t>
      </w:r>
    </w:p>
    <w:p>
      <w:pPr>
        <w:tabs>
          <w:tab w:val="clear" w:pos="426"/>
        </w:tabs>
      </w:pPr>
      <w:r>
        <w:rPr>
          <w:rFonts w:hint="eastAsia"/>
        </w:rPr>
        <w:t>招标文件包括下列内容：</w:t>
      </w:r>
    </w:p>
    <w:p>
      <w:pPr>
        <w:tabs>
          <w:tab w:val="clear" w:pos="426"/>
        </w:tabs>
      </w:pPr>
      <w:r>
        <w:rPr>
          <w:rFonts w:hint="eastAsia"/>
        </w:rPr>
        <w:t>项目关键信息</w:t>
      </w:r>
    </w:p>
    <w:p>
      <w:pPr>
        <w:tabs>
          <w:tab w:val="clear" w:pos="426"/>
        </w:tabs>
      </w:pPr>
      <w:r>
        <w:rPr>
          <w:rFonts w:hint="eastAsia"/>
        </w:rPr>
        <w:t>招标文件第一册（专用部分）</w:t>
      </w:r>
    </w:p>
    <w:p>
      <w:pPr>
        <w:tabs>
          <w:tab w:val="clear" w:pos="426"/>
        </w:tabs>
      </w:pPr>
      <w:r>
        <w:rPr>
          <w:rFonts w:hint="eastAsia"/>
        </w:rPr>
        <w:t>第一章 投标邀请</w:t>
      </w:r>
    </w:p>
    <w:p>
      <w:pPr>
        <w:tabs>
          <w:tab w:val="clear" w:pos="426"/>
        </w:tabs>
      </w:pPr>
      <w:r>
        <w:rPr>
          <w:rFonts w:hint="eastAsia"/>
        </w:rPr>
        <w:t>第二章 项目需求</w:t>
      </w:r>
    </w:p>
    <w:p>
      <w:pPr>
        <w:tabs>
          <w:tab w:val="clear" w:pos="426"/>
        </w:tabs>
      </w:pPr>
      <w:r>
        <w:rPr>
          <w:rFonts w:hint="eastAsia"/>
        </w:rPr>
        <w:t>第三章 定价方式、合同类型和风险管理措施</w:t>
      </w:r>
    </w:p>
    <w:p>
      <w:pPr>
        <w:tabs>
          <w:tab w:val="clear" w:pos="426"/>
        </w:tabs>
      </w:pPr>
      <w:r>
        <w:rPr>
          <w:rFonts w:hint="eastAsia"/>
        </w:rPr>
        <w:t>第四章 资格审查和评标方法</w:t>
      </w:r>
    </w:p>
    <w:p>
      <w:pPr>
        <w:tabs>
          <w:tab w:val="clear" w:pos="426"/>
        </w:tabs>
      </w:pPr>
      <w:r>
        <w:rPr>
          <w:rFonts w:hint="eastAsia"/>
        </w:rPr>
        <w:t>第五章 合同文本</w:t>
      </w:r>
    </w:p>
    <w:p>
      <w:pPr>
        <w:tabs>
          <w:tab w:val="clear" w:pos="426"/>
        </w:tabs>
      </w:pPr>
      <w:r>
        <w:rPr>
          <w:rFonts w:hint="eastAsia"/>
        </w:rPr>
        <w:t>第六章 投标资料表</w:t>
      </w:r>
    </w:p>
    <w:p>
      <w:pPr>
        <w:tabs>
          <w:tab w:val="clear" w:pos="426"/>
        </w:tabs>
      </w:pPr>
      <w:r>
        <w:rPr>
          <w:rFonts w:hint="eastAsia"/>
        </w:rPr>
        <w:t>第七章 投标文件格式</w:t>
      </w:r>
    </w:p>
    <w:p>
      <w:pPr>
        <w:tabs>
          <w:tab w:val="clear" w:pos="426"/>
        </w:tabs>
      </w:pPr>
      <w:r>
        <w:rPr>
          <w:rFonts w:hint="eastAsia"/>
        </w:rPr>
        <w:t>招标文件第二册（通用部分）</w:t>
      </w:r>
    </w:p>
    <w:p>
      <w:pPr>
        <w:tabs>
          <w:tab w:val="clear" w:pos="426"/>
        </w:tabs>
      </w:pPr>
      <w:r>
        <w:rPr>
          <w:rFonts w:hint="eastAsia"/>
        </w:rPr>
        <w:t>第一章 总则</w:t>
      </w:r>
    </w:p>
    <w:p>
      <w:pPr>
        <w:tabs>
          <w:tab w:val="clear" w:pos="426"/>
        </w:tabs>
      </w:pPr>
      <w:r>
        <w:rPr>
          <w:rFonts w:hint="eastAsia"/>
        </w:rPr>
        <w:t>第二章 招标文件</w:t>
      </w:r>
    </w:p>
    <w:p>
      <w:pPr>
        <w:tabs>
          <w:tab w:val="clear" w:pos="426"/>
        </w:tabs>
      </w:pPr>
      <w:r>
        <w:rPr>
          <w:rFonts w:hint="eastAsia"/>
        </w:rPr>
        <w:t>第三章 投标文件的编制与递交</w:t>
      </w:r>
    </w:p>
    <w:p>
      <w:pPr>
        <w:tabs>
          <w:tab w:val="clear" w:pos="426"/>
        </w:tabs>
      </w:pPr>
      <w:r>
        <w:rPr>
          <w:rFonts w:hint="eastAsia"/>
        </w:rPr>
        <w:t>第四章 开标</w:t>
      </w:r>
    </w:p>
    <w:p>
      <w:pPr>
        <w:tabs>
          <w:tab w:val="clear" w:pos="426"/>
        </w:tabs>
      </w:pPr>
      <w:r>
        <w:rPr>
          <w:rFonts w:hint="eastAsia"/>
        </w:rPr>
        <w:t>第五章 评标要求</w:t>
      </w:r>
    </w:p>
    <w:p>
      <w:pPr>
        <w:tabs>
          <w:tab w:val="clear" w:pos="426"/>
        </w:tabs>
      </w:pPr>
      <w:r>
        <w:rPr>
          <w:rFonts w:hint="eastAsia"/>
        </w:rPr>
        <w:t>第六章 评标程序及评标方法</w:t>
      </w:r>
    </w:p>
    <w:p>
      <w:pPr>
        <w:tabs>
          <w:tab w:val="clear" w:pos="426"/>
        </w:tabs>
      </w:pPr>
      <w:r>
        <w:rPr>
          <w:rFonts w:hint="eastAsia"/>
        </w:rPr>
        <w:t>第七章 定标及公示</w:t>
      </w:r>
    </w:p>
    <w:p>
      <w:pPr>
        <w:tabs>
          <w:tab w:val="clear" w:pos="426"/>
        </w:tabs>
      </w:pPr>
      <w:r>
        <w:rPr>
          <w:rFonts w:hint="eastAsia"/>
        </w:rPr>
        <w:t>第八章 公开招标失败的后续处理</w:t>
      </w:r>
    </w:p>
    <w:p>
      <w:pPr>
        <w:tabs>
          <w:tab w:val="clear" w:pos="426"/>
        </w:tabs>
      </w:pPr>
      <w:r>
        <w:rPr>
          <w:rFonts w:hint="eastAsia"/>
        </w:rPr>
        <w:t>第九章 合同的授予与备案</w:t>
      </w:r>
    </w:p>
    <w:p>
      <w:pPr>
        <w:tabs>
          <w:tab w:val="clear" w:pos="426"/>
        </w:tabs>
      </w:pPr>
      <w:r>
        <w:rPr>
          <w:rFonts w:hint="eastAsia"/>
        </w:rPr>
        <w:t>第十章 质疑受理</w:t>
      </w:r>
    </w:p>
    <w:p>
      <w:pPr>
        <w:tabs>
          <w:tab w:val="clear" w:pos="426"/>
        </w:tabs>
      </w:pPr>
      <w:r>
        <w:rPr>
          <w:rFonts w:hint="eastAsia"/>
        </w:rPr>
        <w:t>招标代理服务取费说明</w:t>
      </w:r>
    </w:p>
    <w:p>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pPr>
        <w:tabs>
          <w:tab w:val="clear" w:pos="426"/>
        </w:tabs>
      </w:pPr>
      <w:r>
        <w:t>12．招标文件的澄清</w:t>
      </w:r>
    </w:p>
    <w:p>
      <w:pPr>
        <w:tabs>
          <w:tab w:val="clear" w:pos="426"/>
        </w:tabs>
      </w:pPr>
      <w:r>
        <w:t>12.1投标供应商在收到招标文件后，对招标文件任何部分若有任何疑问，或要求澄清招标文件的，均应在采购公告规定的答疑截止时间内，按“质疑函”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pPr>
        <w:tabs>
          <w:tab w:val="clear" w:pos="426"/>
        </w:tabs>
      </w:pPr>
      <w:r>
        <w:t>12.2对于没有提出澄清又参与了该项目投标的供应商将被视为完全认同该招标文件（含澄清纪要），投标截止期后不再受理针对招标文件的相关质疑或投诉。</w:t>
      </w:r>
    </w:p>
    <w:p>
      <w:pPr>
        <w:tabs>
          <w:tab w:val="clear" w:pos="426"/>
        </w:tabs>
      </w:pPr>
      <w:r>
        <w:t xml:space="preserve">12.3 </w:t>
      </w:r>
      <w:r>
        <w:rPr>
          <w:rFonts w:hint="eastAsia"/>
        </w:rPr>
        <w:t>对招标文件中描述有歧意或前后不一致的地方，评标委员会有权进行评判，但对同一条款的评判应适用于每个投标供应商。</w:t>
      </w:r>
    </w:p>
    <w:p>
      <w:pPr>
        <w:tabs>
          <w:tab w:val="clear" w:pos="426"/>
        </w:tabs>
      </w:pPr>
      <w:r>
        <w:t>13．招标文件的修改</w:t>
      </w:r>
    </w:p>
    <w:p>
      <w:pPr>
        <w:tabs>
          <w:tab w:val="clear" w:pos="426"/>
        </w:tabs>
      </w:pPr>
      <w:r>
        <w:t>13.1招标文件发出后，在投标截止日期前任何时候，确需要变更招标内容的，采购代理机构可主动地或在解答投标供应商提出的澄清问题时对招标文件进行修改；</w:t>
      </w:r>
    </w:p>
    <w:p>
      <w:pPr>
        <w:tabs>
          <w:tab w:val="clear" w:pos="426"/>
        </w:tabs>
      </w:pPr>
      <w:r>
        <w:t>13.2招标文件的修改以书面形式（包括网站公开发布方式）发送给所有投标供应商，招标文件的修改内容作为招标文件的组成部分，并具有约束力。</w:t>
      </w:r>
    </w:p>
    <w:p>
      <w:pPr>
        <w:tabs>
          <w:tab w:val="clear" w:pos="426"/>
        </w:tabs>
      </w:pPr>
      <w:r>
        <w:t>13.3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pPr>
        <w:tabs>
          <w:tab w:val="clear" w:pos="426"/>
        </w:tabs>
      </w:pPr>
      <w:r>
        <w:t>13.4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pPr>
        <w:pStyle w:val="5"/>
        <w:tabs>
          <w:tab w:val="clear" w:pos="426"/>
        </w:tabs>
      </w:pPr>
      <w:bookmarkStart w:id="160" w:name="_Toc14427256"/>
      <w:bookmarkStart w:id="161" w:name="_Toc15015"/>
      <w:bookmarkStart w:id="162" w:name="_Toc529280583"/>
      <w:bookmarkStart w:id="163" w:name="_Toc530152524"/>
      <w:r>
        <w:rPr>
          <w:rFonts w:hint="eastAsia"/>
        </w:rPr>
        <w:t>第三章 投标文件的编制与递交</w:t>
      </w:r>
      <w:bookmarkEnd w:id="160"/>
      <w:bookmarkEnd w:id="161"/>
      <w:bookmarkEnd w:id="162"/>
      <w:bookmarkEnd w:id="163"/>
    </w:p>
    <w:p>
      <w:pPr>
        <w:tabs>
          <w:tab w:val="clear" w:pos="426"/>
        </w:tabs>
      </w:pPr>
      <w:r>
        <w:t>14．投标文件的语言及度量单位</w:t>
      </w:r>
    </w:p>
    <w:p>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pPr>
        <w:tabs>
          <w:tab w:val="clear" w:pos="426"/>
        </w:tabs>
      </w:pPr>
      <w:r>
        <w:t xml:space="preserve">14.2 </w:t>
      </w:r>
      <w:r>
        <w:rPr>
          <w:rFonts w:hint="eastAsia"/>
        </w:rPr>
        <w:t>除技术规范另有规定外，投标文件使用的度量单位，均采用中华人民共和国法定计量单位。</w:t>
      </w:r>
    </w:p>
    <w:p>
      <w:pPr>
        <w:tabs>
          <w:tab w:val="clear" w:pos="426"/>
        </w:tabs>
      </w:pPr>
      <w:r>
        <w:t>15．投标文件的组成</w:t>
      </w:r>
    </w:p>
    <w:p>
      <w:pPr>
        <w:tabs>
          <w:tab w:val="clear" w:pos="426"/>
        </w:tabs>
      </w:pPr>
      <w:r>
        <w:rPr>
          <w:rFonts w:hint="eastAsia"/>
        </w:rPr>
        <w:t>具体内容请详见本项目专用条款的相关内容。</w:t>
      </w:r>
    </w:p>
    <w:p>
      <w:pPr>
        <w:tabs>
          <w:tab w:val="clear" w:pos="426"/>
        </w:tabs>
      </w:pPr>
      <w:r>
        <w:t xml:space="preserve">16. </w:t>
      </w:r>
      <w:r>
        <w:rPr>
          <w:rFonts w:hint="eastAsia"/>
        </w:rPr>
        <w:t>投标文件格式</w:t>
      </w:r>
    </w:p>
    <w:p>
      <w:pPr>
        <w:tabs>
          <w:tab w:val="clear" w:pos="426"/>
        </w:tabs>
      </w:pPr>
      <w:r>
        <w:t>16.1</w:t>
      </w:r>
      <w:r>
        <w:rPr>
          <w:rFonts w:hint="eastAsia"/>
        </w:rPr>
        <w:t>投标文件包括本通用条款第</w:t>
      </w:r>
      <w:r>
        <w:t>15条中规定的内容。如招标文件提供了投标文件格式，则投标供应商提交的投标文件必须毫无例外地使用招标文件所提供的相应格式并统一使用A4篇幅（表格可以按同样格式扩展）。</w:t>
      </w:r>
    </w:p>
    <w:p>
      <w:pPr>
        <w:tabs>
          <w:tab w:val="clear" w:pos="426"/>
        </w:tabs>
      </w:pPr>
      <w:r>
        <w:t>17．投标货币</w:t>
      </w:r>
    </w:p>
    <w:p>
      <w:pPr>
        <w:tabs>
          <w:tab w:val="clear" w:pos="426"/>
        </w:tabs>
      </w:pPr>
      <w:r>
        <w:rPr>
          <w:rFonts w:hint="eastAsia"/>
        </w:rPr>
        <w:t>本项目的投标应以人民币计。</w:t>
      </w:r>
    </w:p>
    <w:p>
      <w:pPr>
        <w:widowControl w:val="0"/>
        <w:shd w:val="clear" w:color="auto" w:fill="auto"/>
        <w:tabs>
          <w:tab w:val="clear" w:pos="426"/>
        </w:tabs>
        <w:autoSpaceDE w:val="0"/>
        <w:autoSpaceDN w:val="0"/>
      </w:pPr>
      <w:r>
        <w:t xml:space="preserve">18. </w:t>
      </w:r>
      <w:r>
        <w:rPr>
          <w:rFonts w:hint="eastAsia"/>
        </w:rPr>
        <w:t>证明投标供应商合格和资格的文件</w:t>
      </w:r>
    </w:p>
    <w:p>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pPr>
        <w:tabs>
          <w:tab w:val="clear" w:pos="426"/>
        </w:tabs>
      </w:pPr>
      <w:r>
        <w:t>19．证明投标文件投标技术方案的合格性和符合招标文件规定的文件要求</w:t>
      </w:r>
    </w:p>
    <w:p>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pPr>
        <w:tabs>
          <w:tab w:val="clear" w:pos="426"/>
        </w:tabs>
      </w:pPr>
      <w:r>
        <w:t>19.2.1主要技术指标和性能的详细说明。</w:t>
      </w:r>
    </w:p>
    <w:p>
      <w:pPr>
        <w:tabs>
          <w:tab w:val="clear" w:pos="426"/>
        </w:tabs>
      </w:pPr>
      <w:r>
        <w:t>19.2.2</w:t>
      </w:r>
      <w:r>
        <w:rPr>
          <w:rFonts w:hint="eastAsia"/>
        </w:rPr>
        <w:t>投标产品从采购单位开始使用至招标文件中规定的周期内正常、连续地使用所必须的备件和专用工具清单，包括备件和专用工具的货源及现行价格。</w:t>
      </w:r>
    </w:p>
    <w:p>
      <w:pPr>
        <w:tabs>
          <w:tab w:val="clear" w:pos="426"/>
        </w:tabs>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pPr>
        <w:tabs>
          <w:tab w:val="clear" w:pos="426"/>
        </w:tabs>
      </w:pPr>
      <w:r>
        <w:t>19.2.4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pPr>
        <w:tabs>
          <w:tab w:val="clear" w:pos="426"/>
        </w:tabs>
      </w:pPr>
      <w:r>
        <w:t>19.2.5我国政府机构出具的产品检验和核准证件应为证件正面、背面和附件标注的全部具体内容；产品检验和核准证件应能清晰的阅读、识别和判断，提供原件复印件。</w:t>
      </w:r>
    </w:p>
    <w:p>
      <w:pPr>
        <w:tabs>
          <w:tab w:val="clear" w:pos="426"/>
        </w:tabs>
      </w:pPr>
      <w:r>
        <w:t>19.3相关资料不符合19.2款要求的，评标委员会有权认定为投标技术方案不合格响应，其相关分数予以扣减或作废标处理。</w:t>
      </w:r>
    </w:p>
    <w:p>
      <w:pPr>
        <w:tabs>
          <w:tab w:val="clear" w:pos="426"/>
        </w:tabs>
      </w:pPr>
      <w:r>
        <w:t>19.4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pPr>
        <w:tabs>
          <w:tab w:val="clear" w:pos="426"/>
        </w:tabs>
      </w:pPr>
      <w:r>
        <w:t>19.5投标供应商在阐述上述第18.2时应注意采购单位在技术规格中指出的工艺、材料和</w:t>
      </w:r>
      <w:r>
        <w:rPr>
          <w:rFonts w:hint="eastAsia"/>
        </w:rPr>
        <w:t>设备</w:t>
      </w:r>
      <w:r>
        <w:t>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pPr>
        <w:tabs>
          <w:tab w:val="clear" w:pos="426"/>
        </w:tabs>
      </w:pPr>
      <w:r>
        <w:t>19.6为保证公平公正，除非另有规定或说明，投标供应商对同一货物或服务投标时，不得同时提供两套或两套以上的投标方案。</w:t>
      </w:r>
    </w:p>
    <w:p>
      <w:pPr>
        <w:tabs>
          <w:tab w:val="clear" w:pos="426"/>
        </w:tabs>
      </w:pPr>
      <w:r>
        <w:t>20．投标文件其他证明文件的要求</w:t>
      </w:r>
    </w:p>
    <w:p>
      <w:pPr>
        <w:tabs>
          <w:tab w:val="clear" w:pos="426"/>
        </w:tabs>
      </w:pPr>
      <w:r>
        <w:t>20.1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0分处理。</w:t>
      </w:r>
    </w:p>
    <w:p>
      <w:pPr>
        <w:tabs>
          <w:tab w:val="clear" w:pos="426"/>
        </w:tabs>
      </w:pPr>
      <w:r>
        <w:t>20.2本项目涉及提供的有关资质证书，若原有资质证书处于年审期间，投标供应商提供年审证明的可按原资质投标；若投标供应商正在申报上一级别资质，在未获批准之前，仍按原级别资质投标。</w:t>
      </w:r>
    </w:p>
    <w:p>
      <w:pPr>
        <w:tabs>
          <w:tab w:val="clear" w:pos="426"/>
        </w:tabs>
      </w:pPr>
      <w:r>
        <w:t>21．投标有效期</w:t>
      </w:r>
    </w:p>
    <w:p>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22条关于投标保证金的退还与没收的规定仍然适用；</w:t>
      </w:r>
    </w:p>
    <w:p>
      <w:pPr>
        <w:tabs>
          <w:tab w:val="clear" w:pos="426"/>
        </w:tabs>
      </w:pPr>
      <w:r>
        <w:t>21.3 中标单位的投标书有效期，截止于完成本招标文件规定的全部项目内容，并通过竣工验收及保修结束。</w:t>
      </w:r>
    </w:p>
    <w:p>
      <w:pPr>
        <w:tabs>
          <w:tab w:val="clear" w:pos="426"/>
        </w:tabs>
      </w:pPr>
      <w:r>
        <w:t>22．投标保证金</w:t>
      </w:r>
    </w:p>
    <w:p>
      <w:pPr>
        <w:tabs>
          <w:tab w:val="clear" w:pos="426"/>
        </w:tabs>
      </w:pPr>
      <w:r>
        <w:t>22.1投标保证金的缴纳：</w:t>
      </w:r>
      <w:r>
        <w:rPr>
          <w:rFonts w:hint="eastAsia"/>
          <w:b/>
        </w:rPr>
        <w:t>（本项目不适用）</w:t>
      </w:r>
    </w:p>
    <w:p>
      <w:pPr>
        <w:tabs>
          <w:tab w:val="clear" w:pos="426"/>
        </w:tabs>
      </w:pPr>
      <w:r>
        <w:t>22.1.1缴纳投标保证金的方式：参与投标前须缴纳</w:t>
      </w:r>
      <w:r>
        <w:rPr>
          <w:rFonts w:hint="eastAsia"/>
        </w:rPr>
        <w:t>/</w:t>
      </w:r>
      <w:r>
        <w:t>万元保证金，落标或中标项目完成后返还，参与投标前未缴纳的，其投标将不予受理。</w:t>
      </w:r>
    </w:p>
    <w:p>
      <w:pPr>
        <w:tabs>
          <w:tab w:val="clear" w:pos="426"/>
        </w:tabs>
      </w:pPr>
      <w:r>
        <w:t xml:space="preserve">22.1.2 </w:t>
      </w:r>
      <w:r>
        <w:rPr>
          <w:rFonts w:hint="eastAsia"/>
        </w:rPr>
        <w:t>若为重大项目，采购代理机构可自行决定另外收取投标保证金，不受</w:t>
      </w:r>
      <w:r>
        <w:t>22.1.1款限制。是否另外收取投标保证金，请见本招标文件专用条款《对通用条款的补充内容》中的相关要求。</w:t>
      </w:r>
    </w:p>
    <w:p>
      <w:pPr>
        <w:tabs>
          <w:tab w:val="clear" w:pos="426"/>
        </w:tabs>
        <w:rPr>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22.3款</w:t>
      </w:r>
      <w:r>
        <w:rPr>
          <w:rFonts w:hint="eastAsia"/>
        </w:rPr>
        <w:t>的规定没收投标供应商的投标保证金。</w:t>
      </w:r>
    </w:p>
    <w:p>
      <w:pPr>
        <w:tabs>
          <w:tab w:val="clear" w:pos="426"/>
        </w:tabs>
      </w:pPr>
      <w:r>
        <w:t>22.3如下列任何情况发生时，投标保证金将被没收。</w:t>
      </w:r>
    </w:p>
    <w:p>
      <w:pPr>
        <w:tabs>
          <w:tab w:val="clear" w:pos="426"/>
        </w:tabs>
      </w:pPr>
      <w:r>
        <w:t>1）投标供应商在招标文件中规定的投标有效期内撤回其投标；</w:t>
      </w:r>
    </w:p>
    <w:p>
      <w:pPr>
        <w:tabs>
          <w:tab w:val="clear" w:pos="426"/>
        </w:tabs>
      </w:pPr>
      <w:r>
        <w:t>2）中标供应商在规定期限内未能根据本项通用条款第47条规定签订合同；</w:t>
      </w:r>
    </w:p>
    <w:p>
      <w:pPr>
        <w:tabs>
          <w:tab w:val="clear" w:pos="426"/>
        </w:tabs>
      </w:pPr>
      <w:r>
        <w:t>3）投标供应商提供虚假投标文件或虚假补充文件：</w:t>
      </w:r>
    </w:p>
    <w:p>
      <w:pPr>
        <w:tabs>
          <w:tab w:val="clear" w:pos="426"/>
        </w:tabs>
      </w:pPr>
      <w:r>
        <w:t>4）投标供应商以谋取中标为目的的技术规格模糊响应（如有意照搬照抄招标文件的技术要求）或虚假响应的；</w:t>
      </w:r>
    </w:p>
    <w:p>
      <w:pPr>
        <w:tabs>
          <w:tab w:val="clear" w:pos="426"/>
        </w:tabs>
      </w:pPr>
      <w:r>
        <w:t>5）投标供应商质疑投诉提供虚假情况。</w:t>
      </w:r>
    </w:p>
    <w:p>
      <w:pPr>
        <w:tabs>
          <w:tab w:val="clear" w:pos="426"/>
        </w:tabs>
      </w:pPr>
      <w:r>
        <w:t>22.4</w:t>
      </w:r>
      <w:r>
        <w:rPr>
          <w:rFonts w:hint="eastAsia"/>
        </w:rPr>
        <w:t>不再收取</w:t>
      </w:r>
      <w:r>
        <w:t>投标保证金</w:t>
      </w:r>
      <w:r>
        <w:rPr>
          <w:rFonts w:hint="eastAsia"/>
        </w:rPr>
        <w:t>。</w:t>
      </w:r>
    </w:p>
    <w:p>
      <w:pPr>
        <w:tabs>
          <w:tab w:val="clear" w:pos="426"/>
        </w:tabs>
      </w:pPr>
      <w:r>
        <w:t>23．投标供应商的替代方案</w:t>
      </w:r>
    </w:p>
    <w:p>
      <w:pPr>
        <w:tabs>
          <w:tab w:val="clear" w:pos="426"/>
        </w:tabs>
      </w:pPr>
      <w:r>
        <w:t>23.1投标供应商所提交的投标文件应完全满足招标文件（包括图纸和技术规范所示的基本技术设计）的要求。除非招标的项目明确允许投标供应商提交替代方案，否则投标供应商有关替代方案的条款将不予考虑。</w:t>
      </w:r>
    </w:p>
    <w:p>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pPr>
        <w:tabs>
          <w:tab w:val="clear" w:pos="426"/>
        </w:tabs>
      </w:pPr>
      <w:r>
        <w:t xml:space="preserve">24． </w:t>
      </w:r>
      <w:r>
        <w:rPr>
          <w:rFonts w:hint="eastAsia"/>
        </w:rPr>
        <w:t>投标文件的密封、标记和装订</w:t>
      </w:r>
    </w:p>
    <w:p>
      <w:pPr>
        <w:widowControl w:val="0"/>
        <w:shd w:val="clear" w:color="auto" w:fill="auto"/>
        <w:tabs>
          <w:tab w:val="clear" w:pos="426"/>
        </w:tabs>
        <w:autoSpaceDE w:val="0"/>
        <w:autoSpaceDN w:val="0"/>
        <w:rPr>
          <w:rFonts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(报价表)、法定代表人证明书或法定代表人授权委托书、</w:t>
      </w:r>
      <w:r>
        <w:rPr>
          <w:rFonts w:hint="eastAsia"/>
          <w:szCs w:val="21"/>
        </w:rPr>
        <w:t>投标文件电子光盘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pPr>
        <w:tabs>
          <w:tab w:val="clear" w:pos="426"/>
        </w:tabs>
        <w:rPr>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A4篇幅装订成一册，装订应牢固不可拆卸。装订好的投标文件密封包装在一个外密封袋中，并在外密封袋上注明：</w:t>
      </w:r>
    </w:p>
    <w:p>
      <w:pPr>
        <w:tabs>
          <w:tab w:val="clear" w:pos="426"/>
        </w:tabs>
      </w:pPr>
      <w:r>
        <w:rPr>
          <w:rFonts w:hint="eastAsia"/>
        </w:rPr>
        <w:t>投标文件</w:t>
      </w:r>
    </w:p>
    <w:p>
      <w:pPr>
        <w:tabs>
          <w:tab w:val="clear" w:pos="426"/>
        </w:tabs>
      </w:pPr>
      <w:r>
        <w:rPr>
          <w:rFonts w:hint="eastAsia"/>
        </w:rPr>
        <w:t>项目编号：</w:t>
      </w:r>
    </w:p>
    <w:p>
      <w:pPr>
        <w:tabs>
          <w:tab w:val="clear" w:pos="426"/>
        </w:tabs>
      </w:pPr>
      <w:r>
        <w:rPr>
          <w:rFonts w:hint="eastAsia"/>
        </w:rPr>
        <w:t>项目名称：</w:t>
      </w:r>
    </w:p>
    <w:p>
      <w:pPr>
        <w:tabs>
          <w:tab w:val="clear" w:pos="426"/>
        </w:tabs>
      </w:pPr>
      <w:r>
        <w:rPr>
          <w:rFonts w:hint="eastAsia"/>
        </w:rPr>
        <w:t>投标供应商名称（盖章）：</w:t>
      </w:r>
    </w:p>
    <w:p>
      <w:pPr>
        <w:tabs>
          <w:tab w:val="clear" w:pos="426"/>
        </w:tabs>
      </w:pPr>
      <w:r>
        <w:rPr>
          <w:rFonts w:hint="eastAsia"/>
        </w:rPr>
        <w:t>投标截止时间：</w:t>
      </w:r>
      <w:r>
        <w:rPr>
          <w:u w:val="single"/>
        </w:rPr>
        <w:t>_______年______月______日______时______分（前不得开封）</w:t>
      </w:r>
      <w:r>
        <w:rPr>
          <w:rFonts w:hint="eastAsia"/>
        </w:rPr>
        <w:t>。</w:t>
      </w:r>
    </w:p>
    <w:p>
      <w:pPr>
        <w:tabs>
          <w:tab w:val="clear" w:pos="426"/>
        </w:tabs>
      </w:pPr>
      <w:r>
        <w:t xml:space="preserve">24.3  </w:t>
      </w:r>
      <w:r>
        <w:rPr>
          <w:rFonts w:hint="eastAsia"/>
        </w:rPr>
        <w:t>所有投标文件的密封袋的封口处均应加盖投标供应商公章。</w:t>
      </w:r>
    </w:p>
    <w:p>
      <w:pPr>
        <w:tabs>
          <w:tab w:val="clear" w:pos="426"/>
        </w:tabs>
      </w:pPr>
      <w:r>
        <w:t xml:space="preserve">24.4  </w:t>
      </w:r>
      <w:r>
        <w:rPr>
          <w:rFonts w:hint="eastAsia"/>
        </w:rPr>
        <w:t>对于因标书标识不清、装订不牢、密封不严等导致的不利后果由该投标供应商自负。</w:t>
      </w:r>
    </w:p>
    <w:p>
      <w:pPr>
        <w:tabs>
          <w:tab w:val="clear" w:pos="426"/>
        </w:tabs>
        <w:rPr>
          <w:szCs w:val="21"/>
        </w:rPr>
      </w:pPr>
      <w:r>
        <w:rPr>
          <w:szCs w:val="21"/>
        </w:rPr>
        <w:t xml:space="preserve">24.5  </w:t>
      </w:r>
      <w:r>
        <w:rPr>
          <w:rFonts w:hint="eastAsia"/>
          <w:szCs w:val="21"/>
        </w:rPr>
        <w:t>投标方应将投标文件按</w:t>
      </w:r>
      <w:r>
        <w:rPr>
          <w:szCs w:val="21"/>
        </w:rPr>
        <w:t>24.1-24.2中的规定进行密封和标记后，按专用条款中采购公告注明的地址送至招标机构。</w:t>
      </w:r>
    </w:p>
    <w:p>
      <w:pPr>
        <w:tabs>
          <w:tab w:val="clear" w:pos="426"/>
        </w:tabs>
        <w:rPr>
          <w:szCs w:val="21"/>
        </w:rPr>
      </w:pPr>
      <w:r>
        <w:rPr>
          <w:szCs w:val="21"/>
        </w:rPr>
        <w:t xml:space="preserve">24.6  </w:t>
      </w:r>
      <w:r>
        <w:rPr>
          <w:rFonts w:hint="eastAsia"/>
          <w:szCs w:val="21"/>
        </w:rPr>
        <w:t>邮寄、电报、电话、传真形式的投标概不接受。</w:t>
      </w:r>
    </w:p>
    <w:p>
      <w:pPr>
        <w:tabs>
          <w:tab w:val="clear" w:pos="426"/>
        </w:tabs>
        <w:rPr>
          <w:b/>
          <w:szCs w:val="21"/>
        </w:rPr>
      </w:pPr>
      <w:r>
        <w:rPr>
          <w:b/>
          <w:szCs w:val="21"/>
        </w:rPr>
        <w:t xml:space="preserve">24.7  </w:t>
      </w:r>
      <w:r>
        <w:rPr>
          <w:rFonts w:hint="eastAsia"/>
          <w:b/>
          <w:bCs/>
          <w:szCs w:val="21"/>
        </w:rPr>
        <w:t>投标文件电子版：电子光盘一张</w:t>
      </w:r>
      <w:bookmarkStart w:id="164" w:name="_Hlk180015173"/>
      <w:r>
        <w:rPr>
          <w:rFonts w:hint="eastAsia"/>
          <w:b/>
          <w:bCs/>
          <w:szCs w:val="21"/>
        </w:rPr>
        <w:t>或U盘一个</w:t>
      </w:r>
      <w:bookmarkEnd w:id="164"/>
      <w:r>
        <w:rPr>
          <w:rFonts w:hint="eastAsia"/>
          <w:b/>
          <w:bCs/>
          <w:szCs w:val="21"/>
        </w:rPr>
        <w:t>（</w:t>
      </w:r>
      <w:bookmarkStart w:id="165" w:name="_Hlk180015185"/>
      <w:r>
        <w:rPr>
          <w:rFonts w:hint="eastAsia"/>
          <w:b/>
          <w:bCs/>
          <w:szCs w:val="21"/>
        </w:rPr>
        <w:t>WORD及</w:t>
      </w:r>
      <w:bookmarkEnd w:id="165"/>
      <w:r>
        <w:rPr>
          <w:rFonts w:hint="eastAsia"/>
          <w:b/>
          <w:bCs/>
          <w:szCs w:val="21"/>
        </w:rPr>
        <w:t>投标文件正本盖章后的彩色复印件，复印件要求为</w:t>
      </w:r>
      <w:r>
        <w:rPr>
          <w:b/>
          <w:bCs/>
          <w:szCs w:val="21"/>
        </w:rPr>
        <w:t>PDF格式），请将该光盘放在开标信封中，并在光盘上标明项目编号、项目名称及投标供应商名称。</w:t>
      </w:r>
    </w:p>
    <w:p>
      <w:pPr>
        <w:tabs>
          <w:tab w:val="clear" w:pos="426"/>
        </w:tabs>
        <w:rPr>
          <w:szCs w:val="21"/>
        </w:rPr>
      </w:pPr>
      <w:r>
        <w:rPr>
          <w:szCs w:val="21"/>
        </w:rPr>
        <w:t xml:space="preserve">25． </w:t>
      </w:r>
      <w:r>
        <w:rPr>
          <w:rFonts w:hint="eastAsia"/>
          <w:szCs w:val="21"/>
        </w:rPr>
        <w:t>投标截止时间</w:t>
      </w:r>
    </w:p>
    <w:p>
      <w:pPr>
        <w:tabs>
          <w:tab w:val="clear" w:pos="426"/>
        </w:tabs>
        <w:rPr>
          <w:szCs w:val="21"/>
        </w:rPr>
      </w:pPr>
      <w:r>
        <w:rPr>
          <w:rFonts w:hint="eastAsia"/>
          <w:szCs w:val="21"/>
        </w:rPr>
        <w:t>招标机构在投标供应商须知第</w:t>
      </w:r>
      <w:r>
        <w:rPr>
          <w:szCs w:val="21"/>
        </w:rPr>
        <w:t>24.5条规定的地址收到投标书的时间不得迟于“投标供应商须知前附表”第19</w:t>
      </w:r>
      <w:r>
        <w:rPr>
          <w:rFonts w:hint="eastAsia"/>
          <w:szCs w:val="21"/>
        </w:rPr>
        <w:t>项所规定的时间。</w:t>
      </w:r>
    </w:p>
    <w:p>
      <w:pPr>
        <w:tabs>
          <w:tab w:val="clear" w:pos="426"/>
        </w:tabs>
        <w:rPr>
          <w:szCs w:val="21"/>
        </w:rPr>
      </w:pPr>
      <w:r>
        <w:rPr>
          <w:szCs w:val="21"/>
        </w:rPr>
        <w:t>26．迟交的投标书</w:t>
      </w:r>
    </w:p>
    <w:p>
      <w:pPr>
        <w:tabs>
          <w:tab w:val="clear" w:pos="426"/>
        </w:tabs>
        <w:rPr>
          <w:szCs w:val="21"/>
        </w:rPr>
      </w:pPr>
      <w:r>
        <w:rPr>
          <w:szCs w:val="21"/>
        </w:rPr>
        <w:t xml:space="preserve">    按照本通用条款第25条规定，招标机构将拒绝并原封退回在其规定的投标截止期后收到的任何投标书。</w:t>
      </w:r>
    </w:p>
    <w:p>
      <w:pPr>
        <w:tabs>
          <w:tab w:val="clear" w:pos="426"/>
        </w:tabs>
      </w:pPr>
      <w:r>
        <w:t xml:space="preserve">27． </w:t>
      </w:r>
      <w:r>
        <w:rPr>
          <w:rFonts w:hint="eastAsia"/>
        </w:rPr>
        <w:t>投标文件的提交和截标时投标文件的数量要求</w:t>
      </w:r>
    </w:p>
    <w:p>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pPr>
        <w:tabs>
          <w:tab w:val="clear" w:pos="426"/>
        </w:tabs>
      </w:pPr>
      <w:r>
        <w:t>27.2  截标时</w:t>
      </w:r>
      <w:r>
        <w:rPr>
          <w:rFonts w:hint="eastAsia"/>
        </w:rPr>
        <w:t>递</w:t>
      </w:r>
      <w:r>
        <w:t>交标书的投标供应商数</w:t>
      </w:r>
      <w:r>
        <w:rPr>
          <w:rFonts w:hint="eastAsia"/>
        </w:rPr>
        <w:t>量未达到法定家数的，采购代理机构将按法律法规的规定暂停</w:t>
      </w:r>
      <w:r>
        <w:t>开标和评标程序</w:t>
      </w:r>
      <w:r>
        <w:rPr>
          <w:rFonts w:hint="eastAsia"/>
        </w:rPr>
        <w:t>。如导致招标失败，采购人或采购代理机构将不负担因此给</w:t>
      </w:r>
      <w:r>
        <w:t>投标供应商</w:t>
      </w:r>
      <w:r>
        <w:rPr>
          <w:rFonts w:hint="eastAsia"/>
        </w:rPr>
        <w:t>造成的损失。</w:t>
      </w:r>
    </w:p>
    <w:p>
      <w:pPr>
        <w:tabs>
          <w:tab w:val="clear" w:pos="426"/>
        </w:tabs>
      </w:pPr>
      <w:r>
        <w:t xml:space="preserve">28．  </w:t>
      </w:r>
      <w:r>
        <w:rPr>
          <w:rFonts w:hint="eastAsia"/>
        </w:rPr>
        <w:t>投标文件的修改或撤回</w:t>
      </w:r>
    </w:p>
    <w:p>
      <w:pPr>
        <w:tabs>
          <w:tab w:val="clear" w:pos="426"/>
        </w:tabs>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pPr>
        <w:tabs>
          <w:tab w:val="clear" w:pos="426"/>
        </w:tabs>
      </w:pPr>
      <w:r>
        <w:t xml:space="preserve">28.3  </w:t>
      </w:r>
      <w:r>
        <w:rPr>
          <w:rFonts w:hint="eastAsia"/>
        </w:rPr>
        <w:t>投标供应商的修改文件应按照本招标文件的规定进行编制、密封、标记和提交，并在密封袋上注明“投标修改”。</w:t>
      </w:r>
    </w:p>
    <w:p>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pPr>
        <w:tabs>
          <w:tab w:val="clear" w:pos="426"/>
        </w:tabs>
      </w:pPr>
      <w:r>
        <w:t xml:space="preserve">28.5  </w:t>
      </w:r>
      <w:r>
        <w:rPr>
          <w:rFonts w:hint="eastAsia"/>
        </w:rPr>
        <w:t>评标结束后，不论中标与否，投标供应商均不得收回投标文件。</w:t>
      </w:r>
    </w:p>
    <w:p>
      <w:pPr>
        <w:pStyle w:val="5"/>
        <w:tabs>
          <w:tab w:val="clear" w:pos="426"/>
        </w:tabs>
      </w:pPr>
      <w:bookmarkStart w:id="166" w:name="_Toc14427257"/>
      <w:bookmarkStart w:id="167" w:name="_Toc530152525"/>
      <w:bookmarkStart w:id="168" w:name="_Toc18415"/>
      <w:bookmarkStart w:id="169" w:name="_Toc529280584"/>
      <w:r>
        <w:rPr>
          <w:rFonts w:hint="eastAsia"/>
        </w:rPr>
        <w:t>第四章 开标</w:t>
      </w:r>
      <w:bookmarkEnd w:id="166"/>
      <w:bookmarkEnd w:id="167"/>
      <w:bookmarkEnd w:id="168"/>
      <w:bookmarkEnd w:id="169"/>
    </w:p>
    <w:p>
      <w:pPr>
        <w:tabs>
          <w:tab w:val="clear" w:pos="426"/>
        </w:tabs>
      </w:pPr>
      <w:r>
        <w:t>29．　开标</w:t>
      </w:r>
    </w:p>
    <w:p>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pPr>
        <w:tabs>
          <w:tab w:val="clear" w:pos="426"/>
        </w:tabs>
      </w:pPr>
      <w:r>
        <w:t xml:space="preserve">29.3  </w:t>
      </w:r>
      <w:r>
        <w:rPr>
          <w:rFonts w:hint="eastAsia"/>
        </w:rPr>
        <w:t>开标会由采购代理机构主持，开标程序如下：</w:t>
      </w:r>
    </w:p>
    <w:p>
      <w:pPr>
        <w:tabs>
          <w:tab w:val="clear" w:pos="426"/>
        </w:tabs>
      </w:pPr>
      <w:r>
        <w:t xml:space="preserve">29.3.1  采购代理机构核对法人代表或其授权代表身份证明，若不能提供相应的身份证明或不相符，则不能参与开标会议； </w:t>
      </w:r>
    </w:p>
    <w:p>
      <w:pPr>
        <w:tabs>
          <w:tab w:val="clear" w:pos="426"/>
        </w:tabs>
        <w:rPr>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pPr>
        <w:tabs>
          <w:tab w:val="clear" w:pos="426"/>
        </w:tabs>
        <w:ind w:firstLine="411" w:firstLineChars="196"/>
        <w:rPr>
          <w:szCs w:val="21"/>
        </w:rPr>
      </w:pPr>
      <w:r>
        <w:rPr>
          <w:rFonts w:hint="eastAsia"/>
          <w:szCs w:val="21"/>
        </w:rPr>
        <w:t>除了按照本通用条款第</w:t>
      </w:r>
      <w:r>
        <w:rPr>
          <w:szCs w:val="21"/>
        </w:rPr>
        <w:t>26条规定原封退回的投标之外，开标时将不得拒绝任何投标书。</w:t>
      </w:r>
    </w:p>
    <w:p>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pPr>
        <w:tabs>
          <w:tab w:val="clear" w:pos="426"/>
        </w:tabs>
        <w:rPr>
          <w:szCs w:val="21"/>
        </w:rPr>
      </w:pPr>
      <w:r>
        <w:rPr>
          <w:szCs w:val="21"/>
        </w:rPr>
        <w:t xml:space="preserve">29.3.5  </w:t>
      </w:r>
      <w:r>
        <w:rPr>
          <w:rFonts w:hint="eastAsia"/>
          <w:szCs w:val="21"/>
        </w:rPr>
        <w:t>按照投标供应商须知第</w:t>
      </w:r>
      <w:r>
        <w:rPr>
          <w:szCs w:val="21"/>
        </w:rPr>
        <w:t>28条规定，提交了可接受的“撤回”通知的投标将不予开封。</w:t>
      </w:r>
    </w:p>
    <w:p>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29.3.3的规定在开标时宣读的全部内容。</w:t>
      </w:r>
    </w:p>
    <w:p>
      <w:pPr>
        <w:tabs>
          <w:tab w:val="clear" w:pos="426"/>
        </w:tabs>
      </w:pPr>
      <w:r>
        <w:t xml:space="preserve">29.3.8  </w:t>
      </w:r>
      <w:r>
        <w:rPr>
          <w:rFonts w:hint="eastAsia"/>
        </w:rPr>
        <w:t>供应商在开标过程中知道或者应知其权益受到损害时必须现场明确提出，未明确提出的，即视为认可开标结果。</w:t>
      </w:r>
    </w:p>
    <w:p>
      <w:pPr>
        <w:pStyle w:val="5"/>
        <w:tabs>
          <w:tab w:val="clear" w:pos="426"/>
        </w:tabs>
      </w:pPr>
      <w:bookmarkStart w:id="170" w:name="_Toc529280585"/>
      <w:bookmarkStart w:id="171" w:name="_Toc14427258"/>
      <w:bookmarkStart w:id="172" w:name="_Toc530152526"/>
      <w:bookmarkStart w:id="173" w:name="_Toc31833"/>
      <w:r>
        <w:rPr>
          <w:rFonts w:hint="eastAsia"/>
        </w:rPr>
        <w:t>第五章 评标要求</w:t>
      </w:r>
      <w:bookmarkEnd w:id="170"/>
      <w:bookmarkEnd w:id="171"/>
      <w:bookmarkEnd w:id="172"/>
      <w:bookmarkEnd w:id="173"/>
    </w:p>
    <w:p>
      <w:pPr>
        <w:tabs>
          <w:tab w:val="clear" w:pos="426"/>
        </w:tabs>
      </w:pPr>
      <w:r>
        <w:t>30．评标委员会组成</w:t>
      </w:r>
    </w:p>
    <w:p>
      <w:pPr>
        <w:tabs>
          <w:tab w:val="clear" w:pos="426"/>
        </w:tabs>
      </w:pPr>
      <w:r>
        <w:t>30.1开标结束后召开评标会议，评标委员会由采购代理机构依法组建，负责评标活动。</w:t>
      </w:r>
    </w:p>
    <w:p>
      <w:pPr>
        <w:tabs>
          <w:tab w:val="clear" w:pos="426"/>
        </w:tabs>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pPr>
        <w:tabs>
          <w:tab w:val="clear" w:pos="426"/>
        </w:tabs>
      </w:pPr>
      <w:r>
        <w:rPr>
          <w:rFonts w:hint="eastAsia"/>
        </w:rPr>
        <w:t>为保证评委人选的专业性，以及评标中的公平公正性，评标委员会成员从深圳市财政委员会评标专家库中随机抽取。</w:t>
      </w:r>
    </w:p>
    <w:p>
      <w:pPr>
        <w:tabs>
          <w:tab w:val="clear" w:pos="426"/>
        </w:tabs>
      </w:pPr>
      <w:r>
        <w:rPr>
          <w:rFonts w:hint="eastAsia"/>
        </w:rPr>
        <w:t>采购单位代表须持本单位签发的《评标授权书》参加评标。</w:t>
      </w:r>
    </w:p>
    <w:p>
      <w:pPr>
        <w:tabs>
          <w:tab w:val="clear" w:pos="426"/>
        </w:tabs>
      </w:pPr>
      <w:r>
        <w:rPr>
          <w:rFonts w:hint="eastAsia"/>
        </w:rPr>
        <w:t>采购单位无代表参与评标，应在开标前一天提交《采购单位不派评委参与项目评标承诺书》给采购代理机构。</w:t>
      </w:r>
    </w:p>
    <w:p>
      <w:pPr>
        <w:tabs>
          <w:tab w:val="clear" w:pos="426"/>
        </w:tabs>
        <w:rPr>
          <w:sz w:val="24"/>
        </w:rPr>
      </w:pPr>
      <w:r>
        <w:rPr>
          <w:rFonts w:hint="eastAsia"/>
        </w:rPr>
        <w:t>注：《评标授权书》《采购单位不派评委参与项目评标承诺书》模板由采购代理机构提供</w:t>
      </w:r>
      <w:r>
        <w:rPr>
          <w:rFonts w:hint="eastAsia"/>
          <w:sz w:val="24"/>
        </w:rPr>
        <w:t>。</w:t>
      </w:r>
    </w:p>
    <w:p>
      <w:pPr>
        <w:tabs>
          <w:tab w:val="clear" w:pos="426"/>
        </w:tabs>
      </w:pPr>
      <w:r>
        <w:t>30.2评标定标应当遵循公平、公正、科学、择优的原则。</w:t>
      </w:r>
    </w:p>
    <w:p>
      <w:pPr>
        <w:tabs>
          <w:tab w:val="clear" w:pos="426"/>
        </w:tabs>
      </w:pPr>
      <w:r>
        <w:t>30.3评标活动依法进行，任何单位和个人不得非法干预评标过程和结果。</w:t>
      </w:r>
    </w:p>
    <w:p>
      <w:pPr>
        <w:tabs>
          <w:tab w:val="clear" w:pos="426"/>
        </w:tabs>
      </w:pPr>
      <w:r>
        <w:t>30.4评标过程中不允许违背评标程序或采用招标文件未载明的评标方法或评标因素进行评标。</w:t>
      </w:r>
    </w:p>
    <w:p>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pPr>
        <w:tabs>
          <w:tab w:val="clear" w:pos="426"/>
        </w:tabs>
      </w:pPr>
      <w:r>
        <w:t>31．向评标委员会提供的资料</w:t>
      </w:r>
    </w:p>
    <w:p>
      <w:pPr>
        <w:tabs>
          <w:tab w:val="clear" w:pos="426"/>
        </w:tabs>
      </w:pPr>
      <w:r>
        <w:t>31.1公开发布的招标文件，包括图纸、服务清单、答疑文件等；</w:t>
      </w:r>
    </w:p>
    <w:p>
      <w:pPr>
        <w:tabs>
          <w:tab w:val="clear" w:pos="426"/>
        </w:tabs>
      </w:pPr>
      <w:r>
        <w:t>31.2其他评标必须的资料。</w:t>
      </w:r>
    </w:p>
    <w:p>
      <w:pPr>
        <w:tabs>
          <w:tab w:val="clear" w:pos="426"/>
        </w:tabs>
      </w:pPr>
      <w:r>
        <w:t>31.3评标委员会应当认真研究招标文件，至少应了解熟悉以下</w:t>
      </w:r>
      <w:r>
        <w:rPr>
          <w:rFonts w:hint="eastAsia"/>
        </w:rPr>
        <w:t>内容：</w:t>
      </w:r>
    </w:p>
    <w:p>
      <w:pPr>
        <w:tabs>
          <w:tab w:val="clear" w:pos="426"/>
        </w:tabs>
      </w:pPr>
      <w:r>
        <w:rPr>
          <w:rFonts w:hint="eastAsia"/>
        </w:rPr>
        <w:t>（1）招标的目的；</w:t>
      </w:r>
    </w:p>
    <w:p>
      <w:pPr>
        <w:tabs>
          <w:tab w:val="clear" w:pos="426"/>
        </w:tabs>
      </w:pPr>
      <w:r>
        <w:rPr>
          <w:rFonts w:hint="eastAsia"/>
        </w:rPr>
        <w:t>（2）招标项目需求的范围和性质；</w:t>
      </w:r>
    </w:p>
    <w:p>
      <w:pPr>
        <w:tabs>
          <w:tab w:val="clear" w:pos="426"/>
        </w:tabs>
      </w:pPr>
      <w:r>
        <w:rPr>
          <w:rFonts w:hint="eastAsia"/>
        </w:rPr>
        <w:t>（3）招标文件规定的投标供应商的资格、财政预算限额、商务条款；</w:t>
      </w:r>
    </w:p>
    <w:p>
      <w:pPr>
        <w:tabs>
          <w:tab w:val="clear" w:pos="426"/>
        </w:tabs>
      </w:pPr>
      <w:r>
        <w:rPr>
          <w:rFonts w:hint="eastAsia"/>
        </w:rPr>
        <w:t>（4）招标文件规定的评标程序、评标方法和评标因素；</w:t>
      </w:r>
    </w:p>
    <w:p>
      <w:pPr>
        <w:tabs>
          <w:tab w:val="clear" w:pos="426"/>
        </w:tabs>
      </w:pPr>
      <w:r>
        <w:rPr>
          <w:rFonts w:hint="eastAsia"/>
        </w:rPr>
        <w:t>（5）招标文件所列示的投标文件“资格、符合性评审条款”。</w:t>
      </w:r>
    </w:p>
    <w:p>
      <w:pPr>
        <w:tabs>
          <w:tab w:val="clear" w:pos="426"/>
        </w:tabs>
      </w:pPr>
      <w:r>
        <w:rPr>
          <w:rFonts w:hint="eastAsia"/>
        </w:rPr>
        <w:t>32．独立评标</w:t>
      </w:r>
    </w:p>
    <w:p>
      <w:pPr>
        <w:tabs>
          <w:tab w:val="clear" w:pos="426"/>
        </w:tabs>
        <w:rPr>
          <w:szCs w:val="21"/>
        </w:rPr>
      </w:pPr>
      <w:r>
        <w:rPr>
          <w:rFonts w:hint="eastAsia"/>
        </w:rPr>
        <w:t>32.1评标委员会成员的评标活动应当独立进行，并应遵循投标文件初审、澄清有关问题、比较与评价、确定中标候选供应商、编写评标报告的工作程序。</w:t>
      </w:r>
    </w:p>
    <w:p>
      <w:pPr>
        <w:pStyle w:val="5"/>
        <w:tabs>
          <w:tab w:val="clear" w:pos="426"/>
        </w:tabs>
      </w:pPr>
      <w:bookmarkStart w:id="174" w:name="_Toc14427259"/>
      <w:bookmarkStart w:id="175" w:name="_Toc530152527"/>
      <w:bookmarkStart w:id="176" w:name="_Toc529280586"/>
      <w:bookmarkStart w:id="177" w:name="_Toc329"/>
      <w:r>
        <w:rPr>
          <w:rFonts w:hint="eastAsia"/>
        </w:rPr>
        <w:t>第六章 评标程序及评标方法</w:t>
      </w:r>
      <w:bookmarkEnd w:id="174"/>
      <w:bookmarkEnd w:id="175"/>
      <w:bookmarkEnd w:id="176"/>
      <w:bookmarkEnd w:id="177"/>
    </w:p>
    <w:p>
      <w:pPr>
        <w:tabs>
          <w:tab w:val="clear" w:pos="426"/>
        </w:tabs>
      </w:pPr>
      <w:r>
        <w:rPr>
          <w:rFonts w:hint="eastAsia"/>
        </w:rPr>
        <w:t>33．投标文件初审</w:t>
      </w:r>
    </w:p>
    <w:p>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pPr>
        <w:tabs>
          <w:tab w:val="clear" w:pos="426"/>
        </w:tabs>
        <w:rPr>
          <w:b/>
        </w:rPr>
      </w:pPr>
      <w:r>
        <w:rPr>
          <w:rFonts w:hint="eastAsia"/>
        </w:rPr>
        <w:t>33.2 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pPr>
        <w:tabs>
          <w:tab w:val="clear" w:pos="426"/>
        </w:tabs>
      </w:pPr>
      <w:r>
        <w:rPr>
          <w:rFonts w:hint="eastAsia"/>
        </w:rPr>
        <w:t>33.3 投标文件初审中关于供应商家数的计算。</w:t>
      </w:r>
    </w:p>
    <w:p>
      <w:pPr>
        <w:tabs>
          <w:tab w:val="clear" w:pos="426"/>
        </w:tabs>
      </w:pPr>
      <w:r>
        <w:rPr>
          <w:rFonts w:hint="eastAsia"/>
        </w:rPr>
        <w:t>33.3.1 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pPr>
        <w:tabs>
          <w:tab w:val="clear" w:pos="426"/>
        </w:tabs>
      </w:pPr>
      <w:r>
        <w:t>33.3.</w:t>
      </w:r>
      <w:r>
        <w:rPr>
          <w:rFonts w:hint="eastAsia"/>
        </w:rPr>
        <w:t>2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pPr>
        <w:tabs>
          <w:tab w:val="clear" w:pos="426"/>
        </w:tabs>
      </w:pPr>
      <w:r>
        <w:t>33.3.</w:t>
      </w:r>
      <w:r>
        <w:rPr>
          <w:rFonts w:hint="eastAsia"/>
        </w:rPr>
        <w:t>3非单一产品采购项目，采购人应当根据采购项目技术构成、产品价格比重等合理确定核心产品，并在招标文件中载明。多家投标供应商提供的核心产品品牌相同的，按前两款规定处理。</w:t>
      </w:r>
    </w:p>
    <w:p>
      <w:pPr>
        <w:tabs>
          <w:tab w:val="clear" w:pos="426"/>
        </w:tabs>
      </w:pPr>
      <w:r>
        <w:rPr>
          <w:rFonts w:hint="eastAsia"/>
        </w:rPr>
        <w:t>33.3.4公开招标以外采购方式以及采购服务和工程涉及采购货物的项目，也按此方法计算供应商家数。</w:t>
      </w:r>
    </w:p>
    <w:p>
      <w:pPr>
        <w:tabs>
          <w:tab w:val="clear" w:pos="426"/>
        </w:tabs>
        <w:rPr>
          <w:b/>
          <w:bCs/>
        </w:rPr>
      </w:pPr>
      <w:r>
        <w:rPr>
          <w:rFonts w:hint="eastAsia"/>
        </w:rPr>
        <w:t>33.4 对不属于投标文件“</w:t>
      </w:r>
      <w:r>
        <w:rPr>
          <w:rFonts w:hint="eastAsia"/>
          <w:b/>
        </w:rPr>
        <w:t>资格、符合性评审条款</w:t>
      </w:r>
      <w:r>
        <w:rPr>
          <w:rFonts w:hint="eastAsia"/>
        </w:rPr>
        <w:t>”要所列不符合的情形，除法律法规另有规定外，不得作为废标的理由。</w:t>
      </w:r>
    </w:p>
    <w:p>
      <w:pPr>
        <w:tabs>
          <w:tab w:val="clear" w:pos="426"/>
        </w:tabs>
      </w:pPr>
      <w:r>
        <w:rPr>
          <w:rFonts w:hint="eastAsia"/>
        </w:rPr>
        <w:t>34．澄清有关问题</w:t>
      </w:r>
    </w:p>
    <w:p>
      <w:pPr>
        <w:tabs>
          <w:tab w:val="clear" w:pos="426"/>
        </w:tabs>
      </w:pPr>
      <w:r>
        <w:rPr>
          <w:rFonts w:hint="eastAsia"/>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供应商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pPr>
        <w:tabs>
          <w:tab w:val="clear" w:pos="426"/>
        </w:tabs>
      </w:pPr>
      <w:r>
        <w:rPr>
          <w:rFonts w:hint="eastAsia"/>
        </w:rPr>
        <w:t>35．错误的修正</w:t>
      </w:r>
    </w:p>
    <w:p>
      <w:pPr>
        <w:tabs>
          <w:tab w:val="clear" w:pos="426"/>
        </w:tabs>
      </w:pPr>
      <w:r>
        <w:rPr>
          <w:rFonts w:hint="eastAsia"/>
        </w:rPr>
        <w:t>35</w:t>
      </w:r>
      <w:r>
        <w:t xml:space="preserve">.1 </w:t>
      </w:r>
      <w:r>
        <w:rPr>
          <w:rFonts w:hint="eastAsia"/>
        </w:rPr>
        <w:t>评标委员会将审查投标文件是否完整、总体编排是否有序、文件签署是否合格、投标供应商是否提交了投标保证金、有无计算上的错误等。</w:t>
      </w:r>
    </w:p>
    <w:p>
      <w:pPr>
        <w:tabs>
          <w:tab w:val="clear" w:pos="426"/>
        </w:tabs>
      </w:pPr>
      <w:r>
        <w:rPr>
          <w:rFonts w:hint="eastAsia"/>
        </w:rPr>
        <w:t>35.2  算术错误将按以下方法更正（次序排先者优先）：</w:t>
      </w:r>
    </w:p>
    <w:p>
      <w:pPr>
        <w:tabs>
          <w:tab w:val="clear" w:pos="426"/>
        </w:tabs>
      </w:pPr>
      <w:r>
        <w:rPr>
          <w:rFonts w:hint="eastAsia"/>
        </w:rPr>
        <w:t>35.2.1投标文件中开标一览表（报价表）内容与投标文件中相应内容不一致的，以开标一览表（报价表）为准；</w:t>
      </w:r>
    </w:p>
    <w:p>
      <w:pPr>
        <w:tabs>
          <w:tab w:val="clear" w:pos="426"/>
        </w:tabs>
      </w:pPr>
      <w:r>
        <w:rPr>
          <w:rFonts w:hint="eastAsia"/>
        </w:rPr>
        <w:t>35.2.2大写金额和小写金额不一致的，以大写金额为准；</w:t>
      </w:r>
    </w:p>
    <w:p>
      <w:pPr>
        <w:tabs>
          <w:tab w:val="clear" w:pos="426"/>
        </w:tabs>
      </w:pPr>
      <w:r>
        <w:rPr>
          <w:rFonts w:hint="eastAsia"/>
        </w:rPr>
        <w:t>35.2.3单价金额小数点或者百分比有明显错位的，以开标一览表的总价为准，并修改单价；</w:t>
      </w:r>
    </w:p>
    <w:p>
      <w:pPr>
        <w:tabs>
          <w:tab w:val="clear" w:pos="426"/>
        </w:tabs>
      </w:pPr>
      <w:r>
        <w:rPr>
          <w:rFonts w:hint="eastAsia"/>
        </w:rPr>
        <w:t>35.2.4总价金额与按单价汇总金额不一致的，以单价金额计算结果为准；</w:t>
      </w:r>
    </w:p>
    <w:p>
      <w:pPr>
        <w:tabs>
          <w:tab w:val="clear" w:pos="426"/>
        </w:tabs>
      </w:pPr>
      <w:r>
        <w:rPr>
          <w:rFonts w:hint="eastAsia"/>
        </w:rPr>
        <w:t>35.2.5 对不同文字文本投标文件的解释发生异议的，以中文文本为准。</w:t>
      </w:r>
    </w:p>
    <w:p>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pPr>
        <w:tabs>
          <w:tab w:val="clear" w:pos="426"/>
        </w:tabs>
      </w:pPr>
      <w:r>
        <w:rPr>
          <w:rFonts w:hint="eastAsia"/>
        </w:rPr>
        <w:t>35.4  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pPr>
        <w:tabs>
          <w:tab w:val="clear" w:pos="426"/>
        </w:tabs>
      </w:pPr>
      <w:r>
        <w:rPr>
          <w:rFonts w:hint="eastAsia"/>
        </w:rPr>
        <w:t>35.5根据上述修正错误的原则及方法调整或修正投标文件的投标报价，投标供应商同意后，调整后的投标报价对投标供应商起约束作用。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pPr>
        <w:tabs>
          <w:tab w:val="clear" w:pos="426"/>
        </w:tabs>
      </w:pPr>
      <w:r>
        <w:rPr>
          <w:rFonts w:hint="eastAsia"/>
        </w:rPr>
        <w:t>36．投标文件的比较与评价</w:t>
      </w:r>
    </w:p>
    <w:p>
      <w:pPr>
        <w:tabs>
          <w:tab w:val="clear" w:pos="426"/>
        </w:tabs>
      </w:pPr>
      <w:r>
        <w:rPr>
          <w:rFonts w:hint="eastAsia"/>
        </w:rPr>
        <w:t>36.1评标委员会将参照相关法律、法规、规定，仅对通过资格性审查和符合性审查的投标文件进行综合比较与评价。</w:t>
      </w:r>
    </w:p>
    <w:p>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pPr>
        <w:tabs>
          <w:tab w:val="clear" w:pos="426"/>
        </w:tabs>
      </w:pPr>
      <w:r>
        <w:rPr>
          <w:rFonts w:hint="eastAsia"/>
        </w:rPr>
        <w:t>36.3 评标委员会应当对投标供应商的投标文件进行分析和比较。</w:t>
      </w:r>
    </w:p>
    <w:p>
      <w:pPr>
        <w:tabs>
          <w:tab w:val="clear" w:pos="426"/>
        </w:tabs>
      </w:pPr>
      <w:r>
        <w:rPr>
          <w:rFonts w:hint="eastAsia"/>
        </w:rPr>
        <w:t>36.4  评标委员会应当根据招标文件规定，对投标文件中的每项评审内容进行评审。</w:t>
      </w:r>
    </w:p>
    <w:p>
      <w:pPr>
        <w:tabs>
          <w:tab w:val="clear" w:pos="426"/>
        </w:tabs>
        <w:rPr>
          <w:kern w:val="10"/>
        </w:rPr>
      </w:pPr>
      <w:r>
        <w:rPr>
          <w:rFonts w:hint="eastAsia"/>
          <w:kern w:val="10"/>
        </w:rPr>
        <w:t>36.5  投标文件存在重大偏离的，应作废标处理。下列情况属于重大偏离：</w:t>
      </w:r>
    </w:p>
    <w:p>
      <w:pPr>
        <w:tabs>
          <w:tab w:val="clear" w:pos="426"/>
        </w:tabs>
        <w:rPr>
          <w:kern w:val="10"/>
        </w:rPr>
      </w:pPr>
      <w:r>
        <w:rPr>
          <w:rFonts w:hint="eastAsia"/>
          <w:kern w:val="10"/>
        </w:rPr>
        <w:t>36.5.1  投标供应商以他人的名义投标或出现下列串通投标、弄虚作假投标嫌疑的：</w:t>
      </w:r>
    </w:p>
    <w:p>
      <w:pPr>
        <w:tabs>
          <w:tab w:val="clear" w:pos="426"/>
        </w:tabs>
        <w:rPr>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pPr>
        <w:tabs>
          <w:tab w:val="clear" w:pos="426"/>
        </w:tabs>
        <w:rPr>
          <w:kern w:val="10"/>
        </w:rPr>
      </w:pPr>
      <w:r>
        <w:rPr>
          <w:rFonts w:hint="eastAsia"/>
          <w:kern w:val="10"/>
        </w:rPr>
        <w:t xml:space="preserve">36.5.1.2  </w:t>
      </w:r>
      <w:r>
        <w:rPr>
          <w:kern w:val="10"/>
        </w:rPr>
        <w:t>不同投标供应商的投标文件错漏之处一致的；</w:t>
      </w:r>
    </w:p>
    <w:p>
      <w:pPr>
        <w:tabs>
          <w:tab w:val="clear" w:pos="426"/>
        </w:tabs>
        <w:rPr>
          <w:kern w:val="10"/>
        </w:rPr>
      </w:pPr>
      <w:r>
        <w:rPr>
          <w:rFonts w:hint="eastAsia"/>
          <w:kern w:val="10"/>
        </w:rPr>
        <w:t xml:space="preserve">36.5.1.3  </w:t>
      </w:r>
      <w:r>
        <w:rPr>
          <w:kern w:val="10"/>
        </w:rPr>
        <w:t>不同投标供应商的投标报价或者报价组成异常一致或者呈规律性变化的；</w:t>
      </w:r>
    </w:p>
    <w:p>
      <w:pPr>
        <w:tabs>
          <w:tab w:val="clear" w:pos="426"/>
        </w:tabs>
        <w:rPr>
          <w:kern w:val="10"/>
        </w:rPr>
      </w:pPr>
      <w:r>
        <w:rPr>
          <w:rFonts w:hint="eastAsia"/>
          <w:kern w:val="10"/>
        </w:rPr>
        <w:t xml:space="preserve">36.5.1.4  </w:t>
      </w:r>
      <w:r>
        <w:rPr>
          <w:kern w:val="10"/>
        </w:rPr>
        <w:t>不同投标供应商的投标文件由同一单位或者同一个人编制的；</w:t>
      </w:r>
    </w:p>
    <w:p>
      <w:pPr>
        <w:tabs>
          <w:tab w:val="clear" w:pos="426"/>
        </w:tabs>
        <w:rPr>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pPr>
        <w:tabs>
          <w:tab w:val="clear" w:pos="426"/>
        </w:tabs>
        <w:rPr>
          <w:kern w:val="10"/>
        </w:rPr>
      </w:pPr>
      <w:r>
        <w:rPr>
          <w:rFonts w:hint="eastAsia"/>
          <w:kern w:val="10"/>
        </w:rPr>
        <w:t xml:space="preserve">36.5.1.6  </w:t>
      </w:r>
      <w:r>
        <w:rPr>
          <w:kern w:val="10"/>
        </w:rPr>
        <w:t>不同投标供应商的投标文件相互混装的；</w:t>
      </w:r>
    </w:p>
    <w:p>
      <w:pPr>
        <w:tabs>
          <w:tab w:val="clear" w:pos="426"/>
        </w:tabs>
        <w:rPr>
          <w:kern w:val="10"/>
        </w:rPr>
      </w:pPr>
      <w:r>
        <w:rPr>
          <w:rFonts w:hint="eastAsia"/>
          <w:kern w:val="10"/>
        </w:rPr>
        <w:t xml:space="preserve">36.5.1.7  </w:t>
      </w:r>
      <w:r>
        <w:rPr>
          <w:kern w:val="10"/>
        </w:rPr>
        <w:t>不同投标供应商委托同一人投标的</w:t>
      </w:r>
      <w:r>
        <w:rPr>
          <w:rFonts w:hint="eastAsia"/>
          <w:kern w:val="10"/>
        </w:rPr>
        <w:t>；</w:t>
      </w:r>
    </w:p>
    <w:p>
      <w:pPr>
        <w:tabs>
          <w:tab w:val="clear" w:pos="426"/>
        </w:tabs>
        <w:rPr>
          <w:kern w:val="10"/>
        </w:rPr>
      </w:pPr>
      <w:r>
        <w:rPr>
          <w:rFonts w:hint="eastAsia"/>
          <w:kern w:val="10"/>
        </w:rPr>
        <w:t>36.5.1.8  不同投标供应商聘请同一人为其投标提供技术或者经济咨询服务的，但招标工程本身要求采用专有技术的除外；</w:t>
      </w:r>
    </w:p>
    <w:p>
      <w:pPr>
        <w:tabs>
          <w:tab w:val="clear" w:pos="426"/>
        </w:tabs>
        <w:rPr>
          <w:kern w:val="10"/>
        </w:rPr>
      </w:pPr>
      <w:r>
        <w:rPr>
          <w:rFonts w:hint="eastAsia"/>
          <w:kern w:val="10"/>
        </w:rPr>
        <w:t xml:space="preserve">36.5.1.9  </w:t>
      </w:r>
      <w:r>
        <w:rPr>
          <w:kern w:val="10"/>
        </w:rPr>
        <w:t>评标委员会认定的其他串通投标情形。</w:t>
      </w:r>
    </w:p>
    <w:p>
      <w:pPr>
        <w:tabs>
          <w:tab w:val="clear" w:pos="426"/>
        </w:tabs>
      </w:pPr>
      <w:r>
        <w:rPr>
          <w:rFonts w:hint="eastAsia"/>
          <w:kern w:val="10"/>
        </w:rPr>
        <w:t xml:space="preserve">36.5.2 </w:t>
      </w:r>
      <w:r>
        <w:rPr>
          <w:rFonts w:hint="eastAsia"/>
        </w:rPr>
        <w:t xml:space="preserve"> 投标文件不满足招标文件规定的任何一项实质性要求的；</w:t>
      </w:r>
    </w:p>
    <w:p>
      <w:pPr>
        <w:tabs>
          <w:tab w:val="clear" w:pos="426"/>
        </w:tabs>
      </w:pPr>
      <w:r>
        <w:rPr>
          <w:rFonts w:hint="eastAsia"/>
          <w:bCs/>
          <w:kern w:val="10"/>
        </w:rPr>
        <w:t xml:space="preserve">36.5.3 </w:t>
      </w:r>
      <w:r>
        <w:rPr>
          <w:rFonts w:hint="eastAsia"/>
        </w:rPr>
        <w:t xml:space="preserve"> 投标文件对招标文件规定的非实质性要求的偏离，超出允许偏离的最大范围或最高项数的；</w:t>
      </w:r>
    </w:p>
    <w:p>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评标委员会根据招标文件的规定对投标文件的投标价格进行调整，投标供应商不接受调整方式的，或不接受调整后的价格的；</w:t>
      </w:r>
    </w:p>
    <w:p>
      <w:pPr>
        <w:tabs>
          <w:tab w:val="clear" w:pos="426"/>
        </w:tabs>
        <w:rPr>
          <w:kern w:val="10"/>
        </w:rPr>
      </w:pPr>
      <w:r>
        <w:rPr>
          <w:rFonts w:hint="eastAsia"/>
          <w:kern w:val="10"/>
        </w:rPr>
        <w:t>36.6  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pPr>
        <w:tabs>
          <w:tab w:val="clear" w:pos="426"/>
        </w:tabs>
        <w:rPr>
          <w:kern w:val="10"/>
        </w:rPr>
      </w:pPr>
      <w:r>
        <w:rPr>
          <w:rFonts w:hint="eastAsia"/>
          <w:kern w:val="10"/>
        </w:rPr>
        <w:t>36.7 评标委员会应书面要求存在细微偏离的投标供应商在评标结束前予以补正。拒不补正的，在详细评审时可以对细微偏离按照不利于该投标供应商的原则进行调整，且投标供应商不得因此提出任何异议。</w:t>
      </w:r>
    </w:p>
    <w:p>
      <w:pPr>
        <w:tabs>
          <w:tab w:val="clear" w:pos="426"/>
        </w:tabs>
      </w:pPr>
      <w:r>
        <w:rPr>
          <w:rFonts w:hint="eastAsia"/>
        </w:rPr>
        <w:t>37.实地考察、演示或设备测试</w:t>
      </w:r>
    </w:p>
    <w:p>
      <w:pPr>
        <w:tabs>
          <w:tab w:val="clear" w:pos="426"/>
        </w:tabs>
      </w:pPr>
      <w:r>
        <w:rPr>
          <w:rFonts w:hint="eastAsia"/>
        </w:rPr>
        <w:t>37.1在招标过程中，评标委员会有权决定是否对本项目投标供应商进行现场勘察或实地考察或检验有关证明材料的原件。投标供应商应随时做好接受检查的准备。</w:t>
      </w:r>
    </w:p>
    <w:p>
      <w:pPr>
        <w:tabs>
          <w:tab w:val="clear" w:pos="426"/>
        </w:tabs>
      </w:pPr>
      <w:r>
        <w:rPr>
          <w:rFonts w:hint="eastAsia"/>
        </w:rPr>
        <w:t>37.2若招标文件要求进行现场演示或设备测试的，投标供应商应做好相应准备。</w:t>
      </w:r>
    </w:p>
    <w:p>
      <w:pPr>
        <w:tabs>
          <w:tab w:val="clear" w:pos="426"/>
        </w:tabs>
      </w:pPr>
      <w:r>
        <w:rPr>
          <w:rFonts w:hint="eastAsia"/>
        </w:rPr>
        <w:t>38．评标方法</w:t>
      </w:r>
    </w:p>
    <w:p>
      <w:pPr>
        <w:tabs>
          <w:tab w:val="clear" w:pos="426"/>
        </w:tabs>
        <w:rPr>
          <w:szCs w:val="21"/>
        </w:rPr>
      </w:pPr>
      <w:r>
        <w:rPr>
          <w:rFonts w:hint="eastAsia"/>
          <w:szCs w:val="21"/>
        </w:rPr>
        <w:t>38.1</w:t>
      </w:r>
      <w:r>
        <w:rPr>
          <w:rFonts w:hint="eastAsia"/>
        </w:rPr>
        <w:t>根据有关要求，</w:t>
      </w:r>
      <w:r>
        <w:rPr>
          <w:rFonts w:hint="eastAsia"/>
          <w:szCs w:val="21"/>
        </w:rPr>
        <w:t>项目评标方法根据是否是评定分离项目进行选择。</w:t>
      </w:r>
    </w:p>
    <w:p>
      <w:pPr>
        <w:tabs>
          <w:tab w:val="clear" w:pos="426"/>
        </w:tabs>
      </w:pPr>
      <w:r>
        <w:rPr>
          <w:rFonts w:hint="eastAsia"/>
        </w:rPr>
        <w:t>38.2非评定分离项目</w:t>
      </w:r>
    </w:p>
    <w:p>
      <w:pPr>
        <w:tabs>
          <w:tab w:val="clear" w:pos="426"/>
        </w:tabs>
      </w:pPr>
      <w:r>
        <w:rPr>
          <w:rFonts w:hint="eastAsia"/>
        </w:rPr>
        <w:t>非评定分离项目评分方法为最低评标价法、综合评标法、性价比法及法律、法规允许的其它评标办法。</w:t>
      </w:r>
    </w:p>
    <w:p>
      <w:pPr>
        <w:tabs>
          <w:tab w:val="clear" w:pos="426"/>
        </w:tabs>
        <w:rPr>
          <w:b/>
        </w:rPr>
      </w:pPr>
      <w:r>
        <w:rPr>
          <w:rFonts w:hint="eastAsia"/>
        </w:rPr>
        <w:t>38.2.1最低评标价法</w:t>
      </w:r>
    </w:p>
    <w:p>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pPr>
        <w:tabs>
          <w:tab w:val="clear" w:pos="426"/>
        </w:tabs>
        <w:rPr>
          <w:b/>
        </w:rPr>
      </w:pPr>
      <w:r>
        <w:rPr>
          <w:rFonts w:hint="eastAsia"/>
        </w:rPr>
        <w:t>38.2.2综合评分法</w:t>
      </w:r>
    </w:p>
    <w:p>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pPr>
        <w:tabs>
          <w:tab w:val="clear" w:pos="426"/>
        </w:tabs>
        <w:rPr>
          <w:b/>
          <w:bCs/>
        </w:rPr>
      </w:pPr>
      <w:r>
        <w:rPr>
          <w:rFonts w:hint="eastAsia"/>
        </w:rPr>
        <w:t>38.2.3</w:t>
      </w:r>
      <w:r>
        <w:rPr>
          <w:rFonts w:hint="eastAsia"/>
          <w:bCs/>
        </w:rPr>
        <w:t>性价比法</w:t>
      </w:r>
    </w:p>
    <w:p>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pPr>
        <w:tabs>
          <w:tab w:val="clear" w:pos="426"/>
        </w:tabs>
      </w:pPr>
      <w:r>
        <w:rPr>
          <w:rFonts w:hint="eastAsia"/>
        </w:rPr>
        <w:t>38.3评定分离项目</w:t>
      </w:r>
    </w:p>
    <w:p>
      <w:pPr>
        <w:tabs>
          <w:tab w:val="clear" w:pos="426"/>
        </w:tabs>
      </w:pPr>
      <w:r>
        <w:rPr>
          <w:rFonts w:hint="eastAsia"/>
        </w:rPr>
        <w:t>评定分离项目，评审委员会应当按照综合评分法、定性评审法、最低价法或者法律、法规及规章规定的其他评审方法对投标文件进行评审。</w:t>
      </w:r>
    </w:p>
    <w:p>
      <w:pPr>
        <w:tabs>
          <w:tab w:val="clear" w:pos="426"/>
        </w:tabs>
        <w:rPr>
          <w:b/>
        </w:rPr>
      </w:pPr>
      <w:r>
        <w:rPr>
          <w:rFonts w:hint="eastAsia"/>
        </w:rPr>
        <w:t>38.3.1综合评分法</w:t>
      </w:r>
    </w:p>
    <w:p>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pPr>
        <w:tabs>
          <w:tab w:val="clear" w:pos="426"/>
        </w:tabs>
        <w:rPr>
          <w:sz w:val="18"/>
          <w:szCs w:val="18"/>
          <w:shd w:val="clear" w:color="auto" w:fill="FFFFFF"/>
        </w:rPr>
      </w:pPr>
      <w:r>
        <w:rPr>
          <w:rFonts w:hint="eastAsia"/>
        </w:rPr>
        <w:t>38.3.2</w:t>
      </w:r>
      <w:r>
        <w:rPr>
          <w:rFonts w:hint="eastAsia"/>
          <w:bCs/>
        </w:rPr>
        <w:t>定性评审法</w:t>
      </w:r>
    </w:p>
    <w:p>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pPr>
        <w:tabs>
          <w:tab w:val="clear" w:pos="426"/>
        </w:tabs>
      </w:pPr>
      <w:r>
        <w:rPr>
          <w:rFonts w:hint="eastAsia"/>
        </w:rPr>
        <w:t>38.3.3最低价法</w:t>
      </w:r>
    </w:p>
    <w:p>
      <w:pPr>
        <w:tabs>
          <w:tab w:val="clear" w:pos="426"/>
        </w:tabs>
      </w:pPr>
      <w:r>
        <w:rPr>
          <w:rFonts w:hint="eastAsia"/>
        </w:rPr>
        <w:t>最低价法是指以价格为主要因素确定候选中标供应商的评审方法。</w:t>
      </w:r>
    </w:p>
    <w:p>
      <w:pPr>
        <w:tabs>
          <w:tab w:val="clear" w:pos="426"/>
        </w:tabs>
      </w:pPr>
      <w:r>
        <w:rPr>
          <w:rFonts w:hint="eastAsia"/>
        </w:rPr>
        <w:t>38.4本项目采用的评标方法见本项目招标文件专用条款的相关内容。</w:t>
      </w:r>
    </w:p>
    <w:p>
      <w:pPr>
        <w:pStyle w:val="5"/>
        <w:tabs>
          <w:tab w:val="clear" w:pos="426"/>
        </w:tabs>
      </w:pPr>
      <w:bookmarkStart w:id="178" w:name="_Toc530152528"/>
      <w:bookmarkStart w:id="179" w:name="_Toc529280587"/>
      <w:bookmarkStart w:id="180" w:name="_Toc14427260"/>
      <w:bookmarkStart w:id="181" w:name="_Toc10018"/>
      <w:r>
        <w:rPr>
          <w:rFonts w:hint="eastAsia"/>
        </w:rPr>
        <w:t>第七章 定标及公示</w:t>
      </w:r>
      <w:bookmarkEnd w:id="178"/>
      <w:bookmarkEnd w:id="179"/>
      <w:bookmarkEnd w:id="180"/>
      <w:bookmarkEnd w:id="181"/>
    </w:p>
    <w:p>
      <w:pPr>
        <w:tabs>
          <w:tab w:val="clear" w:pos="426"/>
        </w:tabs>
      </w:pPr>
      <w:r>
        <w:rPr>
          <w:rFonts w:hint="eastAsia"/>
        </w:rPr>
        <w:t>39．定标方法</w:t>
      </w:r>
    </w:p>
    <w:p>
      <w:pPr>
        <w:tabs>
          <w:tab w:val="clear" w:pos="426"/>
        </w:tabs>
      </w:pPr>
      <w:r>
        <w:rPr>
          <w:rFonts w:hint="eastAsia"/>
        </w:rPr>
        <w:t>39</w:t>
      </w:r>
      <w:r>
        <w:t>.</w:t>
      </w:r>
      <w:r>
        <w:rPr>
          <w:rFonts w:hint="eastAsia"/>
        </w:rPr>
        <w:t>1项目定标方法根据是否是评定分离项目进行选择。</w:t>
      </w:r>
    </w:p>
    <w:p>
      <w:pPr>
        <w:tabs>
          <w:tab w:val="clear" w:pos="426"/>
        </w:tabs>
      </w:pPr>
      <w:r>
        <w:rPr>
          <w:rFonts w:hint="eastAsia"/>
        </w:rPr>
        <w:t>39</w:t>
      </w:r>
      <w:r>
        <w:t>.</w:t>
      </w:r>
      <w:r>
        <w:rPr>
          <w:rFonts w:hint="eastAsia"/>
        </w:rPr>
        <w:t>2非评定分离项目</w:t>
      </w:r>
    </w:p>
    <w:p>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pPr>
        <w:tabs>
          <w:tab w:val="clear" w:pos="426"/>
        </w:tabs>
      </w:pPr>
      <w:r>
        <w:rPr>
          <w:rFonts w:hint="eastAsia"/>
        </w:rPr>
        <w:t>39</w:t>
      </w:r>
      <w:r>
        <w:t>.</w:t>
      </w:r>
      <w:r>
        <w:rPr>
          <w:rFonts w:hint="eastAsia"/>
        </w:rPr>
        <w:t>2.1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，按商数得分由高到低顺序排列。商数得分相同的，按投标报价由低到高顺序排列。商数得分且投标报价相同的，按技术指标优劣顺序排列。</w:t>
      </w:r>
    </w:p>
    <w:p>
      <w:pPr>
        <w:tabs>
          <w:tab w:val="clear" w:pos="426"/>
        </w:tabs>
      </w:pPr>
      <w:r>
        <w:rPr>
          <w:rFonts w:hint="eastAsia"/>
        </w:rPr>
        <w:t>39</w:t>
      </w:r>
      <w:r>
        <w:t>.</w:t>
      </w:r>
      <w:r>
        <w:rPr>
          <w:rFonts w:hint="eastAsia"/>
        </w:rPr>
        <w:t>3评定分离项目</w:t>
      </w:r>
    </w:p>
    <w:p>
      <w:pPr>
        <w:tabs>
          <w:tab w:val="clear" w:pos="426"/>
        </w:tabs>
      </w:pPr>
      <w:r>
        <w:rPr>
          <w:rFonts w:hint="eastAsia"/>
        </w:rPr>
        <w:t>适用评定分离的采购项目，采购人应当根据不同的项目选用自定法、抽签法、竞价法或者法律、法规及规章规定的其他定标方法确定中标供应商。</w:t>
      </w:r>
    </w:p>
    <w:p>
      <w:pPr>
        <w:tabs>
          <w:tab w:val="clear" w:pos="426"/>
        </w:tabs>
      </w:pPr>
      <w:r>
        <w:rPr>
          <w:rFonts w:hint="eastAsia"/>
        </w:rPr>
        <w:t>39</w:t>
      </w:r>
      <w:r>
        <w:t>.</w:t>
      </w:r>
      <w:r>
        <w:rPr>
          <w:rFonts w:hint="eastAsia"/>
        </w:rPr>
        <w:t>3.1自定法是指采购人组织定标委员会，由定标委员会在候选中标供应商中确定中标供应商。</w:t>
      </w:r>
    </w:p>
    <w:p>
      <w:pPr>
        <w:tabs>
          <w:tab w:val="clear" w:pos="426"/>
        </w:tabs>
      </w:pPr>
      <w:r>
        <w:rPr>
          <w:rFonts w:hint="eastAsia"/>
        </w:rPr>
        <w:t>39</w:t>
      </w:r>
      <w:r>
        <w:t>.</w:t>
      </w:r>
      <w:r>
        <w:rPr>
          <w:rFonts w:hint="eastAsia"/>
        </w:rPr>
        <w:t>3.2 抽签法是指候选中标供应商产生后，由采购人委托招标机构按照随机抽签的方式在候选中标供应商中确定中标供应商。 </w:t>
      </w:r>
    </w:p>
    <w:p>
      <w:pPr>
        <w:tabs>
          <w:tab w:val="clear" w:pos="426"/>
        </w:tabs>
      </w:pPr>
      <w:r>
        <w:rPr>
          <w:rFonts w:hint="eastAsia"/>
        </w:rPr>
        <w:t>39</w:t>
      </w:r>
      <w:r>
        <w:t>.</w:t>
      </w:r>
      <w:r>
        <w:rPr>
          <w:rFonts w:hint="eastAsia"/>
        </w:rPr>
        <w:t>3.3竞价法是指候选中标供应商产生后，由采购人委托招标机构组织候选中标供应商进行二次竞价，最终报价最低的为中标供应商</w:t>
      </w:r>
    </w:p>
    <w:p>
      <w:pPr>
        <w:tabs>
          <w:tab w:val="clear" w:pos="426"/>
        </w:tabs>
      </w:pPr>
      <w:r>
        <w:rPr>
          <w:rFonts w:hint="eastAsia"/>
        </w:rPr>
        <w:t>39.4本项目采用的定标方法见本项目招标文件专用条款的相关内容。</w:t>
      </w:r>
    </w:p>
    <w:p>
      <w:pPr>
        <w:tabs>
          <w:tab w:val="clear" w:pos="426"/>
        </w:tabs>
      </w:pPr>
      <w:r>
        <w:rPr>
          <w:rFonts w:hint="eastAsia"/>
        </w:rPr>
        <w:t>40．编写评标报告</w:t>
      </w:r>
    </w:p>
    <w:p>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tabs>
          <w:tab w:val="clear" w:pos="426"/>
        </w:tabs>
      </w:pPr>
      <w:r>
        <w:rPr>
          <w:rFonts w:hint="eastAsia"/>
        </w:rPr>
        <w:t>41．中标公告</w:t>
      </w:r>
    </w:p>
    <w:p>
      <w:pPr>
        <w:tabs>
          <w:tab w:val="clear" w:pos="426"/>
        </w:tabs>
      </w:pPr>
      <w:r>
        <w:rPr>
          <w:rFonts w:hint="eastAsia"/>
        </w:rPr>
        <w:t>41.1为体现“公开、公平、公正”的原则，评标结束后，将在深圳海关门户网  （</w:t>
      </w:r>
      <w:r>
        <w:t>http://shenzhen.customs.gov.cn</w:t>
      </w:r>
      <w:r>
        <w:rPr>
          <w:rFonts w:hint="eastAsia"/>
        </w:rPr>
        <w:t>）、中国政府采购网（http://www.ccgp.gov.cn）、采购代理机构官网：（</w:t>
      </w:r>
      <w:r>
        <w:t>http://www.szsszx.com/</w:t>
      </w:r>
      <w:r>
        <w:rPr>
          <w:rFonts w:hint="eastAsia"/>
        </w:rPr>
        <w:t>）上发布中标结果公告， 公示期为1个工作日。供应商如对评标结果有异议，请于公示期内，以书面的形式向我公司反映。若在公示期内未提出异议，则视为认同该评标结果。</w:t>
      </w:r>
    </w:p>
    <w:p>
      <w:pPr>
        <w:tabs>
          <w:tab w:val="clear" w:pos="426"/>
        </w:tabs>
      </w:pPr>
      <w:r>
        <w:rPr>
          <w:rFonts w:hint="eastAsia"/>
        </w:rPr>
        <w:t>41.2质疑投诉人应保证质疑投诉内容的真实性和可靠性，并承担相应的法律责任。</w:t>
      </w:r>
    </w:p>
    <w:p>
      <w:pPr>
        <w:tabs>
          <w:tab w:val="clear" w:pos="426"/>
        </w:tabs>
      </w:pPr>
      <w:r>
        <w:rPr>
          <w:rFonts w:hint="eastAsia"/>
        </w:rPr>
        <w:t>42．中标通知书</w:t>
      </w:r>
    </w:p>
    <w:p>
      <w:pPr>
        <w:tabs>
          <w:tab w:val="clear" w:pos="426"/>
        </w:tabs>
      </w:pPr>
      <w:r>
        <w:rPr>
          <w:rFonts w:hint="eastAsia"/>
        </w:rPr>
        <w:t>42</w:t>
      </w:r>
      <w:r>
        <w:t>.</w:t>
      </w:r>
      <w:r>
        <w:rPr>
          <w:rFonts w:hint="eastAsia"/>
        </w:rPr>
        <w:t>1中标公告公布后,公示期内无人投诉,请中标供应商凭单位证明及本人身份证到采购代理机构领取《中标通知书》。</w:t>
      </w:r>
    </w:p>
    <w:p>
      <w:pPr>
        <w:tabs>
          <w:tab w:val="clear" w:pos="426"/>
        </w:tabs>
      </w:pPr>
      <w:r>
        <w:rPr>
          <w:rFonts w:hint="eastAsia"/>
        </w:rPr>
        <w:t>42</w:t>
      </w:r>
      <w:r>
        <w:t>.2</w:t>
      </w:r>
      <w:r>
        <w:rPr>
          <w:rFonts w:hint="eastAsia"/>
        </w:rPr>
        <w:t>中标通知书是合同的重要组成部分。</w:t>
      </w:r>
    </w:p>
    <w:p>
      <w:pPr>
        <w:tabs>
          <w:tab w:val="clear" w:pos="426"/>
        </w:tabs>
      </w:pPr>
      <w:r>
        <w:rPr>
          <w:rFonts w:hint="eastAsia"/>
        </w:rPr>
        <w:t>42.3因质疑投诉或其它原因导致项目结果变更或采购终止的，我公司有权收回中标通知书或终止采购合同。</w:t>
      </w:r>
    </w:p>
    <w:p>
      <w:pPr>
        <w:pStyle w:val="5"/>
        <w:tabs>
          <w:tab w:val="clear" w:pos="426"/>
        </w:tabs>
      </w:pPr>
      <w:bookmarkStart w:id="182" w:name="_Toc529280588"/>
      <w:bookmarkStart w:id="183" w:name="_Toc14427261"/>
      <w:bookmarkStart w:id="184" w:name="_Toc1549"/>
      <w:bookmarkStart w:id="185" w:name="_Toc530152529"/>
      <w:r>
        <w:rPr>
          <w:rFonts w:hint="eastAsia"/>
        </w:rPr>
        <w:t>第八章 公开招标失败的后续处理</w:t>
      </w:r>
      <w:bookmarkEnd w:id="182"/>
      <w:bookmarkEnd w:id="183"/>
      <w:bookmarkEnd w:id="184"/>
      <w:bookmarkEnd w:id="185"/>
    </w:p>
    <w:p>
      <w:pPr>
        <w:rPr>
          <w:rFonts w:hAnsi="Times New Roman"/>
        </w:rPr>
      </w:pPr>
      <w:r>
        <w:rPr>
          <w:rFonts w:hint="eastAsia"/>
        </w:rPr>
        <w:t>43．公开招标失败的处理</w:t>
      </w:r>
    </w:p>
    <w:p>
      <w:pPr>
        <w:tabs>
          <w:tab w:val="clear" w:pos="426"/>
        </w:tabs>
      </w:pPr>
      <w:r>
        <w:rPr>
          <w:rFonts w:hint="eastAsia" w:hAnsi="Times New Roman"/>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pPr>
        <w:tabs>
          <w:tab w:val="clear" w:pos="426"/>
        </w:tabs>
      </w:pPr>
      <w:r>
        <w:rPr>
          <w:rFonts w:hint="eastAsia"/>
        </w:rPr>
        <w:t>43.2对公开招标失败的项目，评标委员会在出具该项目招标失败结论的同时，提出重新采购组织形式的建议，以及进一步完善招标文件的资格、技术、商务要求的修改建议。</w:t>
      </w:r>
    </w:p>
    <w:p>
      <w:pPr>
        <w:tabs>
          <w:tab w:val="clear" w:pos="426"/>
        </w:tabs>
      </w:pPr>
      <w:r>
        <w:rPr>
          <w:rFonts w:hint="eastAsia"/>
        </w:rPr>
        <w:t>43.3评审委员会要在采购项目招标失败时，出具招标文件是否存在不合理条款的论证意见，要协助采购人、采购代理机构、财政部门答复质疑或处理投诉事项。</w:t>
      </w:r>
    </w:p>
    <w:p>
      <w:pPr>
        <w:tabs>
          <w:tab w:val="clear" w:pos="426"/>
        </w:tabs>
      </w:pPr>
      <w:r>
        <w:rPr>
          <w:rFonts w:hint="eastAsia"/>
        </w:rPr>
        <w:t>43.4重新组织采购有以下两种组织形式：</w:t>
      </w:r>
    </w:p>
    <w:p>
      <w:pPr>
        <w:tabs>
          <w:tab w:val="clear" w:pos="426"/>
        </w:tabs>
      </w:pPr>
      <w:r>
        <w:rPr>
          <w:rFonts w:hint="eastAsia"/>
        </w:rPr>
        <w:t>（1）由采购代理机构重新组织公开招标；</w:t>
      </w:r>
    </w:p>
    <w:p>
      <w:pPr>
        <w:tabs>
          <w:tab w:val="clear" w:pos="426"/>
        </w:tabs>
      </w:pPr>
      <w:r>
        <w:rPr>
          <w:rFonts w:hint="eastAsia"/>
        </w:rPr>
        <w:t>（2）根据实际情况需要向相关监督管理部门提出非公开招标方式申请，经相关监督管理部门批准公开招标失败采购项目可转为竞争性谈判或单一来源谈判方式采购。</w:t>
      </w:r>
    </w:p>
    <w:p>
      <w:pPr>
        <w:tabs>
          <w:tab w:val="clear" w:pos="426"/>
        </w:tabs>
      </w:pPr>
      <w:r>
        <w:rPr>
          <w:rFonts w:hint="eastAsia"/>
        </w:rPr>
        <w:t>43.5公开招标失败的采购项目重新组织公开招标，采购代理机构要重新按公开招标流程发布采购公告和招标文件、组成评标委员会等组织采购活动。</w:t>
      </w:r>
    </w:p>
    <w:p>
      <w:pPr>
        <w:tabs>
          <w:tab w:val="clear" w:pos="426"/>
        </w:tabs>
      </w:pPr>
      <w:r>
        <w:rPr>
          <w:rFonts w:hint="eastAsia"/>
        </w:rPr>
        <w:t>43.6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tabs>
          <w:tab w:val="clear" w:pos="426"/>
        </w:tabs>
      </w:pPr>
      <w:r>
        <w:rPr>
          <w:rFonts w:hint="eastAsia"/>
        </w:rPr>
        <w:t>44．公开招标失败项目转为竞争性谈判方式采购的</w:t>
      </w:r>
    </w:p>
    <w:p>
      <w:pPr>
        <w:tabs>
          <w:tab w:val="clear" w:pos="426"/>
        </w:tabs>
      </w:pPr>
      <w:r>
        <w:rPr>
          <w:rFonts w:hint="eastAsia"/>
        </w:rPr>
        <w:t>44.1谈判文件</w:t>
      </w:r>
    </w:p>
    <w:p>
      <w:pPr>
        <w:tabs>
          <w:tab w:val="clear" w:pos="426"/>
        </w:tabs>
      </w:pPr>
      <w:r>
        <w:rPr>
          <w:rFonts w:hint="eastAsia"/>
        </w:rPr>
        <w:t>44.1.1公开招标失败项目转为竞争性谈判方式采购的，原招标文件转为谈判文件。</w:t>
      </w:r>
    </w:p>
    <w:p>
      <w:pPr>
        <w:tabs>
          <w:tab w:val="clear" w:pos="426"/>
        </w:tabs>
      </w:pPr>
      <w:r>
        <w:rPr>
          <w:rFonts w:hint="eastAsia"/>
        </w:rPr>
        <w:t>44.2谈判小组</w:t>
      </w:r>
    </w:p>
    <w:p>
      <w:pPr>
        <w:tabs>
          <w:tab w:val="clear" w:pos="426"/>
        </w:tabs>
      </w:pPr>
      <w:r>
        <w:rPr>
          <w:rFonts w:hint="eastAsia"/>
        </w:rPr>
        <w:t>44.2.1公开招标失败项目转为竞争性谈判方式采购后，评标委员会转为谈判小组；专家可重新抽取也可继续采用评标委员会内专家。</w:t>
      </w:r>
    </w:p>
    <w:p>
      <w:pPr>
        <w:tabs>
          <w:tab w:val="clear" w:pos="426"/>
        </w:tabs>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pPr>
        <w:tabs>
          <w:tab w:val="clear" w:pos="426"/>
        </w:tabs>
      </w:pPr>
      <w:r>
        <w:rPr>
          <w:rFonts w:hint="eastAsia"/>
        </w:rPr>
        <w:t>44.3谈判程序</w:t>
      </w:r>
    </w:p>
    <w:p>
      <w:pPr>
        <w:tabs>
          <w:tab w:val="clear" w:pos="426"/>
        </w:tabs>
      </w:pPr>
      <w:r>
        <w:rPr>
          <w:rFonts w:hint="eastAsia"/>
        </w:rPr>
        <w:t>44.3.1参加谈判的供应商和谈判小组成员填写谈判登记表，并交验证明文件（法定代表人证明书、法人授权委托书、被授权的谈判代表身份证原件）。</w:t>
      </w:r>
    </w:p>
    <w:p>
      <w:pPr>
        <w:tabs>
          <w:tab w:val="clear" w:pos="426"/>
        </w:tabs>
      </w:pPr>
      <w:r>
        <w:rPr>
          <w:rFonts w:hint="eastAsia"/>
        </w:rPr>
        <w:t>44.3</w:t>
      </w:r>
      <w:r>
        <w:t>.2</w:t>
      </w:r>
      <w:r>
        <w:rPr>
          <w:rFonts w:hint="eastAsia"/>
        </w:rPr>
        <w:t>谈判小组主持人宣布谈判规则和谈判纪律。</w:t>
      </w:r>
    </w:p>
    <w:p>
      <w:pPr>
        <w:tabs>
          <w:tab w:val="clear" w:pos="426"/>
        </w:tabs>
      </w:pPr>
      <w:r>
        <w:rPr>
          <w:rFonts w:hint="eastAsia"/>
        </w:rPr>
        <w:t>44.3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原招标文件或谈判邀请文件有实质性变动的，谈判小组应当通过采购代理机构通知所有参加谈判的供应商。</w:t>
      </w:r>
    </w:p>
    <w:p>
      <w:pPr>
        <w:tabs>
          <w:tab w:val="clear" w:pos="426"/>
        </w:tabs>
      </w:pPr>
      <w:r>
        <w:rPr>
          <w:rFonts w:hint="eastAsia"/>
        </w:rPr>
        <w:t>44.3.4谈判小组可以用书面形式要求各供应商对其谈判应答文件含义不明确的内容作必要的澄清或者说明，重要问题供应商应以书面形式进行澄清、说明。</w:t>
      </w:r>
    </w:p>
    <w:p>
      <w:pPr>
        <w:tabs>
          <w:tab w:val="clear" w:pos="426"/>
        </w:tabs>
      </w:pPr>
      <w:r>
        <w:rPr>
          <w:rFonts w:hint="eastAsia"/>
        </w:rPr>
        <w:t>44.3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44.3</w:t>
      </w:r>
      <w:r>
        <w:t>.</w:t>
      </w:r>
      <w:r>
        <w:rPr>
          <w:rFonts w:hint="eastAsia"/>
        </w:rPr>
        <w:t>6供应商对谈判应答文件进行修改，都应形成文字材料，并经供应商谈判授权人签字认可。</w:t>
      </w:r>
    </w:p>
    <w:p>
      <w:pPr>
        <w:tabs>
          <w:tab w:val="clear" w:pos="426"/>
        </w:tabs>
      </w:pPr>
      <w:r>
        <w:rPr>
          <w:rFonts w:hint="eastAsia"/>
        </w:rPr>
        <w:t>44.3.7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tabs>
          <w:tab w:val="clear" w:pos="426"/>
        </w:tabs>
        <w:rPr>
          <w:szCs w:val="21"/>
        </w:rPr>
      </w:pPr>
      <w:r>
        <w:rPr>
          <w:rFonts w:hint="eastAsia"/>
          <w:szCs w:val="21"/>
        </w:rPr>
        <w:t>44.3.8有下列情形之一的，该供应商的谈判结果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pPr>
        <w:tabs>
          <w:tab w:val="clear" w:pos="426"/>
        </w:tabs>
      </w:pPr>
      <w:r>
        <w:rPr>
          <w:rFonts w:hint="eastAsia"/>
        </w:rPr>
        <w:t>44.3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44.3.10谈判小组将对谈判过程进行记录，以存档备查。</w:t>
      </w:r>
    </w:p>
    <w:p>
      <w:pPr>
        <w:tabs>
          <w:tab w:val="clear" w:pos="426"/>
        </w:tabs>
      </w:pPr>
      <w:r>
        <w:rPr>
          <w:rFonts w:hint="eastAsia"/>
        </w:rPr>
        <w:t>44.4评标方法和定标原则</w:t>
      </w:r>
    </w:p>
    <w:p>
      <w:pPr>
        <w:tabs>
          <w:tab w:val="clear" w:pos="426"/>
        </w:tabs>
      </w:pPr>
      <w:r>
        <w:rPr>
          <w:rFonts w:hint="eastAsia"/>
        </w:rPr>
        <w:t>44.4.1竞争性谈判采购项目的评标方法要比照最低评标价法规定执行。如确因实际情况需要采用其他评标方法的，应报经同级相关监督管理部门批准。原招标文件若采用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pPr>
        <w:tabs>
          <w:tab w:val="clear" w:pos="426"/>
        </w:tabs>
      </w:pPr>
      <w:r>
        <w:rPr>
          <w:rFonts w:hint="eastAsia"/>
          <w:szCs w:val="21"/>
        </w:rPr>
        <w:t>44.4.2对公开招标失败转为竞争性谈判方式采购的项目，谈判小组</w:t>
      </w:r>
      <w:r>
        <w:rPr>
          <w:rFonts w:hint="eastAsia"/>
        </w:rPr>
        <w:t>对谈判应答文件进行评审和比较，综合各家供应商最终的方案、服务和投资等谈判结果并按本通用条款第</w:t>
      </w:r>
      <w:r>
        <w:rPr>
          <w:rFonts w:hint="eastAsia"/>
          <w:bCs/>
          <w:szCs w:val="21"/>
        </w:rPr>
        <w:t>37.1.1款</w:t>
      </w:r>
      <w:r>
        <w:rPr>
          <w:rFonts w:hint="eastAsia"/>
        </w:rPr>
        <w:t>的</w:t>
      </w:r>
      <w:r>
        <w:rPr>
          <w:rFonts w:hint="eastAsia"/>
          <w:bCs/>
        </w:rPr>
        <w:t>最低评标价法</w:t>
      </w:r>
      <w:r>
        <w:rPr>
          <w:rFonts w:hint="eastAsia"/>
        </w:rPr>
        <w:t>进行评审。</w:t>
      </w:r>
    </w:p>
    <w:p>
      <w:pPr>
        <w:tabs>
          <w:tab w:val="clear" w:pos="426"/>
        </w:tabs>
      </w:pPr>
      <w:r>
        <w:rPr>
          <w:rFonts w:hint="eastAsia"/>
        </w:rPr>
        <w:t>44.4.3若要采用其他评标方法的，必须报经相关监督管理部门批准，谈判小组按批准的评标方法进行评审。谈判邀请文件中应注明批准的评标方法。</w:t>
      </w:r>
    </w:p>
    <w:p>
      <w:pPr>
        <w:tabs>
          <w:tab w:val="clear" w:pos="426"/>
        </w:tabs>
      </w:pPr>
      <w:r>
        <w:rPr>
          <w:rFonts w:hint="eastAsia"/>
        </w:rPr>
        <w:t>44.4.4谈判小组向采购代理机构提交书面评标报告，并推荐中标候选人或确定中标供应商。</w:t>
      </w:r>
    </w:p>
    <w:p>
      <w:pPr>
        <w:tabs>
          <w:tab w:val="clear" w:pos="426"/>
        </w:tabs>
      </w:pPr>
      <w:r>
        <w:rPr>
          <w:rFonts w:hint="eastAsia"/>
        </w:rPr>
        <w:t>45．公开招标失败项目转为单一来源谈判方式采购</w:t>
      </w:r>
    </w:p>
    <w:p>
      <w:pPr>
        <w:tabs>
          <w:tab w:val="clear" w:pos="426"/>
        </w:tabs>
      </w:pPr>
      <w:r>
        <w:rPr>
          <w:rFonts w:hint="eastAsia"/>
        </w:rPr>
        <w:t>45.1谈判文件</w:t>
      </w:r>
    </w:p>
    <w:p>
      <w:pPr>
        <w:tabs>
          <w:tab w:val="clear" w:pos="426"/>
        </w:tabs>
      </w:pPr>
      <w:r>
        <w:rPr>
          <w:rFonts w:hint="eastAsia"/>
        </w:rPr>
        <w:t>45.1.1公开招标失败项目转为单一来源谈判方式采购的，原招标文件转为谈判文件。</w:t>
      </w:r>
    </w:p>
    <w:p>
      <w:pPr>
        <w:tabs>
          <w:tab w:val="clear" w:pos="426"/>
        </w:tabs>
      </w:pPr>
      <w:r>
        <w:rPr>
          <w:rFonts w:hint="eastAsia"/>
        </w:rPr>
        <w:t>45.2谈判小组</w:t>
      </w:r>
    </w:p>
    <w:p>
      <w:pPr>
        <w:tabs>
          <w:tab w:val="clear" w:pos="426"/>
        </w:tabs>
      </w:pPr>
      <w:r>
        <w:rPr>
          <w:rFonts w:hint="eastAsia"/>
        </w:rPr>
        <w:t>45.2.1公开招标失败项目转为单一来源谈判方式采购后，评标委员会转为谈判小组，专家可重新抽取也可继续采用评标委员会内专家。</w:t>
      </w:r>
    </w:p>
    <w:p>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pPr>
        <w:tabs>
          <w:tab w:val="clear" w:pos="426"/>
        </w:tabs>
      </w:pPr>
      <w:r>
        <w:rPr>
          <w:rFonts w:hint="eastAsia"/>
        </w:rPr>
        <w:t>45.3谈判程序</w:t>
      </w:r>
    </w:p>
    <w:p>
      <w:pPr>
        <w:tabs>
          <w:tab w:val="clear" w:pos="426"/>
        </w:tabs>
      </w:pPr>
      <w:r>
        <w:rPr>
          <w:rFonts w:hint="eastAsia"/>
        </w:rPr>
        <w:t>45.3.1参加谈判的供应商和谈判小组成员填写谈判登记表，并交验证明文件（法定代表人证明书、法人授权委托书、被授权的谈判代表身份证原件）。</w:t>
      </w:r>
    </w:p>
    <w:p>
      <w:pPr>
        <w:tabs>
          <w:tab w:val="clear" w:pos="426"/>
        </w:tabs>
      </w:pPr>
      <w:r>
        <w:rPr>
          <w:rFonts w:hint="eastAsia"/>
        </w:rPr>
        <w:t>45.3</w:t>
      </w:r>
      <w:r>
        <w:t>.2</w:t>
      </w:r>
      <w:r>
        <w:rPr>
          <w:rFonts w:hint="eastAsia"/>
        </w:rPr>
        <w:t>谈判小组主持人宣布谈判规则和谈判纪律。</w:t>
      </w:r>
    </w:p>
    <w:p>
      <w:pPr>
        <w:tabs>
          <w:tab w:val="clear" w:pos="426"/>
        </w:tabs>
      </w:pPr>
      <w:r>
        <w:rPr>
          <w:rFonts w:hint="eastAsia"/>
        </w:rPr>
        <w:t>45.3</w:t>
      </w:r>
      <w:r>
        <w:t>.3</w:t>
      </w:r>
      <w:r>
        <w:rPr>
          <w:rFonts w:hint="eastAsia"/>
        </w:rPr>
        <w:t>在谈判中，谈判小组将就以下谈判内容跟供应商进行谈判：</w:t>
      </w:r>
    </w:p>
    <w:p>
      <w:pPr>
        <w:tabs>
          <w:tab w:val="clear" w:pos="426"/>
        </w:tabs>
      </w:pPr>
      <w:r>
        <w:rPr>
          <w:rFonts w:hint="eastAsia"/>
        </w:rPr>
        <w:t>（</w:t>
      </w:r>
      <w:r>
        <w:t>1</w:t>
      </w:r>
      <w:r>
        <w:rPr>
          <w:rFonts w:hint="eastAsia"/>
        </w:rPr>
        <w:t>）项目方案；</w:t>
      </w:r>
    </w:p>
    <w:p>
      <w:pPr>
        <w:tabs>
          <w:tab w:val="clear" w:pos="426"/>
        </w:tabs>
      </w:pPr>
      <w:r>
        <w:rPr>
          <w:rFonts w:hint="eastAsia"/>
        </w:rPr>
        <w:t>（2）报价；</w:t>
      </w:r>
    </w:p>
    <w:p>
      <w:pPr>
        <w:tabs>
          <w:tab w:val="clear" w:pos="426"/>
        </w:tabs>
      </w:pPr>
      <w:r>
        <w:rPr>
          <w:rFonts w:hint="eastAsia"/>
        </w:rPr>
        <w:t>（3）其它相关事项。</w:t>
      </w:r>
    </w:p>
    <w:p>
      <w:pPr>
        <w:tabs>
          <w:tab w:val="clear" w:pos="426"/>
        </w:tabs>
      </w:pPr>
      <w:r>
        <w:rPr>
          <w:rFonts w:hint="eastAsia"/>
        </w:rPr>
        <w:t>原招标文件或谈判邀请文件有实质性变动的，谈判小组应当通过采购代理机构通知供应商。</w:t>
      </w:r>
    </w:p>
    <w:p>
      <w:pPr>
        <w:tabs>
          <w:tab w:val="clear" w:pos="426"/>
        </w:tabs>
      </w:pPr>
      <w:r>
        <w:rPr>
          <w:rFonts w:hint="eastAsia"/>
        </w:rPr>
        <w:t>45.3.4谈判小组可以用书面形式要求供应商对其谈判应答文件含义不明确的内容作必要的澄清或者说明，重要问题供应商应以书面形式进行澄清、说明。</w:t>
      </w:r>
    </w:p>
    <w:p>
      <w:pPr>
        <w:tabs>
          <w:tab w:val="clear" w:pos="426"/>
        </w:tabs>
      </w:pPr>
      <w:r>
        <w:rPr>
          <w:rFonts w:hint="eastAsia"/>
        </w:rPr>
        <w:t>45.3</w:t>
      </w:r>
      <w:r>
        <w:t>.</w:t>
      </w:r>
      <w:r>
        <w:rPr>
          <w:rFonts w:hint="eastAsia"/>
        </w:rPr>
        <w:t>5 允许供应商在谈判结束之前根据谈判小组提出的内容进行澄清、修改或完善，或对项目方案进行相应的调整。</w:t>
      </w:r>
    </w:p>
    <w:p>
      <w:pPr>
        <w:tabs>
          <w:tab w:val="clear" w:pos="426"/>
        </w:tabs>
      </w:pPr>
      <w:r>
        <w:rPr>
          <w:rFonts w:hint="eastAsia"/>
        </w:rPr>
        <w:t>45.3</w:t>
      </w:r>
      <w:r>
        <w:t>.</w:t>
      </w:r>
      <w:r>
        <w:rPr>
          <w:rFonts w:hint="eastAsia"/>
        </w:rPr>
        <w:t>6供应商对谈判应答文件进行修改，都应形成文字材料，并经供应商谈判授权人签字认可。</w:t>
      </w:r>
    </w:p>
    <w:p>
      <w:pPr>
        <w:tabs>
          <w:tab w:val="clear" w:pos="426"/>
        </w:tabs>
      </w:pPr>
      <w:r>
        <w:rPr>
          <w:rFonts w:hint="eastAsia"/>
        </w:rPr>
        <w:t>45.3.7谈判小组与单一来源供应商进行谈判。供应商有两次更改机会；供应商应在规定的时间内提出最后更改及书面承诺。</w:t>
      </w:r>
    </w:p>
    <w:p>
      <w:pPr>
        <w:tabs>
          <w:tab w:val="clear" w:pos="426"/>
        </w:tabs>
        <w:rPr>
          <w:szCs w:val="21"/>
        </w:rPr>
      </w:pPr>
      <w:r>
        <w:rPr>
          <w:rFonts w:hint="eastAsia"/>
          <w:szCs w:val="21"/>
        </w:rPr>
        <w:t>45.3.8有下列情形之一的，供应商的谈判结果作废标处理，</w:t>
      </w:r>
      <w:r>
        <w:rPr>
          <w:rFonts w:hint="eastAsia"/>
        </w:rPr>
        <w:t>具体内容见原招标文件中不符合“资格、符合性评审条款”部分以及谈判邀请中相应的变动部分。</w:t>
      </w:r>
    </w:p>
    <w:p>
      <w:pPr>
        <w:tabs>
          <w:tab w:val="clear" w:pos="426"/>
        </w:tabs>
      </w:pPr>
      <w:r>
        <w:rPr>
          <w:rFonts w:hint="eastAsia"/>
        </w:rPr>
        <w:t>45.3</w:t>
      </w:r>
      <w:r>
        <w:t>.</w:t>
      </w:r>
      <w:r>
        <w:rPr>
          <w:rFonts w:hint="eastAsia"/>
        </w:rPr>
        <w:t>9谈判结束后，谈判小组根据供应商提供的谈判应答文件、谈判过程中产生的相关资料，对供应商谈判应答文件进行评估与比较，提出书面评审意见。</w:t>
      </w:r>
    </w:p>
    <w:p>
      <w:pPr>
        <w:tabs>
          <w:tab w:val="clear" w:pos="426"/>
        </w:tabs>
      </w:pPr>
      <w:r>
        <w:rPr>
          <w:rFonts w:hint="eastAsia"/>
        </w:rPr>
        <w:t>45.3.10谈判小组将对谈判过程进行记录，以存档备查。</w:t>
      </w:r>
    </w:p>
    <w:p>
      <w:pPr>
        <w:tabs>
          <w:tab w:val="clear" w:pos="426"/>
        </w:tabs>
      </w:pPr>
      <w:r>
        <w:rPr>
          <w:rFonts w:hint="eastAsia"/>
        </w:rPr>
        <w:t>45.4评标方法和定标原则</w:t>
      </w:r>
    </w:p>
    <w:p>
      <w:pPr>
        <w:tabs>
          <w:tab w:val="clear" w:pos="426"/>
        </w:tabs>
      </w:pPr>
      <w:r>
        <w:rPr>
          <w:rFonts w:hint="eastAsia"/>
          <w:szCs w:val="21"/>
        </w:rPr>
        <w:t>45.4.1单一来源谈判采用最低评标价法。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对谈判应答文件进行评审和比较，对供应商最终的方案、服务和投资等谈判结果按本通用条款第37.1.1的</w:t>
      </w:r>
      <w:r>
        <w:rPr>
          <w:rFonts w:hint="eastAsia"/>
          <w:bCs/>
        </w:rPr>
        <w:t>最低评标价法</w:t>
      </w:r>
      <w:r>
        <w:rPr>
          <w:rFonts w:hint="eastAsia"/>
        </w:rPr>
        <w:t>进行评审。</w:t>
      </w:r>
    </w:p>
    <w:p>
      <w:pPr>
        <w:tabs>
          <w:tab w:val="clear" w:pos="426"/>
        </w:tabs>
        <w:rPr>
          <w:szCs w:val="21"/>
        </w:rPr>
      </w:pPr>
      <w:r>
        <w:rPr>
          <w:rFonts w:hint="eastAsia"/>
        </w:rPr>
        <w:t>45.4.2谈判小组向采购代理机构提交书面评标报告，并推荐中标候选人或确定中标供应商。</w:t>
      </w:r>
    </w:p>
    <w:p>
      <w:pPr>
        <w:pStyle w:val="5"/>
        <w:tabs>
          <w:tab w:val="clear" w:pos="426"/>
        </w:tabs>
        <w:rPr>
          <w:sz w:val="28"/>
          <w:szCs w:val="28"/>
        </w:rPr>
      </w:pPr>
      <w:bookmarkStart w:id="186" w:name="_Toc14427262"/>
      <w:bookmarkStart w:id="187" w:name="_Toc529280589"/>
      <w:bookmarkStart w:id="188" w:name="_Toc530152530"/>
      <w:bookmarkStart w:id="189" w:name="_Toc27804"/>
      <w:r>
        <w:rPr>
          <w:rFonts w:hint="eastAsia"/>
        </w:rPr>
        <w:t>第九章 合同的授予与备案</w:t>
      </w:r>
      <w:bookmarkEnd w:id="186"/>
      <w:bookmarkEnd w:id="187"/>
      <w:bookmarkEnd w:id="188"/>
      <w:bookmarkEnd w:id="189"/>
    </w:p>
    <w:p>
      <w:pPr>
        <w:tabs>
          <w:tab w:val="clear" w:pos="426"/>
        </w:tabs>
      </w:pPr>
      <w:r>
        <w:rPr>
          <w:rFonts w:hint="eastAsia"/>
        </w:rPr>
        <w:t>46．  履约担保</w:t>
      </w:r>
    </w:p>
    <w:p>
      <w:pPr>
        <w:tabs>
          <w:tab w:val="clear" w:pos="426"/>
        </w:tabs>
      </w:pPr>
      <w:r>
        <w:rPr>
          <w:rFonts w:hint="eastAsia"/>
        </w:rPr>
        <w:t>46.1  本项目履约担保的相关要求：详见“投标须知前附表”。</w:t>
      </w:r>
    </w:p>
    <w:p>
      <w:pPr>
        <w:tabs>
          <w:tab w:val="clear" w:pos="426"/>
        </w:tabs>
      </w:pPr>
      <w:r>
        <w:rPr>
          <w:rFonts w:hint="eastAsia"/>
        </w:rPr>
        <w:t>46.2  在签订合同前，中标供应商应按规定向采购人提交履约担保，采用履约保函形式的可参照使用本招标文件提供的格式。</w:t>
      </w:r>
    </w:p>
    <w:p>
      <w:pPr>
        <w:tabs>
          <w:tab w:val="clear" w:pos="426"/>
        </w:tabs>
      </w:pPr>
      <w:r>
        <w:rPr>
          <w:rFonts w:hint="eastAsia"/>
        </w:rPr>
        <w:t>46.3  联合体中标的，其履约担保由联合体牵头人提交，并应符合本节第42.1条、第45.2条的规定。</w:t>
      </w:r>
    </w:p>
    <w:p>
      <w:pPr>
        <w:tabs>
          <w:tab w:val="clear" w:pos="426"/>
        </w:tabs>
      </w:pPr>
      <w:r>
        <w:rPr>
          <w:rFonts w:hint="eastAsia"/>
        </w:rPr>
        <w:t>46.4  如果中标供应商拒不提交本节第42.1条、第42.2条要求的履约担保的，采购人可取消其中标资格，并没收其投标担保。</w:t>
      </w:r>
    </w:p>
    <w:p>
      <w:pPr>
        <w:tabs>
          <w:tab w:val="clear" w:pos="426"/>
        </w:tabs>
      </w:pPr>
      <w:r>
        <w:rPr>
          <w:rFonts w:hint="eastAsia"/>
        </w:rPr>
        <w:t>47．  签订合同</w:t>
      </w:r>
    </w:p>
    <w:p>
      <w:pPr>
        <w:tabs>
          <w:tab w:val="clear" w:pos="426"/>
        </w:tabs>
      </w:pPr>
      <w:r>
        <w:rPr>
          <w:rFonts w:hint="eastAsia"/>
        </w:rPr>
        <w:t>47.1  采购人和中标供应商应当按“投标须知前附表”的规定，依据招标文件和中标供应商的投标文件订立书面合同。</w:t>
      </w:r>
    </w:p>
    <w:p>
      <w:pPr>
        <w:tabs>
          <w:tab w:val="clear" w:pos="426"/>
        </w:tabs>
      </w:pPr>
      <w:r>
        <w:rPr>
          <w:rFonts w:hint="eastAsia"/>
        </w:rPr>
        <w:t>47.2  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pPr>
        <w:pStyle w:val="5"/>
        <w:tabs>
          <w:tab w:val="clear" w:pos="426"/>
        </w:tabs>
      </w:pPr>
      <w:bookmarkStart w:id="190" w:name="_Toc14427263"/>
      <w:bookmarkStart w:id="191" w:name="_Toc529280590"/>
      <w:bookmarkStart w:id="192" w:name="_Toc4334"/>
      <w:bookmarkStart w:id="193" w:name="_Toc530152531"/>
      <w:r>
        <w:rPr>
          <w:rFonts w:hint="eastAsia"/>
        </w:rPr>
        <w:t>第十章 质疑受理</w:t>
      </w:r>
      <w:bookmarkEnd w:id="190"/>
      <w:bookmarkEnd w:id="191"/>
      <w:bookmarkEnd w:id="192"/>
      <w:bookmarkEnd w:id="193"/>
    </w:p>
    <w:p>
      <w:pPr>
        <w:tabs>
          <w:tab w:val="clear" w:pos="426"/>
        </w:tabs>
      </w:pPr>
      <w:r>
        <w:rPr>
          <w:rFonts w:hint="eastAsia"/>
        </w:rPr>
        <w:t>48.质疑受理机构</w:t>
      </w:r>
    </w:p>
    <w:p>
      <w:pPr>
        <w:tabs>
          <w:tab w:val="clear" w:pos="426"/>
        </w:tabs>
        <w:rPr>
          <w:sz w:val="22"/>
          <w:szCs w:val="22"/>
        </w:rPr>
      </w:pPr>
      <w:r>
        <w:rPr>
          <w:rFonts w:hint="eastAsia"/>
        </w:rPr>
        <w:t>采购代理机构及采购人</w:t>
      </w:r>
      <w:r>
        <w:t>负责受理和答复质疑</w:t>
      </w:r>
      <w:r>
        <w:rPr>
          <w:sz w:val="22"/>
          <w:szCs w:val="22"/>
        </w:rPr>
        <w:t>。</w:t>
      </w:r>
    </w:p>
    <w:p>
      <w:pPr>
        <w:tabs>
          <w:tab w:val="clear" w:pos="426"/>
        </w:tabs>
      </w:pPr>
      <w:r>
        <w:rPr>
          <w:rFonts w:hint="eastAsia"/>
        </w:rPr>
        <w:t>49.质疑处理原则</w:t>
      </w:r>
    </w:p>
    <w:p>
      <w:pPr>
        <w:tabs>
          <w:tab w:val="clear" w:pos="426"/>
        </w:tabs>
      </w:pPr>
      <w:r>
        <w:rPr>
          <w:rFonts w:hint="eastAsia"/>
        </w:rPr>
        <w:t>49.1</w:t>
      </w:r>
      <w:r>
        <w:t>质疑处理遵循公平、公正、规范、高效的原则。</w:t>
      </w:r>
    </w:p>
    <w:p>
      <w:pPr>
        <w:tabs>
          <w:tab w:val="clear" w:pos="426"/>
        </w:tabs>
      </w:pPr>
      <w:r>
        <w:rPr>
          <w:rFonts w:hint="eastAsia"/>
        </w:rPr>
        <w:t>49.2</w:t>
      </w:r>
      <w:r>
        <w:t>供应商质疑实行实名制和“谁质疑，谁举证”的原则，质疑应有具体的事项及事实根据。</w:t>
      </w:r>
    </w:p>
    <w:p>
      <w:pPr>
        <w:tabs>
          <w:tab w:val="clear" w:pos="426"/>
        </w:tabs>
      </w:pPr>
      <w:r>
        <w:rPr>
          <w:rFonts w:hint="eastAsia"/>
        </w:rPr>
        <w:t>50.质疑受理的时效和范围</w:t>
      </w:r>
    </w:p>
    <w:p>
      <w:pPr>
        <w:tabs>
          <w:tab w:val="clear" w:pos="426"/>
        </w:tabs>
      </w:pPr>
      <w:r>
        <w:rPr>
          <w:rFonts w:hint="eastAsia"/>
        </w:rPr>
        <w:t>50.1供应商认为采购文件、采购过程和中标、成交结果使自己权益受到损害的，可以在知道或者应知其权益受到损害之日起7个工作日内，以书面形式向采购代理机构提出质疑。</w:t>
      </w:r>
    </w:p>
    <w:p>
      <w:pPr>
        <w:tabs>
          <w:tab w:val="clear" w:pos="426"/>
        </w:tabs>
      </w:pPr>
      <w:r>
        <w:rPr>
          <w:rFonts w:hint="eastAsia"/>
        </w:rPr>
        <w:t>50.2供应商对采购文件有疑问的，采购代理机构及采购人按答疑程序处理；供应商对采购文件有异议的，按质疑程序处理。</w:t>
      </w:r>
    </w:p>
    <w:p>
      <w:pPr>
        <w:tabs>
          <w:tab w:val="clear" w:pos="426"/>
        </w:tabs>
      </w:pPr>
      <w:r>
        <w:rPr>
          <w:rFonts w:hint="eastAsia"/>
        </w:rPr>
        <w:t>51.质疑条件</w:t>
      </w:r>
    </w:p>
    <w:p>
      <w:pPr>
        <w:tabs>
          <w:tab w:val="clear" w:pos="426"/>
        </w:tabs>
      </w:pPr>
      <w:r>
        <w:rPr>
          <w:rFonts w:hint="eastAsia"/>
        </w:rPr>
        <w:t>51.1提出质疑的应是直接参与相应采购项目的供应商。以联合体形式参与的，由联合体共同提出；</w:t>
      </w:r>
    </w:p>
    <w:p>
      <w:pPr>
        <w:tabs>
          <w:tab w:val="clear" w:pos="426"/>
        </w:tabs>
      </w:pPr>
      <w:r>
        <w:rPr>
          <w:rFonts w:hint="eastAsia"/>
        </w:rPr>
        <w:t>51.2提供质疑的项目名称和编号、质疑供应商的单位名称、详细地址、邮政编码、联系人及联系电话等基本情况；</w:t>
      </w:r>
    </w:p>
    <w:p>
      <w:pPr>
        <w:tabs>
          <w:tab w:val="clear" w:pos="426"/>
        </w:tabs>
      </w:pPr>
      <w:r>
        <w:rPr>
          <w:rFonts w:hint="eastAsia"/>
        </w:rPr>
        <w:t>51.3有质疑的具体事项、请求及理由，并附相关证据材料；</w:t>
      </w:r>
    </w:p>
    <w:p>
      <w:pPr>
        <w:tabs>
          <w:tab w:val="clear" w:pos="426"/>
        </w:tabs>
      </w:pPr>
      <w:r>
        <w:rPr>
          <w:rFonts w:hint="eastAsia"/>
        </w:rPr>
        <w:t>51.4质疑书加盖公章，被授权人进行质疑的同时提交法人授权委托书；</w:t>
      </w:r>
    </w:p>
    <w:p>
      <w:pPr>
        <w:tabs>
          <w:tab w:val="clear" w:pos="426"/>
        </w:tabs>
      </w:pPr>
      <w:r>
        <w:rPr>
          <w:rFonts w:hint="eastAsia"/>
        </w:rPr>
        <w:t>51.5质疑材料中有外文资料的，应一并附上中文译本，并以中文译本为准。</w:t>
      </w:r>
    </w:p>
    <w:p>
      <w:pPr>
        <w:tabs>
          <w:tab w:val="clear" w:pos="426"/>
        </w:tabs>
      </w:pPr>
      <w:r>
        <w:rPr>
          <w:rFonts w:hint="eastAsia"/>
        </w:rPr>
        <w:t>51.6质疑不得超过质疑受理的时效和范围。</w:t>
      </w:r>
    </w:p>
    <w:p>
      <w:pPr>
        <w:tabs>
          <w:tab w:val="clear" w:pos="426"/>
        </w:tabs>
      </w:pPr>
      <w:r>
        <w:rPr>
          <w:rFonts w:hint="eastAsia"/>
        </w:rPr>
        <w:t>不符合上述条件的，我采购代理机构不予受理。</w:t>
      </w:r>
    </w:p>
    <w:p>
      <w:pPr>
        <w:tabs>
          <w:tab w:val="clear" w:pos="426"/>
        </w:tabs>
      </w:pPr>
      <w:r>
        <w:rPr>
          <w:rFonts w:hint="eastAsia"/>
        </w:rPr>
        <w:t>52.受理质疑办理程序</w:t>
      </w:r>
    </w:p>
    <w:p>
      <w:pPr>
        <w:tabs>
          <w:tab w:val="clear" w:pos="426"/>
        </w:tabs>
      </w:pPr>
      <w:r>
        <w:rPr>
          <w:rFonts w:hint="eastAsia"/>
        </w:rPr>
        <w:t>52.1先与质疑供应商进行沟通，以消除因误解或对采购规则和程序的不了解而引起的质疑。对沟通情况满意的，供应商撤回质疑，质疑处理程序终止。</w:t>
      </w:r>
    </w:p>
    <w:p>
      <w:pPr>
        <w:tabs>
          <w:tab w:val="clear" w:pos="426"/>
        </w:tabs>
      </w:pPr>
      <w:r>
        <w:rPr>
          <w:rFonts w:hint="eastAsia"/>
        </w:rPr>
        <w:t>52.2处理质疑一般进行书面审查；必要时听取各方当事人的陈述和申辩、进行相关调查；组织原评标委员会或谈判小组进行复议。</w:t>
      </w:r>
    </w:p>
    <w:p>
      <w:pPr>
        <w:tabs>
          <w:tab w:val="clear" w:pos="426"/>
        </w:tabs>
      </w:pPr>
      <w:r>
        <w:rPr>
          <w:rFonts w:hint="eastAsia"/>
        </w:rPr>
        <w:t>52.3在质疑处理期间，采购代理机构视情形决定暂停采购活动。</w:t>
      </w:r>
    </w:p>
    <w:p>
      <w:pPr>
        <w:tabs>
          <w:tab w:val="clear" w:pos="426"/>
        </w:tabs>
      </w:pPr>
      <w:r>
        <w:rPr>
          <w:rFonts w:hint="eastAsia"/>
        </w:rPr>
        <w:t>52.4采购代理机构原则上在质疑受理之日起7个工作日内书面答复质疑供应商。答复函以直接领取、传真或邮寄方式送达。</w:t>
      </w:r>
    </w:p>
    <w:p>
      <w:pPr>
        <w:tabs>
          <w:tab w:val="clear" w:pos="426"/>
        </w:tabs>
      </w:pPr>
      <w:r>
        <w:rPr>
          <w:rFonts w:hint="eastAsia"/>
        </w:rPr>
        <w:t>52.5供应商向采购代理机构提出质疑后，在质疑处理期限内，不得同时向其他方面提起同一质疑。质疑供应商如已就同一事项提起投诉、提请行政复议或诉讼的，质疑程序终止。</w:t>
      </w:r>
    </w:p>
    <w:p>
      <w:pPr>
        <w:tabs>
          <w:tab w:val="clear" w:pos="426"/>
        </w:tabs>
      </w:pPr>
      <w:r>
        <w:rPr>
          <w:rFonts w:hint="eastAsia"/>
        </w:rPr>
        <w:t>53.相关责任与义务</w:t>
      </w:r>
    </w:p>
    <w:p>
      <w:pPr>
        <w:tabs>
          <w:tab w:val="clear" w:pos="426"/>
        </w:tabs>
      </w:pPr>
      <w:r>
        <w:rPr>
          <w:rFonts w:hint="eastAsia"/>
        </w:rPr>
        <w:t>53.1采购单位、评标专家和相关供应商等当事人应积极配合采购代理机构进行质疑调查，如实反映情况，及时提供证明材料。</w:t>
      </w:r>
    </w:p>
    <w:p>
      <w:pPr>
        <w:tabs>
          <w:tab w:val="clear" w:pos="426"/>
        </w:tabs>
      </w:pPr>
      <w:r>
        <w:rPr>
          <w:rFonts w:hint="eastAsia"/>
        </w:rPr>
        <w:t>53.2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pPr>
        <w:tabs>
          <w:tab w:val="clear" w:pos="426"/>
        </w:tabs>
      </w:pPr>
      <w:r>
        <w:rPr>
          <w:rFonts w:hint="eastAsia"/>
        </w:rPr>
        <w:t>53.2.1捏造事实或提供虚假证明材料的；</w:t>
      </w:r>
    </w:p>
    <w:p>
      <w:pPr>
        <w:tabs>
          <w:tab w:val="clear" w:pos="426"/>
        </w:tabs>
      </w:pPr>
      <w:r>
        <w:rPr>
          <w:rFonts w:hint="eastAsia"/>
        </w:rPr>
        <w:t>53.2.2假冒他人名义进行质疑的；</w:t>
      </w:r>
    </w:p>
    <w:p>
      <w:pPr>
        <w:tabs>
          <w:tab w:val="clear" w:pos="426"/>
        </w:tabs>
      </w:pPr>
      <w:r>
        <w:rPr>
          <w:rFonts w:hint="eastAsia"/>
        </w:rPr>
        <w:t>53.2.3拒不配合进行有关调查、情节严重的。</w:t>
      </w:r>
    </w:p>
    <w:p>
      <w:pPr>
        <w:tabs>
          <w:tab w:val="clear" w:pos="426"/>
        </w:tabs>
        <w:rPr>
          <w:b/>
        </w:rPr>
      </w:pPr>
      <w:r>
        <w:rPr>
          <w:rFonts w:hint="eastAsia"/>
        </w:rPr>
        <w:t xml:space="preserve">54．  </w:t>
      </w:r>
      <w:r>
        <w:rPr>
          <w:rFonts w:hint="eastAsia"/>
          <w:b/>
        </w:rPr>
        <w:t>其他</w:t>
      </w:r>
    </w:p>
    <w:p>
      <w:pPr>
        <w:tabs>
          <w:tab w:val="clear" w:pos="426"/>
        </w:tabs>
      </w:pPr>
      <w:r>
        <w:rPr>
          <w:rFonts w:hint="eastAsia"/>
        </w:rPr>
        <w:t>54.1  本招标文件的解释权归采购代理机构所有，采购代理机构在征得采购人或相关主管部门同意后，有权在法律允许范围内调整本次招标活动的细节及保留最终解释权。</w:t>
      </w:r>
    </w:p>
    <w:p>
      <w:pPr>
        <w:tabs>
          <w:tab w:val="clear" w:pos="426"/>
        </w:tabs>
      </w:pPr>
      <w:r>
        <w:rPr>
          <w:rFonts w:hint="eastAsia"/>
        </w:rPr>
        <w:t>54.2 采购代理机构向投标供应商提供的资料和数据，是采购代理机构现有的能供投标供应商利用的资料，采购代理机构对投标供应商由此而作出的推论、理解和结论概不负责。</w:t>
      </w:r>
    </w:p>
    <w:p>
      <w:pPr>
        <w:tabs>
          <w:tab w:val="clear" w:pos="426"/>
        </w:tabs>
      </w:pPr>
      <w:r>
        <w:rPr>
          <w:rFonts w:hint="eastAsia"/>
        </w:rPr>
        <w:t>54.3 如果投标供应商实质上不符合投标资格，即使已购买招标文件、参加投标并缴纳各种费用，采购代理机构或采购人可以随时取消其投标或中标资格，采购代理机构或采购人对该投标供应商的一切损失概不责任。</w:t>
      </w:r>
    </w:p>
    <w:p>
      <w:pPr>
        <w:tabs>
          <w:tab w:val="clear" w:pos="426"/>
        </w:tabs>
      </w:pPr>
      <w:r>
        <w:rPr>
          <w:rFonts w:hint="eastAsia"/>
        </w:rPr>
        <w:t>54.4 中标无效的，发出的中标通知书和签订的合同自始没有法律约束力，但不影响合同中存在的有关解决争议方法的条款的效力。</w:t>
      </w:r>
    </w:p>
    <w:p>
      <w:pPr>
        <w:shd w:val="clear" w:color="auto" w:fill="auto"/>
        <w:tabs>
          <w:tab w:val="clear" w:pos="426"/>
        </w:tabs>
        <w:adjustRightInd/>
        <w:snapToGrid/>
        <w:spacing w:line="240" w:lineRule="auto"/>
        <w:jc w:val="left"/>
      </w:pPr>
      <w:r>
        <w:rPr>
          <w:rFonts w:hint="eastAsia"/>
        </w:rPr>
        <w:t>54.5 本招标文件所有的附件与本招标文件具有同等效力。</w:t>
      </w:r>
      <w:r>
        <w:br w:type="page"/>
      </w:r>
    </w:p>
    <w:p>
      <w:pPr>
        <w:pStyle w:val="81"/>
        <w:tabs>
          <w:tab w:val="clear" w:pos="426"/>
        </w:tabs>
      </w:pPr>
      <w:bookmarkStart w:id="194" w:name="_Toc13862"/>
      <w:bookmarkStart w:id="195" w:name="_Toc3627284"/>
      <w:bookmarkStart w:id="196" w:name="_Toc14427264"/>
      <w:r>
        <w:rPr>
          <w:rFonts w:hint="eastAsia"/>
        </w:rPr>
        <w:t>招标代理服务取费说明</w:t>
      </w:r>
      <w:bookmarkEnd w:id="194"/>
      <w:bookmarkEnd w:id="195"/>
      <w:bookmarkEnd w:id="196"/>
    </w:p>
    <w:p>
      <w:pPr>
        <w:tabs>
          <w:tab w:val="clear" w:pos="426"/>
        </w:tabs>
        <w:ind w:firstLine="440" w:firstLineChars="200"/>
        <w:rPr>
          <w:sz w:val="22"/>
        </w:rPr>
      </w:pPr>
      <w:r>
        <w:rPr>
          <w:rFonts w:hint="eastAsia"/>
          <w:sz w:val="22"/>
        </w:rPr>
        <w:t xml:space="preserve">招标代理服务收费以各包中标金额为计算基数，按差额定率累进法计算，向各包中标供应商收取，收费标准如下表所列： </w:t>
      </w:r>
    </w:p>
    <w:p>
      <w:pPr>
        <w:tabs>
          <w:tab w:val="clear" w:pos="426"/>
        </w:tabs>
        <w:ind w:firstLine="440" w:firstLineChars="200"/>
        <w:rPr>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pPr>
              <w:tabs>
                <w:tab w:val="clear" w:pos="426"/>
              </w:tabs>
              <w:spacing w:line="300" w:lineRule="auto"/>
              <w:jc w:val="right"/>
              <w:rPr>
                <w:szCs w:val="21"/>
              </w:rPr>
            </w:pPr>
            <w:r>
              <w:rPr>
                <w:rFonts w:hint="eastAsia"/>
                <w:szCs w:val="21"/>
              </w:rPr>
              <w:t>服务类型</w:t>
            </w:r>
          </w:p>
          <w:p>
            <w:pPr>
              <w:tabs>
                <w:tab w:val="clear" w:pos="426"/>
              </w:tabs>
              <w:spacing w:line="300" w:lineRule="auto"/>
              <w:jc w:val="center"/>
              <w:rPr>
                <w:szCs w:val="21"/>
              </w:rPr>
            </w:pPr>
            <w:r>
              <w:rPr>
                <w:rFonts w:hint="eastAsia"/>
                <w:szCs w:val="21"/>
              </w:rPr>
              <w:t>费率</w:t>
            </w:r>
          </w:p>
          <w:p>
            <w:pPr>
              <w:tabs>
                <w:tab w:val="clear" w:pos="426"/>
              </w:tabs>
              <w:spacing w:line="300" w:lineRule="auto"/>
              <w:rPr>
                <w:szCs w:val="21"/>
              </w:rPr>
            </w:pPr>
            <w:r>
              <w:rPr>
                <w:rFonts w:hint="eastAsia"/>
                <w:szCs w:val="21"/>
              </w:rPr>
              <w:t>中标金额</w:t>
            </w:r>
          </w:p>
        </w:tc>
        <w:tc>
          <w:tcPr>
            <w:tcW w:w="1845" w:type="dxa"/>
            <w:vAlign w:val="center"/>
          </w:tcPr>
          <w:p>
            <w:pPr>
              <w:spacing w:line="240" w:lineRule="auto"/>
              <w:jc w:val="center"/>
              <w:rPr>
                <w:szCs w:val="21"/>
              </w:rPr>
            </w:pPr>
            <w:r>
              <w:rPr>
                <w:rFonts w:hint="eastAsia"/>
                <w:szCs w:val="21"/>
              </w:rPr>
              <w:t>货物采购</w:t>
            </w:r>
          </w:p>
        </w:tc>
        <w:tc>
          <w:tcPr>
            <w:tcW w:w="1845" w:type="dxa"/>
            <w:vAlign w:val="center"/>
          </w:tcPr>
          <w:p>
            <w:pPr>
              <w:spacing w:line="240" w:lineRule="auto"/>
              <w:jc w:val="center"/>
              <w:rPr>
                <w:szCs w:val="21"/>
              </w:rPr>
            </w:pPr>
            <w:r>
              <w:rPr>
                <w:szCs w:val="21"/>
              </w:rPr>
              <w:t>服务采购</w:t>
            </w:r>
          </w:p>
        </w:tc>
        <w:tc>
          <w:tcPr>
            <w:tcW w:w="1846" w:type="dxa"/>
            <w:vAlign w:val="center"/>
          </w:tcPr>
          <w:p>
            <w:pPr>
              <w:spacing w:line="240" w:lineRule="auto"/>
              <w:jc w:val="center"/>
              <w:rPr>
                <w:szCs w:val="21"/>
              </w:rPr>
            </w:pPr>
            <w:r>
              <w:rPr>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hd w:val="clear" w:color="auto" w:fill="auto"/>
              <w:tabs>
                <w:tab w:val="clear" w:pos="426"/>
              </w:tabs>
              <w:adjustRightInd/>
              <w:snapToGrid/>
              <w:spacing w:line="240" w:lineRule="auto"/>
              <w:jc w:val="left"/>
              <w:rPr>
                <w:szCs w:val="21"/>
              </w:rPr>
            </w:pPr>
            <w:r>
              <w:rPr>
                <w:rFonts w:hint="eastAsia"/>
                <w:szCs w:val="21"/>
              </w:rPr>
              <w:t>100万元以下</w:t>
            </w:r>
          </w:p>
        </w:tc>
        <w:tc>
          <w:tcPr>
            <w:tcW w:w="1845" w:type="dxa"/>
            <w:vAlign w:val="center"/>
          </w:tcPr>
          <w:p>
            <w:pPr>
              <w:spacing w:line="240" w:lineRule="auto"/>
              <w:jc w:val="center"/>
              <w:rPr>
                <w:szCs w:val="21"/>
              </w:rPr>
            </w:pPr>
            <w:r>
              <w:rPr>
                <w:rFonts w:hint="eastAsia"/>
                <w:szCs w:val="21"/>
              </w:rPr>
              <w:t>1.500%</w:t>
            </w:r>
          </w:p>
        </w:tc>
        <w:tc>
          <w:tcPr>
            <w:tcW w:w="1845" w:type="dxa"/>
            <w:vAlign w:val="center"/>
          </w:tcPr>
          <w:p>
            <w:pPr>
              <w:spacing w:line="240" w:lineRule="auto"/>
              <w:jc w:val="center"/>
              <w:rPr>
                <w:szCs w:val="21"/>
              </w:rPr>
            </w:pPr>
            <w:r>
              <w:rPr>
                <w:rFonts w:hint="eastAsia"/>
                <w:szCs w:val="21"/>
              </w:rPr>
              <w:t>1.500%</w:t>
            </w:r>
          </w:p>
        </w:tc>
        <w:tc>
          <w:tcPr>
            <w:tcW w:w="1846" w:type="dxa"/>
            <w:vAlign w:val="center"/>
          </w:tcPr>
          <w:p>
            <w:pPr>
              <w:spacing w:line="240" w:lineRule="auto"/>
              <w:jc w:val="center"/>
              <w:rPr>
                <w:szCs w:val="21"/>
              </w:rPr>
            </w:pPr>
            <w:r>
              <w:rPr>
                <w:rFonts w:hint="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100万元（含）-500万元</w:t>
            </w:r>
          </w:p>
        </w:tc>
        <w:tc>
          <w:tcPr>
            <w:tcW w:w="1845" w:type="dxa"/>
            <w:vAlign w:val="center"/>
          </w:tcPr>
          <w:p>
            <w:pPr>
              <w:spacing w:line="240" w:lineRule="auto"/>
              <w:jc w:val="center"/>
              <w:rPr>
                <w:szCs w:val="21"/>
              </w:rPr>
            </w:pPr>
            <w:r>
              <w:rPr>
                <w:rFonts w:hint="eastAsia"/>
                <w:szCs w:val="21"/>
              </w:rPr>
              <w:t>1.100%</w:t>
            </w:r>
          </w:p>
        </w:tc>
        <w:tc>
          <w:tcPr>
            <w:tcW w:w="1845" w:type="dxa"/>
            <w:vAlign w:val="center"/>
          </w:tcPr>
          <w:p>
            <w:pPr>
              <w:spacing w:line="240" w:lineRule="auto"/>
              <w:jc w:val="center"/>
              <w:rPr>
                <w:szCs w:val="21"/>
              </w:rPr>
            </w:pPr>
            <w:r>
              <w:rPr>
                <w:rFonts w:hint="eastAsia"/>
                <w:szCs w:val="21"/>
              </w:rPr>
              <w:t>0.800%</w:t>
            </w:r>
          </w:p>
        </w:tc>
        <w:tc>
          <w:tcPr>
            <w:tcW w:w="1846" w:type="dxa"/>
            <w:vAlign w:val="center"/>
          </w:tcPr>
          <w:p>
            <w:pPr>
              <w:spacing w:line="240" w:lineRule="auto"/>
              <w:jc w:val="center"/>
              <w:rPr>
                <w:szCs w:val="21"/>
              </w:rPr>
            </w:pPr>
            <w:r>
              <w:rPr>
                <w:rFonts w:hint="eastAsia"/>
                <w:szCs w:val="21"/>
              </w:rPr>
              <w:t>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500万元（含）-1000万元</w:t>
            </w:r>
          </w:p>
        </w:tc>
        <w:tc>
          <w:tcPr>
            <w:tcW w:w="1845" w:type="dxa"/>
            <w:vAlign w:val="center"/>
          </w:tcPr>
          <w:p>
            <w:pPr>
              <w:spacing w:line="240" w:lineRule="auto"/>
              <w:jc w:val="center"/>
              <w:rPr>
                <w:szCs w:val="21"/>
              </w:rPr>
            </w:pPr>
            <w:r>
              <w:rPr>
                <w:rFonts w:hint="eastAsia"/>
                <w:szCs w:val="21"/>
              </w:rPr>
              <w:t>0.800%</w:t>
            </w:r>
          </w:p>
        </w:tc>
        <w:tc>
          <w:tcPr>
            <w:tcW w:w="1845" w:type="dxa"/>
            <w:vAlign w:val="center"/>
          </w:tcPr>
          <w:p>
            <w:pPr>
              <w:spacing w:line="240" w:lineRule="auto"/>
              <w:jc w:val="center"/>
              <w:rPr>
                <w:szCs w:val="21"/>
              </w:rPr>
            </w:pPr>
            <w:r>
              <w:rPr>
                <w:rFonts w:hint="eastAsia"/>
                <w:szCs w:val="21"/>
              </w:rPr>
              <w:t>0.450%</w:t>
            </w:r>
          </w:p>
        </w:tc>
        <w:tc>
          <w:tcPr>
            <w:tcW w:w="1846" w:type="dxa"/>
            <w:vAlign w:val="center"/>
          </w:tcPr>
          <w:p>
            <w:pPr>
              <w:spacing w:line="240" w:lineRule="auto"/>
              <w:jc w:val="center"/>
              <w:rPr>
                <w:szCs w:val="21"/>
              </w:rPr>
            </w:pPr>
            <w:r>
              <w:rPr>
                <w:rFonts w:hint="eastAsia"/>
                <w:szCs w:val="21"/>
              </w:rPr>
              <w:t>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1000万元（含）-5000万元</w:t>
            </w:r>
          </w:p>
        </w:tc>
        <w:tc>
          <w:tcPr>
            <w:tcW w:w="1845" w:type="dxa"/>
            <w:vAlign w:val="center"/>
          </w:tcPr>
          <w:p>
            <w:pPr>
              <w:spacing w:line="240" w:lineRule="auto"/>
              <w:jc w:val="center"/>
              <w:rPr>
                <w:szCs w:val="21"/>
              </w:rPr>
            </w:pPr>
            <w:r>
              <w:rPr>
                <w:rFonts w:hint="eastAsia"/>
                <w:szCs w:val="21"/>
              </w:rPr>
              <w:t>0.500%</w:t>
            </w:r>
          </w:p>
        </w:tc>
        <w:tc>
          <w:tcPr>
            <w:tcW w:w="1845" w:type="dxa"/>
            <w:vAlign w:val="center"/>
          </w:tcPr>
          <w:p>
            <w:pPr>
              <w:spacing w:line="240" w:lineRule="auto"/>
              <w:jc w:val="center"/>
              <w:rPr>
                <w:szCs w:val="21"/>
              </w:rPr>
            </w:pPr>
            <w:r>
              <w:rPr>
                <w:rFonts w:hint="eastAsia"/>
                <w:szCs w:val="21"/>
              </w:rPr>
              <w:t>0.250%</w:t>
            </w:r>
          </w:p>
        </w:tc>
        <w:tc>
          <w:tcPr>
            <w:tcW w:w="1846" w:type="dxa"/>
            <w:vAlign w:val="center"/>
          </w:tcPr>
          <w:p>
            <w:pPr>
              <w:spacing w:line="240" w:lineRule="auto"/>
              <w:jc w:val="center"/>
              <w:rPr>
                <w:szCs w:val="21"/>
              </w:rPr>
            </w:pPr>
            <w:r>
              <w:rPr>
                <w:rFonts w:hint="eastAsia"/>
                <w:szCs w:val="21"/>
              </w:rPr>
              <w:t>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5000万元（含）-1亿元</w:t>
            </w:r>
          </w:p>
        </w:tc>
        <w:tc>
          <w:tcPr>
            <w:tcW w:w="1845" w:type="dxa"/>
            <w:vAlign w:val="center"/>
          </w:tcPr>
          <w:p>
            <w:pPr>
              <w:spacing w:line="240" w:lineRule="auto"/>
              <w:jc w:val="center"/>
              <w:rPr>
                <w:szCs w:val="21"/>
              </w:rPr>
            </w:pPr>
            <w:r>
              <w:rPr>
                <w:rFonts w:hint="eastAsia"/>
                <w:szCs w:val="21"/>
              </w:rPr>
              <w:t>0.250%</w:t>
            </w:r>
          </w:p>
        </w:tc>
        <w:tc>
          <w:tcPr>
            <w:tcW w:w="1845" w:type="dxa"/>
            <w:vAlign w:val="center"/>
          </w:tcPr>
          <w:p>
            <w:pPr>
              <w:spacing w:line="240" w:lineRule="auto"/>
              <w:jc w:val="center"/>
              <w:rPr>
                <w:szCs w:val="21"/>
              </w:rPr>
            </w:pPr>
            <w:r>
              <w:rPr>
                <w:rFonts w:hint="eastAsia"/>
                <w:szCs w:val="21"/>
              </w:rPr>
              <w:t>0.100%</w:t>
            </w:r>
          </w:p>
        </w:tc>
        <w:tc>
          <w:tcPr>
            <w:tcW w:w="1846" w:type="dxa"/>
            <w:vAlign w:val="center"/>
          </w:tcPr>
          <w:p>
            <w:pPr>
              <w:spacing w:line="240" w:lineRule="auto"/>
              <w:jc w:val="center"/>
              <w:rPr>
                <w:szCs w:val="21"/>
              </w:rPr>
            </w:pPr>
            <w:r>
              <w:rPr>
                <w:rFonts w:hint="eastAsia"/>
                <w:szCs w:val="21"/>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1亿元（含）-5亿元</w:t>
            </w:r>
          </w:p>
        </w:tc>
        <w:tc>
          <w:tcPr>
            <w:tcW w:w="1845" w:type="dxa"/>
            <w:vAlign w:val="center"/>
          </w:tcPr>
          <w:p>
            <w:pPr>
              <w:spacing w:line="240" w:lineRule="auto"/>
              <w:jc w:val="center"/>
              <w:rPr>
                <w:szCs w:val="21"/>
              </w:rPr>
            </w:pPr>
            <w:r>
              <w:rPr>
                <w:rFonts w:hint="eastAsia"/>
                <w:szCs w:val="21"/>
              </w:rPr>
              <w:t>0.050%</w:t>
            </w:r>
          </w:p>
        </w:tc>
        <w:tc>
          <w:tcPr>
            <w:tcW w:w="1845" w:type="dxa"/>
            <w:vAlign w:val="center"/>
          </w:tcPr>
          <w:p>
            <w:pPr>
              <w:spacing w:line="240" w:lineRule="auto"/>
              <w:jc w:val="center"/>
              <w:rPr>
                <w:szCs w:val="21"/>
              </w:rPr>
            </w:pPr>
            <w:r>
              <w:rPr>
                <w:rFonts w:hint="eastAsia"/>
                <w:szCs w:val="21"/>
              </w:rPr>
              <w:t>0.050%</w:t>
            </w:r>
          </w:p>
        </w:tc>
        <w:tc>
          <w:tcPr>
            <w:tcW w:w="1846" w:type="dxa"/>
            <w:vAlign w:val="center"/>
          </w:tcPr>
          <w:p>
            <w:pPr>
              <w:spacing w:line="240" w:lineRule="auto"/>
              <w:jc w:val="center"/>
              <w:rPr>
                <w:szCs w:val="21"/>
              </w:rPr>
            </w:pPr>
            <w:r>
              <w:rPr>
                <w:rFonts w:hint="eastAsia"/>
                <w:szCs w:val="21"/>
              </w:rPr>
              <w:t>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5亿元（含）-10亿元</w:t>
            </w:r>
          </w:p>
        </w:tc>
        <w:tc>
          <w:tcPr>
            <w:tcW w:w="1845" w:type="dxa"/>
            <w:vAlign w:val="center"/>
          </w:tcPr>
          <w:p>
            <w:pPr>
              <w:spacing w:line="240" w:lineRule="auto"/>
              <w:jc w:val="center"/>
              <w:rPr>
                <w:szCs w:val="21"/>
              </w:rPr>
            </w:pPr>
            <w:r>
              <w:rPr>
                <w:rFonts w:hint="eastAsia"/>
                <w:szCs w:val="21"/>
              </w:rPr>
              <w:t>0.035%</w:t>
            </w:r>
          </w:p>
        </w:tc>
        <w:tc>
          <w:tcPr>
            <w:tcW w:w="1845" w:type="dxa"/>
            <w:vAlign w:val="center"/>
          </w:tcPr>
          <w:p>
            <w:pPr>
              <w:spacing w:line="240" w:lineRule="auto"/>
              <w:jc w:val="center"/>
              <w:rPr>
                <w:szCs w:val="21"/>
              </w:rPr>
            </w:pPr>
            <w:r>
              <w:rPr>
                <w:rFonts w:hint="eastAsia"/>
                <w:szCs w:val="21"/>
              </w:rPr>
              <w:t>0.035%</w:t>
            </w:r>
          </w:p>
        </w:tc>
        <w:tc>
          <w:tcPr>
            <w:tcW w:w="1846" w:type="dxa"/>
            <w:vAlign w:val="center"/>
          </w:tcPr>
          <w:p>
            <w:pPr>
              <w:spacing w:line="240" w:lineRule="auto"/>
              <w:jc w:val="center"/>
              <w:rPr>
                <w:szCs w:val="21"/>
              </w:rPr>
            </w:pPr>
            <w:r>
              <w:rPr>
                <w:rFonts w:hint="eastAsia"/>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10亿元（含）-50亿元</w:t>
            </w:r>
          </w:p>
        </w:tc>
        <w:tc>
          <w:tcPr>
            <w:tcW w:w="1845" w:type="dxa"/>
            <w:vAlign w:val="center"/>
          </w:tcPr>
          <w:p>
            <w:pPr>
              <w:spacing w:line="240" w:lineRule="auto"/>
              <w:jc w:val="center"/>
              <w:rPr>
                <w:szCs w:val="21"/>
              </w:rPr>
            </w:pPr>
            <w:r>
              <w:rPr>
                <w:rFonts w:hint="eastAsia"/>
                <w:szCs w:val="21"/>
              </w:rPr>
              <w:t>0.008%</w:t>
            </w:r>
          </w:p>
        </w:tc>
        <w:tc>
          <w:tcPr>
            <w:tcW w:w="1845" w:type="dxa"/>
            <w:vAlign w:val="center"/>
          </w:tcPr>
          <w:p>
            <w:pPr>
              <w:spacing w:line="240" w:lineRule="auto"/>
              <w:jc w:val="center"/>
              <w:rPr>
                <w:szCs w:val="21"/>
              </w:rPr>
            </w:pPr>
            <w:r>
              <w:rPr>
                <w:rFonts w:hint="eastAsia"/>
                <w:szCs w:val="21"/>
              </w:rPr>
              <w:t>0.008%</w:t>
            </w:r>
          </w:p>
        </w:tc>
        <w:tc>
          <w:tcPr>
            <w:tcW w:w="1846" w:type="dxa"/>
            <w:vAlign w:val="center"/>
          </w:tcPr>
          <w:p>
            <w:pPr>
              <w:spacing w:line="240" w:lineRule="auto"/>
              <w:jc w:val="center"/>
              <w:rPr>
                <w:szCs w:val="21"/>
              </w:rPr>
            </w:pPr>
            <w:r>
              <w:rPr>
                <w:rFonts w:hint="eastAsia"/>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pPr>
              <w:spacing w:line="240" w:lineRule="auto"/>
              <w:jc w:val="left"/>
              <w:rPr>
                <w:szCs w:val="21"/>
              </w:rPr>
            </w:pPr>
            <w:r>
              <w:rPr>
                <w:rFonts w:hint="eastAsia"/>
                <w:szCs w:val="21"/>
              </w:rPr>
              <w:t>50亿元（含）-100亿元</w:t>
            </w:r>
          </w:p>
        </w:tc>
        <w:tc>
          <w:tcPr>
            <w:tcW w:w="1845" w:type="dxa"/>
            <w:vAlign w:val="center"/>
          </w:tcPr>
          <w:p>
            <w:pPr>
              <w:spacing w:line="240" w:lineRule="auto"/>
              <w:jc w:val="center"/>
              <w:rPr>
                <w:szCs w:val="21"/>
              </w:rPr>
            </w:pPr>
            <w:r>
              <w:rPr>
                <w:rFonts w:hint="eastAsia"/>
                <w:szCs w:val="21"/>
              </w:rPr>
              <w:t>0.006%</w:t>
            </w:r>
          </w:p>
        </w:tc>
        <w:tc>
          <w:tcPr>
            <w:tcW w:w="1845" w:type="dxa"/>
            <w:vAlign w:val="center"/>
          </w:tcPr>
          <w:p>
            <w:pPr>
              <w:spacing w:line="240" w:lineRule="auto"/>
              <w:jc w:val="center"/>
              <w:rPr>
                <w:szCs w:val="21"/>
              </w:rPr>
            </w:pPr>
            <w:r>
              <w:rPr>
                <w:rFonts w:hint="eastAsia"/>
                <w:szCs w:val="21"/>
              </w:rPr>
              <w:t>0.006%</w:t>
            </w:r>
          </w:p>
        </w:tc>
        <w:tc>
          <w:tcPr>
            <w:tcW w:w="1846" w:type="dxa"/>
            <w:vAlign w:val="center"/>
          </w:tcPr>
          <w:p>
            <w:pPr>
              <w:spacing w:line="240" w:lineRule="auto"/>
              <w:jc w:val="center"/>
              <w:rPr>
                <w:szCs w:val="21"/>
              </w:rPr>
            </w:pPr>
            <w:r>
              <w:rPr>
                <w:rFonts w:hint="eastAsia"/>
                <w:szCs w:val="21"/>
              </w:rPr>
              <w:t>0.006%</w:t>
            </w:r>
          </w:p>
        </w:tc>
      </w:tr>
    </w:tbl>
    <w:p>
      <w:pPr>
        <w:tabs>
          <w:tab w:val="clear" w:pos="426"/>
        </w:tabs>
        <w:ind w:left="424" w:leftChars="202" w:firstLine="440" w:firstLineChars="200"/>
        <w:rPr>
          <w:sz w:val="22"/>
        </w:rPr>
      </w:pPr>
      <w:r>
        <w:rPr>
          <w:rFonts w:hint="eastAsia"/>
          <w:sz w:val="22"/>
        </w:rPr>
        <w:t>以某包5000万项目货物类招标为例：</w:t>
      </w:r>
    </w:p>
    <w:p>
      <w:pPr>
        <w:tabs>
          <w:tab w:val="clear" w:pos="426"/>
        </w:tabs>
        <w:ind w:left="424" w:leftChars="202" w:firstLine="440" w:firstLineChars="200"/>
        <w:rPr>
          <w:sz w:val="22"/>
        </w:rPr>
      </w:pPr>
      <w:r>
        <w:rPr>
          <w:rFonts w:hint="eastAsia"/>
          <w:sz w:val="22"/>
        </w:rPr>
        <w:t>该包计算基准价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pPr>
        <w:tabs>
          <w:tab w:val="clear" w:pos="426"/>
        </w:tabs>
        <w:ind w:left="424" w:leftChars="202" w:firstLine="440" w:firstLineChars="200"/>
        <w:rPr>
          <w:sz w:val="22"/>
        </w:rPr>
      </w:pPr>
      <w:r>
        <w:rPr>
          <w:rFonts w:hint="eastAsia"/>
          <w:sz w:val="22"/>
        </w:rPr>
        <w:t xml:space="preserve">100万元×1.5%=1.5万元   </w:t>
      </w:r>
    </w:p>
    <w:p>
      <w:pPr>
        <w:tabs>
          <w:tab w:val="clear" w:pos="426"/>
        </w:tabs>
        <w:ind w:left="424" w:leftChars="202" w:firstLine="440" w:firstLineChars="200"/>
        <w:rPr>
          <w:sz w:val="22"/>
        </w:rPr>
      </w:pPr>
      <w:r>
        <w:rPr>
          <w:rFonts w:hint="eastAsia"/>
          <w:sz w:val="22"/>
        </w:rPr>
        <w:t>（500-100）万元×</w:t>
      </w:r>
      <w:r>
        <w:rPr>
          <w:sz w:val="22"/>
        </w:rPr>
        <w:t>1.1</w:t>
      </w:r>
      <w:r>
        <w:rPr>
          <w:rFonts w:hint="eastAsia"/>
          <w:sz w:val="22"/>
        </w:rPr>
        <w:t>%=</w:t>
      </w:r>
      <w:r>
        <w:rPr>
          <w:sz w:val="22"/>
        </w:rPr>
        <w:t>4.4</w:t>
      </w:r>
      <w:r>
        <w:rPr>
          <w:rFonts w:hint="eastAsia"/>
          <w:sz w:val="22"/>
        </w:rPr>
        <w:t xml:space="preserve">万元 </w:t>
      </w:r>
    </w:p>
    <w:p>
      <w:pPr>
        <w:tabs>
          <w:tab w:val="clear" w:pos="426"/>
        </w:tabs>
        <w:ind w:left="424" w:leftChars="202" w:firstLine="440" w:firstLineChars="200"/>
        <w:rPr>
          <w:sz w:val="22"/>
        </w:rPr>
      </w:pPr>
      <w:r>
        <w:rPr>
          <w:rFonts w:hint="eastAsia"/>
          <w:sz w:val="22"/>
        </w:rPr>
        <w:t>（1000-500）万元×</w:t>
      </w:r>
      <w:r>
        <w:rPr>
          <w:sz w:val="22"/>
        </w:rPr>
        <w:t>0.8</w:t>
      </w:r>
      <w:r>
        <w:rPr>
          <w:rFonts w:hint="eastAsia"/>
          <w:sz w:val="22"/>
        </w:rPr>
        <w:t>%=</w:t>
      </w:r>
      <w:r>
        <w:rPr>
          <w:sz w:val="22"/>
        </w:rPr>
        <w:t>4</w:t>
      </w:r>
      <w:r>
        <w:rPr>
          <w:rFonts w:hint="eastAsia"/>
          <w:sz w:val="22"/>
        </w:rPr>
        <w:t xml:space="preserve">万元 </w:t>
      </w:r>
    </w:p>
    <w:p>
      <w:pPr>
        <w:tabs>
          <w:tab w:val="clear" w:pos="426"/>
        </w:tabs>
        <w:ind w:left="424" w:leftChars="202" w:firstLine="440" w:firstLineChars="200"/>
        <w:rPr>
          <w:sz w:val="22"/>
        </w:rPr>
      </w:pPr>
      <w:r>
        <w:rPr>
          <w:rFonts w:hint="eastAsia"/>
          <w:sz w:val="22"/>
        </w:rPr>
        <w:t>（5000-1000）万元×0.</w:t>
      </w:r>
      <w:r>
        <w:rPr>
          <w:sz w:val="22"/>
        </w:rPr>
        <w:t>5</w:t>
      </w:r>
      <w:r>
        <w:rPr>
          <w:rFonts w:hint="eastAsia"/>
          <w:sz w:val="22"/>
        </w:rPr>
        <w:t>%=</w:t>
      </w:r>
      <w:r>
        <w:rPr>
          <w:sz w:val="22"/>
        </w:rPr>
        <w:t>20</w:t>
      </w:r>
      <w:r>
        <w:rPr>
          <w:rFonts w:hint="eastAsia"/>
          <w:sz w:val="22"/>
        </w:rPr>
        <w:t>万元</w:t>
      </w:r>
    </w:p>
    <w:p>
      <w:pPr>
        <w:tabs>
          <w:tab w:val="clear" w:pos="426"/>
        </w:tabs>
        <w:ind w:left="424" w:leftChars="202" w:firstLine="440" w:firstLineChars="200"/>
        <w:rPr>
          <w:sz w:val="22"/>
        </w:rPr>
      </w:pPr>
      <w:r>
        <w:rPr>
          <w:rFonts w:hint="eastAsia"/>
          <w:sz w:val="22"/>
        </w:rPr>
        <w:t>因此，该包招标代理服务费为：1.5+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pPr>
        <w:shd w:val="clear" w:color="auto" w:fill="auto"/>
        <w:tabs>
          <w:tab w:val="clear" w:pos="426"/>
        </w:tabs>
        <w:adjustRightInd/>
        <w:snapToGrid/>
        <w:spacing w:line="240" w:lineRule="auto"/>
        <w:jc w:val="left"/>
        <w:rPr>
          <w:rFonts w:ascii="Arial" w:hAnsi="Arial" w:cs="Times New Roman"/>
          <w:bCs/>
          <w:kern w:val="2"/>
          <w:sz w:val="36"/>
          <w:szCs w:val="32"/>
        </w:rPr>
      </w:pPr>
    </w:p>
    <w:sectPr>
      <w:headerReference r:id="rId7" w:type="first"/>
      <w:footerReference r:id="rId9" w:type="first"/>
      <w:headerReference r:id="rId6" w:type="default"/>
      <w:footerReference r:id="rId8" w:type="default"/>
      <w:pgSz w:w="11906" w:h="16838"/>
      <w:pgMar w:top="1134" w:right="1134" w:bottom="1134" w:left="1418" w:header="851" w:footer="992" w:gutter="0"/>
      <w:pgNumType w:start="1"/>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微软雅黑"/>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rPr>
        <w:rStyle w:val="133"/>
      </w:rPr>
    </w:pPr>
    <w:r>
      <w:fldChar w:fldCharType="begin"/>
    </w:r>
    <w:r>
      <w:rPr>
        <w:rStyle w:val="133"/>
      </w:rPr>
      <w:instrText xml:space="preserve">PAGE  </w:instrText>
    </w:r>
    <w:r>
      <w:fldChar w:fldCharType="separate"/>
    </w:r>
    <w:r>
      <w:rPr>
        <w:rStyle w:val="133"/>
      </w:rPr>
      <w:t>65</w:t>
    </w:r>
    <w:r>
      <w:fldChar w:fldCharType="end"/>
    </w:r>
  </w:p>
  <w:p>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45</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spacing w:line="240" w:lineRule="auto"/>
    </w:pPr>
    <w:r>
      <w:rPr>
        <w:rFonts w:hint="eastAsia"/>
      </w:rPr>
      <w:t>深圳市深水水务咨询有限公司招标文件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rFonts w:hint="eastAsia"/>
      </w:rPr>
      <w:t>深圳市深水水务咨询有限公司招标文件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5"/>
    <w:multiLevelType w:val="multilevel"/>
    <w:tmpl w:val="00000005"/>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2">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DF849D3"/>
    <w:multiLevelType w:val="multilevel"/>
    <w:tmpl w:val="2DF849D3"/>
    <w:lvl w:ilvl="0" w:tentative="0">
      <w:start w:val="1"/>
      <w:numFmt w:val="chineseCountingThousand"/>
      <w:suff w:val="nothing"/>
      <w:lvlText w:val="%1、"/>
      <w:lvlJc w:val="left"/>
      <w:pPr>
        <w:ind w:left="420" w:hanging="420"/>
      </w:pPr>
      <w:rPr>
        <w:rFonts w:hint="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4253DA1"/>
    <w:multiLevelType w:val="multilevel"/>
    <w:tmpl w:val="64253DA1"/>
    <w:lvl w:ilvl="0" w:tentative="0">
      <w:start w:val="1"/>
      <w:numFmt w:val="decimal"/>
      <w:suff w:val="nothing"/>
      <w:lvlText w:val="%1"/>
      <w:lvlJc w:val="left"/>
      <w:pPr>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5">
    <w:nsid w:val="726C71F1"/>
    <w:multiLevelType w:val="multilevel"/>
    <w:tmpl w:val="726C71F1"/>
    <w:lvl w:ilvl="0" w:tentative="0">
      <w:start w:val="1"/>
      <w:numFmt w:val="chineseCountingThousand"/>
      <w:pStyle w:val="55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734F656C"/>
    <w:multiLevelType w:val="multilevel"/>
    <w:tmpl w:val="734F656C"/>
    <w:lvl w:ilvl="0" w:tentative="0">
      <w:start w:val="1"/>
      <w:numFmt w:val="decimal"/>
      <w:suff w:val="nothing"/>
      <w:lvlText w:val="%1"/>
      <w:lvlJc w:val="left"/>
      <w:pPr>
        <w:ind w:left="6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0BBB"/>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39"/>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A7D"/>
    <w:rsid w:val="000D1BD1"/>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350D"/>
    <w:rsid w:val="000E41C0"/>
    <w:rsid w:val="000E4687"/>
    <w:rsid w:val="000E48ED"/>
    <w:rsid w:val="000E49EB"/>
    <w:rsid w:val="000E4DE8"/>
    <w:rsid w:val="000E60B2"/>
    <w:rsid w:val="000E62FD"/>
    <w:rsid w:val="000E6681"/>
    <w:rsid w:val="000E69FE"/>
    <w:rsid w:val="000E6C5E"/>
    <w:rsid w:val="000E6C9A"/>
    <w:rsid w:val="000E6DB4"/>
    <w:rsid w:val="000E6EC0"/>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711"/>
    <w:rsid w:val="0011585F"/>
    <w:rsid w:val="00115973"/>
    <w:rsid w:val="00115A55"/>
    <w:rsid w:val="00115AD7"/>
    <w:rsid w:val="0011640B"/>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9E0"/>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02E"/>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6F4"/>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B1"/>
    <w:rsid w:val="001C6AF5"/>
    <w:rsid w:val="001C725D"/>
    <w:rsid w:val="001C77E1"/>
    <w:rsid w:val="001C7ADA"/>
    <w:rsid w:val="001C7DE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B14"/>
    <w:rsid w:val="001E200A"/>
    <w:rsid w:val="001E2067"/>
    <w:rsid w:val="001E226F"/>
    <w:rsid w:val="001E24A9"/>
    <w:rsid w:val="001E2502"/>
    <w:rsid w:val="001E292F"/>
    <w:rsid w:val="001E2B4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868"/>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40"/>
    <w:rsid w:val="00246CCD"/>
    <w:rsid w:val="0024727D"/>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B28"/>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6DC"/>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2F08"/>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911"/>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9F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988"/>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0C"/>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D62"/>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5D8"/>
    <w:rsid w:val="00396766"/>
    <w:rsid w:val="003968D5"/>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3A62"/>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176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74D"/>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38"/>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0C6"/>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ACB"/>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BA9"/>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1256"/>
    <w:rsid w:val="005917DF"/>
    <w:rsid w:val="00592899"/>
    <w:rsid w:val="00593386"/>
    <w:rsid w:val="00593C6E"/>
    <w:rsid w:val="00593F3D"/>
    <w:rsid w:val="0059424C"/>
    <w:rsid w:val="005943AE"/>
    <w:rsid w:val="0059442B"/>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590"/>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CFA"/>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4A"/>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088"/>
    <w:rsid w:val="00645874"/>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45"/>
    <w:rsid w:val="006D10BF"/>
    <w:rsid w:val="006D11E1"/>
    <w:rsid w:val="006D17B1"/>
    <w:rsid w:val="006D1836"/>
    <w:rsid w:val="006D1D3F"/>
    <w:rsid w:val="006D20B4"/>
    <w:rsid w:val="006D211A"/>
    <w:rsid w:val="006D253B"/>
    <w:rsid w:val="006D2CC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95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B09"/>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59B"/>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74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A4"/>
    <w:rsid w:val="008C5C97"/>
    <w:rsid w:val="008C64E3"/>
    <w:rsid w:val="008C68C3"/>
    <w:rsid w:val="008C6EB6"/>
    <w:rsid w:val="008C725D"/>
    <w:rsid w:val="008C743F"/>
    <w:rsid w:val="008C74C6"/>
    <w:rsid w:val="008C769B"/>
    <w:rsid w:val="008C76BF"/>
    <w:rsid w:val="008C7741"/>
    <w:rsid w:val="008C7868"/>
    <w:rsid w:val="008C7883"/>
    <w:rsid w:val="008C78F9"/>
    <w:rsid w:val="008C7B5C"/>
    <w:rsid w:val="008C7C3A"/>
    <w:rsid w:val="008D044B"/>
    <w:rsid w:val="008D0D1E"/>
    <w:rsid w:val="008D110C"/>
    <w:rsid w:val="008D1E79"/>
    <w:rsid w:val="008D25CD"/>
    <w:rsid w:val="008D29A6"/>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E05"/>
    <w:rsid w:val="008F0E9C"/>
    <w:rsid w:val="008F12B1"/>
    <w:rsid w:val="008F141E"/>
    <w:rsid w:val="008F1521"/>
    <w:rsid w:val="008F1F09"/>
    <w:rsid w:val="008F25A3"/>
    <w:rsid w:val="008F2838"/>
    <w:rsid w:val="008F2A9A"/>
    <w:rsid w:val="008F2CDD"/>
    <w:rsid w:val="008F4053"/>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659"/>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8F8"/>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42F"/>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61BB"/>
    <w:rsid w:val="00976390"/>
    <w:rsid w:val="00976582"/>
    <w:rsid w:val="0097766C"/>
    <w:rsid w:val="00977BCA"/>
    <w:rsid w:val="0098054A"/>
    <w:rsid w:val="009806FB"/>
    <w:rsid w:val="009809DE"/>
    <w:rsid w:val="00981000"/>
    <w:rsid w:val="00981456"/>
    <w:rsid w:val="0098177A"/>
    <w:rsid w:val="00981839"/>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3A"/>
    <w:rsid w:val="009A09B4"/>
    <w:rsid w:val="009A10A4"/>
    <w:rsid w:val="009A1332"/>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94C"/>
    <w:rsid w:val="00A266C7"/>
    <w:rsid w:val="00A26C96"/>
    <w:rsid w:val="00A2732C"/>
    <w:rsid w:val="00A277C7"/>
    <w:rsid w:val="00A27A71"/>
    <w:rsid w:val="00A27F02"/>
    <w:rsid w:val="00A30047"/>
    <w:rsid w:val="00A301BA"/>
    <w:rsid w:val="00A310C7"/>
    <w:rsid w:val="00A311A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9ED"/>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4D89"/>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25"/>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D0F"/>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52F"/>
    <w:rsid w:val="00AD79BB"/>
    <w:rsid w:val="00AD7D7F"/>
    <w:rsid w:val="00AE00CA"/>
    <w:rsid w:val="00AE0C89"/>
    <w:rsid w:val="00AE10C4"/>
    <w:rsid w:val="00AE1197"/>
    <w:rsid w:val="00AE1524"/>
    <w:rsid w:val="00AE1AE1"/>
    <w:rsid w:val="00AE254F"/>
    <w:rsid w:val="00AE260E"/>
    <w:rsid w:val="00AE2C77"/>
    <w:rsid w:val="00AE2D01"/>
    <w:rsid w:val="00AE2DF4"/>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CB2"/>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07B"/>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095"/>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4F8"/>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CF"/>
    <w:rsid w:val="00C6017A"/>
    <w:rsid w:val="00C602E6"/>
    <w:rsid w:val="00C6087E"/>
    <w:rsid w:val="00C608EF"/>
    <w:rsid w:val="00C60FC1"/>
    <w:rsid w:val="00C60FF0"/>
    <w:rsid w:val="00C612BB"/>
    <w:rsid w:val="00C612BF"/>
    <w:rsid w:val="00C619EE"/>
    <w:rsid w:val="00C6207E"/>
    <w:rsid w:val="00C625C7"/>
    <w:rsid w:val="00C628D3"/>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65A"/>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992"/>
    <w:rsid w:val="00D03A13"/>
    <w:rsid w:val="00D03F31"/>
    <w:rsid w:val="00D041BF"/>
    <w:rsid w:val="00D04451"/>
    <w:rsid w:val="00D04454"/>
    <w:rsid w:val="00D045FD"/>
    <w:rsid w:val="00D05061"/>
    <w:rsid w:val="00D0586B"/>
    <w:rsid w:val="00D05A0A"/>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95C"/>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218"/>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A43"/>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B7EAE"/>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AD2"/>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3C37"/>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3DBB"/>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188F"/>
    <w:rsid w:val="00EA2523"/>
    <w:rsid w:val="00EA2EFA"/>
    <w:rsid w:val="00EA32BF"/>
    <w:rsid w:val="00EA3852"/>
    <w:rsid w:val="00EA456E"/>
    <w:rsid w:val="00EA50D6"/>
    <w:rsid w:val="00EA548E"/>
    <w:rsid w:val="00EA5714"/>
    <w:rsid w:val="00EA722D"/>
    <w:rsid w:val="00EA7662"/>
    <w:rsid w:val="00EB016F"/>
    <w:rsid w:val="00EB0635"/>
    <w:rsid w:val="00EB06EB"/>
    <w:rsid w:val="00EB0798"/>
    <w:rsid w:val="00EB0B50"/>
    <w:rsid w:val="00EB13E0"/>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CBC"/>
    <w:rsid w:val="00F85DEC"/>
    <w:rsid w:val="00F85FD9"/>
    <w:rsid w:val="00F8615F"/>
    <w:rsid w:val="00F86637"/>
    <w:rsid w:val="00F86D4E"/>
    <w:rsid w:val="00F86E6F"/>
    <w:rsid w:val="00F87BEF"/>
    <w:rsid w:val="00F87D18"/>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704A"/>
    <w:rsid w:val="00FF7512"/>
    <w:rsid w:val="00FF7877"/>
    <w:rsid w:val="00FF7FC8"/>
    <w:rsid w:val="010D7DD7"/>
    <w:rsid w:val="01317F69"/>
    <w:rsid w:val="01396E1E"/>
    <w:rsid w:val="01457570"/>
    <w:rsid w:val="01B078E1"/>
    <w:rsid w:val="01C20BC1"/>
    <w:rsid w:val="024F656F"/>
    <w:rsid w:val="03125B78"/>
    <w:rsid w:val="05D9038E"/>
    <w:rsid w:val="06507E65"/>
    <w:rsid w:val="06B55883"/>
    <w:rsid w:val="07245E7A"/>
    <w:rsid w:val="07574D9C"/>
    <w:rsid w:val="07DE090C"/>
    <w:rsid w:val="08290F2E"/>
    <w:rsid w:val="085F1E58"/>
    <w:rsid w:val="08E7715F"/>
    <w:rsid w:val="08EE6740"/>
    <w:rsid w:val="0906165B"/>
    <w:rsid w:val="09300E18"/>
    <w:rsid w:val="09647D8F"/>
    <w:rsid w:val="096B5FE2"/>
    <w:rsid w:val="0A026946"/>
    <w:rsid w:val="0A1F007C"/>
    <w:rsid w:val="0A2A7FE0"/>
    <w:rsid w:val="0A410AF1"/>
    <w:rsid w:val="0A777171"/>
    <w:rsid w:val="0A856C30"/>
    <w:rsid w:val="0AF0634E"/>
    <w:rsid w:val="0B5E288D"/>
    <w:rsid w:val="0B6D4760"/>
    <w:rsid w:val="0B8339ED"/>
    <w:rsid w:val="0C290BC7"/>
    <w:rsid w:val="0CA737D5"/>
    <w:rsid w:val="0CBB6000"/>
    <w:rsid w:val="0CCE34EE"/>
    <w:rsid w:val="0CE410C9"/>
    <w:rsid w:val="0D1501C9"/>
    <w:rsid w:val="0D4B14D3"/>
    <w:rsid w:val="0E146C48"/>
    <w:rsid w:val="0E165CA5"/>
    <w:rsid w:val="0E21353B"/>
    <w:rsid w:val="0E4842B3"/>
    <w:rsid w:val="0EA80944"/>
    <w:rsid w:val="0EAA135B"/>
    <w:rsid w:val="0EC20200"/>
    <w:rsid w:val="0F113188"/>
    <w:rsid w:val="0F1A43CF"/>
    <w:rsid w:val="0FC1695C"/>
    <w:rsid w:val="0FC63F72"/>
    <w:rsid w:val="0FD06B9F"/>
    <w:rsid w:val="0FFD2004"/>
    <w:rsid w:val="10046336"/>
    <w:rsid w:val="10190EEA"/>
    <w:rsid w:val="10D736B1"/>
    <w:rsid w:val="11144CCC"/>
    <w:rsid w:val="112278CE"/>
    <w:rsid w:val="11421D1E"/>
    <w:rsid w:val="115832F0"/>
    <w:rsid w:val="1238019B"/>
    <w:rsid w:val="12803108"/>
    <w:rsid w:val="134C5158"/>
    <w:rsid w:val="13613ABC"/>
    <w:rsid w:val="13655850"/>
    <w:rsid w:val="137912FC"/>
    <w:rsid w:val="13857CA0"/>
    <w:rsid w:val="139A265D"/>
    <w:rsid w:val="13B011C1"/>
    <w:rsid w:val="13C52DC7"/>
    <w:rsid w:val="14185704"/>
    <w:rsid w:val="14432454"/>
    <w:rsid w:val="1473228E"/>
    <w:rsid w:val="14C33176"/>
    <w:rsid w:val="14CC7C00"/>
    <w:rsid w:val="14D27A24"/>
    <w:rsid w:val="15606A59"/>
    <w:rsid w:val="161D2A4D"/>
    <w:rsid w:val="16426A1B"/>
    <w:rsid w:val="16A973E8"/>
    <w:rsid w:val="1717516A"/>
    <w:rsid w:val="172911EC"/>
    <w:rsid w:val="173F6692"/>
    <w:rsid w:val="17E82DB7"/>
    <w:rsid w:val="1877313A"/>
    <w:rsid w:val="189F35B2"/>
    <w:rsid w:val="18C92972"/>
    <w:rsid w:val="19F45B80"/>
    <w:rsid w:val="1A9F789A"/>
    <w:rsid w:val="1AA87BD2"/>
    <w:rsid w:val="1B395F40"/>
    <w:rsid w:val="1C263325"/>
    <w:rsid w:val="1CB46F25"/>
    <w:rsid w:val="1E2C09AB"/>
    <w:rsid w:val="1E5C1674"/>
    <w:rsid w:val="1E6432D4"/>
    <w:rsid w:val="1E935967"/>
    <w:rsid w:val="1FD40BF1"/>
    <w:rsid w:val="20261070"/>
    <w:rsid w:val="205F23C3"/>
    <w:rsid w:val="20D675C5"/>
    <w:rsid w:val="20D74DDE"/>
    <w:rsid w:val="20D84460"/>
    <w:rsid w:val="20F55B55"/>
    <w:rsid w:val="210448FA"/>
    <w:rsid w:val="218B501C"/>
    <w:rsid w:val="22C75BE0"/>
    <w:rsid w:val="22F34C27"/>
    <w:rsid w:val="23803FC4"/>
    <w:rsid w:val="242179DA"/>
    <w:rsid w:val="246761DA"/>
    <w:rsid w:val="25B05051"/>
    <w:rsid w:val="26692359"/>
    <w:rsid w:val="270277E7"/>
    <w:rsid w:val="27045DE2"/>
    <w:rsid w:val="27B16E5E"/>
    <w:rsid w:val="281335CC"/>
    <w:rsid w:val="28550131"/>
    <w:rsid w:val="288325A9"/>
    <w:rsid w:val="289E3C55"/>
    <w:rsid w:val="292672D4"/>
    <w:rsid w:val="2AF8398E"/>
    <w:rsid w:val="2AFB4FC0"/>
    <w:rsid w:val="2B3050F9"/>
    <w:rsid w:val="2B696A33"/>
    <w:rsid w:val="2C051F5E"/>
    <w:rsid w:val="2CF84D34"/>
    <w:rsid w:val="2D6A3F24"/>
    <w:rsid w:val="2D716A26"/>
    <w:rsid w:val="2DE83A3A"/>
    <w:rsid w:val="2DFC4DDB"/>
    <w:rsid w:val="2E1F5933"/>
    <w:rsid w:val="2E6E3F01"/>
    <w:rsid w:val="2EC767E9"/>
    <w:rsid w:val="2F2B1BEC"/>
    <w:rsid w:val="2FC76FBB"/>
    <w:rsid w:val="308A5DD7"/>
    <w:rsid w:val="319B1E4E"/>
    <w:rsid w:val="31D37F49"/>
    <w:rsid w:val="321D581C"/>
    <w:rsid w:val="321D6FE5"/>
    <w:rsid w:val="324F174E"/>
    <w:rsid w:val="32AC6B69"/>
    <w:rsid w:val="32B37F2E"/>
    <w:rsid w:val="32E60304"/>
    <w:rsid w:val="33376F4A"/>
    <w:rsid w:val="33753436"/>
    <w:rsid w:val="34B424E6"/>
    <w:rsid w:val="34CF7D73"/>
    <w:rsid w:val="34E268A9"/>
    <w:rsid w:val="3518676F"/>
    <w:rsid w:val="3529272A"/>
    <w:rsid w:val="35A563B0"/>
    <w:rsid w:val="36002765"/>
    <w:rsid w:val="3667350A"/>
    <w:rsid w:val="3686688B"/>
    <w:rsid w:val="369E0EF6"/>
    <w:rsid w:val="36EB330F"/>
    <w:rsid w:val="37B502A5"/>
    <w:rsid w:val="37BE0F45"/>
    <w:rsid w:val="37BE6AE4"/>
    <w:rsid w:val="380B09E4"/>
    <w:rsid w:val="38C22C79"/>
    <w:rsid w:val="39346C81"/>
    <w:rsid w:val="3A4E1641"/>
    <w:rsid w:val="3A5E2E76"/>
    <w:rsid w:val="3A881CA1"/>
    <w:rsid w:val="3A8D5671"/>
    <w:rsid w:val="3A932EBB"/>
    <w:rsid w:val="3C94492D"/>
    <w:rsid w:val="3CD17661"/>
    <w:rsid w:val="3D0F2205"/>
    <w:rsid w:val="3D5C388A"/>
    <w:rsid w:val="3D842BF3"/>
    <w:rsid w:val="3E17459E"/>
    <w:rsid w:val="3E1C2E2C"/>
    <w:rsid w:val="3E491D1E"/>
    <w:rsid w:val="3EA15EE7"/>
    <w:rsid w:val="3EA710F9"/>
    <w:rsid w:val="3F0F2990"/>
    <w:rsid w:val="3F227025"/>
    <w:rsid w:val="401364B0"/>
    <w:rsid w:val="41173D7E"/>
    <w:rsid w:val="414904A5"/>
    <w:rsid w:val="426D00FA"/>
    <w:rsid w:val="42A50CDE"/>
    <w:rsid w:val="42F02AD9"/>
    <w:rsid w:val="442055BD"/>
    <w:rsid w:val="44834563"/>
    <w:rsid w:val="451F3201"/>
    <w:rsid w:val="453666E3"/>
    <w:rsid w:val="45C85AD5"/>
    <w:rsid w:val="45EF7078"/>
    <w:rsid w:val="46F55035"/>
    <w:rsid w:val="47501768"/>
    <w:rsid w:val="475950F1"/>
    <w:rsid w:val="47641DC7"/>
    <w:rsid w:val="47651B77"/>
    <w:rsid w:val="478974E3"/>
    <w:rsid w:val="47995DCD"/>
    <w:rsid w:val="47F6293F"/>
    <w:rsid w:val="47F72214"/>
    <w:rsid w:val="47FB61A8"/>
    <w:rsid w:val="487B4BF3"/>
    <w:rsid w:val="48967C7F"/>
    <w:rsid w:val="48A4054C"/>
    <w:rsid w:val="48B87BF5"/>
    <w:rsid w:val="493D129C"/>
    <w:rsid w:val="49E65525"/>
    <w:rsid w:val="4A5C54F9"/>
    <w:rsid w:val="4A673681"/>
    <w:rsid w:val="4A9D1E36"/>
    <w:rsid w:val="4AB3357B"/>
    <w:rsid w:val="4BCE29F7"/>
    <w:rsid w:val="4BD765E4"/>
    <w:rsid w:val="4D3A37DB"/>
    <w:rsid w:val="4D8462B2"/>
    <w:rsid w:val="4DB415C8"/>
    <w:rsid w:val="4DB80D17"/>
    <w:rsid w:val="4DB91634"/>
    <w:rsid w:val="4E74636C"/>
    <w:rsid w:val="4ED43CAB"/>
    <w:rsid w:val="4F137F8C"/>
    <w:rsid w:val="4F7379C3"/>
    <w:rsid w:val="4F7529A7"/>
    <w:rsid w:val="4F9C201E"/>
    <w:rsid w:val="4FD80B7D"/>
    <w:rsid w:val="500F5A41"/>
    <w:rsid w:val="50642410"/>
    <w:rsid w:val="50B21982"/>
    <w:rsid w:val="511E278C"/>
    <w:rsid w:val="518C60EA"/>
    <w:rsid w:val="52093015"/>
    <w:rsid w:val="528523B0"/>
    <w:rsid w:val="535D0132"/>
    <w:rsid w:val="53923305"/>
    <w:rsid w:val="541C0E3A"/>
    <w:rsid w:val="54437D45"/>
    <w:rsid w:val="54A15393"/>
    <w:rsid w:val="55540A0D"/>
    <w:rsid w:val="555E7D76"/>
    <w:rsid w:val="55C238A1"/>
    <w:rsid w:val="56113491"/>
    <w:rsid w:val="56E821B5"/>
    <w:rsid w:val="57131198"/>
    <w:rsid w:val="57452F9B"/>
    <w:rsid w:val="57664335"/>
    <w:rsid w:val="582941A3"/>
    <w:rsid w:val="58626CF5"/>
    <w:rsid w:val="586316C4"/>
    <w:rsid w:val="58684954"/>
    <w:rsid w:val="58A0024F"/>
    <w:rsid w:val="594159E5"/>
    <w:rsid w:val="599B50F5"/>
    <w:rsid w:val="5A153E74"/>
    <w:rsid w:val="5A634F59"/>
    <w:rsid w:val="5ABA3CA0"/>
    <w:rsid w:val="5AE8674D"/>
    <w:rsid w:val="5B370E4D"/>
    <w:rsid w:val="5B8F47E5"/>
    <w:rsid w:val="5BE96B00"/>
    <w:rsid w:val="5C0F231B"/>
    <w:rsid w:val="5C621EFA"/>
    <w:rsid w:val="5D481B17"/>
    <w:rsid w:val="5D6D2855"/>
    <w:rsid w:val="5DC74F93"/>
    <w:rsid w:val="5DEA73A2"/>
    <w:rsid w:val="5E0E772A"/>
    <w:rsid w:val="5E362F0B"/>
    <w:rsid w:val="5E9D190F"/>
    <w:rsid w:val="5F051C85"/>
    <w:rsid w:val="5FAE0E5F"/>
    <w:rsid w:val="5FD50C35"/>
    <w:rsid w:val="60B46AA4"/>
    <w:rsid w:val="60CC2038"/>
    <w:rsid w:val="60ED3B56"/>
    <w:rsid w:val="610F0176"/>
    <w:rsid w:val="61720DAB"/>
    <w:rsid w:val="61C03E43"/>
    <w:rsid w:val="629D1EDE"/>
    <w:rsid w:val="62A911C3"/>
    <w:rsid w:val="63251ED3"/>
    <w:rsid w:val="635665E4"/>
    <w:rsid w:val="63927420"/>
    <w:rsid w:val="63BD38E4"/>
    <w:rsid w:val="646C194A"/>
    <w:rsid w:val="646D1D84"/>
    <w:rsid w:val="647924D6"/>
    <w:rsid w:val="65622F6B"/>
    <w:rsid w:val="65D06126"/>
    <w:rsid w:val="661350C1"/>
    <w:rsid w:val="661F65EF"/>
    <w:rsid w:val="66301079"/>
    <w:rsid w:val="66666A8A"/>
    <w:rsid w:val="66680A54"/>
    <w:rsid w:val="66794A10"/>
    <w:rsid w:val="668F4233"/>
    <w:rsid w:val="67B87541"/>
    <w:rsid w:val="68080E6A"/>
    <w:rsid w:val="680C4CB4"/>
    <w:rsid w:val="686B482C"/>
    <w:rsid w:val="68D76D7C"/>
    <w:rsid w:val="694E2184"/>
    <w:rsid w:val="69942B10"/>
    <w:rsid w:val="6A162576"/>
    <w:rsid w:val="6A2E5B11"/>
    <w:rsid w:val="6A46671D"/>
    <w:rsid w:val="6A923CF1"/>
    <w:rsid w:val="6B064398"/>
    <w:rsid w:val="6B105217"/>
    <w:rsid w:val="6B387DCC"/>
    <w:rsid w:val="6B3E663C"/>
    <w:rsid w:val="6BA11F09"/>
    <w:rsid w:val="6BDB513A"/>
    <w:rsid w:val="6C101852"/>
    <w:rsid w:val="6C1E3A57"/>
    <w:rsid w:val="6C946514"/>
    <w:rsid w:val="6CBB1524"/>
    <w:rsid w:val="6CBC6118"/>
    <w:rsid w:val="6CCD080F"/>
    <w:rsid w:val="6CE557BD"/>
    <w:rsid w:val="6D837F22"/>
    <w:rsid w:val="6DEC3D19"/>
    <w:rsid w:val="6E3F653F"/>
    <w:rsid w:val="6E4448A1"/>
    <w:rsid w:val="6EB02F99"/>
    <w:rsid w:val="6EFA2466"/>
    <w:rsid w:val="6F7748A7"/>
    <w:rsid w:val="6F8739CA"/>
    <w:rsid w:val="6FF869A5"/>
    <w:rsid w:val="700A0487"/>
    <w:rsid w:val="706109EE"/>
    <w:rsid w:val="706202C3"/>
    <w:rsid w:val="70B56644"/>
    <w:rsid w:val="70CC1BE0"/>
    <w:rsid w:val="713E4EC0"/>
    <w:rsid w:val="71551BD5"/>
    <w:rsid w:val="71601728"/>
    <w:rsid w:val="717A163C"/>
    <w:rsid w:val="71916451"/>
    <w:rsid w:val="71BD6397"/>
    <w:rsid w:val="72534E9D"/>
    <w:rsid w:val="731437CB"/>
    <w:rsid w:val="73155BD6"/>
    <w:rsid w:val="73267CCD"/>
    <w:rsid w:val="73AB60DD"/>
    <w:rsid w:val="74235FBB"/>
    <w:rsid w:val="74281823"/>
    <w:rsid w:val="7530273D"/>
    <w:rsid w:val="75471C28"/>
    <w:rsid w:val="756E480E"/>
    <w:rsid w:val="75CC7809"/>
    <w:rsid w:val="76036E05"/>
    <w:rsid w:val="76083B2D"/>
    <w:rsid w:val="76BF71EE"/>
    <w:rsid w:val="7726029C"/>
    <w:rsid w:val="774175FE"/>
    <w:rsid w:val="77562203"/>
    <w:rsid w:val="783562BD"/>
    <w:rsid w:val="78857244"/>
    <w:rsid w:val="796F65E1"/>
    <w:rsid w:val="79E157E7"/>
    <w:rsid w:val="7A5C5D83"/>
    <w:rsid w:val="7AB45BBF"/>
    <w:rsid w:val="7BAE39B2"/>
    <w:rsid w:val="7C6525CC"/>
    <w:rsid w:val="7C7326A1"/>
    <w:rsid w:val="7C934A01"/>
    <w:rsid w:val="7CA26617"/>
    <w:rsid w:val="7CEA1D6C"/>
    <w:rsid w:val="7D4F4AFF"/>
    <w:rsid w:val="7DC607F5"/>
    <w:rsid w:val="7DEE13E8"/>
    <w:rsid w:val="7E9E4BBC"/>
    <w:rsid w:val="7EA22840"/>
    <w:rsid w:val="7EA25C27"/>
    <w:rsid w:val="7F206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1"/>
    <w:basedOn w:val="3"/>
    <w:next w:val="1"/>
    <w:link w:val="152"/>
    <w:qFormat/>
    <w:uiPriority w:val="0"/>
    <w:pPr>
      <w:keepNext w:val="0"/>
      <w:keepLines w:val="0"/>
      <w:tabs>
        <w:tab w:val="left" w:pos="426"/>
      </w:tabs>
      <w:spacing w:before="340" w:after="330" w:line="300" w:lineRule="auto"/>
      <w:jc w:val="center"/>
      <w:outlineLvl w:val="0"/>
    </w:pPr>
    <w:rPr>
      <w:rFonts w:eastAsia="黑体"/>
      <w:kern w:val="44"/>
      <w:sz w:val="28"/>
      <w:szCs w:val="28"/>
    </w:rPr>
  </w:style>
  <w:style w:type="paragraph" w:styleId="5">
    <w:name w:val="heading 2"/>
    <w:basedOn w:val="3"/>
    <w:next w:val="4"/>
    <w:link w:val="153"/>
    <w:qFormat/>
    <w:uiPriority w:val="0"/>
    <w:pPr>
      <w:tabs>
        <w:tab w:val="left" w:pos="426"/>
      </w:tabs>
      <w:textAlignment w:val="baseline"/>
      <w:outlineLvl w:val="1"/>
    </w:pPr>
    <w:rPr>
      <w:bCs w:val="0"/>
      <w:kern w:val="0"/>
      <w:szCs w:val="20"/>
    </w:rPr>
  </w:style>
  <w:style w:type="paragraph" w:styleId="3">
    <w:name w:val="heading 3"/>
    <w:basedOn w:val="4"/>
    <w:next w:val="1"/>
    <w:link w:val="151"/>
    <w:qFormat/>
    <w:uiPriority w:val="0"/>
    <w:pPr>
      <w:tabs>
        <w:tab w:val="left" w:pos="426"/>
      </w:tabs>
      <w:spacing w:before="260" w:after="260" w:line="240" w:lineRule="auto"/>
      <w:outlineLvl w:val="2"/>
    </w:pPr>
    <w:rPr>
      <w:rFonts w:ascii="宋体" w:hAnsi="宋体" w:eastAsia="宋体"/>
      <w:sz w:val="24"/>
      <w:szCs w:val="32"/>
    </w:rPr>
  </w:style>
  <w:style w:type="paragraph" w:styleId="4">
    <w:name w:val="heading 4"/>
    <w:basedOn w:val="1"/>
    <w:next w:val="1"/>
    <w:link w:val="150"/>
    <w:qFormat/>
    <w:uiPriority w:val="0"/>
    <w:pPr>
      <w:keepNext/>
      <w:keepLine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54"/>
    <w:qFormat/>
    <w:uiPriority w:val="0"/>
    <w:pPr>
      <w:keepNext/>
      <w:keepLines/>
      <w:spacing w:before="280" w:after="290" w:line="376" w:lineRule="auto"/>
      <w:jc w:val="center"/>
      <w:outlineLvl w:val="4"/>
    </w:pPr>
    <w:rPr>
      <w:rFonts w:ascii="Times New Roman" w:hAnsi="Times New Roman" w:cs="Times New Roman"/>
      <w:b/>
      <w:kern w:val="2"/>
      <w:sz w:val="24"/>
      <w:szCs w:val="20"/>
    </w:rPr>
  </w:style>
  <w:style w:type="paragraph" w:styleId="8">
    <w:name w:val="heading 6"/>
    <w:basedOn w:val="1"/>
    <w:next w:val="7"/>
    <w:link w:val="156"/>
    <w:qFormat/>
    <w:uiPriority w:val="0"/>
    <w:pPr>
      <w:keepNext/>
      <w:keepLines/>
      <w:spacing w:before="240" w:after="64" w:line="320" w:lineRule="auto"/>
      <w:outlineLvl w:val="5"/>
    </w:pPr>
    <w:rPr>
      <w:rFonts w:ascii="Arial" w:hAnsi="Arial" w:eastAsia="黑体" w:cs="Times New Roman"/>
      <w:b/>
      <w:kern w:val="2"/>
      <w:sz w:val="24"/>
      <w:szCs w:val="20"/>
    </w:rPr>
  </w:style>
  <w:style w:type="paragraph" w:styleId="9">
    <w:name w:val="heading 7"/>
    <w:basedOn w:val="1"/>
    <w:next w:val="7"/>
    <w:link w:val="157"/>
    <w:qFormat/>
    <w:uiPriority w:val="0"/>
    <w:pPr>
      <w:keepNext/>
      <w:keepLines/>
      <w:spacing w:before="240" w:after="64" w:line="320" w:lineRule="auto"/>
      <w:outlineLvl w:val="6"/>
    </w:pPr>
    <w:rPr>
      <w:rFonts w:ascii="Times New Roman" w:hAnsi="Times New Roman" w:cs="Times New Roman"/>
      <w:b/>
      <w:kern w:val="2"/>
      <w:sz w:val="24"/>
      <w:szCs w:val="20"/>
    </w:rPr>
  </w:style>
  <w:style w:type="paragraph" w:styleId="10">
    <w:name w:val="heading 8"/>
    <w:basedOn w:val="1"/>
    <w:next w:val="7"/>
    <w:link w:val="158"/>
    <w:qFormat/>
    <w:uiPriority w:val="0"/>
    <w:pPr>
      <w:keepNext/>
      <w:keepLines/>
      <w:spacing w:before="240" w:after="64" w:line="320" w:lineRule="auto"/>
      <w:outlineLvl w:val="7"/>
    </w:pPr>
    <w:rPr>
      <w:rFonts w:ascii="Arial" w:hAnsi="Arial" w:eastAsia="黑体" w:cs="Times New Roman"/>
      <w:kern w:val="2"/>
      <w:sz w:val="24"/>
      <w:szCs w:val="20"/>
    </w:rPr>
  </w:style>
  <w:style w:type="paragraph" w:styleId="11">
    <w:name w:val="heading 9"/>
    <w:basedOn w:val="1"/>
    <w:next w:val="7"/>
    <w:link w:val="159"/>
    <w:qFormat/>
    <w:uiPriority w:val="0"/>
    <w:pPr>
      <w:keepNext/>
      <w:keepLines/>
      <w:spacing w:before="240" w:after="64" w:line="320" w:lineRule="auto"/>
      <w:outlineLvl w:val="8"/>
    </w:pPr>
    <w:rPr>
      <w:rFonts w:ascii="Arial" w:hAnsi="Arial" w:eastAsia="黑体" w:cs="Times New Roman"/>
      <w:kern w:val="2"/>
      <w:szCs w:val="20"/>
    </w:rPr>
  </w:style>
  <w:style w:type="character" w:default="1" w:styleId="130">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55"/>
    <w:qFormat/>
    <w:uiPriority w:val="0"/>
    <w:pPr>
      <w:ind w:firstLine="420"/>
    </w:pPr>
    <w:rPr>
      <w:rFonts w:ascii="Times New Roman" w:hAns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100" w:leftChars="400" w:hanging="200" w:hangingChars="200"/>
    </w:pPr>
    <w:rPr>
      <w:rFonts w:ascii="Times New Roman" w:hAns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tabs>
        <w:tab w:val="left" w:pos="820"/>
      </w:tabs>
      <w:spacing w:afterLines="50"/>
      <w:ind w:left="988" w:hanging="420"/>
    </w:pPr>
    <w:rPr>
      <w:sz w:val="24"/>
      <w:szCs w:val="20"/>
    </w:rPr>
  </w:style>
  <w:style w:type="paragraph" w:styleId="15">
    <w:name w:val="Note Heading"/>
    <w:basedOn w:val="1"/>
    <w:next w:val="1"/>
    <w:link w:val="160"/>
    <w:qFormat/>
    <w:uiPriority w:val="0"/>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16">
    <w:name w:val="List Bullet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18">
    <w:name w:val="E-mail Signature"/>
    <w:basedOn w:val="1"/>
    <w:link w:val="16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19">
    <w:name w:val="List Number"/>
    <w:basedOn w:val="1"/>
    <w:qFormat/>
    <w:uiPriority w:val="0"/>
    <w:pPr>
      <w:widowControl w:val="0"/>
      <w:shd w:val="clear" w:color="auto" w:fill="auto"/>
      <w:tabs>
        <w:tab w:val="left" w:pos="360"/>
        <w:tab w:val="clear" w:pos="426"/>
      </w:tabs>
      <w:adjustRightInd/>
      <w:snapToGrid/>
      <w:spacing w:line="240" w:lineRule="auto"/>
      <w:ind w:left="360" w:hanging="360"/>
    </w:pPr>
    <w:rPr>
      <w:rFonts w:ascii="Times New Roman" w:hAns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22">
    <w:name w:val="List Bullet"/>
    <w:basedOn w:val="1"/>
    <w:qFormat/>
    <w:uiPriority w:val="0"/>
    <w:pPr>
      <w:tabs>
        <w:tab w:val="left" w:pos="360"/>
      </w:tabs>
      <w:ind w:left="360" w:hanging="36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00" w:leftChars="1400"/>
    </w:pPr>
    <w:rPr>
      <w:rFonts w:ascii="Arial" w:hAnsi="Arial" w:cs="Arial"/>
      <w:kern w:val="2"/>
      <w:sz w:val="24"/>
    </w:rPr>
  </w:style>
  <w:style w:type="paragraph" w:styleId="24">
    <w:name w:val="Document Map"/>
    <w:basedOn w:val="1"/>
    <w:link w:val="162"/>
    <w:qFormat/>
    <w:uiPriority w:val="0"/>
    <w:pPr>
      <w:shd w:val="clear" w:color="auto" w:fill="000080"/>
    </w:pPr>
    <w:rPr>
      <w:rFonts w:ascii="Times New Roman" w:hAns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63"/>
    <w:qFormat/>
    <w:uiPriority w:val="99"/>
    <w:pPr>
      <w:autoSpaceDE w:val="0"/>
      <w:autoSpaceDN w:val="0"/>
      <w:jc w:val="left"/>
      <w:textAlignment w:val="baseline"/>
    </w:pPr>
    <w:rPr>
      <w:rFonts w:hAnsi="Times New Roman"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28">
    <w:name w:val="Salutation"/>
    <w:basedOn w:val="1"/>
    <w:next w:val="1"/>
    <w:link w:val="164"/>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29">
    <w:name w:val="Body Text 3"/>
    <w:basedOn w:val="1"/>
    <w:link w:val="165"/>
    <w:qFormat/>
    <w:uiPriority w:val="0"/>
    <w:pPr>
      <w:spacing w:after="120"/>
    </w:pPr>
    <w:rPr>
      <w:rFonts w:ascii="Times New Roman" w:hAnsi="Times New Roman" w:cs="Times New Roman"/>
      <w:kern w:val="2"/>
      <w:sz w:val="16"/>
      <w:szCs w:val="16"/>
    </w:rPr>
  </w:style>
  <w:style w:type="paragraph" w:styleId="30">
    <w:name w:val="Closing"/>
    <w:basedOn w:val="1"/>
    <w:link w:val="16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31">
    <w:name w:val="List Bullet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2">
    <w:name w:val="Body Text"/>
    <w:basedOn w:val="1"/>
    <w:link w:val="167"/>
    <w:qFormat/>
    <w:uiPriority w:val="0"/>
    <w:rPr>
      <w:rFonts w:cs="Times New Roman"/>
      <w:b/>
      <w:bCs/>
      <w:sz w:val="24"/>
    </w:rPr>
  </w:style>
  <w:style w:type="paragraph" w:styleId="33">
    <w:name w:val="Body Text Indent"/>
    <w:basedOn w:val="1"/>
    <w:next w:val="34"/>
    <w:link w:val="148"/>
    <w:qFormat/>
    <w:uiPriority w:val="0"/>
    <w:pPr>
      <w:ind w:firstLine="420" w:firstLineChars="200"/>
    </w:pPr>
    <w:rPr>
      <w:rFonts w:ascii="Times New Roman" w:hAns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shd w:val="clear" w:color="auto" w:fill="auto"/>
      <w:tabs>
        <w:tab w:val="left" w:pos="1200"/>
        <w:tab w:val="clear" w:pos="426"/>
      </w:tabs>
      <w:adjustRightInd/>
      <w:snapToGrid/>
      <w:spacing w:line="240" w:lineRule="auto"/>
      <w:ind w:left="1200" w:hanging="360"/>
    </w:pPr>
    <w:rPr>
      <w:rFonts w:ascii="Times New Roman" w:hAns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100" w:leftChars="200" w:hanging="200" w:hangingChars="200"/>
    </w:pPr>
    <w:rPr>
      <w:rFonts w:ascii="Times New Roman" w:hAns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420" w:leftChars="200"/>
    </w:pPr>
    <w:rPr>
      <w:rFonts w:ascii="Times New Roman" w:hAns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1440" w:leftChars="700" w:right="1440" w:rightChars="700"/>
    </w:pPr>
    <w:rPr>
      <w:rFonts w:ascii="Times New Roman" w:hAnsi="Times New Roman" w:cs="Times New Roman"/>
      <w:kern w:val="2"/>
    </w:rPr>
  </w:style>
  <w:style w:type="paragraph" w:styleId="39">
    <w:name w:val="List Bullet 2"/>
    <w:basedOn w:val="1"/>
    <w:qFormat/>
    <w:uiPriority w:val="0"/>
    <w:pPr>
      <w:widowControl w:val="0"/>
      <w:shd w:val="clear" w:color="auto" w:fill="auto"/>
      <w:tabs>
        <w:tab w:val="left" w:pos="780"/>
        <w:tab w:val="clear" w:pos="426"/>
      </w:tabs>
      <w:adjustRightInd/>
      <w:snapToGrid/>
      <w:spacing w:line="240" w:lineRule="auto"/>
      <w:ind w:left="780" w:hanging="360"/>
    </w:pPr>
    <w:rPr>
      <w:rFonts w:ascii="Times New Roman" w:hAnsi="Times New Roman" w:cs="Times New Roman"/>
      <w:kern w:val="2"/>
    </w:rPr>
  </w:style>
  <w:style w:type="paragraph" w:styleId="40">
    <w:name w:val="HTML Address"/>
    <w:basedOn w:val="1"/>
    <w:link w:val="168"/>
    <w:qFormat/>
    <w:uiPriority w:val="0"/>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169"/>
    <w:qFormat/>
    <w:uiPriority w:val="0"/>
    <w:rPr>
      <w:rFonts w:hAnsi="Courier New" w:cs="Times New Roman"/>
      <w:kern w:val="2"/>
      <w:szCs w:val="20"/>
    </w:rPr>
  </w:style>
  <w:style w:type="paragraph" w:styleId="45">
    <w:name w:val="List Bullet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46">
    <w:name w:val="List Number 4"/>
    <w:basedOn w:val="1"/>
    <w:qFormat/>
    <w:uiPriority w:val="0"/>
    <w:pPr>
      <w:widowControl w:val="0"/>
      <w:shd w:val="clear" w:color="auto" w:fill="auto"/>
      <w:tabs>
        <w:tab w:val="left" w:pos="1620"/>
        <w:tab w:val="clear" w:pos="426"/>
      </w:tabs>
      <w:adjustRightInd/>
      <w:snapToGrid/>
      <w:spacing w:line="240" w:lineRule="auto"/>
      <w:ind w:left="1620" w:hanging="360"/>
    </w:pPr>
    <w:rPr>
      <w:rFonts w:ascii="Times New Roman" w:hAns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49">
    <w:name w:val="Date"/>
    <w:basedOn w:val="1"/>
    <w:next w:val="1"/>
    <w:link w:val="170"/>
    <w:qFormat/>
    <w:uiPriority w:val="0"/>
    <w:rPr>
      <w:rFonts w:hAnsi="Courier New" w:cs="Times New Roman"/>
      <w:kern w:val="2"/>
      <w:sz w:val="32"/>
      <w:szCs w:val="20"/>
    </w:rPr>
  </w:style>
  <w:style w:type="paragraph" w:styleId="50">
    <w:name w:val="Body Text Indent 2"/>
    <w:basedOn w:val="1"/>
    <w:link w:val="171"/>
    <w:qFormat/>
    <w:uiPriority w:val="0"/>
    <w:pPr>
      <w:spacing w:beforeLines="50" w:afterLines="50" w:line="120" w:lineRule="auto"/>
      <w:ind w:firstLine="840" w:firstLineChars="400"/>
      <w:jc w:val="left"/>
    </w:pPr>
    <w:rPr>
      <w:rFonts w:cs="Times New Roman"/>
      <w:kern w:val="2"/>
    </w:rPr>
  </w:style>
  <w:style w:type="paragraph" w:styleId="51">
    <w:name w:val="endnote text"/>
    <w:basedOn w:val="1"/>
    <w:link w:val="172"/>
    <w:qFormat/>
    <w:uiPriority w:val="0"/>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2100" w:leftChars="1000"/>
    </w:pPr>
    <w:rPr>
      <w:rFonts w:ascii="Times New Roman" w:hAnsi="Times New Roman" w:cs="Times New Roman"/>
      <w:kern w:val="2"/>
    </w:rPr>
  </w:style>
  <w:style w:type="paragraph" w:styleId="53">
    <w:name w:val="Balloon Text"/>
    <w:basedOn w:val="1"/>
    <w:link w:val="173"/>
    <w:qFormat/>
    <w:uiPriority w:val="0"/>
    <w:rPr>
      <w:rFonts w:ascii="Times New Roman" w:hAnsi="Times New Roman" w:cs="Times New Roman"/>
      <w:kern w:val="2"/>
      <w:sz w:val="18"/>
      <w:szCs w:val="18"/>
    </w:rPr>
  </w:style>
  <w:style w:type="paragraph" w:styleId="54">
    <w:name w:val="footer"/>
    <w:basedOn w:val="1"/>
    <w:link w:val="174"/>
    <w:qFormat/>
    <w:uiPriority w:val="0"/>
    <w:pPr>
      <w:tabs>
        <w:tab w:val="center" w:pos="4153"/>
        <w:tab w:val="right" w:pos="8306"/>
      </w:tabs>
      <w:jc w:val="left"/>
    </w:pPr>
    <w:rPr>
      <w:rFonts w:ascii="Times New Roman" w:hAnsi="Times New Roman" w:cs="Times New Roman"/>
      <w:kern w:val="2"/>
      <w:sz w:val="18"/>
      <w:szCs w:val="18"/>
    </w:rPr>
  </w:style>
  <w:style w:type="paragraph" w:styleId="55">
    <w:name w:val="header"/>
    <w:basedOn w:val="1"/>
    <w:link w:val="175"/>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6">
    <w:name w:val="Signature"/>
    <w:basedOn w:val="1"/>
    <w:link w:val="176"/>
    <w:qFormat/>
    <w:uiPriority w:val="0"/>
    <w:pPr>
      <w:widowControl w:val="0"/>
      <w:shd w:val="clear" w:color="auto" w:fill="auto"/>
      <w:tabs>
        <w:tab w:val="clear" w:pos="426"/>
      </w:tabs>
      <w:adjustRightInd/>
      <w:snapToGrid/>
      <w:spacing w:line="240" w:lineRule="auto"/>
      <w:ind w:left="100" w:leftChars="2100"/>
    </w:pPr>
    <w:rPr>
      <w:rFonts w:ascii="Times New Roman" w:hAns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1680" w:leftChars="800"/>
    </w:pPr>
    <w:rPr>
      <w:rFonts w:ascii="Times New Roman" w:hAns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61">
    <w:name w:val="index 1"/>
    <w:basedOn w:val="1"/>
    <w:next w:val="1"/>
    <w:qFormat/>
    <w:uiPriority w:val="99"/>
    <w:rPr>
      <w:b/>
      <w:color w:val="0000FF"/>
      <w:sz w:val="24"/>
    </w:rPr>
  </w:style>
  <w:style w:type="paragraph" w:styleId="62">
    <w:name w:val="Subtitle"/>
    <w:basedOn w:val="1"/>
    <w:next w:val="1"/>
    <w:link w:val="177"/>
    <w:qFormat/>
    <w:uiPriority w:val="0"/>
    <w:pPr>
      <w:tabs>
        <w:tab w:val="clear" w:pos="426"/>
      </w:tabs>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shd w:val="clear" w:color="auto" w:fill="auto"/>
      <w:tabs>
        <w:tab w:val="left" w:pos="2040"/>
        <w:tab w:val="clear" w:pos="426"/>
      </w:tabs>
      <w:adjustRightInd/>
      <w:snapToGrid/>
      <w:spacing w:line="240" w:lineRule="auto"/>
      <w:ind w:left="2040" w:hanging="360"/>
    </w:pPr>
    <w:rPr>
      <w:rFonts w:ascii="Times New Roman" w:hAns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hAnsi="Times New Roman" w:cs="Times New Roman"/>
      <w:kern w:val="2"/>
    </w:rPr>
  </w:style>
  <w:style w:type="paragraph" w:styleId="65">
    <w:name w:val="footnote text"/>
    <w:basedOn w:val="1"/>
    <w:link w:val="178"/>
    <w:qFormat/>
    <w:uiPriority w:val="0"/>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 w:leftChars="800" w:hanging="200" w:hangingChars="200"/>
    </w:pPr>
    <w:rPr>
      <w:rFonts w:ascii="Times New Roman" w:hAnsi="Times New Roman" w:cs="Times New Roman"/>
      <w:kern w:val="2"/>
    </w:rPr>
  </w:style>
  <w:style w:type="paragraph" w:styleId="68">
    <w:name w:val="Body Text Indent 3"/>
    <w:basedOn w:val="1"/>
    <w:link w:val="179"/>
    <w:qFormat/>
    <w:uiPriority w:val="0"/>
    <w:pPr>
      <w:ind w:firstLine="482" w:firstLineChars="200"/>
    </w:pPr>
    <w:rPr>
      <w:rFonts w:hAnsi="Times New Roman"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80"/>
    <w:qFormat/>
    <w:uiPriority w:val="0"/>
    <w:rPr>
      <w:rFonts w:ascii="Times New Roman" w:hAns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100" w:leftChars="600" w:hanging="200" w:hangingChars="200"/>
    </w:pPr>
    <w:rPr>
      <w:rFonts w:ascii="Times New Roman" w:hAns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840" w:leftChars="400"/>
    </w:pPr>
    <w:rPr>
      <w:rFonts w:ascii="Times New Roman" w:hAnsi="Times New Roman" w:cs="Times New Roman"/>
      <w:kern w:val="2"/>
    </w:rPr>
  </w:style>
  <w:style w:type="paragraph" w:styleId="76">
    <w:name w:val="Message Header"/>
    <w:basedOn w:val="1"/>
    <w:link w:val="18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80" w:leftChars="500" w:hanging="1080" w:hangingChars="500"/>
    </w:pPr>
    <w:rPr>
      <w:rFonts w:ascii="Arial" w:hAnsi="Arial" w:cs="Times New Roman"/>
      <w:kern w:val="2"/>
      <w:sz w:val="24"/>
    </w:rPr>
  </w:style>
  <w:style w:type="paragraph" w:styleId="77">
    <w:name w:val="HTML Preformatted"/>
    <w:basedOn w:val="1"/>
    <w:link w:val="18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1260" w:leftChars="600"/>
    </w:pPr>
    <w:rPr>
      <w:rFonts w:ascii="Times New Roman" w:hAns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81">
    <w:name w:val="Title"/>
    <w:basedOn w:val="1"/>
    <w:link w:val="183"/>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84"/>
    <w:qFormat/>
    <w:uiPriority w:val="0"/>
    <w:pPr>
      <w:autoSpaceDE/>
      <w:autoSpaceDN/>
      <w:adjustRightInd/>
      <w:textAlignment w:val="auto"/>
    </w:pPr>
    <w:rPr>
      <w:rFonts w:ascii="Times New Roman"/>
      <w:b/>
      <w:bCs/>
      <w:kern w:val="2"/>
      <w:sz w:val="21"/>
      <w:szCs w:val="24"/>
    </w:rPr>
  </w:style>
  <w:style w:type="paragraph" w:styleId="83">
    <w:name w:val="Body Text First Indent"/>
    <w:basedOn w:val="32"/>
    <w:link w:val="185"/>
    <w:qFormat/>
    <w:uiPriority w:val="0"/>
    <w:pPr>
      <w:widowControl w:val="0"/>
      <w:shd w:val="clear" w:color="auto" w:fill="auto"/>
      <w:adjustRightInd/>
      <w:snapToGrid/>
      <w:spacing w:after="120" w:line="240" w:lineRule="auto"/>
      <w:ind w:firstLine="420" w:firstLineChars="100"/>
    </w:pPr>
    <w:rPr>
      <w:kern w:val="2"/>
      <w:sz w:val="21"/>
    </w:rPr>
  </w:style>
  <w:style w:type="paragraph" w:styleId="84">
    <w:name w:val="Body Text First Indent 2"/>
    <w:basedOn w:val="33"/>
    <w:link w:val="149"/>
    <w:qFormat/>
    <w:uiPriority w:val="0"/>
    <w:pPr>
      <w:widowControl w:val="0"/>
      <w:shd w:val="clear" w:color="auto" w:fill="auto"/>
      <w:adjustRightInd/>
      <w:snapToGrid/>
      <w:spacing w:after="120" w:line="240" w:lineRule="auto"/>
      <w:ind w:left="42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Classic 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Classic 3"/>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6">
    <w:name w:val="Table Simple 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Simple 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Subtle 2"/>
    <w:basedOn w:val="85"/>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3D effects 1"/>
    <w:basedOn w:val="85"/>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2">
    <w:name w:val="Table 3D effects 2"/>
    <w:basedOn w:val="85"/>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3D effects 3"/>
    <w:basedOn w:val="85"/>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5"/>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5"/>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5"/>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1">
    <w:name w:val="Strong"/>
    <w:qFormat/>
    <w:uiPriority w:val="0"/>
    <w:rPr>
      <w:b/>
      <w:bCs/>
    </w:rPr>
  </w:style>
  <w:style w:type="character" w:styleId="132">
    <w:name w:val="endnote reference"/>
    <w:qFormat/>
    <w:uiPriority w:val="0"/>
    <w:rPr>
      <w:vertAlign w:val="superscript"/>
    </w:rPr>
  </w:style>
  <w:style w:type="character" w:styleId="133">
    <w:name w:val="page number"/>
    <w:qFormat/>
    <w:uiPriority w:val="0"/>
  </w:style>
  <w:style w:type="character" w:styleId="134">
    <w:name w:val="FollowedHyperlink"/>
    <w:qFormat/>
    <w:uiPriority w:val="0"/>
    <w:rPr>
      <w:color w:val="800080"/>
      <w:u w:val="single"/>
    </w:rPr>
  </w:style>
  <w:style w:type="character" w:styleId="135">
    <w:name w:val="Emphasis"/>
    <w:qFormat/>
    <w:uiPriority w:val="0"/>
    <w:rPr>
      <w:i/>
      <w:iCs/>
    </w:rPr>
  </w:style>
  <w:style w:type="character" w:styleId="136">
    <w:name w:val="line number"/>
    <w:qFormat/>
    <w:uiPriority w:val="0"/>
  </w:style>
  <w:style w:type="character" w:styleId="137">
    <w:name w:val="HTML Definition"/>
    <w:qFormat/>
    <w:uiPriority w:val="0"/>
    <w:rPr>
      <w:i/>
      <w:iCs/>
    </w:rPr>
  </w:style>
  <w:style w:type="character" w:styleId="138">
    <w:name w:val="HTML Typewriter"/>
    <w:qFormat/>
    <w:uiPriority w:val="0"/>
    <w:rPr>
      <w:rFonts w:ascii="Courier New" w:hAnsi="Courier New" w:cs="Courier New"/>
      <w:sz w:val="20"/>
      <w:szCs w:val="20"/>
    </w:rPr>
  </w:style>
  <w:style w:type="character" w:styleId="139">
    <w:name w:val="HTML Acronym"/>
    <w:qFormat/>
    <w:uiPriority w:val="0"/>
  </w:style>
  <w:style w:type="character" w:styleId="140">
    <w:name w:val="HTML Variable"/>
    <w:qFormat/>
    <w:uiPriority w:val="0"/>
    <w:rPr>
      <w:i/>
      <w:iCs/>
    </w:rPr>
  </w:style>
  <w:style w:type="character" w:styleId="141">
    <w:name w:val="Hyperlink"/>
    <w:qFormat/>
    <w:uiPriority w:val="99"/>
    <w:rPr>
      <w:color w:val="0000FF"/>
      <w:u w:val="single"/>
    </w:rPr>
  </w:style>
  <w:style w:type="character" w:styleId="142">
    <w:name w:val="HTML Code"/>
    <w:qFormat/>
    <w:uiPriority w:val="0"/>
    <w:rPr>
      <w:rFonts w:ascii="Courier New" w:hAnsi="Courier New" w:cs="Courier New"/>
      <w:sz w:val="20"/>
      <w:szCs w:val="20"/>
    </w:rPr>
  </w:style>
  <w:style w:type="character" w:styleId="143">
    <w:name w:val="annotation reference"/>
    <w:unhideWhenUsed/>
    <w:qFormat/>
    <w:uiPriority w:val="0"/>
    <w:rPr>
      <w:sz w:val="21"/>
      <w:szCs w:val="21"/>
    </w:rPr>
  </w:style>
  <w:style w:type="character" w:styleId="144">
    <w:name w:val="HTML Cite"/>
    <w:qFormat/>
    <w:uiPriority w:val="0"/>
    <w:rPr>
      <w:i/>
      <w:iCs/>
    </w:rPr>
  </w:style>
  <w:style w:type="character" w:styleId="145">
    <w:name w:val="footnote reference"/>
    <w:qFormat/>
    <w:uiPriority w:val="0"/>
    <w:rPr>
      <w:vertAlign w:val="superscript"/>
    </w:rPr>
  </w:style>
  <w:style w:type="character" w:styleId="146">
    <w:name w:val="HTML Keyboard"/>
    <w:qFormat/>
    <w:uiPriority w:val="0"/>
    <w:rPr>
      <w:rFonts w:ascii="Courier New" w:hAnsi="Courier New" w:cs="Courier New"/>
      <w:sz w:val="20"/>
      <w:szCs w:val="20"/>
    </w:rPr>
  </w:style>
  <w:style w:type="character" w:styleId="147">
    <w:name w:val="HTML Sample"/>
    <w:qFormat/>
    <w:uiPriority w:val="0"/>
    <w:rPr>
      <w:rFonts w:ascii="Courier New" w:hAnsi="Courier New" w:cs="Courier New"/>
    </w:rPr>
  </w:style>
  <w:style w:type="character" w:customStyle="1" w:styleId="148">
    <w:name w:val="正文文本缩进 字符"/>
    <w:link w:val="33"/>
    <w:qFormat/>
    <w:uiPriority w:val="0"/>
    <w:rPr>
      <w:kern w:val="2"/>
      <w:sz w:val="21"/>
      <w:szCs w:val="24"/>
    </w:rPr>
  </w:style>
  <w:style w:type="character" w:customStyle="1" w:styleId="149">
    <w:name w:val="正文文本首行缩进 2 字符"/>
    <w:link w:val="84"/>
    <w:qFormat/>
    <w:uiPriority w:val="0"/>
    <w:rPr>
      <w:kern w:val="2"/>
      <w:sz w:val="21"/>
      <w:szCs w:val="24"/>
    </w:rPr>
  </w:style>
  <w:style w:type="character" w:customStyle="1" w:styleId="150">
    <w:name w:val="标题 4 字符"/>
    <w:link w:val="4"/>
    <w:qFormat/>
    <w:uiPriority w:val="0"/>
    <w:rPr>
      <w:rFonts w:ascii="Arial" w:hAnsi="Arial" w:eastAsia="黑体"/>
      <w:b/>
      <w:bCs/>
      <w:kern w:val="2"/>
      <w:sz w:val="28"/>
      <w:szCs w:val="28"/>
      <w:lang w:val="en-US" w:eastAsia="zh-CN" w:bidi="ar-SA"/>
    </w:rPr>
  </w:style>
  <w:style w:type="character" w:customStyle="1" w:styleId="151">
    <w:name w:val="标题 3 字符"/>
    <w:link w:val="3"/>
    <w:qFormat/>
    <w:uiPriority w:val="0"/>
    <w:rPr>
      <w:rFonts w:ascii="宋体" w:hAnsi="宋体"/>
      <w:b/>
      <w:bCs/>
      <w:kern w:val="2"/>
      <w:sz w:val="24"/>
      <w:szCs w:val="32"/>
      <w:shd w:val="clear" w:color="auto" w:fill="FFFFFF"/>
    </w:rPr>
  </w:style>
  <w:style w:type="character" w:customStyle="1" w:styleId="152">
    <w:name w:val="标题 1 字符"/>
    <w:link w:val="2"/>
    <w:qFormat/>
    <w:uiPriority w:val="0"/>
    <w:rPr>
      <w:rFonts w:ascii="宋体" w:hAnsi="宋体" w:eastAsia="黑体"/>
      <w:b/>
      <w:bCs/>
      <w:kern w:val="44"/>
      <w:sz w:val="28"/>
      <w:szCs w:val="28"/>
      <w:lang w:val="en-US" w:eastAsia="zh-CN" w:bidi="ar-SA"/>
    </w:rPr>
  </w:style>
  <w:style w:type="character" w:customStyle="1" w:styleId="153">
    <w:name w:val="标题 2 字符"/>
    <w:link w:val="5"/>
    <w:qFormat/>
    <w:uiPriority w:val="0"/>
    <w:rPr>
      <w:rFonts w:ascii="宋体" w:hAnsi="宋体"/>
      <w:b/>
      <w:sz w:val="24"/>
      <w:shd w:val="clear" w:color="auto" w:fill="FFFFFF"/>
    </w:rPr>
  </w:style>
  <w:style w:type="character" w:customStyle="1" w:styleId="154">
    <w:name w:val="标题 5 字符"/>
    <w:link w:val="6"/>
    <w:qFormat/>
    <w:uiPriority w:val="0"/>
    <w:rPr>
      <w:b/>
      <w:kern w:val="2"/>
      <w:sz w:val="24"/>
    </w:rPr>
  </w:style>
  <w:style w:type="character" w:customStyle="1" w:styleId="155">
    <w:name w:val="正文缩进 字符"/>
    <w:link w:val="7"/>
    <w:qFormat/>
    <w:uiPriority w:val="0"/>
    <w:rPr>
      <w:rFonts w:eastAsia="宋体"/>
      <w:kern w:val="2"/>
      <w:sz w:val="21"/>
      <w:lang w:val="en-US" w:eastAsia="zh-CN" w:bidi="ar-SA"/>
    </w:rPr>
  </w:style>
  <w:style w:type="character" w:customStyle="1" w:styleId="156">
    <w:name w:val="标题 6 字符"/>
    <w:link w:val="8"/>
    <w:qFormat/>
    <w:uiPriority w:val="0"/>
    <w:rPr>
      <w:rFonts w:ascii="Arial" w:hAnsi="Arial" w:eastAsia="黑体"/>
      <w:b/>
      <w:kern w:val="2"/>
      <w:sz w:val="24"/>
    </w:rPr>
  </w:style>
  <w:style w:type="character" w:customStyle="1" w:styleId="157">
    <w:name w:val="标题 7 字符"/>
    <w:link w:val="9"/>
    <w:qFormat/>
    <w:uiPriority w:val="0"/>
    <w:rPr>
      <w:b/>
      <w:kern w:val="2"/>
      <w:sz w:val="24"/>
    </w:rPr>
  </w:style>
  <w:style w:type="character" w:customStyle="1" w:styleId="158">
    <w:name w:val="标题 8 字符"/>
    <w:link w:val="10"/>
    <w:qFormat/>
    <w:uiPriority w:val="0"/>
    <w:rPr>
      <w:rFonts w:ascii="Arial" w:hAnsi="Arial" w:eastAsia="黑体"/>
      <w:kern w:val="2"/>
      <w:sz w:val="24"/>
    </w:rPr>
  </w:style>
  <w:style w:type="character" w:customStyle="1" w:styleId="159">
    <w:name w:val="标题 9 字符"/>
    <w:link w:val="11"/>
    <w:qFormat/>
    <w:uiPriority w:val="0"/>
    <w:rPr>
      <w:rFonts w:ascii="Arial" w:hAnsi="Arial" w:eastAsia="黑体"/>
      <w:kern w:val="2"/>
      <w:sz w:val="21"/>
    </w:rPr>
  </w:style>
  <w:style w:type="character" w:customStyle="1" w:styleId="160">
    <w:name w:val="注释标题 字符"/>
    <w:link w:val="15"/>
    <w:qFormat/>
    <w:uiPriority w:val="0"/>
    <w:rPr>
      <w:kern w:val="2"/>
      <w:sz w:val="21"/>
      <w:szCs w:val="24"/>
    </w:rPr>
  </w:style>
  <w:style w:type="character" w:customStyle="1" w:styleId="161">
    <w:name w:val="电子邮件签名 字符"/>
    <w:link w:val="18"/>
    <w:qFormat/>
    <w:uiPriority w:val="0"/>
    <w:rPr>
      <w:kern w:val="2"/>
      <w:sz w:val="21"/>
      <w:szCs w:val="24"/>
    </w:rPr>
  </w:style>
  <w:style w:type="character" w:customStyle="1" w:styleId="162">
    <w:name w:val="文档结构图 字符"/>
    <w:link w:val="24"/>
    <w:qFormat/>
    <w:uiPriority w:val="0"/>
    <w:rPr>
      <w:kern w:val="2"/>
      <w:sz w:val="21"/>
      <w:szCs w:val="24"/>
      <w:shd w:val="clear" w:color="auto" w:fill="000080"/>
    </w:rPr>
  </w:style>
  <w:style w:type="character" w:customStyle="1" w:styleId="163">
    <w:name w:val="批注文字 字符"/>
    <w:link w:val="26"/>
    <w:qFormat/>
    <w:uiPriority w:val="99"/>
    <w:rPr>
      <w:rFonts w:ascii="宋体"/>
      <w:sz w:val="34"/>
      <w:shd w:val="clear" w:color="auto" w:fill="FFFFFF"/>
    </w:rPr>
  </w:style>
  <w:style w:type="character" w:customStyle="1" w:styleId="164">
    <w:name w:val="称呼 字符"/>
    <w:link w:val="28"/>
    <w:qFormat/>
    <w:uiPriority w:val="0"/>
    <w:rPr>
      <w:kern w:val="2"/>
      <w:sz w:val="21"/>
      <w:szCs w:val="24"/>
    </w:rPr>
  </w:style>
  <w:style w:type="character" w:customStyle="1" w:styleId="165">
    <w:name w:val="正文文本 3 字符"/>
    <w:link w:val="29"/>
    <w:qFormat/>
    <w:uiPriority w:val="0"/>
    <w:rPr>
      <w:kern w:val="2"/>
      <w:sz w:val="16"/>
      <w:szCs w:val="16"/>
    </w:rPr>
  </w:style>
  <w:style w:type="character" w:customStyle="1" w:styleId="166">
    <w:name w:val="结束语 字符"/>
    <w:link w:val="30"/>
    <w:qFormat/>
    <w:uiPriority w:val="0"/>
    <w:rPr>
      <w:kern w:val="2"/>
      <w:sz w:val="21"/>
      <w:szCs w:val="24"/>
    </w:rPr>
  </w:style>
  <w:style w:type="character" w:customStyle="1" w:styleId="167">
    <w:name w:val="正文文本 字符"/>
    <w:link w:val="32"/>
    <w:qFormat/>
    <w:uiPriority w:val="0"/>
    <w:rPr>
      <w:rFonts w:ascii="宋体" w:hAnsi="宋体" w:cs="宋体"/>
      <w:b/>
      <w:bCs/>
      <w:sz w:val="24"/>
      <w:szCs w:val="24"/>
      <w:shd w:val="clear" w:color="auto" w:fill="FFFFFF"/>
    </w:rPr>
  </w:style>
  <w:style w:type="character" w:customStyle="1" w:styleId="168">
    <w:name w:val="HTML 地址 字符"/>
    <w:link w:val="40"/>
    <w:qFormat/>
    <w:uiPriority w:val="0"/>
    <w:rPr>
      <w:i/>
      <w:iCs/>
      <w:kern w:val="2"/>
      <w:sz w:val="21"/>
      <w:szCs w:val="24"/>
    </w:rPr>
  </w:style>
  <w:style w:type="character" w:customStyle="1" w:styleId="169">
    <w:name w:val="纯文本 字符"/>
    <w:link w:val="44"/>
    <w:qFormat/>
    <w:uiPriority w:val="0"/>
    <w:rPr>
      <w:rFonts w:ascii="宋体" w:hAnsi="Courier New"/>
      <w:kern w:val="2"/>
      <w:sz w:val="21"/>
      <w:shd w:val="clear" w:color="auto" w:fill="FFFFFF"/>
    </w:rPr>
  </w:style>
  <w:style w:type="character" w:customStyle="1" w:styleId="170">
    <w:name w:val="日期 字符"/>
    <w:link w:val="49"/>
    <w:qFormat/>
    <w:uiPriority w:val="0"/>
    <w:rPr>
      <w:rFonts w:ascii="宋体" w:hAnsi="Courier New"/>
      <w:kern w:val="2"/>
      <w:sz w:val="32"/>
    </w:rPr>
  </w:style>
  <w:style w:type="character" w:customStyle="1" w:styleId="171">
    <w:name w:val="正文文本缩进 2 字符"/>
    <w:link w:val="50"/>
    <w:qFormat/>
    <w:uiPriority w:val="0"/>
    <w:rPr>
      <w:rFonts w:ascii="宋体" w:hAnsi="宋体"/>
      <w:kern w:val="2"/>
      <w:sz w:val="21"/>
      <w:szCs w:val="24"/>
    </w:rPr>
  </w:style>
  <w:style w:type="character" w:customStyle="1" w:styleId="172">
    <w:name w:val="尾注文本 字符"/>
    <w:link w:val="51"/>
    <w:qFormat/>
    <w:uiPriority w:val="0"/>
    <w:rPr>
      <w:kern w:val="2"/>
      <w:sz w:val="21"/>
      <w:szCs w:val="24"/>
    </w:rPr>
  </w:style>
  <w:style w:type="character" w:customStyle="1" w:styleId="173">
    <w:name w:val="批注框文本 字符"/>
    <w:link w:val="53"/>
    <w:qFormat/>
    <w:uiPriority w:val="0"/>
    <w:rPr>
      <w:kern w:val="2"/>
      <w:sz w:val="18"/>
      <w:szCs w:val="18"/>
    </w:rPr>
  </w:style>
  <w:style w:type="character" w:customStyle="1" w:styleId="174">
    <w:name w:val="页脚 字符"/>
    <w:link w:val="54"/>
    <w:qFormat/>
    <w:uiPriority w:val="0"/>
    <w:rPr>
      <w:kern w:val="2"/>
      <w:sz w:val="18"/>
      <w:szCs w:val="18"/>
    </w:rPr>
  </w:style>
  <w:style w:type="character" w:customStyle="1" w:styleId="175">
    <w:name w:val="页眉 字符"/>
    <w:link w:val="55"/>
    <w:qFormat/>
    <w:uiPriority w:val="0"/>
    <w:rPr>
      <w:kern w:val="2"/>
      <w:sz w:val="18"/>
      <w:szCs w:val="18"/>
    </w:rPr>
  </w:style>
  <w:style w:type="character" w:customStyle="1" w:styleId="176">
    <w:name w:val="签名 字符"/>
    <w:link w:val="56"/>
    <w:qFormat/>
    <w:uiPriority w:val="0"/>
    <w:rPr>
      <w:kern w:val="2"/>
      <w:sz w:val="21"/>
      <w:szCs w:val="24"/>
    </w:rPr>
  </w:style>
  <w:style w:type="character" w:customStyle="1" w:styleId="177">
    <w:name w:val="副标题 字符"/>
    <w:link w:val="62"/>
    <w:qFormat/>
    <w:uiPriority w:val="0"/>
    <w:rPr>
      <w:rFonts w:ascii="Cambria" w:hAnsi="Cambria"/>
      <w:b/>
      <w:bCs/>
      <w:kern w:val="28"/>
      <w:sz w:val="28"/>
      <w:szCs w:val="32"/>
      <w:shd w:val="clear" w:color="auto" w:fill="FFFFFF"/>
    </w:rPr>
  </w:style>
  <w:style w:type="character" w:customStyle="1" w:styleId="178">
    <w:name w:val="脚注文本 字符"/>
    <w:link w:val="65"/>
    <w:qFormat/>
    <w:uiPriority w:val="0"/>
    <w:rPr>
      <w:kern w:val="2"/>
      <w:sz w:val="18"/>
      <w:szCs w:val="24"/>
    </w:rPr>
  </w:style>
  <w:style w:type="character" w:customStyle="1" w:styleId="179">
    <w:name w:val="正文文本缩进 3 字符"/>
    <w:link w:val="68"/>
    <w:qFormat/>
    <w:uiPriority w:val="0"/>
    <w:rPr>
      <w:rFonts w:ascii="宋体"/>
      <w:b/>
      <w:bCs/>
      <w:kern w:val="2"/>
      <w:sz w:val="24"/>
      <w:szCs w:val="24"/>
    </w:rPr>
  </w:style>
  <w:style w:type="character" w:customStyle="1" w:styleId="180">
    <w:name w:val="正文文本 2 字符"/>
    <w:link w:val="73"/>
    <w:qFormat/>
    <w:uiPriority w:val="0"/>
    <w:rPr>
      <w:kern w:val="2"/>
      <w:sz w:val="24"/>
      <w:szCs w:val="24"/>
    </w:rPr>
  </w:style>
  <w:style w:type="character" w:customStyle="1" w:styleId="181">
    <w:name w:val="信息标题 字符"/>
    <w:link w:val="76"/>
    <w:qFormat/>
    <w:uiPriority w:val="0"/>
    <w:rPr>
      <w:rFonts w:ascii="Arial" w:hAnsi="Arial" w:cs="Arial"/>
      <w:kern w:val="2"/>
      <w:sz w:val="24"/>
      <w:szCs w:val="24"/>
      <w:shd w:val="pct20" w:color="auto" w:fill="auto"/>
    </w:rPr>
  </w:style>
  <w:style w:type="character" w:customStyle="1" w:styleId="182">
    <w:name w:val="HTML 预设格式 字符"/>
    <w:link w:val="77"/>
    <w:qFormat/>
    <w:uiPriority w:val="0"/>
    <w:rPr>
      <w:rFonts w:ascii="Arial Unicode MS" w:hAnsi="Arial Unicode MS" w:eastAsia="Arial Unicode MS"/>
      <w:color w:val="000000"/>
    </w:rPr>
  </w:style>
  <w:style w:type="character" w:customStyle="1" w:styleId="183">
    <w:name w:val="标题 字符"/>
    <w:link w:val="81"/>
    <w:qFormat/>
    <w:uiPriority w:val="0"/>
    <w:rPr>
      <w:rFonts w:ascii="Arial" w:hAnsi="Arial" w:cs="Arial"/>
      <w:b/>
      <w:bCs/>
      <w:kern w:val="2"/>
      <w:sz w:val="36"/>
      <w:szCs w:val="32"/>
    </w:rPr>
  </w:style>
  <w:style w:type="character" w:customStyle="1" w:styleId="184">
    <w:name w:val="批注主题 字符"/>
    <w:link w:val="82"/>
    <w:qFormat/>
    <w:uiPriority w:val="0"/>
    <w:rPr>
      <w:b/>
      <w:bCs/>
      <w:kern w:val="2"/>
      <w:sz w:val="21"/>
      <w:szCs w:val="24"/>
    </w:rPr>
  </w:style>
  <w:style w:type="character" w:customStyle="1" w:styleId="185">
    <w:name w:val="正文文本首行缩进 字符"/>
    <w:link w:val="83"/>
    <w:qFormat/>
    <w:uiPriority w:val="0"/>
    <w:rPr>
      <w:rFonts w:ascii="宋体" w:hAnsi="宋体" w:cs="宋体"/>
      <w:b/>
      <w:bCs/>
      <w:kern w:val="2"/>
      <w:sz w:val="21"/>
      <w:szCs w:val="24"/>
      <w:shd w:val="clear" w:color="auto" w:fill="FFFFFF"/>
    </w:rPr>
  </w:style>
  <w:style w:type="character" w:customStyle="1" w:styleId="186">
    <w:name w:val="pan Char"/>
    <w:link w:val="187"/>
    <w:qFormat/>
    <w:uiPriority w:val="0"/>
    <w:rPr>
      <w:rFonts w:ascii="黑体" w:hAnsi="黑体" w:eastAsia="黑体"/>
      <w:kern w:val="2"/>
      <w:sz w:val="32"/>
      <w:szCs w:val="32"/>
      <w:shd w:val="clear" w:color="auto" w:fill="FFFFFF"/>
    </w:rPr>
  </w:style>
  <w:style w:type="paragraph" w:customStyle="1" w:styleId="187">
    <w:name w:val="pan"/>
    <w:basedOn w:val="188"/>
    <w:link w:val="186"/>
    <w:qFormat/>
    <w:uiPriority w:val="0"/>
    <w:pPr>
      <w:tabs>
        <w:tab w:val="left" w:pos="426"/>
        <w:tab w:val="left" w:pos="840"/>
      </w:tabs>
      <w:ind w:left="840" w:hanging="420" w:firstLineChars="0"/>
      <w:outlineLvl w:val="0"/>
    </w:pPr>
    <w:rPr>
      <w:rFonts w:ascii="黑体" w:hAnsi="黑体" w:eastAsia="黑体"/>
      <w:sz w:val="32"/>
      <w:szCs w:val="32"/>
    </w:rPr>
  </w:style>
  <w:style w:type="paragraph" w:customStyle="1" w:styleId="188">
    <w:name w:val="列出段落1"/>
    <w:basedOn w:val="1"/>
    <w:link w:val="189"/>
    <w:qFormat/>
    <w:uiPriority w:val="0"/>
    <w:pPr>
      <w:ind w:firstLine="420" w:firstLineChars="200"/>
    </w:pPr>
    <w:rPr>
      <w:rFonts w:ascii="Times New Roman" w:hAnsi="Times New Roman" w:cs="Times New Roman"/>
      <w:kern w:val="2"/>
    </w:rPr>
  </w:style>
  <w:style w:type="character" w:customStyle="1" w:styleId="189">
    <w:name w:val="列出段落 Char"/>
    <w:link w:val="188"/>
    <w:qFormat/>
    <w:uiPriority w:val="0"/>
    <w:rPr>
      <w:kern w:val="2"/>
      <w:sz w:val="21"/>
      <w:szCs w:val="24"/>
    </w:rPr>
  </w:style>
  <w:style w:type="character" w:customStyle="1" w:styleId="190">
    <w:name w:val="图片注释 Char"/>
    <w:link w:val="191"/>
    <w:qFormat/>
    <w:uiPriority w:val="0"/>
    <w:rPr>
      <w:rFonts w:ascii="宋体" w:hAnsi="宋体"/>
      <w:kern w:val="2"/>
      <w:sz w:val="24"/>
      <w:szCs w:val="24"/>
      <w:u w:val="single"/>
    </w:rPr>
  </w:style>
  <w:style w:type="paragraph" w:customStyle="1" w:styleId="191">
    <w:name w:val="图片注释"/>
    <w:basedOn w:val="1"/>
    <w:link w:val="190"/>
    <w:qFormat/>
    <w:uiPriority w:val="0"/>
    <w:pPr>
      <w:spacing w:afterLines="25"/>
      <w:ind w:firstLine="200" w:firstLineChars="200"/>
      <w:jc w:val="center"/>
    </w:pPr>
    <w:rPr>
      <w:rFonts w:cs="Times New Roman"/>
      <w:kern w:val="2"/>
      <w:sz w:val="24"/>
      <w:u w:val="single"/>
    </w:rPr>
  </w:style>
  <w:style w:type="character" w:customStyle="1" w:styleId="192">
    <w:name w:val="段内层标 Char"/>
    <w:link w:val="193"/>
    <w:qFormat/>
    <w:uiPriority w:val="0"/>
    <w:rPr>
      <w:rFonts w:ascii="宋体" w:hAnsi="宋体"/>
      <w:b/>
      <w:kern w:val="2"/>
      <w:sz w:val="28"/>
      <w:szCs w:val="28"/>
      <w:shd w:val="clear" w:color="auto" w:fill="FFFFFF"/>
    </w:rPr>
  </w:style>
  <w:style w:type="paragraph" w:customStyle="1" w:styleId="193">
    <w:name w:val="段内层标"/>
    <w:basedOn w:val="194"/>
    <w:link w:val="192"/>
    <w:qFormat/>
    <w:uiPriority w:val="0"/>
    <w:pPr>
      <w:tabs>
        <w:tab w:val="left" w:pos="426"/>
      </w:tabs>
      <w:spacing w:beforeLines="25" w:afterLines="25"/>
      <w:ind w:left="620" w:firstLine="200" w:firstLineChars="200"/>
    </w:pPr>
    <w:rPr>
      <w:rFonts w:ascii="宋体" w:hAnsi="宋体"/>
      <w:b/>
      <w:kern w:val="2"/>
      <w:sz w:val="28"/>
      <w:szCs w:val="28"/>
    </w:rPr>
  </w:style>
  <w:style w:type="paragraph" w:customStyle="1" w:styleId="194">
    <w:name w:val="正文内容"/>
    <w:basedOn w:val="1"/>
    <w:next w:val="24"/>
    <w:link w:val="195"/>
    <w:qFormat/>
    <w:uiPriority w:val="0"/>
    <w:rPr>
      <w:rFonts w:ascii="Times New Roman" w:hAnsi="Times New Roman" w:cs="Times New Roman"/>
      <w:sz w:val="20"/>
    </w:rPr>
  </w:style>
  <w:style w:type="character" w:customStyle="1" w:styleId="195">
    <w:name w:val="正文内容 Char"/>
    <w:link w:val="194"/>
    <w:qFormat/>
    <w:uiPriority w:val="0"/>
    <w:rPr>
      <w:szCs w:val="24"/>
    </w:rPr>
  </w:style>
  <w:style w:type="character" w:customStyle="1" w:styleId="196">
    <w:name w:val="标题3 Char"/>
    <w:link w:val="197"/>
    <w:qFormat/>
    <w:uiPriority w:val="0"/>
    <w:rPr>
      <w:rFonts w:ascii="黑体" w:hAnsi="黑体" w:eastAsia="黑体"/>
      <w:kern w:val="2"/>
      <w:sz w:val="28"/>
      <w:szCs w:val="28"/>
      <w:shd w:val="clear" w:color="auto" w:fill="FFFFFF"/>
    </w:rPr>
  </w:style>
  <w:style w:type="paragraph" w:customStyle="1" w:styleId="197">
    <w:name w:val="标题3"/>
    <w:basedOn w:val="188"/>
    <w:link w:val="196"/>
    <w:qFormat/>
    <w:uiPriority w:val="0"/>
    <w:pPr>
      <w:ind w:left="1822" w:firstLine="0" w:firstLineChars="0"/>
      <w:outlineLvl w:val="2"/>
    </w:pPr>
    <w:rPr>
      <w:rFonts w:ascii="黑体" w:hAnsi="黑体" w:eastAsia="黑体"/>
      <w:sz w:val="28"/>
      <w:szCs w:val="28"/>
    </w:rPr>
  </w:style>
  <w:style w:type="character" w:customStyle="1" w:styleId="198">
    <w:name w:val="Char Char4"/>
    <w:qFormat/>
    <w:uiPriority w:val="0"/>
    <w:rPr>
      <w:rFonts w:eastAsia="宋体"/>
      <w:b/>
      <w:kern w:val="2"/>
      <w:sz w:val="24"/>
      <w:lang w:val="en-US" w:eastAsia="zh-CN" w:bidi="ar-SA"/>
    </w:rPr>
  </w:style>
  <w:style w:type="character" w:customStyle="1" w:styleId="199">
    <w:name w:val="书籍标题1"/>
    <w:qFormat/>
    <w:uiPriority w:val="33"/>
    <w:rPr>
      <w:b/>
      <w:bCs/>
      <w:smallCaps/>
      <w:spacing w:val="5"/>
    </w:rPr>
  </w:style>
  <w:style w:type="character" w:customStyle="1" w:styleId="200">
    <w:name w:val="正文文本缩进 2 Char"/>
    <w:qFormat/>
    <w:uiPriority w:val="0"/>
    <w:rPr>
      <w:rFonts w:ascii="宋体" w:hAnsi="宋体"/>
      <w:kern w:val="2"/>
      <w:sz w:val="21"/>
      <w:szCs w:val="24"/>
      <w:shd w:val="clear" w:color="auto" w:fill="FFFFFF"/>
    </w:rPr>
  </w:style>
  <w:style w:type="character" w:customStyle="1" w:styleId="201">
    <w:name w:val="正文文本 Char"/>
    <w:qFormat/>
    <w:uiPriority w:val="99"/>
    <w:rPr>
      <w:rFonts w:ascii="宋体"/>
      <w:kern w:val="10"/>
      <w:sz w:val="21"/>
    </w:rPr>
  </w:style>
  <w:style w:type="character" w:customStyle="1" w:styleId="202">
    <w:name w:val="批注主题 Char"/>
    <w:qFormat/>
    <w:uiPriority w:val="0"/>
    <w:rPr>
      <w:rFonts w:ascii="宋体" w:hAnsi="宋体" w:cs="宋体"/>
      <w:b/>
      <w:bCs/>
      <w:kern w:val="2"/>
      <w:sz w:val="21"/>
      <w:szCs w:val="24"/>
      <w:shd w:val="clear" w:color="auto" w:fill="FFFFFF"/>
    </w:rPr>
  </w:style>
  <w:style w:type="character" w:customStyle="1" w:styleId="203">
    <w:name w:val="style3"/>
    <w:qFormat/>
    <w:uiPriority w:val="0"/>
  </w:style>
  <w:style w:type="character" w:customStyle="1" w:styleId="204">
    <w:name w:val="font10pt"/>
    <w:qFormat/>
    <w:uiPriority w:val="0"/>
  </w:style>
  <w:style w:type="character" w:customStyle="1" w:styleId="205">
    <w:name w:val="文档结构图 Char"/>
    <w:semiHidden/>
    <w:qFormat/>
    <w:uiPriority w:val="0"/>
    <w:rPr>
      <w:kern w:val="2"/>
      <w:sz w:val="21"/>
      <w:szCs w:val="24"/>
      <w:shd w:val="clear" w:color="auto" w:fill="000080"/>
    </w:rPr>
  </w:style>
  <w:style w:type="character" w:customStyle="1" w:styleId="206">
    <w:name w:val="翟 正文 Char"/>
    <w:link w:val="207"/>
    <w:qFormat/>
    <w:uiPriority w:val="0"/>
    <w:rPr>
      <w:rFonts w:ascii="宋体" w:hAnsi="仿宋"/>
      <w:snapToGrid/>
      <w:color w:val="000000"/>
      <w:sz w:val="28"/>
      <w:szCs w:val="28"/>
      <w:u w:color="000000"/>
    </w:rPr>
  </w:style>
  <w:style w:type="paragraph" w:customStyle="1" w:styleId="207">
    <w:name w:val="翟 正文"/>
    <w:basedOn w:val="1"/>
    <w:link w:val="206"/>
    <w:qFormat/>
    <w:uiPriority w:val="0"/>
    <w:pPr>
      <w:widowControl w:val="0"/>
      <w:shd w:val="clear" w:color="auto" w:fill="auto"/>
      <w:tabs>
        <w:tab w:val="clear" w:pos="426"/>
      </w:tabs>
      <w:adjustRightInd/>
      <w:snapToGrid/>
      <w:spacing w:line="480" w:lineRule="exact"/>
      <w:ind w:firstLine="560" w:firstLineChars="200"/>
    </w:pPr>
    <w:rPr>
      <w:rFonts w:hAnsi="仿宋" w:cs="Times New Roman"/>
      <w:color w:val="000000"/>
      <w:sz w:val="28"/>
      <w:szCs w:val="28"/>
      <w:u w:color="000000"/>
    </w:rPr>
  </w:style>
  <w:style w:type="character" w:customStyle="1" w:styleId="208">
    <w:name w:val="日期 Char1"/>
    <w:semiHidden/>
    <w:qFormat/>
    <w:uiPriority w:val="99"/>
    <w:rPr>
      <w:kern w:val="2"/>
      <w:sz w:val="21"/>
      <w:szCs w:val="24"/>
    </w:rPr>
  </w:style>
  <w:style w:type="character" w:customStyle="1" w:styleId="209">
    <w:name w:val="段内主题 Char"/>
    <w:link w:val="210"/>
    <w:qFormat/>
    <w:uiPriority w:val="0"/>
    <w:rPr>
      <w:rFonts w:ascii="宋体" w:hAnsi="宋体"/>
      <w:b/>
      <w:kern w:val="2"/>
      <w:sz w:val="24"/>
      <w:szCs w:val="24"/>
      <w:shd w:val="clear" w:color="auto" w:fill="FFFFFF"/>
    </w:rPr>
  </w:style>
  <w:style w:type="paragraph" w:customStyle="1" w:styleId="210">
    <w:name w:val="段内主题"/>
    <w:basedOn w:val="1"/>
    <w:link w:val="209"/>
    <w:qFormat/>
    <w:uiPriority w:val="0"/>
    <w:pPr>
      <w:ind w:left="840"/>
    </w:pPr>
    <w:rPr>
      <w:rFonts w:cs="Times New Roman"/>
      <w:b/>
      <w:kern w:val="2"/>
      <w:sz w:val="24"/>
    </w:rPr>
  </w:style>
  <w:style w:type="character" w:customStyle="1" w:styleId="211">
    <w:name w:val="1 Char"/>
    <w:link w:val="212"/>
    <w:qFormat/>
    <w:uiPriority w:val="0"/>
    <w:rPr>
      <w:rFonts w:ascii="宋体" w:hAnsi="宋体" w:cs="宋体"/>
      <w:b/>
      <w:sz w:val="24"/>
      <w:szCs w:val="24"/>
      <w:shd w:val="clear" w:color="auto" w:fill="FFFFFF"/>
    </w:rPr>
  </w:style>
  <w:style w:type="paragraph" w:customStyle="1" w:styleId="212">
    <w:name w:val="1"/>
    <w:basedOn w:val="1"/>
    <w:link w:val="211"/>
    <w:qFormat/>
    <w:uiPriority w:val="0"/>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213">
    <w:name w:val="图片 Char"/>
    <w:link w:val="214"/>
    <w:qFormat/>
    <w:uiPriority w:val="0"/>
    <w:rPr>
      <w:rFonts w:ascii="宋体" w:hAnsi="宋体"/>
      <w:kern w:val="2"/>
      <w:sz w:val="24"/>
      <w:szCs w:val="24"/>
    </w:rPr>
  </w:style>
  <w:style w:type="paragraph" w:customStyle="1" w:styleId="214">
    <w:name w:val="图片"/>
    <w:basedOn w:val="1"/>
    <w:link w:val="213"/>
    <w:qFormat/>
    <w:uiPriority w:val="0"/>
    <w:pPr>
      <w:ind w:firstLine="200" w:firstLineChars="200"/>
      <w:jc w:val="center"/>
    </w:pPr>
    <w:rPr>
      <w:rFonts w:cs="Times New Roman"/>
      <w:kern w:val="2"/>
      <w:sz w:val="24"/>
    </w:rPr>
  </w:style>
  <w:style w:type="character" w:customStyle="1" w:styleId="215">
    <w:name w:val="页脚 Char1"/>
    <w:semiHidden/>
    <w:qFormat/>
    <w:uiPriority w:val="99"/>
    <w:rPr>
      <w:kern w:val="2"/>
      <w:sz w:val="18"/>
      <w:szCs w:val="18"/>
    </w:rPr>
  </w:style>
  <w:style w:type="character" w:customStyle="1" w:styleId="216">
    <w:name w:val="四级标题 Char"/>
    <w:link w:val="217"/>
    <w:qFormat/>
    <w:uiPriority w:val="0"/>
    <w:rPr>
      <w:rFonts w:ascii="黑体" w:hAnsi="黑体" w:eastAsia="黑体"/>
      <w:kern w:val="2"/>
      <w:sz w:val="30"/>
      <w:szCs w:val="30"/>
      <w:shd w:val="clear" w:color="auto" w:fill="FFFFFF"/>
    </w:rPr>
  </w:style>
  <w:style w:type="paragraph" w:customStyle="1" w:styleId="217">
    <w:name w:val="四级标题"/>
    <w:basedOn w:val="188"/>
    <w:link w:val="216"/>
    <w:qFormat/>
    <w:uiPriority w:val="0"/>
    <w:pPr>
      <w:spacing w:line="720" w:lineRule="auto"/>
      <w:ind w:firstLine="0" w:firstLineChars="0"/>
      <w:outlineLvl w:val="3"/>
    </w:pPr>
    <w:rPr>
      <w:rFonts w:ascii="黑体" w:hAnsi="黑体" w:eastAsia="黑体"/>
      <w:sz w:val="30"/>
      <w:szCs w:val="30"/>
    </w:rPr>
  </w:style>
  <w:style w:type="character" w:customStyle="1" w:styleId="218">
    <w:name w:val="标题 5 Char"/>
    <w:qFormat/>
    <w:uiPriority w:val="0"/>
    <w:rPr>
      <w:b/>
      <w:kern w:val="2"/>
      <w:sz w:val="24"/>
      <w:shd w:val="clear" w:color="auto" w:fill="FFFFFF"/>
    </w:rPr>
  </w:style>
  <w:style w:type="character" w:customStyle="1" w:styleId="219">
    <w:name w:val="标准正文 Char"/>
    <w:link w:val="220"/>
    <w:qFormat/>
    <w:uiPriority w:val="0"/>
    <w:rPr>
      <w:rFonts w:ascii="宋体" w:hAnsi="宋体" w:cs="宋体"/>
      <w:sz w:val="24"/>
    </w:rPr>
  </w:style>
  <w:style w:type="paragraph" w:customStyle="1" w:styleId="220">
    <w:name w:val="标准正文"/>
    <w:basedOn w:val="33"/>
    <w:link w:val="219"/>
    <w:qFormat/>
    <w:uiPriority w:val="0"/>
    <w:pPr>
      <w:spacing w:before="60" w:after="60"/>
      <w:ind w:firstLine="482" w:firstLineChars="0"/>
      <w:jc w:val="left"/>
    </w:pPr>
    <w:rPr>
      <w:rFonts w:ascii="宋体" w:hAnsi="宋体"/>
      <w:kern w:val="0"/>
      <w:sz w:val="24"/>
      <w:szCs w:val="20"/>
    </w:rPr>
  </w:style>
  <w:style w:type="character" w:customStyle="1" w:styleId="221">
    <w:name w:val="标题 2 Char"/>
    <w:qFormat/>
    <w:uiPriority w:val="0"/>
    <w:rPr>
      <w:rFonts w:ascii="宋体" w:hAnsi="宋体"/>
      <w:b/>
      <w:sz w:val="24"/>
      <w:shd w:val="clear" w:color="auto" w:fill="FFFFFF"/>
    </w:rPr>
  </w:style>
  <w:style w:type="character" w:customStyle="1" w:styleId="222">
    <w:name w:val="正文（缩进） Char"/>
    <w:link w:val="223"/>
    <w:qFormat/>
    <w:uiPriority w:val="0"/>
    <w:rPr>
      <w:sz w:val="24"/>
      <w:szCs w:val="24"/>
    </w:rPr>
  </w:style>
  <w:style w:type="paragraph" w:customStyle="1" w:styleId="223">
    <w:name w:val="正文（缩进）"/>
    <w:basedOn w:val="1"/>
    <w:link w:val="222"/>
    <w:qFormat/>
    <w:uiPriority w:val="0"/>
    <w:pPr>
      <w:spacing w:beforeLines="50" w:afterLines="50"/>
      <w:ind w:firstLine="480" w:firstLineChars="200"/>
    </w:pPr>
    <w:rPr>
      <w:rFonts w:ascii="Times New Roman" w:hAnsi="Times New Roman" w:cs="Times New Roman"/>
      <w:sz w:val="24"/>
    </w:rPr>
  </w:style>
  <w:style w:type="character" w:customStyle="1" w:styleId="224">
    <w:name w:val="ss1"/>
    <w:semiHidden/>
    <w:qFormat/>
    <w:uiPriority w:val="0"/>
    <w:rPr>
      <w:rFonts w:hint="default" w:ascii="ˎ̥" w:hAnsi="ˎ̥"/>
      <w:color w:val="000000"/>
      <w:sz w:val="18"/>
      <w:szCs w:val="18"/>
      <w:u w:val="none"/>
    </w:rPr>
  </w:style>
  <w:style w:type="character" w:customStyle="1" w:styleId="225">
    <w:name w:val="二级标题 Char"/>
    <w:link w:val="226"/>
    <w:qFormat/>
    <w:uiPriority w:val="0"/>
    <w:rPr>
      <w:rFonts w:ascii="黑体" w:hAnsi="黑体" w:eastAsia="黑体"/>
      <w:kern w:val="2"/>
      <w:sz w:val="36"/>
      <w:szCs w:val="36"/>
      <w:shd w:val="clear" w:color="auto" w:fill="FFFFFF"/>
    </w:rPr>
  </w:style>
  <w:style w:type="paragraph" w:customStyle="1" w:styleId="226">
    <w:name w:val="二级标题"/>
    <w:basedOn w:val="188"/>
    <w:link w:val="225"/>
    <w:qFormat/>
    <w:uiPriority w:val="0"/>
    <w:pPr>
      <w:spacing w:line="720" w:lineRule="auto"/>
      <w:ind w:firstLine="0" w:firstLineChars="0"/>
      <w:outlineLvl w:val="1"/>
    </w:pPr>
    <w:rPr>
      <w:rFonts w:ascii="黑体" w:hAnsi="黑体" w:eastAsia="黑体"/>
      <w:sz w:val="36"/>
      <w:szCs w:val="36"/>
    </w:rPr>
  </w:style>
  <w:style w:type="character" w:customStyle="1" w:styleId="227">
    <w:name w:val="标题 6 Char"/>
    <w:qFormat/>
    <w:uiPriority w:val="0"/>
    <w:rPr>
      <w:rFonts w:ascii="Arial" w:hAnsi="Arial" w:eastAsia="黑体"/>
      <w:b/>
      <w:kern w:val="2"/>
      <w:sz w:val="24"/>
      <w:shd w:val="clear" w:color="auto" w:fill="FFFFFF"/>
    </w:rPr>
  </w:style>
  <w:style w:type="character" w:customStyle="1" w:styleId="228">
    <w:name w:val="层标 Char"/>
    <w:link w:val="229"/>
    <w:qFormat/>
    <w:uiPriority w:val="0"/>
    <w:rPr>
      <w:rFonts w:ascii="宋体" w:hAnsi="宋体"/>
      <w:b/>
      <w:kern w:val="2"/>
      <w:sz w:val="28"/>
      <w:szCs w:val="28"/>
      <w:shd w:val="clear" w:color="auto" w:fill="FFFFFF"/>
    </w:rPr>
  </w:style>
  <w:style w:type="paragraph" w:customStyle="1" w:styleId="229">
    <w:name w:val="层标"/>
    <w:basedOn w:val="194"/>
    <w:link w:val="228"/>
    <w:qFormat/>
    <w:uiPriority w:val="0"/>
    <w:pPr>
      <w:spacing w:beforeLines="25" w:afterLines="25"/>
      <w:ind w:left="980"/>
    </w:pPr>
    <w:rPr>
      <w:rFonts w:ascii="宋体" w:hAnsi="宋体"/>
      <w:b/>
      <w:kern w:val="2"/>
      <w:sz w:val="28"/>
      <w:szCs w:val="28"/>
    </w:rPr>
  </w:style>
  <w:style w:type="character" w:customStyle="1" w:styleId="230">
    <w:name w:val="正文文本缩进 Char1"/>
    <w:semiHidden/>
    <w:qFormat/>
    <w:uiPriority w:val="99"/>
    <w:rPr>
      <w:kern w:val="2"/>
      <w:sz w:val="21"/>
      <w:szCs w:val="24"/>
    </w:rPr>
  </w:style>
  <w:style w:type="character" w:customStyle="1" w:styleId="231">
    <w:name w:val="五级标题 Char"/>
    <w:link w:val="232"/>
    <w:qFormat/>
    <w:uiPriority w:val="0"/>
    <w:rPr>
      <w:rFonts w:ascii="黑体" w:hAnsi="黑体" w:eastAsia="黑体"/>
      <w:kern w:val="2"/>
      <w:sz w:val="28"/>
      <w:szCs w:val="28"/>
      <w:shd w:val="clear" w:color="auto" w:fill="FFFFFF"/>
    </w:rPr>
  </w:style>
  <w:style w:type="paragraph" w:customStyle="1" w:styleId="232">
    <w:name w:val="五级标题"/>
    <w:basedOn w:val="188"/>
    <w:link w:val="231"/>
    <w:qFormat/>
    <w:uiPriority w:val="0"/>
    <w:pPr>
      <w:spacing w:line="720" w:lineRule="auto"/>
      <w:ind w:firstLine="0" w:firstLineChars="0"/>
      <w:outlineLvl w:val="4"/>
    </w:pPr>
    <w:rPr>
      <w:rFonts w:ascii="黑体" w:hAnsi="黑体" w:eastAsia="黑体"/>
      <w:sz w:val="28"/>
      <w:szCs w:val="28"/>
    </w:rPr>
  </w:style>
  <w:style w:type="character" w:customStyle="1" w:styleId="233">
    <w:name w:val="￥正文 Char"/>
    <w:link w:val="234"/>
    <w:qFormat/>
    <w:uiPriority w:val="0"/>
    <w:rPr>
      <w:rFonts w:ascii="Calibri" w:hAnsi="Calibri"/>
      <w:kern w:val="2"/>
      <w:sz w:val="24"/>
    </w:rPr>
  </w:style>
  <w:style w:type="paragraph" w:customStyle="1" w:styleId="234">
    <w:name w:val="￥正文"/>
    <w:basedOn w:val="1"/>
    <w:link w:val="233"/>
    <w:qFormat/>
    <w:uiPriority w:val="0"/>
    <w:pPr>
      <w:ind w:firstLine="200" w:firstLineChars="200"/>
    </w:pPr>
    <w:rPr>
      <w:rFonts w:ascii="Calibri" w:hAnsi="Calibri" w:cs="Times New Roman"/>
      <w:kern w:val="2"/>
      <w:sz w:val="24"/>
      <w:szCs w:val="20"/>
    </w:rPr>
  </w:style>
  <w:style w:type="character" w:customStyle="1" w:styleId="235">
    <w:name w:val="文档结构图 Char1"/>
    <w:semiHidden/>
    <w:qFormat/>
    <w:uiPriority w:val="99"/>
    <w:rPr>
      <w:rFonts w:ascii="宋体"/>
      <w:kern w:val="2"/>
      <w:sz w:val="18"/>
      <w:szCs w:val="18"/>
    </w:rPr>
  </w:style>
  <w:style w:type="character" w:customStyle="1" w:styleId="236">
    <w:name w:val="ggwenhao"/>
    <w:semiHidden/>
    <w:qFormat/>
    <w:uiPriority w:val="0"/>
  </w:style>
  <w:style w:type="character" w:customStyle="1" w:styleId="237">
    <w:name w:val="未处理的提及1"/>
    <w:unhideWhenUsed/>
    <w:qFormat/>
    <w:uiPriority w:val="99"/>
    <w:rPr>
      <w:color w:val="605E5C"/>
      <w:shd w:val="clear" w:color="auto" w:fill="E1DFDD"/>
    </w:rPr>
  </w:style>
  <w:style w:type="character" w:customStyle="1" w:styleId="238">
    <w:name w:val="一级标题 Char"/>
    <w:link w:val="239"/>
    <w:qFormat/>
    <w:uiPriority w:val="0"/>
    <w:rPr>
      <w:rFonts w:ascii="黑体" w:hAnsi="黑体" w:eastAsia="黑体"/>
      <w:kern w:val="2"/>
      <w:sz w:val="44"/>
      <w:szCs w:val="44"/>
      <w:shd w:val="clear" w:color="auto" w:fill="FFFFFF"/>
    </w:rPr>
  </w:style>
  <w:style w:type="paragraph" w:customStyle="1" w:styleId="239">
    <w:name w:val="一级标题"/>
    <w:basedOn w:val="188"/>
    <w:link w:val="238"/>
    <w:qFormat/>
    <w:uiPriority w:val="0"/>
    <w:pPr>
      <w:tabs>
        <w:tab w:val="left" w:pos="340"/>
      </w:tabs>
      <w:spacing w:line="720" w:lineRule="auto"/>
      <w:ind w:firstLine="0" w:firstLineChars="0"/>
      <w:jc w:val="center"/>
      <w:outlineLvl w:val="0"/>
    </w:pPr>
    <w:rPr>
      <w:rFonts w:ascii="黑体" w:hAnsi="黑体" w:eastAsia="黑体"/>
      <w:sz w:val="44"/>
      <w:szCs w:val="44"/>
    </w:rPr>
  </w:style>
  <w:style w:type="character" w:customStyle="1" w:styleId="240">
    <w:name w:val="标题 7 Char"/>
    <w:qFormat/>
    <w:uiPriority w:val="0"/>
    <w:rPr>
      <w:b/>
      <w:kern w:val="2"/>
      <w:sz w:val="24"/>
      <w:shd w:val="clear" w:color="auto" w:fill="FFFFFF"/>
    </w:rPr>
  </w:style>
  <w:style w:type="character" w:customStyle="1" w:styleId="241">
    <w:name w:val="段落强调 Char"/>
    <w:link w:val="242"/>
    <w:qFormat/>
    <w:uiPriority w:val="0"/>
    <w:rPr>
      <w:b/>
      <w:kern w:val="2"/>
      <w:sz w:val="24"/>
      <w:szCs w:val="24"/>
      <w:shd w:val="clear" w:color="auto" w:fill="FFFFFF"/>
    </w:rPr>
  </w:style>
  <w:style w:type="paragraph" w:customStyle="1" w:styleId="242">
    <w:name w:val="段落强调"/>
    <w:basedOn w:val="1"/>
    <w:link w:val="241"/>
    <w:qFormat/>
    <w:uiPriority w:val="0"/>
    <w:pPr>
      <w:ind w:firstLine="420"/>
    </w:pPr>
    <w:rPr>
      <w:rFonts w:ascii="Times New Roman" w:hAnsi="Times New Roman" w:cs="Times New Roman"/>
      <w:b/>
      <w:kern w:val="2"/>
      <w:sz w:val="24"/>
    </w:rPr>
  </w:style>
  <w:style w:type="character" w:customStyle="1" w:styleId="243">
    <w:name w:val="pan2 Char"/>
    <w:link w:val="244"/>
    <w:qFormat/>
    <w:uiPriority w:val="0"/>
    <w:rPr>
      <w:rFonts w:ascii="黑体" w:hAnsi="黑体" w:eastAsia="黑体"/>
      <w:kern w:val="2"/>
      <w:sz w:val="30"/>
      <w:szCs w:val="30"/>
      <w:shd w:val="clear" w:color="auto" w:fill="FFFFFF"/>
    </w:rPr>
  </w:style>
  <w:style w:type="paragraph" w:customStyle="1" w:styleId="244">
    <w:name w:val="pan2"/>
    <w:basedOn w:val="188"/>
    <w:link w:val="243"/>
    <w:qFormat/>
    <w:uiPriority w:val="0"/>
    <w:pPr>
      <w:tabs>
        <w:tab w:val="left" w:pos="840"/>
      </w:tabs>
      <w:ind w:left="840" w:hanging="420" w:firstLineChars="0"/>
      <w:outlineLvl w:val="1"/>
    </w:pPr>
    <w:rPr>
      <w:rFonts w:ascii="黑体" w:hAnsi="黑体" w:eastAsia="黑体"/>
      <w:sz w:val="30"/>
      <w:szCs w:val="30"/>
    </w:rPr>
  </w:style>
  <w:style w:type="character" w:customStyle="1" w:styleId="245">
    <w:name w:val="明显参考1"/>
    <w:qFormat/>
    <w:uiPriority w:val="32"/>
    <w:rPr>
      <w:rFonts w:eastAsia="宋体"/>
      <w:bCs/>
      <w:smallCaps/>
      <w:color w:val="000000"/>
      <w:spacing w:val="5"/>
      <w:sz w:val="24"/>
      <w:u w:val="single"/>
    </w:rPr>
  </w:style>
  <w:style w:type="character" w:customStyle="1" w:styleId="246">
    <w:name w:val="引用 字符"/>
    <w:link w:val="247"/>
    <w:qFormat/>
    <w:uiPriority w:val="29"/>
    <w:rPr>
      <w:iCs/>
      <w:color w:val="000000"/>
      <w:kern w:val="2"/>
      <w:sz w:val="24"/>
      <w:szCs w:val="24"/>
    </w:rPr>
  </w:style>
  <w:style w:type="paragraph" w:styleId="247">
    <w:name w:val="Quote"/>
    <w:basedOn w:val="1"/>
    <w:next w:val="1"/>
    <w:link w:val="246"/>
    <w:qFormat/>
    <w:uiPriority w:val="29"/>
    <w:pPr>
      <w:jc w:val="center"/>
    </w:pPr>
    <w:rPr>
      <w:rFonts w:ascii="Times New Roman" w:hAnsi="Times New Roman" w:cs="Times New Roman"/>
      <w:iCs/>
      <w:color w:val="000000"/>
      <w:kern w:val="2"/>
      <w:sz w:val="24"/>
    </w:rPr>
  </w:style>
  <w:style w:type="character" w:customStyle="1" w:styleId="248">
    <w:name w:val="模板正文 Char"/>
    <w:link w:val="249"/>
    <w:qFormat/>
    <w:locked/>
    <w:uiPriority w:val="0"/>
    <w:rPr>
      <w:rFonts w:eastAsia="仿宋_GB2312"/>
      <w:sz w:val="28"/>
      <w:szCs w:val="21"/>
    </w:rPr>
  </w:style>
  <w:style w:type="paragraph" w:customStyle="1" w:styleId="249">
    <w:name w:val="模板正文"/>
    <w:basedOn w:val="1"/>
    <w:link w:val="248"/>
    <w:qFormat/>
    <w:uiPriority w:val="0"/>
    <w:pPr>
      <w:widowControl w:val="0"/>
      <w:shd w:val="clear" w:color="auto" w:fill="auto"/>
      <w:tabs>
        <w:tab w:val="clear" w:pos="426"/>
      </w:tabs>
      <w:wordWrap w:val="0"/>
      <w:adjustRightInd/>
      <w:snapToGrid/>
      <w:spacing w:beforeLines="50"/>
      <w:ind w:firstLine="200" w:firstLineChars="200"/>
    </w:pPr>
    <w:rPr>
      <w:rFonts w:ascii="Times New Roman" w:hAnsi="Times New Roman" w:eastAsia="仿宋_GB2312" w:cs="Times New Roman"/>
      <w:sz w:val="28"/>
      <w:szCs w:val="21"/>
    </w:rPr>
  </w:style>
  <w:style w:type="character" w:customStyle="1" w:styleId="250">
    <w:name w:val="三级标题 Char"/>
    <w:link w:val="251"/>
    <w:qFormat/>
    <w:uiPriority w:val="0"/>
    <w:rPr>
      <w:rFonts w:ascii="黑体" w:hAnsi="黑体" w:eastAsia="黑体"/>
      <w:kern w:val="2"/>
      <w:sz w:val="32"/>
      <w:szCs w:val="32"/>
      <w:shd w:val="clear" w:color="auto" w:fill="FFFFFF"/>
    </w:rPr>
  </w:style>
  <w:style w:type="paragraph" w:customStyle="1" w:styleId="251">
    <w:name w:val="三级标题"/>
    <w:basedOn w:val="188"/>
    <w:link w:val="250"/>
    <w:qFormat/>
    <w:uiPriority w:val="0"/>
    <w:pPr>
      <w:spacing w:line="720" w:lineRule="auto"/>
      <w:ind w:firstLine="0" w:firstLineChars="0"/>
      <w:outlineLvl w:val="2"/>
    </w:pPr>
    <w:rPr>
      <w:rFonts w:ascii="黑体" w:hAnsi="黑体" w:eastAsia="黑体"/>
      <w:sz w:val="32"/>
      <w:szCs w:val="32"/>
    </w:rPr>
  </w:style>
  <w:style w:type="character" w:customStyle="1" w:styleId="252">
    <w:name w:val="正文文本缩进 Char"/>
    <w:qFormat/>
    <w:uiPriority w:val="0"/>
    <w:rPr>
      <w:kern w:val="2"/>
      <w:sz w:val="21"/>
      <w:szCs w:val="24"/>
      <w:shd w:val="clear" w:color="auto" w:fill="FFFFFF"/>
    </w:rPr>
  </w:style>
  <w:style w:type="character" w:customStyle="1" w:styleId="253">
    <w:name w:val="页眉 Char"/>
    <w:qFormat/>
    <w:uiPriority w:val="99"/>
    <w:rPr>
      <w:kern w:val="2"/>
      <w:sz w:val="18"/>
      <w:szCs w:val="18"/>
      <w:shd w:val="clear" w:color="auto" w:fill="FFFFFF"/>
    </w:rPr>
  </w:style>
  <w:style w:type="character" w:customStyle="1" w:styleId="254">
    <w:name w:val="页脚 Char"/>
    <w:qFormat/>
    <w:uiPriority w:val="99"/>
    <w:rPr>
      <w:kern w:val="2"/>
      <w:sz w:val="18"/>
      <w:szCs w:val="18"/>
      <w:shd w:val="clear" w:color="auto" w:fill="FFFFFF"/>
    </w:rPr>
  </w:style>
  <w:style w:type="character" w:customStyle="1" w:styleId="255">
    <w:name w:val="批注文字 Char1"/>
    <w:qFormat/>
    <w:uiPriority w:val="0"/>
    <w:rPr>
      <w:rFonts w:ascii="宋体"/>
      <w:sz w:val="34"/>
      <w:shd w:val="clear" w:color="auto" w:fill="FFFFFF"/>
    </w:rPr>
  </w:style>
  <w:style w:type="character" w:customStyle="1" w:styleId="256">
    <w:name w:val="HTML 预设格式 Char"/>
    <w:qFormat/>
    <w:uiPriority w:val="0"/>
    <w:rPr>
      <w:rFonts w:ascii="Arial Unicode MS" w:hAnsi="Arial Unicode MS" w:eastAsia="Arial Unicode MS"/>
      <w:color w:val="000000"/>
      <w:shd w:val="clear" w:color="auto" w:fill="FFFFFF"/>
    </w:rPr>
  </w:style>
  <w:style w:type="character" w:customStyle="1" w:styleId="257">
    <w:name w:val="标题 1 字符1"/>
    <w:qFormat/>
    <w:uiPriority w:val="0"/>
    <w:rPr>
      <w:rFonts w:ascii="Times New Roman" w:hAnsi="Times New Roman" w:eastAsia="宋体" w:cs="Times New Roman"/>
      <w:b/>
      <w:kern w:val="44"/>
      <w:sz w:val="44"/>
      <w:szCs w:val="20"/>
    </w:rPr>
  </w:style>
  <w:style w:type="character" w:customStyle="1" w:styleId="258">
    <w:name w:val="正文标题 Char"/>
    <w:link w:val="259"/>
    <w:qFormat/>
    <w:uiPriority w:val="0"/>
    <w:rPr>
      <w:rFonts w:ascii="Calibri" w:hAnsi="Calibri"/>
      <w:b/>
      <w:kern w:val="2"/>
      <w:sz w:val="28"/>
      <w:szCs w:val="28"/>
      <w:shd w:val="clear" w:color="auto" w:fill="FFFFFF"/>
    </w:rPr>
  </w:style>
  <w:style w:type="paragraph" w:customStyle="1" w:styleId="259">
    <w:name w:val="正文标题"/>
    <w:basedOn w:val="1"/>
    <w:link w:val="258"/>
    <w:qFormat/>
    <w:uiPriority w:val="0"/>
    <w:pPr>
      <w:ind w:left="982" w:firstLine="200" w:firstLineChars="200"/>
    </w:pPr>
    <w:rPr>
      <w:rFonts w:ascii="Calibri" w:hAnsi="Calibri" w:cs="Times New Roman"/>
      <w:b/>
      <w:kern w:val="2"/>
      <w:sz w:val="28"/>
      <w:szCs w:val="28"/>
    </w:rPr>
  </w:style>
  <w:style w:type="character" w:customStyle="1" w:styleId="260">
    <w:name w:val="图片注释新 Char"/>
    <w:link w:val="261"/>
    <w:qFormat/>
    <w:uiPriority w:val="0"/>
    <w:rPr>
      <w:rFonts w:ascii="宋体" w:hAnsi="宋体"/>
      <w:kern w:val="2"/>
      <w:sz w:val="24"/>
      <w:szCs w:val="24"/>
      <w:u w:val="single"/>
    </w:rPr>
  </w:style>
  <w:style w:type="paragraph" w:customStyle="1" w:styleId="261">
    <w:name w:val="图片注释新"/>
    <w:basedOn w:val="191"/>
    <w:link w:val="260"/>
    <w:qFormat/>
    <w:uiPriority w:val="0"/>
    <w:pPr>
      <w:spacing w:after="81"/>
      <w:ind w:firstLine="0" w:firstLineChars="0"/>
    </w:pPr>
  </w:style>
  <w:style w:type="character" w:customStyle="1" w:styleId="262">
    <w:name w:val="副标题 Char"/>
    <w:qFormat/>
    <w:uiPriority w:val="0"/>
    <w:rPr>
      <w:rFonts w:ascii="Cambria" w:hAnsi="Cambria"/>
      <w:b/>
      <w:bCs/>
      <w:kern w:val="28"/>
      <w:sz w:val="28"/>
      <w:szCs w:val="32"/>
      <w:shd w:val="clear" w:color="auto" w:fill="FFFFFF"/>
    </w:rPr>
  </w:style>
  <w:style w:type="character" w:customStyle="1" w:styleId="263">
    <w:name w:val="正文文本缩进 3 Char1"/>
    <w:semiHidden/>
    <w:qFormat/>
    <w:uiPriority w:val="99"/>
    <w:rPr>
      <w:kern w:val="2"/>
      <w:sz w:val="16"/>
      <w:szCs w:val="16"/>
    </w:rPr>
  </w:style>
  <w:style w:type="character" w:customStyle="1" w:styleId="264">
    <w:name w:val="纯文本 Char"/>
    <w:qFormat/>
    <w:uiPriority w:val="0"/>
    <w:rPr>
      <w:rFonts w:ascii="宋体" w:hAnsi="Courier New"/>
      <w:kern w:val="2"/>
      <w:sz w:val="21"/>
      <w:shd w:val="clear" w:color="auto" w:fill="FFFFFF"/>
    </w:rPr>
  </w:style>
  <w:style w:type="character" w:customStyle="1" w:styleId="265">
    <w:name w:val="标题 4 Char"/>
    <w:qFormat/>
    <w:uiPriority w:val="0"/>
    <w:rPr>
      <w:rFonts w:ascii="Arial" w:hAnsi="Arial" w:eastAsia="黑体"/>
      <w:b/>
      <w:bCs/>
      <w:kern w:val="2"/>
      <w:sz w:val="28"/>
      <w:szCs w:val="28"/>
      <w:shd w:val="clear" w:color="auto" w:fill="FFFFFF"/>
    </w:rPr>
  </w:style>
  <w:style w:type="character" w:customStyle="1" w:styleId="266">
    <w:name w:val="标题 8 Char"/>
    <w:qFormat/>
    <w:uiPriority w:val="0"/>
    <w:rPr>
      <w:rFonts w:ascii="Arial" w:hAnsi="Arial" w:eastAsia="黑体"/>
      <w:kern w:val="2"/>
      <w:sz w:val="24"/>
      <w:shd w:val="clear" w:color="auto" w:fill="FFFFFF"/>
    </w:rPr>
  </w:style>
  <w:style w:type="character" w:customStyle="1" w:styleId="267">
    <w:name w:val="图标题 Char"/>
    <w:link w:val="268"/>
    <w:qFormat/>
    <w:uiPriority w:val="0"/>
    <w:rPr>
      <w:rFonts w:ascii="宋体" w:hAnsi="宋体"/>
      <w:kern w:val="2"/>
      <w:sz w:val="21"/>
      <w:szCs w:val="24"/>
    </w:rPr>
  </w:style>
  <w:style w:type="paragraph" w:customStyle="1" w:styleId="268">
    <w:name w:val="图标题"/>
    <w:basedOn w:val="1"/>
    <w:link w:val="267"/>
    <w:qFormat/>
    <w:uiPriority w:val="0"/>
    <w:pPr>
      <w:jc w:val="center"/>
    </w:pPr>
    <w:rPr>
      <w:rFonts w:cs="Times New Roman"/>
      <w:kern w:val="2"/>
    </w:rPr>
  </w:style>
  <w:style w:type="character" w:customStyle="1" w:styleId="269">
    <w:name w:val="批注文字 Char"/>
    <w:qFormat/>
    <w:uiPriority w:val="0"/>
    <w:rPr>
      <w:rFonts w:ascii="宋体" w:hAnsi="宋体" w:cs="宋体"/>
      <w:sz w:val="21"/>
      <w:szCs w:val="24"/>
      <w:shd w:val="clear" w:color="auto" w:fill="FFFFFF"/>
    </w:rPr>
  </w:style>
  <w:style w:type="character" w:customStyle="1" w:styleId="270">
    <w:name w:val="标题 3 Char1"/>
    <w:qFormat/>
    <w:uiPriority w:val="0"/>
    <w:rPr>
      <w:rFonts w:ascii="宋体" w:hAnsi="宋体"/>
      <w:b/>
      <w:bCs/>
      <w:kern w:val="2"/>
      <w:sz w:val="24"/>
      <w:szCs w:val="32"/>
      <w:shd w:val="clear" w:color="auto" w:fill="FFFFFF"/>
    </w:rPr>
  </w:style>
  <w:style w:type="character" w:customStyle="1" w:styleId="271">
    <w:name w:val="日期 Char"/>
    <w:qFormat/>
    <w:uiPriority w:val="0"/>
    <w:rPr>
      <w:rFonts w:ascii="宋体" w:hAnsi="Courier New"/>
      <w:kern w:val="2"/>
      <w:sz w:val="32"/>
      <w:shd w:val="clear" w:color="auto" w:fill="FFFFFF"/>
    </w:rPr>
  </w:style>
  <w:style w:type="character" w:customStyle="1" w:styleId="272">
    <w:name w:val="普通文字1 Char Char"/>
    <w:qFormat/>
    <w:uiPriority w:val="0"/>
    <w:rPr>
      <w:rFonts w:ascii="宋体" w:hAnsi="Courier New" w:eastAsia="宋体" w:cs="Courier New"/>
      <w:kern w:val="2"/>
      <w:sz w:val="21"/>
      <w:szCs w:val="21"/>
      <w:lang w:val="en-US" w:eastAsia="zh-CN" w:bidi="ar-SA"/>
    </w:rPr>
  </w:style>
  <w:style w:type="character" w:customStyle="1" w:styleId="273">
    <w:name w:val="正文文本缩进 3 Char"/>
    <w:qFormat/>
    <w:uiPriority w:val="0"/>
    <w:rPr>
      <w:rFonts w:ascii="宋体"/>
      <w:b/>
      <w:bCs/>
      <w:kern w:val="2"/>
      <w:sz w:val="24"/>
      <w:szCs w:val="24"/>
      <w:shd w:val="clear" w:color="auto" w:fill="FFFFFF"/>
    </w:rPr>
  </w:style>
  <w:style w:type="character" w:customStyle="1" w:styleId="274">
    <w:name w:val="副标题 Char1"/>
    <w:qFormat/>
    <w:uiPriority w:val="11"/>
    <w:rPr>
      <w:rFonts w:ascii="Cambria" w:hAnsi="Cambria" w:cs="Times New Roman"/>
      <w:b/>
      <w:bCs/>
      <w:kern w:val="28"/>
      <w:sz w:val="32"/>
      <w:szCs w:val="32"/>
    </w:rPr>
  </w:style>
  <w:style w:type="character" w:customStyle="1" w:styleId="275">
    <w:name w:val="标题 9 Char"/>
    <w:qFormat/>
    <w:uiPriority w:val="0"/>
    <w:rPr>
      <w:rFonts w:ascii="Arial" w:hAnsi="Arial" w:eastAsia="黑体"/>
      <w:kern w:val="2"/>
      <w:sz w:val="21"/>
      <w:shd w:val="clear" w:color="auto" w:fill="FFFFFF"/>
    </w:rPr>
  </w:style>
  <w:style w:type="character" w:customStyle="1" w:styleId="276">
    <w:name w:val="书籍标题11"/>
    <w:qFormat/>
    <w:uiPriority w:val="33"/>
    <w:rPr>
      <w:b/>
      <w:bCs/>
      <w:smallCaps/>
      <w:spacing w:val="5"/>
    </w:rPr>
  </w:style>
  <w:style w:type="character" w:customStyle="1" w:styleId="277">
    <w:name w:val="正文文本 2 Char"/>
    <w:qFormat/>
    <w:uiPriority w:val="0"/>
    <w:rPr>
      <w:kern w:val="2"/>
      <w:sz w:val="24"/>
      <w:szCs w:val="24"/>
      <w:shd w:val="clear" w:color="auto" w:fill="FFFFFF"/>
    </w:rPr>
  </w:style>
  <w:style w:type="character" w:customStyle="1" w:styleId="278">
    <w:name w:val="标题 Char"/>
    <w:qFormat/>
    <w:uiPriority w:val="0"/>
    <w:rPr>
      <w:rFonts w:ascii="Arial" w:hAnsi="Arial"/>
      <w:b/>
      <w:bCs/>
      <w:kern w:val="2"/>
      <w:sz w:val="36"/>
      <w:szCs w:val="32"/>
      <w:shd w:val="clear" w:color="auto" w:fill="FFFFFF"/>
    </w:rPr>
  </w:style>
  <w:style w:type="character" w:customStyle="1" w:styleId="279">
    <w:name w:val="apple-converted-space"/>
    <w:qFormat/>
    <w:uiPriority w:val="0"/>
  </w:style>
  <w:style w:type="character" w:customStyle="1" w:styleId="280">
    <w:name w:val="unnamed211"/>
    <w:semiHidden/>
    <w:qFormat/>
    <w:uiPriority w:val="0"/>
    <w:rPr>
      <w:sz w:val="23"/>
      <w:szCs w:val="23"/>
    </w:rPr>
  </w:style>
  <w:style w:type="character" w:customStyle="1" w:styleId="281">
    <w:name w:val="pan4 Char"/>
    <w:link w:val="282"/>
    <w:qFormat/>
    <w:uiPriority w:val="0"/>
    <w:rPr>
      <w:rFonts w:ascii="黑体" w:hAnsi="黑体" w:eastAsia="黑体"/>
      <w:kern w:val="2"/>
      <w:sz w:val="28"/>
      <w:szCs w:val="28"/>
      <w:shd w:val="clear" w:color="auto" w:fill="FFFFFF"/>
    </w:rPr>
  </w:style>
  <w:style w:type="paragraph" w:customStyle="1" w:styleId="282">
    <w:name w:val="pan4"/>
    <w:basedOn w:val="188"/>
    <w:link w:val="281"/>
    <w:qFormat/>
    <w:uiPriority w:val="0"/>
    <w:pPr>
      <w:tabs>
        <w:tab w:val="left" w:pos="1680"/>
      </w:tabs>
      <w:ind w:left="1680" w:hanging="420" w:firstLineChars="0"/>
      <w:outlineLvl w:val="3"/>
    </w:pPr>
    <w:rPr>
      <w:rFonts w:ascii="黑体" w:hAnsi="黑体" w:eastAsia="黑体"/>
      <w:sz w:val="28"/>
      <w:szCs w:val="28"/>
    </w:rPr>
  </w:style>
  <w:style w:type="character" w:customStyle="1" w:styleId="283">
    <w:name w:val="138v1"/>
    <w:qFormat/>
    <w:uiPriority w:val="0"/>
  </w:style>
  <w:style w:type="character" w:customStyle="1" w:styleId="284">
    <w:name w:val="批注框文本 Char"/>
    <w:semiHidden/>
    <w:qFormat/>
    <w:uiPriority w:val="0"/>
    <w:rPr>
      <w:kern w:val="2"/>
      <w:sz w:val="18"/>
      <w:szCs w:val="18"/>
      <w:shd w:val="clear" w:color="auto" w:fill="FFFFFF"/>
    </w:rPr>
  </w:style>
  <w:style w:type="character" w:customStyle="1" w:styleId="285">
    <w:name w:val="纯文本 Char1"/>
    <w:qFormat/>
    <w:uiPriority w:val="0"/>
    <w:rPr>
      <w:rFonts w:ascii="宋体" w:hAnsi="Courier New" w:cs="Courier New"/>
      <w:kern w:val="2"/>
      <w:sz w:val="21"/>
      <w:szCs w:val="21"/>
    </w:rPr>
  </w:style>
  <w:style w:type="character" w:customStyle="1" w:styleId="286">
    <w:name w:val="pan5 Char"/>
    <w:link w:val="287"/>
    <w:qFormat/>
    <w:uiPriority w:val="0"/>
    <w:rPr>
      <w:rFonts w:ascii="黑体" w:hAnsi="黑体" w:eastAsia="黑体"/>
      <w:kern w:val="2"/>
      <w:sz w:val="24"/>
      <w:szCs w:val="24"/>
      <w:shd w:val="clear" w:color="auto" w:fill="FFFFFF"/>
    </w:rPr>
  </w:style>
  <w:style w:type="paragraph" w:customStyle="1" w:styleId="287">
    <w:name w:val="pan5"/>
    <w:basedOn w:val="188"/>
    <w:link w:val="286"/>
    <w:qFormat/>
    <w:uiPriority w:val="0"/>
    <w:pPr>
      <w:tabs>
        <w:tab w:val="left" w:pos="1008"/>
      </w:tabs>
      <w:ind w:left="1008" w:hanging="1008" w:firstLineChars="0"/>
      <w:outlineLvl w:val="4"/>
    </w:pPr>
    <w:rPr>
      <w:rFonts w:ascii="黑体" w:hAnsi="黑体" w:eastAsia="黑体"/>
      <w:sz w:val="24"/>
    </w:rPr>
  </w:style>
  <w:style w:type="character" w:customStyle="1" w:styleId="288">
    <w:name w:val="正文文本 3 Char"/>
    <w:qFormat/>
    <w:uiPriority w:val="0"/>
    <w:rPr>
      <w:kern w:val="2"/>
      <w:sz w:val="16"/>
      <w:szCs w:val="16"/>
      <w:shd w:val="clear" w:color="auto" w:fill="FFFFFF"/>
    </w:rPr>
  </w:style>
  <w:style w:type="character" w:customStyle="1" w:styleId="289">
    <w:name w:val="引用 Char"/>
    <w:qFormat/>
    <w:uiPriority w:val="29"/>
    <w:rPr>
      <w:iCs/>
      <w:color w:val="000000"/>
      <w:kern w:val="2"/>
      <w:sz w:val="24"/>
      <w:szCs w:val="24"/>
      <w:shd w:val="clear" w:color="auto" w:fill="FFFFFF"/>
    </w:rPr>
  </w:style>
  <w:style w:type="character" w:customStyle="1" w:styleId="290">
    <w:name w:val="Default Char"/>
    <w:link w:val="291"/>
    <w:qFormat/>
    <w:uiPriority w:val="0"/>
    <w:rPr>
      <w:rFonts w:ascii="宋体" w:hAnsi="Calibri"/>
      <w:color w:val="000000"/>
      <w:sz w:val="24"/>
      <w:szCs w:val="24"/>
      <w:lang w:val="en-US" w:eastAsia="zh-CN" w:bidi="ar-SA"/>
    </w:rPr>
  </w:style>
  <w:style w:type="paragraph" w:customStyle="1" w:styleId="291">
    <w:name w:val="Default"/>
    <w:link w:val="290"/>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character" w:customStyle="1" w:styleId="292">
    <w:name w:val="tpc_content1"/>
    <w:qFormat/>
    <w:uiPriority w:val="0"/>
    <w:rPr>
      <w:sz w:val="20"/>
      <w:szCs w:val="20"/>
    </w:rPr>
  </w:style>
  <w:style w:type="character" w:customStyle="1" w:styleId="293">
    <w:name w:val="f14b1"/>
    <w:semiHidden/>
    <w:qFormat/>
    <w:uiPriority w:val="0"/>
    <w:rPr>
      <w:b/>
      <w:bCs/>
      <w:sz w:val="21"/>
      <w:szCs w:val="21"/>
    </w:rPr>
  </w:style>
  <w:style w:type="character" w:customStyle="1" w:styleId="294">
    <w:name w:val="f142"/>
    <w:semiHidden/>
    <w:qFormat/>
    <w:uiPriority w:val="0"/>
    <w:rPr>
      <w:sz w:val="21"/>
      <w:szCs w:val="21"/>
    </w:rPr>
  </w:style>
  <w:style w:type="character" w:customStyle="1" w:styleId="295">
    <w:name w:val="正文缩进 Char1"/>
    <w:qFormat/>
    <w:uiPriority w:val="0"/>
    <w:rPr>
      <w:kern w:val="2"/>
      <w:sz w:val="21"/>
    </w:rPr>
  </w:style>
  <w:style w:type="character" w:customStyle="1" w:styleId="296">
    <w:name w:val="明显参考2"/>
    <w:qFormat/>
    <w:uiPriority w:val="32"/>
    <w:rPr>
      <w:rFonts w:eastAsia="宋体"/>
      <w:bCs/>
      <w:smallCaps/>
      <w:color w:val="000000"/>
      <w:spacing w:val="5"/>
      <w:sz w:val="24"/>
      <w:u w:val="single"/>
    </w:rPr>
  </w:style>
  <w:style w:type="character" w:customStyle="1" w:styleId="297">
    <w:name w:val="pan3 Char"/>
    <w:link w:val="298"/>
    <w:qFormat/>
    <w:uiPriority w:val="0"/>
    <w:rPr>
      <w:rFonts w:ascii="黑体" w:hAnsi="黑体" w:eastAsia="黑体"/>
      <w:kern w:val="2"/>
      <w:sz w:val="28"/>
      <w:szCs w:val="28"/>
      <w:shd w:val="clear" w:color="auto" w:fill="FFFFFF"/>
    </w:rPr>
  </w:style>
  <w:style w:type="paragraph" w:customStyle="1" w:styleId="298">
    <w:name w:val="pan3"/>
    <w:basedOn w:val="188"/>
    <w:link w:val="297"/>
    <w:qFormat/>
    <w:uiPriority w:val="0"/>
    <w:pPr>
      <w:tabs>
        <w:tab w:val="left" w:pos="1260"/>
      </w:tabs>
      <w:ind w:left="1260" w:hanging="420" w:firstLineChars="0"/>
      <w:outlineLvl w:val="2"/>
    </w:pPr>
    <w:rPr>
      <w:rFonts w:ascii="黑体" w:hAnsi="黑体" w:eastAsia="黑体"/>
      <w:sz w:val="28"/>
      <w:szCs w:val="28"/>
    </w:rPr>
  </w:style>
  <w:style w:type="character" w:customStyle="1" w:styleId="299">
    <w:name w:val="标题 1 Char"/>
    <w:qFormat/>
    <w:uiPriority w:val="0"/>
    <w:rPr>
      <w:rFonts w:ascii="宋体" w:hAnsi="宋体" w:eastAsia="黑体" w:cs="Times New Roman"/>
      <w:b/>
      <w:bCs/>
      <w:kern w:val="44"/>
      <w:sz w:val="28"/>
      <w:szCs w:val="28"/>
      <w:shd w:val="clear" w:color="auto" w:fill="FFFFFF"/>
    </w:rPr>
  </w:style>
  <w:style w:type="character" w:customStyle="1" w:styleId="300">
    <w:name w:val="方案正文段落 Char"/>
    <w:link w:val="301"/>
    <w:qFormat/>
    <w:uiPriority w:val="0"/>
    <w:rPr>
      <w:kern w:val="2"/>
      <w:sz w:val="21"/>
    </w:rPr>
  </w:style>
  <w:style w:type="paragraph" w:customStyle="1" w:styleId="301">
    <w:name w:val="方案正文段落"/>
    <w:basedOn w:val="1"/>
    <w:link w:val="300"/>
    <w:qFormat/>
    <w:uiPriority w:val="0"/>
    <w:pPr>
      <w:ind w:firstLine="420" w:firstLineChars="200"/>
    </w:pPr>
    <w:rPr>
      <w:rFonts w:ascii="Times New Roman" w:hAnsi="Times New Roman" w:cs="Times New Roman"/>
      <w:kern w:val="2"/>
      <w:szCs w:val="20"/>
    </w:rPr>
  </w:style>
  <w:style w:type="character" w:customStyle="1" w:styleId="302">
    <w:name w:val="text1"/>
    <w:qFormat/>
    <w:uiPriority w:val="0"/>
  </w:style>
  <w:style w:type="character" w:customStyle="1" w:styleId="303">
    <w:name w:val="标题 3 Char"/>
    <w:qFormat/>
    <w:uiPriority w:val="0"/>
    <w:rPr>
      <w:rFonts w:ascii="黑体" w:eastAsia="黑体"/>
      <w:bCs/>
      <w:sz w:val="30"/>
    </w:rPr>
  </w:style>
  <w:style w:type="paragraph" w:customStyle="1" w:styleId="304">
    <w:name w:val="Char1 Char Char Char"/>
    <w:basedOn w:val="1"/>
    <w:qFormat/>
    <w:uiPriority w:val="0"/>
    <w:pPr>
      <w:widowControl w:val="0"/>
      <w:shd w:val="clear" w:color="auto" w:fill="auto"/>
      <w:tabs>
        <w:tab w:val="clear" w:pos="426"/>
      </w:tabs>
      <w:adjustRightInd/>
      <w:snapToGrid/>
      <w:spacing w:line="240" w:lineRule="auto"/>
    </w:pPr>
    <w:rPr>
      <w:rFonts w:ascii="Times New Roman" w:hAnsi="Times New Roman" w:eastAsia="仿宋_GB2312" w:cs="Times New Roman"/>
      <w:kern w:val="2"/>
      <w:sz w:val="28"/>
    </w:rPr>
  </w:style>
  <w:style w:type="paragraph" w:customStyle="1" w:styleId="305">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306">
    <w:name w:val="_Style 38"/>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307">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08">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09">
    <w:name w:val="方案标题2"/>
    <w:basedOn w:val="81"/>
    <w:qFormat/>
    <w:uiPriority w:val="0"/>
    <w:pPr>
      <w:tabs>
        <w:tab w:val="left" w:pos="720"/>
      </w:tabs>
      <w:spacing w:beforeLines="50" w:afterLines="50"/>
      <w:ind w:firstLine="200" w:firstLineChars="200"/>
      <w:jc w:val="left"/>
      <w:outlineLvl w:val="1"/>
    </w:pPr>
    <w:rPr>
      <w:rFonts w:eastAsia="仿宋_GB2312"/>
      <w:color w:val="000000"/>
      <w:sz w:val="30"/>
      <w:szCs w:val="30"/>
    </w:rPr>
  </w:style>
  <w:style w:type="paragraph" w:customStyle="1" w:styleId="310">
    <w:name w:val="Char"/>
    <w:basedOn w:val="1"/>
    <w:qFormat/>
    <w:uiPriority w:val="0"/>
    <w:pPr>
      <w:spacing w:after="160" w:line="240" w:lineRule="exact"/>
      <w:jc w:val="left"/>
    </w:pPr>
    <w:rPr>
      <w:rFonts w:ascii="Verdana" w:hAnsi="Verdana" w:eastAsia="仿宋_GB2312"/>
      <w:sz w:val="24"/>
      <w:szCs w:val="20"/>
      <w:lang w:eastAsia="en-US"/>
    </w:rPr>
  </w:style>
  <w:style w:type="paragraph" w:customStyle="1" w:styleId="311">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2">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13">
    <w:name w:val="TOC 标题2"/>
    <w:basedOn w:val="2"/>
    <w:next w:val="1"/>
    <w:qFormat/>
    <w:uiPriority w:val="39"/>
    <w:pPr>
      <w:keepNext/>
      <w:keepLines/>
      <w:shd w:val="clear" w:color="auto" w:fill="auto"/>
      <w:adjustRightInd/>
      <w:snapToGrid/>
      <w:spacing w:before="480" w:after="0" w:line="276" w:lineRule="auto"/>
      <w:jc w:val="left"/>
      <w:outlineLvl w:val="9"/>
    </w:pPr>
    <w:rPr>
      <w:rFonts w:ascii="Cambria" w:hAnsi="Cambria" w:eastAsia="宋体"/>
      <w:color w:val="365F91"/>
      <w:kern w:val="0"/>
    </w:rPr>
  </w:style>
  <w:style w:type="paragraph" w:customStyle="1" w:styleId="314">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styleId="315">
    <w:name w:val="List Paragraph"/>
    <w:basedOn w:val="1"/>
    <w:qFormat/>
    <w:uiPriority w:val="34"/>
    <w:pPr>
      <w:widowControl w:val="0"/>
      <w:shd w:val="clear" w:color="auto" w:fill="auto"/>
      <w:tabs>
        <w:tab w:val="clear" w:pos="426"/>
      </w:tabs>
      <w:adjustRightInd/>
      <w:snapToGrid/>
      <w:ind w:firstLine="420" w:firstLineChars="200"/>
    </w:pPr>
    <w:rPr>
      <w:rFonts w:ascii="Times New Roman" w:hAnsi="Times New Roman" w:cs="Times New Roman"/>
      <w:kern w:val="2"/>
      <w:sz w:val="24"/>
    </w:rPr>
  </w:style>
  <w:style w:type="paragraph" w:customStyle="1" w:styleId="316">
    <w:name w:val="xl103"/>
    <w:basedOn w:val="1"/>
    <w:qFormat/>
    <w:uiPriority w:val="0"/>
    <w:pPr>
      <w:spacing w:beforeAutospacing="1" w:afterAutospacing="1"/>
      <w:jc w:val="left"/>
      <w:textAlignment w:val="center"/>
    </w:pPr>
    <w:rPr>
      <w:color w:val="FF0000"/>
      <w:sz w:val="22"/>
      <w:szCs w:val="22"/>
    </w:rPr>
  </w:style>
  <w:style w:type="paragraph" w:customStyle="1" w:styleId="317">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1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9">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0">
    <w:name w:val="pa-2"/>
    <w:basedOn w:val="1"/>
    <w:qFormat/>
    <w:uiPriority w:val="0"/>
    <w:pPr>
      <w:spacing w:before="100" w:beforeAutospacing="1" w:after="100" w:afterAutospacing="1"/>
      <w:jc w:val="left"/>
    </w:pPr>
    <w:rPr>
      <w:sz w:val="24"/>
    </w:rPr>
  </w:style>
  <w:style w:type="paragraph" w:customStyle="1" w:styleId="321">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22">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323">
    <w:name w:val="正文样式"/>
    <w:basedOn w:val="33"/>
    <w:qFormat/>
    <w:uiPriority w:val="0"/>
    <w:pPr>
      <w:widowControl w:val="0"/>
      <w:shd w:val="clear" w:color="auto" w:fill="auto"/>
      <w:adjustRightInd/>
      <w:snapToGrid/>
      <w:jc w:val="left"/>
    </w:pPr>
    <w:rPr>
      <w:rFonts w:ascii="宋体" w:cs="宋体"/>
      <w:szCs w:val="20"/>
    </w:rPr>
  </w:style>
  <w:style w:type="paragraph" w:customStyle="1" w:styleId="324">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25">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26">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327">
    <w:name w:val="正文Land"/>
    <w:basedOn w:val="1"/>
    <w:qFormat/>
    <w:uiPriority w:val="0"/>
    <w:pPr>
      <w:spacing w:beforeLines="20" w:afterLines="50"/>
      <w:ind w:firstLine="200" w:firstLineChars="200"/>
    </w:pPr>
    <w:rPr>
      <w:color w:val="000000"/>
      <w:sz w:val="24"/>
    </w:rPr>
  </w:style>
  <w:style w:type="paragraph" w:customStyle="1" w:styleId="328">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330">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333">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335">
    <w:name w:val="样式 (西文) 宋体 行距: 1.5 倍行距"/>
    <w:basedOn w:val="1"/>
    <w:qFormat/>
    <w:uiPriority w:val="0"/>
    <w:pPr>
      <w:widowControl w:val="0"/>
      <w:shd w:val="clear" w:color="auto" w:fill="auto"/>
      <w:tabs>
        <w:tab w:val="clear" w:pos="426"/>
      </w:tabs>
      <w:adjustRightInd/>
      <w:snapToGrid/>
    </w:pPr>
    <w:rPr>
      <w:kern w:val="2"/>
      <w:szCs w:val="20"/>
    </w:rPr>
  </w:style>
  <w:style w:type="paragraph" w:customStyle="1" w:styleId="336">
    <w:name w:val="样式1"/>
    <w:basedOn w:val="1"/>
    <w:qFormat/>
    <w:uiPriority w:val="0"/>
    <w:pPr>
      <w:keepNext/>
      <w:keepLines/>
      <w:spacing w:before="340" w:after="330"/>
      <w:ind w:left="420" w:hanging="420"/>
      <w:outlineLvl w:val="0"/>
    </w:pPr>
    <w:rPr>
      <w:b/>
      <w:kern w:val="44"/>
      <w:sz w:val="44"/>
      <w:szCs w:val="20"/>
    </w:rPr>
  </w:style>
  <w:style w:type="paragraph" w:customStyle="1" w:styleId="33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38">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339">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34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342">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343">
    <w:name w:val="xl104"/>
    <w:basedOn w:val="1"/>
    <w:qFormat/>
    <w:uiPriority w:val="0"/>
    <w:pPr>
      <w:spacing w:beforeAutospacing="1" w:afterAutospacing="1"/>
      <w:jc w:val="center"/>
    </w:pPr>
    <w:rPr>
      <w:sz w:val="24"/>
    </w:rPr>
  </w:style>
  <w:style w:type="paragraph" w:customStyle="1" w:styleId="344">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45">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346">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347">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349">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350">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51">
    <w:name w:val="附件标题"/>
    <w:basedOn w:val="1"/>
    <w:qFormat/>
    <w:uiPriority w:val="0"/>
    <w:pPr>
      <w:ind w:firstLine="200" w:firstLineChars="200"/>
      <w:jc w:val="center"/>
    </w:pPr>
    <w:rPr>
      <w:rFonts w:ascii="Arial" w:hAnsi="Arial" w:eastAsia="黑体"/>
      <w:sz w:val="24"/>
    </w:rPr>
  </w:style>
  <w:style w:type="paragraph" w:customStyle="1" w:styleId="35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353">
    <w:name w:val="标题5"/>
    <w:basedOn w:val="188"/>
    <w:qFormat/>
    <w:uiPriority w:val="0"/>
    <w:pPr>
      <w:tabs>
        <w:tab w:val="left" w:pos="2038"/>
      </w:tabs>
      <w:ind w:left="2038" w:hanging="420" w:firstLineChars="0"/>
      <w:jc w:val="left"/>
      <w:outlineLvl w:val="4"/>
    </w:pPr>
    <w:rPr>
      <w:rFonts w:ascii="黑体" w:hAnsi="黑体" w:eastAsia="黑体"/>
      <w:sz w:val="28"/>
      <w:szCs w:val="28"/>
    </w:rPr>
  </w:style>
  <w:style w:type="paragraph" w:customStyle="1" w:styleId="354">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_Style 95"/>
    <w:unhideWhenUsed/>
    <w:qFormat/>
    <w:uiPriority w:val="99"/>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56">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358">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35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360">
    <w:name w:val="--规划正文"/>
    <w:basedOn w:val="1"/>
    <w:qFormat/>
    <w:uiPriority w:val="0"/>
    <w:pPr>
      <w:widowControl w:val="0"/>
      <w:shd w:val="clear" w:color="auto" w:fill="auto"/>
      <w:tabs>
        <w:tab w:val="clear" w:pos="426"/>
      </w:tabs>
      <w:adjustRightInd/>
      <w:snapToGrid/>
      <w:ind w:firstLine="200" w:firstLineChars="200"/>
    </w:pPr>
    <w:rPr>
      <w:rFonts w:ascii="Times New Roman" w:hAnsi="Times New Roman" w:cs="Times New Roman"/>
      <w:kern w:val="2"/>
      <w:szCs w:val="20"/>
    </w:rPr>
  </w:style>
  <w:style w:type="paragraph" w:customStyle="1" w:styleId="361">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62">
    <w:name w:val="TOC 标题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363">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364">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hAnsi="Times New Roman" w:eastAsia="仿宋_GB2312" w:cs="Times New Roman"/>
      <w:b/>
      <w:kern w:val="2"/>
      <w:sz w:val="32"/>
      <w:szCs w:val="32"/>
    </w:rPr>
  </w:style>
  <w:style w:type="paragraph" w:customStyle="1" w:styleId="365">
    <w:name w:val="ggbody"/>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66">
    <w:name w:val="!项目ALT+P"/>
    <w:basedOn w:val="1"/>
    <w:qFormat/>
    <w:uiPriority w:val="0"/>
    <w:pPr>
      <w:tabs>
        <w:tab w:val="left" w:pos="420"/>
        <w:tab w:val="clear" w:pos="426"/>
      </w:tabs>
      <w:spacing w:line="320" w:lineRule="atLeast"/>
      <w:ind w:left="420"/>
      <w:textAlignment w:val="baseline"/>
    </w:pPr>
    <w:rPr>
      <w:szCs w:val="21"/>
    </w:rPr>
  </w:style>
  <w:style w:type="paragraph" w:customStyle="1" w:styleId="367">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hAnsi="Times New Roman" w:eastAsia="Arial Unicode MS" w:cs="Times New Roman"/>
      <w:sz w:val="24"/>
    </w:rPr>
  </w:style>
  <w:style w:type="paragraph" w:customStyle="1" w:styleId="368">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36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370">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371">
    <w:name w:val="正文-1级列表-(1)"/>
    <w:basedOn w:val="1"/>
    <w:qFormat/>
    <w:uiPriority w:val="0"/>
    <w:pPr>
      <w:tabs>
        <w:tab w:val="left" w:pos="420"/>
        <w:tab w:val="clear" w:pos="426"/>
      </w:tabs>
      <w:ind w:left="800"/>
    </w:pPr>
    <w:rPr>
      <w:sz w:val="24"/>
      <w:lang w:val="en-GB"/>
    </w:rPr>
  </w:style>
  <w:style w:type="paragraph" w:customStyle="1" w:styleId="37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374">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375">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76">
    <w:name w:val="5"/>
    <w:basedOn w:val="1"/>
    <w:qFormat/>
    <w:uiPriority w:val="0"/>
    <w:pPr>
      <w:ind w:firstLine="200" w:firstLineChars="200"/>
      <w:jc w:val="left"/>
    </w:pPr>
    <w:rPr>
      <w:sz w:val="24"/>
    </w:rPr>
  </w:style>
  <w:style w:type="paragraph" w:customStyle="1" w:styleId="377">
    <w:name w:val="样式 标题 4h4heading 4h41heading 41h42heading 42h411heading ..."/>
    <w:basedOn w:val="4"/>
    <w:qFormat/>
    <w:uiPriority w:val="0"/>
    <w:pPr>
      <w:spacing w:beforeLines="50" w:afterLines="50" w:line="377" w:lineRule="auto"/>
      <w:ind w:left="2240" w:right="220"/>
      <w:jc w:val="left"/>
    </w:pPr>
    <w:rPr>
      <w:rFonts w:ascii="Cambria" w:hAnsi="Cambria" w:eastAsia="宋体" w:cs="宋体"/>
      <w:sz w:val="24"/>
      <w:szCs w:val="20"/>
    </w:rPr>
  </w:style>
  <w:style w:type="paragraph" w:customStyle="1" w:styleId="37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37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80">
    <w:name w:val="参数内容"/>
    <w:basedOn w:val="188"/>
    <w:qFormat/>
    <w:uiPriority w:val="0"/>
    <w:pPr>
      <w:ind w:left="780" w:firstLine="0" w:firstLineChars="0"/>
    </w:pPr>
    <w:rPr>
      <w:szCs w:val="18"/>
    </w:rPr>
  </w:style>
  <w:style w:type="paragraph" w:customStyle="1" w:styleId="381">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382">
    <w:name w:val="样式5"/>
    <w:basedOn w:val="1"/>
    <w:qFormat/>
    <w:uiPriority w:val="0"/>
    <w:pPr>
      <w:tabs>
        <w:tab w:val="left" w:pos="900"/>
      </w:tabs>
      <w:spacing w:beforeLines="50" w:afterLines="50"/>
      <w:ind w:left="900"/>
    </w:pPr>
    <w:rPr>
      <w:rFonts w:eastAsia="仿宋_GB2312"/>
      <w:color w:val="000000"/>
      <w:sz w:val="24"/>
    </w:rPr>
  </w:style>
  <w:style w:type="paragraph" w:customStyle="1" w:styleId="383">
    <w:name w:val="Char Char10 Char Char"/>
    <w:basedOn w:val="24"/>
    <w:qFormat/>
    <w:uiPriority w:val="0"/>
    <w:rPr>
      <w:rFonts w:ascii="Tahoma" w:hAnsi="Tahoma"/>
      <w:sz w:val="24"/>
    </w:rPr>
  </w:style>
  <w:style w:type="paragraph" w:customStyle="1" w:styleId="384">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85">
    <w:name w:val="文档正文"/>
    <w:basedOn w:val="1"/>
    <w:qFormat/>
    <w:uiPriority w:val="0"/>
    <w:pPr>
      <w:spacing w:line="480" w:lineRule="atLeast"/>
      <w:ind w:firstLine="567" w:firstLineChars="200"/>
      <w:textAlignment w:val="baseline"/>
    </w:pPr>
    <w:rPr>
      <w:rFonts w:ascii="长城仿宋"/>
      <w:szCs w:val="20"/>
    </w:rPr>
  </w:style>
  <w:style w:type="paragraph" w:customStyle="1" w:styleId="386">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387">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388">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389">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390">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391">
    <w:name w:val="附件1."/>
    <w:basedOn w:val="2"/>
    <w:qFormat/>
    <w:uiPriority w:val="0"/>
    <w:pPr>
      <w:tabs>
        <w:tab w:val="left" w:pos="360"/>
        <w:tab w:val="left" w:pos="420"/>
        <w:tab w:val="clear" w:pos="426"/>
      </w:tabs>
      <w:spacing w:before="0" w:after="0" w:line="360" w:lineRule="auto"/>
      <w:ind w:left="567" w:hanging="567"/>
      <w:jc w:val="both"/>
    </w:pPr>
    <w:rPr>
      <w:rFonts w:ascii="Times New Roman" w:hAnsi="Times New Roman" w:eastAsia="宋体"/>
      <w:b w:val="0"/>
      <w:sz w:val="24"/>
      <w:szCs w:val="44"/>
    </w:rPr>
  </w:style>
  <w:style w:type="paragraph" w:customStyle="1" w:styleId="392">
    <w:name w:val="样式 首行缩进:  0 字符"/>
    <w:basedOn w:val="1"/>
    <w:qFormat/>
    <w:uiPriority w:val="0"/>
    <w:pPr>
      <w:ind w:firstLine="200" w:firstLineChars="200"/>
    </w:pPr>
    <w:rPr>
      <w:sz w:val="24"/>
      <w:szCs w:val="20"/>
    </w:rPr>
  </w:style>
  <w:style w:type="paragraph" w:customStyle="1" w:styleId="393">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394">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395">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396">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397">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398">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399">
    <w:name w:val="cqq2"/>
    <w:basedOn w:val="1"/>
    <w:qFormat/>
    <w:uiPriority w:val="0"/>
    <w:pPr>
      <w:widowControl w:val="0"/>
      <w:shd w:val="clear" w:color="auto" w:fill="auto"/>
      <w:tabs>
        <w:tab w:val="clear" w:pos="426"/>
      </w:tabs>
      <w:adjustRightInd/>
      <w:snapToGrid/>
      <w:spacing w:line="520" w:lineRule="exact"/>
    </w:pPr>
    <w:rPr>
      <w:rFonts w:ascii="仿宋_GB2312" w:hAnsi="Times New Roman" w:eastAsia="仿宋_GB2312" w:cs="Times New Roman"/>
      <w:b/>
      <w:kern w:val="2"/>
      <w:sz w:val="28"/>
      <w:szCs w:val="20"/>
    </w:rPr>
  </w:style>
  <w:style w:type="paragraph" w:customStyle="1" w:styleId="400">
    <w:name w:val="MaoC2"/>
    <w:basedOn w:val="1"/>
    <w:qFormat/>
    <w:uiPriority w:val="0"/>
    <w:pPr>
      <w:tabs>
        <w:tab w:val="left" w:pos="510"/>
      </w:tabs>
      <w:spacing w:line="480" w:lineRule="auto"/>
      <w:ind w:left="420" w:hanging="420"/>
      <w:outlineLvl w:val="1"/>
    </w:pPr>
    <w:rPr>
      <w:rFonts w:ascii="黑体" w:eastAsia="黑体"/>
      <w:szCs w:val="20"/>
    </w:rPr>
  </w:style>
  <w:style w:type="paragraph" w:customStyle="1" w:styleId="401">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402">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03">
    <w:name w:val="样式 标题 2H2Heading 2 HiddenHeading 2 CCBSheading 22nd levelh...1"/>
    <w:basedOn w:val="5"/>
    <w:qFormat/>
    <w:uiPriority w:val="0"/>
    <w:pPr>
      <w:adjustRightInd/>
      <w:spacing w:before="240" w:after="240"/>
      <w:ind w:left="576" w:hanging="576"/>
      <w:jc w:val="left"/>
      <w:textAlignment w:val="auto"/>
    </w:pPr>
    <w:rPr>
      <w:bCs/>
      <w:kern w:val="2"/>
      <w:sz w:val="28"/>
      <w:szCs w:val="28"/>
    </w:rPr>
  </w:style>
  <w:style w:type="paragraph" w:customStyle="1" w:styleId="404">
    <w:name w:val="样式 Verdana 四号 首行缩进:  2 字符"/>
    <w:basedOn w:val="1"/>
    <w:qFormat/>
    <w:uiPriority w:val="0"/>
    <w:pPr>
      <w:ind w:firstLine="560" w:firstLineChars="200"/>
      <w:jc w:val="left"/>
    </w:pPr>
    <w:rPr>
      <w:rFonts w:ascii="Verdana" w:hAnsi="Verdana"/>
      <w:sz w:val="24"/>
      <w:szCs w:val="20"/>
    </w:rPr>
  </w:style>
  <w:style w:type="paragraph" w:customStyle="1" w:styleId="405">
    <w:name w:val="主题"/>
    <w:basedOn w:val="1"/>
    <w:qFormat/>
    <w:uiPriority w:val="0"/>
  </w:style>
  <w:style w:type="paragraph" w:customStyle="1" w:styleId="406">
    <w:name w:val="ggtitle"/>
    <w:basedOn w:val="1"/>
    <w:semiHidden/>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40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408">
    <w:name w:val="修订1"/>
    <w:unhideWhenUsed/>
    <w:qFormat/>
    <w:uiPriority w:val="99"/>
    <w:rPr>
      <w:rFonts w:ascii="宋体" w:hAnsi="宋体" w:eastAsia="宋体" w:cs="宋体"/>
      <w:sz w:val="21"/>
      <w:szCs w:val="24"/>
      <w:lang w:val="en-US" w:eastAsia="zh-CN" w:bidi="ar-SA"/>
    </w:rPr>
  </w:style>
  <w:style w:type="paragraph" w:customStyle="1" w:styleId="409">
    <w:name w:val="样式 标题 4 + 段前: 0.5 行 段后: 0.5 行"/>
    <w:basedOn w:val="4"/>
    <w:qFormat/>
    <w:uiPriority w:val="0"/>
    <w:pPr>
      <w:spacing w:beforeLines="50" w:afterLines="50" w:line="377" w:lineRule="auto"/>
      <w:ind w:left="2240"/>
      <w:jc w:val="left"/>
    </w:pPr>
    <w:rPr>
      <w:rFonts w:ascii="Cambria" w:hAnsi="Cambria" w:eastAsia="宋体" w:cs="宋体"/>
      <w:sz w:val="24"/>
      <w:szCs w:val="20"/>
    </w:rPr>
  </w:style>
  <w:style w:type="paragraph" w:customStyle="1" w:styleId="41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411">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412">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413">
    <w:name w:val="样式 标题 2H2Heading 2 HiddenHeading 2 CCBSheading 22nd levelh..."/>
    <w:basedOn w:val="5"/>
    <w:qFormat/>
    <w:uiPriority w:val="0"/>
    <w:pPr>
      <w:adjustRightInd/>
      <w:spacing w:before="120" w:after="120"/>
      <w:ind w:left="576" w:hanging="576"/>
      <w:jc w:val="left"/>
      <w:textAlignment w:val="auto"/>
    </w:pPr>
    <w:rPr>
      <w:rFonts w:ascii="Arial" w:hAnsi="Arial" w:eastAsia="黑体" w:cs="宋体"/>
      <w:bCs/>
      <w:kern w:val="2"/>
      <w:sz w:val="28"/>
      <w:szCs w:val="28"/>
    </w:rPr>
  </w:style>
  <w:style w:type="paragraph" w:customStyle="1" w:styleId="414">
    <w:name w:val="自定义正文"/>
    <w:basedOn w:val="1"/>
    <w:qFormat/>
    <w:uiPriority w:val="0"/>
    <w:pPr>
      <w:spacing w:afterLines="50"/>
      <w:ind w:left="600" w:leftChars="600"/>
    </w:pPr>
  </w:style>
  <w:style w:type="paragraph" w:customStyle="1" w:styleId="415">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416">
    <w:name w:val="Char Char Char Char Char"/>
    <w:basedOn w:val="1"/>
    <w:qFormat/>
    <w:uiPriority w:val="0"/>
    <w:rPr>
      <w:rFonts w:ascii="Tahoma" w:hAnsi="Tahoma"/>
      <w:sz w:val="24"/>
      <w:szCs w:val="20"/>
    </w:rPr>
  </w:style>
  <w:style w:type="paragraph" w:customStyle="1" w:styleId="417">
    <w:name w:val="È±Ê¡ÎÄ±¾"/>
    <w:basedOn w:val="1"/>
    <w:qFormat/>
    <w:uiPriority w:val="0"/>
    <w:pPr>
      <w:overflowPunct w:val="0"/>
      <w:autoSpaceDE w:val="0"/>
      <w:autoSpaceDN w:val="0"/>
      <w:jc w:val="left"/>
      <w:textAlignment w:val="baseline"/>
    </w:pPr>
    <w:rPr>
      <w:sz w:val="24"/>
      <w:szCs w:val="20"/>
    </w:rPr>
  </w:style>
  <w:style w:type="paragraph" w:customStyle="1" w:styleId="41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419">
    <w:name w:val="USE 4"/>
    <w:basedOn w:val="1"/>
    <w:qFormat/>
    <w:uiPriority w:val="0"/>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420">
    <w:name w:val="表1"/>
    <w:basedOn w:val="1"/>
    <w:qFormat/>
    <w:uiPriority w:val="0"/>
    <w:pPr>
      <w:widowControl w:val="0"/>
      <w:shd w:val="clear" w:color="auto" w:fill="auto"/>
      <w:tabs>
        <w:tab w:val="clear" w:pos="426"/>
      </w:tabs>
      <w:adjustRightInd/>
      <w:snapToGrid/>
      <w:spacing w:line="240" w:lineRule="auto"/>
    </w:pPr>
    <w:rPr>
      <w:rFonts w:hint="eastAsia" w:ascii="Times New Roman" w:cs="Times New Roman"/>
      <w:kern w:val="2"/>
      <w:sz w:val="24"/>
      <w:szCs w:val="20"/>
    </w:rPr>
  </w:style>
  <w:style w:type="paragraph" w:customStyle="1" w:styleId="421">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2">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423">
    <w:name w:val="附件圈"/>
    <w:basedOn w:val="424"/>
    <w:qFormat/>
    <w:uiPriority w:val="0"/>
    <w:pPr>
      <w:tabs>
        <w:tab w:val="left" w:pos="420"/>
        <w:tab w:val="left" w:pos="426"/>
      </w:tabs>
      <w:ind w:left="0" w:firstLine="420"/>
    </w:pPr>
  </w:style>
  <w:style w:type="paragraph" w:customStyle="1" w:styleId="424">
    <w:name w:val="附件(1)"/>
    <w:basedOn w:val="1"/>
    <w:qFormat/>
    <w:uiPriority w:val="0"/>
    <w:pPr>
      <w:ind w:left="900" w:firstLine="200" w:firstLineChars="200"/>
    </w:pPr>
    <w:rPr>
      <w:sz w:val="24"/>
    </w:rPr>
  </w:style>
  <w:style w:type="paragraph" w:customStyle="1" w:styleId="425">
    <w:name w:val="样式 10 磅"/>
    <w:qFormat/>
    <w:uiPriority w:val="0"/>
    <w:pPr>
      <w:shd w:val="clear" w:color="auto" w:fill="FFFFFF"/>
      <w:tabs>
        <w:tab w:val="left" w:pos="426"/>
      </w:tabs>
      <w:adjustRightInd w:val="0"/>
      <w:snapToGrid w:val="0"/>
      <w:jc w:val="center"/>
    </w:pPr>
    <w:rPr>
      <w:rFonts w:ascii="宋体" w:hAnsi="Times New Roman" w:eastAsia="宋体" w:cs="宋体"/>
      <w:sz w:val="21"/>
      <w:szCs w:val="24"/>
      <w:lang w:val="en-US" w:eastAsia="zh-CN" w:bidi="ar-SA"/>
    </w:rPr>
  </w:style>
  <w:style w:type="paragraph" w:customStyle="1" w:styleId="426">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2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428">
    <w:name w:val="方案标题1"/>
    <w:basedOn w:val="81"/>
    <w:qFormat/>
    <w:uiPriority w:val="0"/>
    <w:pPr>
      <w:tabs>
        <w:tab w:val="left" w:pos="1440"/>
      </w:tabs>
      <w:spacing w:beforeLines="50" w:afterLines="50"/>
      <w:ind w:firstLine="200" w:firstLineChars="200"/>
      <w:jc w:val="both"/>
    </w:pPr>
    <w:rPr>
      <w:color w:val="000000"/>
    </w:rPr>
  </w:style>
  <w:style w:type="paragraph" w:customStyle="1" w:styleId="429">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0">
    <w:name w:val="标题1"/>
    <w:basedOn w:val="2"/>
    <w:qFormat/>
    <w:uiPriority w:val="0"/>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431">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2">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hAnsi="Times New Roman" w:eastAsia="楷体_GB2312"/>
      <w:szCs w:val="21"/>
    </w:rPr>
  </w:style>
  <w:style w:type="paragraph" w:customStyle="1" w:styleId="433">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434">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435">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43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437">
    <w:name w:val="CM51"/>
    <w:basedOn w:val="291"/>
    <w:next w:val="291"/>
    <w:qFormat/>
    <w:uiPriority w:val="0"/>
    <w:pPr>
      <w:spacing w:after="103"/>
    </w:pPr>
    <w:rPr>
      <w:rFonts w:ascii="黑体" w:eastAsia="黑体"/>
      <w:color w:val="auto"/>
    </w:rPr>
  </w:style>
  <w:style w:type="paragraph" w:customStyle="1" w:styleId="438">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39">
    <w:name w:val="样式3"/>
    <w:basedOn w:val="1"/>
    <w:qFormat/>
    <w:uiPriority w:val="0"/>
    <w:pPr>
      <w:ind w:left="1620" w:hanging="420"/>
      <w:outlineLvl w:val="2"/>
    </w:pPr>
    <w:rPr>
      <w:b/>
    </w:rPr>
  </w:style>
  <w:style w:type="paragraph" w:customStyle="1" w:styleId="440">
    <w:name w:val="目录"/>
    <w:basedOn w:val="1"/>
    <w:qFormat/>
    <w:uiPriority w:val="0"/>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44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2">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43">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444">
    <w:name w:val="font5"/>
    <w:basedOn w:val="1"/>
    <w:qFormat/>
    <w:uiPriority w:val="0"/>
    <w:pPr>
      <w:spacing w:before="100" w:beforeAutospacing="1" w:after="100" w:afterAutospacing="1"/>
      <w:jc w:val="left"/>
    </w:pPr>
    <w:rPr>
      <w:sz w:val="18"/>
      <w:szCs w:val="18"/>
    </w:rPr>
  </w:style>
  <w:style w:type="paragraph" w:customStyle="1" w:styleId="445">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446">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447">
    <w:name w:val="USE 1"/>
    <w:basedOn w:val="1"/>
    <w:qFormat/>
    <w:uiPriority w:val="99"/>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448">
    <w:name w:val="样式 USE 1 + 行距: 单倍行距"/>
    <w:basedOn w:val="1"/>
    <w:qFormat/>
    <w:uiPriority w:val="0"/>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44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450">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51">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452">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53">
    <w:name w:val="正文-1级标题-1"/>
    <w:basedOn w:val="1"/>
    <w:next w:val="1"/>
    <w:qFormat/>
    <w:uiPriority w:val="0"/>
    <w:pPr>
      <w:keepNext/>
      <w:tabs>
        <w:tab w:val="left" w:pos="420"/>
        <w:tab w:val="clear" w:pos="426"/>
      </w:tabs>
      <w:spacing w:beforeLines="30" w:afterLines="30"/>
    </w:pPr>
    <w:rPr>
      <w:b/>
      <w:sz w:val="24"/>
      <w:szCs w:val="28"/>
      <w:lang w:val="en-GB"/>
    </w:rPr>
  </w:style>
  <w:style w:type="paragraph" w:customStyle="1" w:styleId="454">
    <w:name w:val="样式 标题 1 + 段前: 0.5 行 段后: 0.5 行"/>
    <w:basedOn w:val="2"/>
    <w:qFormat/>
    <w:uiPriority w:val="0"/>
    <w:pPr>
      <w:keepNext/>
      <w:keepLines/>
      <w:spacing w:beforeLines="50" w:afterLines="50" w:line="578" w:lineRule="auto"/>
      <w:jc w:val="both"/>
    </w:pPr>
    <w:rPr>
      <w:rFonts w:ascii="Times New Roman" w:hAnsi="Times New Roman" w:eastAsia="宋体" w:cs="宋体"/>
      <w:sz w:val="44"/>
      <w:szCs w:val="20"/>
    </w:rPr>
  </w:style>
  <w:style w:type="paragraph" w:customStyle="1" w:styleId="455">
    <w:name w:val="样式2"/>
    <w:basedOn w:val="2"/>
    <w:qFormat/>
    <w:uiPriority w:val="0"/>
    <w:pPr>
      <w:keepNext/>
      <w:keepLines/>
      <w:spacing w:before="0" w:after="0" w:line="578" w:lineRule="auto"/>
      <w:ind w:left="1200" w:hanging="420"/>
      <w:jc w:val="both"/>
    </w:pPr>
    <w:rPr>
      <w:rFonts w:eastAsia="宋体"/>
      <w:szCs w:val="44"/>
    </w:rPr>
  </w:style>
  <w:style w:type="paragraph" w:customStyle="1" w:styleId="45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457">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58">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459">
    <w:name w:val="p0"/>
    <w:basedOn w:val="1"/>
    <w:qFormat/>
    <w:uiPriority w:val="0"/>
    <w:rPr>
      <w:rFonts w:ascii="Calibri" w:hAnsi="Calibri"/>
      <w:szCs w:val="21"/>
    </w:rPr>
  </w:style>
  <w:style w:type="paragraph" w:customStyle="1" w:styleId="460">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461">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hAnsi="黑体" w:eastAsia="黑体"/>
      <w:b/>
      <w:bCs/>
      <w:sz w:val="28"/>
      <w:szCs w:val="28"/>
    </w:rPr>
  </w:style>
  <w:style w:type="paragraph" w:customStyle="1" w:styleId="462">
    <w:name w:val="TOC 标题11"/>
    <w:basedOn w:val="2"/>
    <w:next w:val="1"/>
    <w:qFormat/>
    <w:uiPriority w:val="39"/>
    <w:pPr>
      <w:spacing w:before="480" w:after="0" w:line="276" w:lineRule="auto"/>
      <w:jc w:val="left"/>
      <w:outlineLvl w:val="9"/>
    </w:pPr>
    <w:rPr>
      <w:rFonts w:ascii="Cambria" w:hAnsi="Cambria" w:eastAsia="宋体"/>
      <w:color w:val="365F91"/>
      <w:kern w:val="0"/>
    </w:rPr>
  </w:style>
  <w:style w:type="paragraph" w:customStyle="1" w:styleId="46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64">
    <w:name w:val="样式 题注 + 行距: 固定值 23 磅"/>
    <w:basedOn w:val="20"/>
    <w:qFormat/>
    <w:uiPriority w:val="0"/>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465">
    <w:name w:val="方案标题3"/>
    <w:basedOn w:val="81"/>
    <w:qFormat/>
    <w:uiPriority w:val="0"/>
    <w:pPr>
      <w:spacing w:beforeLines="50" w:afterLines="50" w:line="440" w:lineRule="exact"/>
      <w:ind w:firstLine="200" w:firstLineChars="200"/>
      <w:jc w:val="left"/>
      <w:outlineLvl w:val="2"/>
    </w:pPr>
    <w:rPr>
      <w:rFonts w:ascii="黑体" w:eastAsia="黑体"/>
      <w:color w:val="000000"/>
      <w:sz w:val="28"/>
      <w:szCs w:val="24"/>
    </w:rPr>
  </w:style>
  <w:style w:type="paragraph" w:customStyle="1" w:styleId="466">
    <w:name w:val="font6"/>
    <w:basedOn w:val="1"/>
    <w:qFormat/>
    <w:uiPriority w:val="0"/>
    <w:pPr>
      <w:spacing w:beforeAutospacing="1" w:afterAutospacing="1"/>
      <w:jc w:val="left"/>
    </w:pPr>
    <w:rPr>
      <w:sz w:val="18"/>
      <w:szCs w:val="18"/>
    </w:rPr>
  </w:style>
  <w:style w:type="paragraph" w:customStyle="1" w:styleId="467">
    <w:name w:val="样式 标题 4 + 段前: 0.5 行 段后: 0.5 行1"/>
    <w:basedOn w:val="4"/>
    <w:qFormat/>
    <w:uiPriority w:val="0"/>
    <w:pPr>
      <w:spacing w:beforeLines="50" w:afterLines="50" w:line="377" w:lineRule="auto"/>
      <w:ind w:left="-2" w:leftChars="-1" w:firstLine="569" w:firstLineChars="236"/>
      <w:jc w:val="left"/>
    </w:pPr>
    <w:rPr>
      <w:rFonts w:ascii="Cambria" w:hAnsi="Cambria" w:eastAsia="宋体" w:cs="宋体"/>
      <w:sz w:val="24"/>
      <w:szCs w:val="20"/>
    </w:rPr>
  </w:style>
  <w:style w:type="paragraph" w:customStyle="1" w:styleId="468">
    <w:name w:val="表标题"/>
    <w:basedOn w:val="1"/>
    <w:qFormat/>
    <w:uiPriority w:val="0"/>
    <w:pPr>
      <w:jc w:val="center"/>
    </w:pPr>
    <w:rPr>
      <w:rFonts w:eastAsia="黑体"/>
      <w:b/>
    </w:rPr>
  </w:style>
  <w:style w:type="paragraph" w:customStyle="1" w:styleId="469">
    <w:name w:val="图"/>
    <w:basedOn w:val="1"/>
    <w:qFormat/>
    <w:uiPriority w:val="0"/>
    <w:pPr>
      <w:keepNext/>
      <w:spacing w:before="60" w:after="60" w:line="300" w:lineRule="auto"/>
      <w:jc w:val="center"/>
    </w:pPr>
    <w:rPr>
      <w:spacing w:val="20"/>
      <w:sz w:val="24"/>
      <w:szCs w:val="20"/>
    </w:rPr>
  </w:style>
  <w:style w:type="paragraph" w:customStyle="1" w:styleId="470">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71">
    <w:name w:val="样式 样式 (符号) 宋体 小四 行距: 1.5 倍行距 首行缩进:  1.5 字符 + 宋体 首行缩进:  2 字符"/>
    <w:basedOn w:val="1"/>
    <w:qFormat/>
    <w:uiPriority w:val="0"/>
    <w:pPr>
      <w:ind w:firstLine="480" w:firstLineChars="200"/>
    </w:pPr>
    <w:rPr>
      <w:sz w:val="24"/>
      <w:szCs w:val="20"/>
    </w:rPr>
  </w:style>
  <w:style w:type="paragraph" w:customStyle="1" w:styleId="472">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473">
    <w:name w:val="样式 标题 3style3H3h33rd levelLevel 3 Headlevel_3PIM 33l3C..."/>
    <w:basedOn w:val="3"/>
    <w:qFormat/>
    <w:uiPriority w:val="0"/>
    <w:pPr>
      <w:tabs>
        <w:tab w:val="left" w:pos="851"/>
      </w:tabs>
      <w:spacing w:beforeLines="50" w:afterLines="50" w:line="415" w:lineRule="auto"/>
      <w:ind w:left="-4" w:leftChars="-2" w:right="220" w:firstLine="571" w:firstLineChars="203"/>
      <w:jc w:val="left"/>
    </w:pPr>
    <w:rPr>
      <w:rFonts w:ascii="Times New Roman" w:hAnsi="Times New Roman" w:cs="宋体"/>
      <w:bCs w:val="0"/>
      <w:color w:val="000000"/>
      <w:szCs w:val="20"/>
    </w:rPr>
  </w:style>
  <w:style w:type="paragraph" w:customStyle="1" w:styleId="474">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475">
    <w:name w:val="附录"/>
    <w:basedOn w:val="20"/>
    <w:next w:val="1"/>
    <w:qFormat/>
    <w:uiPriority w:val="0"/>
    <w:pPr>
      <w:widowControl w:val="0"/>
      <w:shd w:val="clear" w:color="auto" w:fill="auto"/>
      <w:adjustRightInd/>
      <w:snapToGrid/>
      <w:spacing w:before="152" w:after="160" w:line="240" w:lineRule="auto"/>
    </w:pPr>
    <w:rPr>
      <w:kern w:val="2"/>
    </w:rPr>
  </w:style>
  <w:style w:type="paragraph" w:customStyle="1" w:styleId="476">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477">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78">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479">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0">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81">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482">
    <w:name w:val="Char Char Char1"/>
    <w:basedOn w:val="1"/>
    <w:qFormat/>
    <w:uiPriority w:val="0"/>
    <w:rPr>
      <w:rFonts w:ascii="Tahoma" w:hAnsi="Tahoma"/>
      <w:sz w:val="24"/>
      <w:szCs w:val="20"/>
    </w:rPr>
  </w:style>
  <w:style w:type="paragraph" w:customStyle="1" w:styleId="483">
    <w:name w:val="修订11"/>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484">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485">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486">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487">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488">
    <w:name w:val="方案设计2级标题"/>
    <w:basedOn w:val="188"/>
    <w:qFormat/>
    <w:uiPriority w:val="0"/>
    <w:pPr>
      <w:ind w:left="1402" w:firstLine="0" w:firstLineChars="0"/>
      <w:outlineLvl w:val="1"/>
    </w:pPr>
    <w:rPr>
      <w:rFonts w:ascii="黑体" w:hAnsi="黑体" w:eastAsia="黑体"/>
      <w:sz w:val="32"/>
      <w:szCs w:val="32"/>
    </w:rPr>
  </w:style>
  <w:style w:type="paragraph" w:customStyle="1" w:styleId="489">
    <w:name w:val="方案设计1级标题"/>
    <w:basedOn w:val="188"/>
    <w:qFormat/>
    <w:uiPriority w:val="0"/>
    <w:pPr>
      <w:tabs>
        <w:tab w:val="left" w:pos="840"/>
      </w:tabs>
      <w:ind w:left="840" w:firstLine="0" w:firstLineChars="0"/>
      <w:jc w:val="center"/>
      <w:outlineLvl w:val="0"/>
    </w:pPr>
    <w:rPr>
      <w:rFonts w:ascii="黑体" w:hAnsi="黑体" w:eastAsia="黑体"/>
      <w:sz w:val="44"/>
      <w:szCs w:val="44"/>
    </w:rPr>
  </w:style>
  <w:style w:type="paragraph" w:customStyle="1" w:styleId="490">
    <w:name w:val="xl101"/>
    <w:basedOn w:val="1"/>
    <w:qFormat/>
    <w:uiPriority w:val="0"/>
    <w:pPr>
      <w:spacing w:beforeAutospacing="1" w:afterAutospacing="1"/>
      <w:jc w:val="left"/>
      <w:textAlignment w:val="center"/>
    </w:pPr>
    <w:rPr>
      <w:color w:val="FF0000"/>
      <w:sz w:val="20"/>
      <w:szCs w:val="20"/>
    </w:rPr>
  </w:style>
  <w:style w:type="paragraph" w:customStyle="1" w:styleId="491">
    <w:name w:val="样式4"/>
    <w:basedOn w:val="188"/>
    <w:qFormat/>
    <w:uiPriority w:val="0"/>
    <w:pPr>
      <w:ind w:left="2040" w:firstLine="0" w:firstLineChars="0"/>
      <w:jc w:val="left"/>
      <w:outlineLvl w:val="3"/>
    </w:pPr>
    <w:rPr>
      <w:rFonts w:ascii="宋体" w:hAnsi="宋体"/>
    </w:rPr>
  </w:style>
  <w:style w:type="paragraph" w:customStyle="1" w:styleId="492">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493">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494">
    <w:name w:val="xl87"/>
    <w:basedOn w:val="1"/>
    <w:qFormat/>
    <w:uiPriority w:val="0"/>
    <w:pPr>
      <w:spacing w:beforeAutospacing="1" w:afterAutospacing="1"/>
      <w:jc w:val="left"/>
    </w:pPr>
    <w:rPr>
      <w:sz w:val="24"/>
    </w:rPr>
  </w:style>
  <w:style w:type="paragraph" w:customStyle="1" w:styleId="495">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496">
    <w:name w:val="倪芳"/>
    <w:basedOn w:val="1"/>
    <w:qFormat/>
    <w:uiPriority w:val="0"/>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497">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hAnsi="Times New Roman" w:eastAsia="仿宋_GB2312" w:cs="Times New Roman"/>
      <w:kern w:val="2"/>
      <w:sz w:val="24"/>
    </w:rPr>
  </w:style>
  <w:style w:type="paragraph" w:customStyle="1" w:styleId="498">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499">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0">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01">
    <w:name w:val="USE 2"/>
    <w:basedOn w:val="1"/>
    <w:qFormat/>
    <w:uiPriority w:val="0"/>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502">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03">
    <w:name w:val="图目录4"/>
    <w:basedOn w:val="1"/>
    <w:next w:val="1"/>
    <w:qFormat/>
    <w:uiPriority w:val="0"/>
    <w:pPr>
      <w:tabs>
        <w:tab w:val="left" w:pos="737"/>
      </w:tabs>
      <w:ind w:left="737" w:hanging="448"/>
      <w:jc w:val="center"/>
      <w:textAlignment w:val="baseline"/>
    </w:pPr>
    <w:rPr>
      <w:szCs w:val="20"/>
    </w:rPr>
  </w:style>
  <w:style w:type="paragraph" w:customStyle="1" w:styleId="504">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05">
    <w:name w:val="下级参数内容"/>
    <w:basedOn w:val="188"/>
    <w:qFormat/>
    <w:uiPriority w:val="0"/>
    <w:pPr>
      <w:ind w:left="1134" w:firstLine="0" w:firstLineChars="0"/>
    </w:pPr>
    <w:rPr>
      <w:rFonts w:ascii="仿宋" w:hAnsi="仿宋"/>
    </w:rPr>
  </w:style>
  <w:style w:type="paragraph" w:customStyle="1" w:styleId="506">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07">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50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509">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510">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511">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512">
    <w:name w:val="表1黑体居中"/>
    <w:basedOn w:val="1"/>
    <w:qFormat/>
    <w:uiPriority w:val="0"/>
    <w:pPr>
      <w:ind w:firstLine="435"/>
      <w:jc w:val="center"/>
      <w:textAlignment w:val="baseline"/>
    </w:pPr>
    <w:rPr>
      <w:rFonts w:ascii="黑体" w:eastAsia="黑体"/>
      <w:szCs w:val="21"/>
    </w:rPr>
  </w:style>
  <w:style w:type="paragraph" w:customStyle="1" w:styleId="513">
    <w:name w:val="Char Char"/>
    <w:basedOn w:val="1"/>
    <w:qFormat/>
    <w:uiPriority w:val="0"/>
    <w:rPr>
      <w:rFonts w:ascii="Tahoma" w:hAnsi="Tahoma"/>
      <w:sz w:val="24"/>
      <w:szCs w:val="20"/>
    </w:rPr>
  </w:style>
  <w:style w:type="paragraph" w:customStyle="1" w:styleId="514">
    <w:name w:val="Char Char Char"/>
    <w:basedOn w:val="1"/>
    <w:qFormat/>
    <w:uiPriority w:val="0"/>
    <w:rPr>
      <w:rFonts w:ascii="Tahoma" w:hAnsi="Tahoma"/>
      <w:sz w:val="24"/>
      <w:szCs w:val="20"/>
    </w:rPr>
  </w:style>
  <w:style w:type="paragraph" w:customStyle="1" w:styleId="515">
    <w:name w:val="样式41"/>
    <w:basedOn w:val="1"/>
    <w:qFormat/>
    <w:uiPriority w:val="0"/>
    <w:pPr>
      <w:tabs>
        <w:tab w:val="left" w:pos="945"/>
        <w:tab w:val="left" w:pos="2040"/>
      </w:tabs>
      <w:ind w:left="2040" w:leftChars="800" w:hanging="360" w:hangingChars="200"/>
    </w:pPr>
    <w:rPr>
      <w:b/>
      <w:color w:val="000000"/>
      <w:sz w:val="24"/>
      <w:szCs w:val="20"/>
    </w:rPr>
  </w:style>
  <w:style w:type="paragraph" w:customStyle="1" w:styleId="516">
    <w:name w:val="USE 5"/>
    <w:basedOn w:val="1"/>
    <w:qFormat/>
    <w:uiPriority w:val="0"/>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5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518">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19">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20">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521">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hAnsi="Times New Roman" w:eastAsia="Arial Unicode MS" w:cs="Arial Unicode MS"/>
      <w:color w:val="000000"/>
      <w:sz w:val="18"/>
      <w:szCs w:val="18"/>
    </w:rPr>
  </w:style>
  <w:style w:type="paragraph" w:customStyle="1" w:styleId="522">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523">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524">
    <w:name w:val="Bulleted Items--Level 2"/>
    <w:basedOn w:val="1"/>
    <w:qFormat/>
    <w:uiPriority w:val="0"/>
    <w:pPr>
      <w:tabs>
        <w:tab w:val="left" w:pos="1771"/>
        <w:tab w:val="left" w:pos="2520"/>
      </w:tabs>
      <w:spacing w:line="280" w:lineRule="exact"/>
      <w:ind w:left="2520"/>
    </w:pPr>
    <w:rPr>
      <w:color w:val="000000"/>
      <w:sz w:val="22"/>
      <w:szCs w:val="20"/>
      <w:lang w:eastAsia="en-US"/>
    </w:rPr>
  </w:style>
  <w:style w:type="paragraph" w:customStyle="1" w:styleId="525">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526">
    <w:name w:val="USE 3"/>
    <w:basedOn w:val="1"/>
    <w:qFormat/>
    <w:uiPriority w:val="0"/>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527">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52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table" w:customStyle="1" w:styleId="529">
    <w:name w:val="Table Normal"/>
    <w:qFormat/>
    <w:uiPriority w:val="0"/>
    <w:pPr>
      <w:spacing w:line="360" w:lineRule="auto"/>
      <w:jc w:val="both"/>
    </w:pPr>
    <w:tblPr>
      <w:tblCellMar>
        <w:top w:w="0" w:type="dxa"/>
        <w:left w:w="0" w:type="dxa"/>
        <w:bottom w:w="0" w:type="dxa"/>
        <w:right w:w="0" w:type="dxa"/>
      </w:tblCellMar>
    </w:tblPr>
  </w:style>
  <w:style w:type="table" w:customStyle="1" w:styleId="530">
    <w:name w:val="网格型1"/>
    <w:basedOn w:val="85"/>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Normal1"/>
    <w:qFormat/>
    <w:uiPriority w:val="0"/>
    <w:pPr>
      <w:spacing w:line="360" w:lineRule="auto"/>
      <w:jc w:val="both"/>
    </w:pPr>
    <w:tblPr>
      <w:tblCellMar>
        <w:top w:w="0" w:type="dxa"/>
        <w:left w:w="0" w:type="dxa"/>
        <w:bottom w:w="0" w:type="dxa"/>
        <w:right w:w="0" w:type="dxa"/>
      </w:tblCellMar>
    </w:tblPr>
  </w:style>
  <w:style w:type="table" w:customStyle="1" w:styleId="532">
    <w:name w:val="Table Normal11"/>
    <w:unhideWhenUsed/>
    <w:qFormat/>
    <w:uiPriority w:val="2"/>
    <w:pPr>
      <w:widowControl w:val="0"/>
    </w:pPr>
    <w:rPr>
      <w:rFonts w:ascii="Calibri" w:hAnsi="Calibri"/>
      <w:sz w:val="22"/>
      <w:szCs w:val="22"/>
    </w:rPr>
    <w:tblPr>
      <w:tblCellMar>
        <w:top w:w="0" w:type="dxa"/>
        <w:left w:w="0" w:type="dxa"/>
        <w:bottom w:w="0" w:type="dxa"/>
        <w:right w:w="0" w:type="dxa"/>
      </w:tblCellMar>
    </w:tblPr>
  </w:style>
  <w:style w:type="paragraph" w:customStyle="1" w:styleId="533">
    <w:name w:val="Other|1"/>
    <w:basedOn w:val="1"/>
    <w:qFormat/>
    <w:uiPriority w:val="0"/>
    <w:pPr>
      <w:spacing w:line="310" w:lineRule="auto"/>
    </w:pPr>
    <w:rPr>
      <w:sz w:val="18"/>
      <w:szCs w:val="18"/>
      <w:lang w:val="zh-TW" w:eastAsia="zh-TW" w:bidi="zh-TW"/>
    </w:rPr>
  </w:style>
  <w:style w:type="paragraph" w:customStyle="1" w:styleId="534">
    <w:name w:val="Body text|1"/>
    <w:basedOn w:val="1"/>
    <w:link w:val="535"/>
    <w:qFormat/>
    <w:uiPriority w:val="0"/>
    <w:pPr>
      <w:spacing w:line="310" w:lineRule="auto"/>
    </w:pPr>
    <w:rPr>
      <w:sz w:val="18"/>
      <w:szCs w:val="18"/>
      <w:lang w:val="zh-TW" w:eastAsia="zh-TW" w:bidi="zh-TW"/>
    </w:rPr>
  </w:style>
  <w:style w:type="character" w:customStyle="1" w:styleId="535">
    <w:name w:val="Body text|1_"/>
    <w:link w:val="534"/>
    <w:qFormat/>
    <w:uiPriority w:val="0"/>
    <w:rPr>
      <w:rFonts w:ascii="宋体" w:hAnsi="宋体" w:cs="宋体"/>
      <w:sz w:val="18"/>
      <w:szCs w:val="18"/>
      <w:shd w:val="clear" w:color="auto" w:fill="FFFFFF"/>
      <w:lang w:val="zh-TW" w:eastAsia="zh-TW" w:bidi="zh-TW"/>
    </w:rPr>
  </w:style>
  <w:style w:type="paragraph" w:customStyle="1" w:styleId="536">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样式 312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8">
    <w:name w:val="样式 315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39">
    <w:name w:val="样式 316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0">
    <w:name w:val="样式 320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41">
    <w:name w:val="样式 36 11 磅"/>
    <w:qFormat/>
    <w:uiPriority w:val="0"/>
    <w:pPr>
      <w:spacing w:after="160" w:line="259" w:lineRule="auto"/>
    </w:pPr>
    <w:rPr>
      <w:rFonts w:ascii="Calibri" w:hAnsi="Calibri" w:eastAsia="Calibri" w:cs="Calibri"/>
      <w:color w:val="000000"/>
      <w:kern w:val="2"/>
      <w:sz w:val="22"/>
      <w:szCs w:val="22"/>
      <w:lang w:val="en-US" w:eastAsia="en-US" w:bidi="ar-SA"/>
    </w:rPr>
  </w:style>
  <w:style w:type="character" w:customStyle="1" w:styleId="542">
    <w:name w:val="批注文字 字符1"/>
    <w:qFormat/>
    <w:uiPriority w:val="0"/>
    <w:rPr>
      <w:rFonts w:ascii="宋体"/>
      <w:sz w:val="34"/>
      <w:shd w:val="clear" w:color="auto" w:fill="FFFFFF"/>
    </w:rPr>
  </w:style>
  <w:style w:type="paragraph" w:customStyle="1" w:styleId="543">
    <w:name w:val="修订2"/>
    <w:hidden/>
    <w:unhideWhenUsed/>
    <w:qFormat/>
    <w:uiPriority w:val="99"/>
    <w:rPr>
      <w:rFonts w:ascii="宋体" w:hAnsi="宋体" w:eastAsia="宋体" w:cs="宋体"/>
      <w:sz w:val="21"/>
      <w:szCs w:val="24"/>
      <w:lang w:val="en-US" w:eastAsia="zh-CN" w:bidi="ar-SA"/>
    </w:rPr>
  </w:style>
  <w:style w:type="paragraph" w:customStyle="1" w:styleId="544">
    <w:name w:val="修订3"/>
    <w:hidden/>
    <w:unhideWhenUsed/>
    <w:qFormat/>
    <w:uiPriority w:val="99"/>
    <w:rPr>
      <w:rFonts w:ascii="宋体" w:hAnsi="宋体" w:eastAsia="宋体" w:cs="宋体"/>
      <w:sz w:val="21"/>
      <w:szCs w:val="24"/>
      <w:lang w:val="en-US" w:eastAsia="zh-CN" w:bidi="ar-SA"/>
    </w:rPr>
  </w:style>
  <w:style w:type="character" w:customStyle="1" w:styleId="545">
    <w:name w:val="font41"/>
    <w:basedOn w:val="130"/>
    <w:qFormat/>
    <w:uiPriority w:val="0"/>
    <w:rPr>
      <w:rFonts w:hint="eastAsia" w:ascii="宋体" w:hAnsi="宋体" w:eastAsia="宋体" w:cs="宋体"/>
      <w:color w:val="000000"/>
      <w:sz w:val="20"/>
      <w:szCs w:val="20"/>
      <w:u w:val="none"/>
    </w:rPr>
  </w:style>
  <w:style w:type="table" w:customStyle="1" w:styleId="546">
    <w:name w:val="网格型2"/>
    <w:basedOn w:val="85"/>
    <w:qFormat/>
    <w:locked/>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7">
    <w:name w:val="表格备注"/>
    <w:basedOn w:val="1"/>
    <w:link w:val="548"/>
    <w:qFormat/>
    <w:uiPriority w:val="0"/>
    <w:pPr>
      <w:spacing w:line="240" w:lineRule="auto"/>
      <w:ind w:firstLine="422" w:firstLineChars="200"/>
    </w:pPr>
    <w:rPr>
      <w:b/>
    </w:rPr>
  </w:style>
  <w:style w:type="character" w:customStyle="1" w:styleId="548">
    <w:name w:val="表格备注 字符"/>
    <w:basedOn w:val="130"/>
    <w:link w:val="547"/>
    <w:qFormat/>
    <w:uiPriority w:val="0"/>
    <w:rPr>
      <w:rFonts w:ascii="宋体" w:hAnsi="宋体" w:cs="宋体"/>
      <w:b/>
      <w:sz w:val="21"/>
      <w:szCs w:val="24"/>
      <w:shd w:val="clear" w:color="auto" w:fill="FFFFFF"/>
    </w:rPr>
  </w:style>
  <w:style w:type="paragraph" w:customStyle="1" w:styleId="549">
    <w:name w:val="0编制指引"/>
    <w:basedOn w:val="1"/>
    <w:link w:val="550"/>
    <w:qFormat/>
    <w:uiPriority w:val="0"/>
    <w:pPr>
      <w:tabs>
        <w:tab w:val="clear" w:pos="426"/>
      </w:tabs>
      <w:spacing w:line="240" w:lineRule="auto"/>
      <w:jc w:val="left"/>
      <w:outlineLvl w:val="4"/>
    </w:pPr>
    <w:rPr>
      <w:i/>
      <w:iCs/>
      <w:color w:val="00B050"/>
    </w:rPr>
  </w:style>
  <w:style w:type="character" w:customStyle="1" w:styleId="550">
    <w:name w:val="0编制指引 字符"/>
    <w:basedOn w:val="130"/>
    <w:link w:val="549"/>
    <w:qFormat/>
    <w:uiPriority w:val="0"/>
    <w:rPr>
      <w:rFonts w:ascii="宋体" w:hAnsi="宋体" w:cs="宋体"/>
      <w:i/>
      <w:iCs/>
      <w:color w:val="00B050"/>
      <w:sz w:val="21"/>
      <w:szCs w:val="24"/>
      <w:shd w:val="clear" w:color="auto" w:fill="FFFFFF"/>
    </w:rPr>
  </w:style>
  <w:style w:type="paragraph" w:customStyle="1" w:styleId="551">
    <w:name w:val="0五号正文"/>
    <w:basedOn w:val="1"/>
    <w:link w:val="552"/>
    <w:qFormat/>
    <w:uiPriority w:val="0"/>
    <w:pPr>
      <w:widowControl w:val="0"/>
      <w:shd w:val="clear" w:color="auto" w:fill="auto"/>
      <w:tabs>
        <w:tab w:val="clear" w:pos="426"/>
      </w:tabs>
      <w:spacing w:line="300" w:lineRule="auto"/>
      <w:ind w:firstLine="420" w:firstLineChars="200"/>
    </w:pPr>
    <w:rPr>
      <w:rFonts w:cs="Times New Roman"/>
      <w:kern w:val="2"/>
      <w:szCs w:val="21"/>
    </w:rPr>
  </w:style>
  <w:style w:type="character" w:customStyle="1" w:styleId="552">
    <w:name w:val="0五号正文 字符"/>
    <w:basedOn w:val="130"/>
    <w:link w:val="551"/>
    <w:qFormat/>
    <w:uiPriority w:val="0"/>
    <w:rPr>
      <w:rFonts w:ascii="宋体" w:hAnsi="宋体"/>
      <w:kern w:val="2"/>
      <w:sz w:val="21"/>
      <w:szCs w:val="21"/>
    </w:rPr>
  </w:style>
  <w:style w:type="paragraph" w:customStyle="1" w:styleId="553">
    <w:name w:val="修订4"/>
    <w:hidden/>
    <w:unhideWhenUsed/>
    <w:qFormat/>
    <w:uiPriority w:val="99"/>
    <w:rPr>
      <w:rFonts w:ascii="宋体" w:hAnsi="宋体" w:eastAsia="宋体" w:cs="宋体"/>
      <w:sz w:val="21"/>
      <w:szCs w:val="24"/>
      <w:lang w:val="en-US" w:eastAsia="zh-CN" w:bidi="ar-SA"/>
    </w:rPr>
  </w:style>
  <w:style w:type="paragraph" w:customStyle="1" w:styleId="554">
    <w:name w:val="Z3级左对齐标题"/>
    <w:basedOn w:val="1"/>
    <w:qFormat/>
    <w:uiPriority w:val="0"/>
    <w:pPr>
      <w:numPr>
        <w:ilvl w:val="0"/>
        <w:numId w:val="1"/>
      </w:numPr>
      <w:spacing w:before="280" w:after="290" w:line="377" w:lineRule="auto"/>
      <w:outlineLvl w:val="2"/>
    </w:pPr>
    <w:rPr>
      <w:b/>
      <w:sz w:val="24"/>
    </w:rPr>
  </w:style>
  <w:style w:type="paragraph" w:customStyle="1" w:styleId="555">
    <w:name w:val="修订5"/>
    <w:hidden/>
    <w:unhideWhenUsed/>
    <w:qFormat/>
    <w:uiPriority w:val="99"/>
    <w:rPr>
      <w:rFonts w:ascii="宋体" w:hAnsi="宋体" w:eastAsia="宋体" w:cs="宋体"/>
      <w:sz w:val="21"/>
      <w:szCs w:val="24"/>
      <w:lang w:val="en-US" w:eastAsia="zh-CN" w:bidi="ar-SA"/>
    </w:rPr>
  </w:style>
  <w:style w:type="paragraph" w:customStyle="1" w:styleId="556">
    <w:name w:val="修订6"/>
    <w:hidden/>
    <w:unhideWhenUsed/>
    <w:qFormat/>
    <w:uiPriority w:val="99"/>
    <w:rPr>
      <w:rFonts w:ascii="宋体" w:hAnsi="宋体" w:eastAsia="宋体" w:cs="宋体"/>
      <w:sz w:val="21"/>
      <w:szCs w:val="24"/>
      <w:lang w:val="en-US" w:eastAsia="zh-CN" w:bidi="ar-SA"/>
    </w:rPr>
  </w:style>
  <w:style w:type="paragraph" w:customStyle="1" w:styleId="557">
    <w:name w:val="修订7"/>
    <w:hidden/>
    <w:unhideWhenUsed/>
    <w:qFormat/>
    <w:uiPriority w:val="99"/>
    <w:rPr>
      <w:rFonts w:ascii="宋体" w:hAnsi="宋体" w:eastAsia="宋体" w:cs="宋体"/>
      <w:sz w:val="21"/>
      <w:szCs w:val="24"/>
      <w:lang w:val="en-US" w:eastAsia="zh-CN" w:bidi="ar-SA"/>
    </w:rPr>
  </w:style>
  <w:style w:type="paragraph" w:customStyle="1" w:styleId="558">
    <w:name w:val="修订8"/>
    <w:hidden/>
    <w:unhideWhenUsed/>
    <w:qFormat/>
    <w:uiPriority w:val="99"/>
    <w:rPr>
      <w:rFonts w:ascii="宋体" w:hAnsi="宋体" w:eastAsia="宋体" w:cs="宋体"/>
      <w:sz w:val="21"/>
      <w:szCs w:val="24"/>
      <w:lang w:val="en-US" w:eastAsia="zh-CN" w:bidi="ar-SA"/>
    </w:rPr>
  </w:style>
  <w:style w:type="paragraph" w:styleId="5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修订9"/>
    <w:hidden/>
    <w:unhideWhenUsed/>
    <w:qFormat/>
    <w:uiPriority w:val="99"/>
    <w:rPr>
      <w:rFonts w:ascii="宋体" w:hAnsi="宋体" w:eastAsia="宋体" w:cs="宋体"/>
      <w:sz w:val="21"/>
      <w:szCs w:val="24"/>
      <w:lang w:val="en-US" w:eastAsia="zh-CN" w:bidi="ar-SA"/>
    </w:rPr>
  </w:style>
  <w:style w:type="character" w:customStyle="1" w:styleId="561">
    <w:name w:val="font21"/>
    <w:basedOn w:val="130"/>
    <w:qFormat/>
    <w:uiPriority w:val="0"/>
    <w:rPr>
      <w:rFonts w:hint="eastAsia" w:ascii="宋体" w:hAnsi="宋体" w:eastAsia="宋体" w:cs="宋体"/>
      <w:b/>
      <w:bCs/>
      <w:color w:val="000000"/>
      <w:sz w:val="22"/>
      <w:szCs w:val="22"/>
      <w:u w:val="none"/>
    </w:rPr>
  </w:style>
  <w:style w:type="paragraph" w:customStyle="1" w:styleId="562">
    <w:name w:val="_Style 1"/>
    <w:basedOn w:val="1"/>
    <w:next w:val="1"/>
    <w:qFormat/>
    <w:uiPriority w:val="99"/>
    <w:pPr>
      <w:ind w:firstLine="420" w:firstLineChars="200"/>
    </w:pPr>
  </w:style>
  <w:style w:type="paragraph" w:customStyle="1" w:styleId="563">
    <w:name w:val="0表格正文"/>
    <w:basedOn w:val="1"/>
    <w:qFormat/>
    <w:uiPriority w:val="0"/>
    <w:pPr>
      <w:tabs>
        <w:tab w:val="clear" w:pos="426"/>
      </w:tabs>
      <w:spacing w:line="240" w:lineRule="auto"/>
      <w:jc w:val="left"/>
    </w:pPr>
    <w:rPr>
      <w:szCs w:val="21"/>
    </w:rPr>
  </w:style>
  <w:style w:type="paragraph" w:customStyle="1" w:styleId="564">
    <w:name w:val="修订10"/>
    <w:hidden/>
    <w:unhideWhenUsed/>
    <w:qFormat/>
    <w:uiPriority w:val="99"/>
    <w:rPr>
      <w:rFonts w:ascii="宋体" w:hAnsi="宋体" w:eastAsia="宋体" w:cs="宋体"/>
      <w:sz w:val="21"/>
      <w:szCs w:val="24"/>
      <w:lang w:val="en-US" w:eastAsia="zh-CN" w:bidi="ar-SA"/>
    </w:rPr>
  </w:style>
  <w:style w:type="paragraph" w:customStyle="1" w:styleId="565">
    <w:name w:val="修订12"/>
    <w:hidden/>
    <w:unhideWhenUsed/>
    <w:qFormat/>
    <w:uiPriority w:val="99"/>
    <w:rPr>
      <w:rFonts w:ascii="宋体" w:hAnsi="宋体" w:eastAsia="宋体" w:cs="宋体"/>
      <w:sz w:val="21"/>
      <w:szCs w:val="24"/>
      <w:lang w:val="en-US" w:eastAsia="zh-CN" w:bidi="ar-SA"/>
    </w:rPr>
  </w:style>
  <w:style w:type="paragraph" w:customStyle="1" w:styleId="566">
    <w:name w:val="样式 112 10 磅"/>
    <w:next w:val="44"/>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7">
    <w:name w:val="样式 113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8">
    <w:name w:val="样式 11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69">
    <w:name w:val="样式 11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0">
    <w:name w:val="样式 116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1">
    <w:name w:val="样式 117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2">
    <w:name w:val="样式 118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3">
    <w:name w:val="样式 119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4">
    <w:name w:val="样式 120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5">
    <w:name w:val="样式 12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6">
    <w:name w:val="样式 122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7">
    <w:name w:val="样式 123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8">
    <w:name w:val="样式 124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79">
    <w:name w:val="样式 125 10 磅"/>
    <w:next w:val="1"/>
    <w:qFormat/>
    <w:uiPriority w:val="0"/>
    <w:pPr>
      <w:widowControl w:val="0"/>
      <w:jc w:val="both"/>
    </w:pPr>
    <w:rPr>
      <w:rFonts w:ascii="宋体" w:hAnsi="Times New Roman" w:eastAsia="宋体" w:cs="Times New Roman"/>
      <w:kern w:val="2"/>
      <w:sz w:val="21"/>
      <w:szCs w:val="21"/>
      <w:lang w:val="en-US" w:eastAsia="zh-CN" w:bidi="ar-SA"/>
    </w:rPr>
  </w:style>
  <w:style w:type="paragraph" w:customStyle="1" w:styleId="580">
    <w:name w:val="样式 4 10 磅2"/>
    <w:qFormat/>
    <w:uiPriority w:val="0"/>
    <w:pPr>
      <w:widowControl w:val="0"/>
      <w:jc w:val="both"/>
    </w:pPr>
    <w:rPr>
      <w:rFonts w:ascii="等线" w:hAnsi="Times New Roman" w:eastAsia="等线" w:cs="Times New Roman"/>
      <w:kern w:val="2"/>
      <w:sz w:val="21"/>
      <w:szCs w:val="22"/>
      <w:lang w:val="en-US" w:eastAsia="zh-CN" w:bidi="ar-SA"/>
    </w:rPr>
  </w:style>
  <w:style w:type="paragraph" w:customStyle="1" w:styleId="581">
    <w:name w:val="样式 182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2">
    <w:name w:val="样式 314 10 磅"/>
    <w:qFormat/>
    <w:uiPriority w:val="0"/>
    <w:pPr>
      <w:widowControl w:val="0"/>
      <w:jc w:val="both"/>
    </w:pPr>
    <w:rPr>
      <w:rFonts w:ascii="Calibri" w:hAnsi="Calibri" w:eastAsia="宋体" w:cs="Times New Roman"/>
      <w:kern w:val="2"/>
      <w:sz w:val="21"/>
      <w:szCs w:val="22"/>
      <w:lang w:val="en-US" w:eastAsia="en-US" w:bidi="ar-SA"/>
    </w:rPr>
  </w:style>
  <w:style w:type="paragraph" w:customStyle="1" w:styleId="583">
    <w:name w:val="修订13"/>
    <w:hidden/>
    <w:unhideWhenUsed/>
    <w:qFormat/>
    <w:uiPriority w:val="99"/>
    <w:rPr>
      <w:rFonts w:ascii="宋体" w:hAnsi="宋体" w:eastAsia="宋体" w:cs="宋体"/>
      <w:sz w:val="21"/>
      <w:szCs w:val="24"/>
      <w:lang w:val="en-US" w:eastAsia="zh-CN" w:bidi="ar-SA"/>
    </w:rPr>
  </w:style>
  <w:style w:type="paragraph" w:customStyle="1" w:styleId="584">
    <w:name w:val="样式 26 10 磅"/>
    <w:basedOn w:val="1"/>
    <w:qFormat/>
    <w:uiPriority w:val="0"/>
    <w:rPr>
      <w:rFonts w:hAnsi="Times New Roman" w:cs="Times New Roman"/>
      <w:szCs w:val="21"/>
    </w:rPr>
  </w:style>
  <w:style w:type="paragraph" w:customStyle="1" w:styleId="585">
    <w:name w:val="样式 25 10 磅"/>
    <w:basedOn w:val="1"/>
    <w:qFormat/>
    <w:uiPriority w:val="0"/>
    <w:rPr>
      <w:rFonts w:hAnsi="Times New Roman" w:cs="Times New Roman"/>
      <w:szCs w:val="21"/>
    </w:rPr>
  </w:style>
  <w:style w:type="paragraph" w:customStyle="1" w:styleId="586">
    <w:name w:val="样式 24 10 磅"/>
    <w:basedOn w:val="1"/>
    <w:qFormat/>
    <w:uiPriority w:val="0"/>
    <w:rPr>
      <w:rFonts w:ascii="Calibri" w:hAnsi="Calibri" w:cs="Times New Roman"/>
      <w:szCs w:val="21"/>
    </w:rPr>
  </w:style>
  <w:style w:type="paragraph" w:customStyle="1" w:styleId="587">
    <w:name w:val="样式 23 10 磅"/>
    <w:basedOn w:val="1"/>
    <w:qFormat/>
    <w:uiPriority w:val="0"/>
    <w:rPr>
      <w:rFonts w:hAnsi="Times New Roman" w:cs="Times New Roman"/>
      <w:szCs w:val="21"/>
    </w:rPr>
  </w:style>
  <w:style w:type="paragraph" w:customStyle="1" w:styleId="588">
    <w:name w:val="样式 22 10 磅"/>
    <w:basedOn w:val="1"/>
    <w:qFormat/>
    <w:uiPriority w:val="0"/>
    <w:rPr>
      <w:rFonts w:hAnsi="Times New Roman" w:cs="Times New Roman"/>
      <w:szCs w:val="21"/>
    </w:rPr>
  </w:style>
  <w:style w:type="paragraph" w:customStyle="1" w:styleId="589">
    <w:name w:val="样式 21 10 磅"/>
    <w:basedOn w:val="1"/>
    <w:qFormat/>
    <w:uiPriority w:val="0"/>
    <w:rPr>
      <w:rFonts w:hAnsi="Times New Roman" w:cs="Times New Roman"/>
      <w:szCs w:val="21"/>
    </w:rPr>
  </w:style>
  <w:style w:type="paragraph" w:customStyle="1" w:styleId="590">
    <w:name w:val="样式 20 10 磅"/>
    <w:basedOn w:val="1"/>
    <w:qFormat/>
    <w:uiPriority w:val="0"/>
    <w:rPr>
      <w:rFonts w:hAnsi="Times New Roman" w:cs="Times New Roman"/>
      <w:szCs w:val="21"/>
    </w:rPr>
  </w:style>
  <w:style w:type="paragraph" w:customStyle="1" w:styleId="591">
    <w:name w:val="样式 19 10 磅"/>
    <w:basedOn w:val="1"/>
    <w:qFormat/>
    <w:uiPriority w:val="0"/>
    <w:rPr>
      <w:rFonts w:hAnsi="Times New Roman" w:cs="Times New Roman"/>
      <w:szCs w:val="21"/>
    </w:rPr>
  </w:style>
  <w:style w:type="paragraph" w:customStyle="1" w:styleId="592">
    <w:name w:val="样式 18 10 磅"/>
    <w:basedOn w:val="1"/>
    <w:qFormat/>
    <w:uiPriority w:val="0"/>
    <w:rPr>
      <w:rFonts w:hAnsi="Times New Roman" w:cs="Times New Roman"/>
      <w:szCs w:val="21"/>
    </w:rPr>
  </w:style>
  <w:style w:type="paragraph" w:customStyle="1" w:styleId="593">
    <w:name w:val="样式 17 10 磅"/>
    <w:basedOn w:val="1"/>
    <w:qFormat/>
    <w:uiPriority w:val="0"/>
    <w:rPr>
      <w:rFonts w:hAnsi="Times New Roman" w:cs="Times New Roman"/>
      <w:szCs w:val="21"/>
    </w:rPr>
  </w:style>
  <w:style w:type="paragraph" w:customStyle="1" w:styleId="594">
    <w:name w:val="样式 16 10 磅"/>
    <w:basedOn w:val="1"/>
    <w:qFormat/>
    <w:uiPriority w:val="0"/>
    <w:rPr>
      <w:rFonts w:hAnsi="Times New Roman" w:cs="Times New Roman"/>
      <w:szCs w:val="21"/>
    </w:rPr>
  </w:style>
  <w:style w:type="paragraph" w:customStyle="1" w:styleId="595">
    <w:name w:val="样式 15 10 磅"/>
    <w:basedOn w:val="1"/>
    <w:qFormat/>
    <w:uiPriority w:val="0"/>
    <w:rPr>
      <w:rFonts w:hAnsi="Times New Roman" w:cs="Times New Roman"/>
      <w:szCs w:val="21"/>
    </w:rPr>
  </w:style>
  <w:style w:type="paragraph" w:customStyle="1" w:styleId="596">
    <w:name w:val="样式 14 10 磅"/>
    <w:basedOn w:val="1"/>
    <w:qFormat/>
    <w:uiPriority w:val="0"/>
    <w:rPr>
      <w:rFonts w:hAnsi="Times New Roman" w:cs="Times New Roman"/>
      <w:szCs w:val="21"/>
    </w:rPr>
  </w:style>
  <w:style w:type="paragraph" w:customStyle="1" w:styleId="597">
    <w:name w:val="样式 13 10 磅"/>
    <w:basedOn w:val="1"/>
    <w:qFormat/>
    <w:uiPriority w:val="0"/>
    <w:rPr>
      <w:rFonts w:hAnsi="Times New Roman" w:cs="Times New Roman"/>
      <w:szCs w:val="21"/>
    </w:rPr>
  </w:style>
  <w:style w:type="paragraph" w:customStyle="1" w:styleId="598">
    <w:name w:val="样式 12 10 磅"/>
    <w:basedOn w:val="1"/>
    <w:qFormat/>
    <w:uiPriority w:val="0"/>
    <w:rPr>
      <w:rFonts w:hAnsi="Times New Roman" w:cs="Times New Roman"/>
      <w:szCs w:val="21"/>
    </w:rPr>
  </w:style>
  <w:style w:type="paragraph" w:customStyle="1" w:styleId="599">
    <w:name w:val="样式 11 10 磅"/>
    <w:basedOn w:val="1"/>
    <w:qFormat/>
    <w:uiPriority w:val="0"/>
    <w:rPr>
      <w:rFonts w:hAnsi="Times New Roman" w:cs="Times New Roman"/>
      <w:szCs w:val="21"/>
    </w:rPr>
  </w:style>
  <w:style w:type="paragraph" w:customStyle="1" w:styleId="600">
    <w:name w:val="样式 10 10 磅"/>
    <w:basedOn w:val="1"/>
    <w:qFormat/>
    <w:uiPriority w:val="0"/>
    <w:rPr>
      <w:rFonts w:hAnsi="Times New Roman" w:cs="Times New Roman"/>
      <w:szCs w:val="21"/>
    </w:rPr>
  </w:style>
  <w:style w:type="paragraph" w:customStyle="1" w:styleId="601">
    <w:name w:val="样式 9 10 磅"/>
    <w:basedOn w:val="1"/>
    <w:qFormat/>
    <w:uiPriority w:val="0"/>
    <w:rPr>
      <w:rFonts w:hAnsi="Times New Roman" w:cs="Times New Roman"/>
      <w:szCs w:val="21"/>
    </w:rPr>
  </w:style>
  <w:style w:type="paragraph" w:customStyle="1" w:styleId="602">
    <w:name w:val="样式 8 10 磅"/>
    <w:basedOn w:val="1"/>
    <w:qFormat/>
    <w:uiPriority w:val="0"/>
    <w:rPr>
      <w:rFonts w:hAnsi="Times New Roman" w:cs="Times New Roman"/>
      <w:szCs w:val="21"/>
    </w:rPr>
  </w:style>
  <w:style w:type="paragraph" w:customStyle="1" w:styleId="603">
    <w:name w:val="样式 47 10 磅"/>
    <w:basedOn w:val="1"/>
    <w:qFormat/>
    <w:uiPriority w:val="0"/>
    <w:rPr>
      <w:rFonts w:ascii="Times New Roman" w:hAnsi="Times New Roman" w:cs="Times New Roman"/>
      <w:szCs w:val="21"/>
    </w:rPr>
  </w:style>
  <w:style w:type="paragraph" w:customStyle="1" w:styleId="604">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5">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6">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7">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9">
    <w:name w:val="样式 4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2">
    <w:name w:val="样式 46 10 磅"/>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3">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4">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6">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7">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8">
    <w:name w:val="修订14"/>
    <w:hidden/>
    <w:unhideWhenUsed/>
    <w:qFormat/>
    <w:uiPriority w:val="99"/>
    <w:rPr>
      <w:rFonts w:ascii="宋体" w:hAnsi="宋体" w:eastAsia="宋体" w:cs="宋体"/>
      <w:sz w:val="21"/>
      <w:szCs w:val="24"/>
      <w:lang w:val="en-US" w:eastAsia="zh-CN" w:bidi="ar-SA"/>
    </w:rPr>
  </w:style>
  <w:style w:type="paragraph" w:customStyle="1" w:styleId="619">
    <w:name w:val="样式 253 三号"/>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customStyle="1" w:styleId="620">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1">
    <w:name w:val="样式 3 三号"/>
    <w:qFormat/>
    <w:uiPriority w:val="0"/>
    <w:pPr>
      <w:keepNext/>
      <w:keepLines/>
      <w:spacing w:before="340" w:line="259" w:lineRule="auto"/>
    </w:pPr>
    <w:rPr>
      <w:rFonts w:ascii="等线 Light" w:hAnsi="Times New Roman" w:eastAsia="等线 Light" w:cs="Times New Roman"/>
      <w:color w:val="2E74B5"/>
      <w:kern w:val="2"/>
      <w:sz w:val="32"/>
      <w:szCs w:val="32"/>
      <w:lang w:val="en-US" w:eastAsia="zh-CN" w:bidi="ar-SA"/>
    </w:rPr>
  </w:style>
  <w:style w:type="paragraph" w:customStyle="1" w:styleId="622">
    <w:name w:val="正文_2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3">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4">
    <w:name w:val="正文_9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5">
    <w:name w:val="正文_9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6">
    <w:name w:val="正文_9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7">
    <w:name w:val="正文_32"/>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8">
    <w:name w:val="正文_18"/>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29">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0">
    <w:name w:val="正文_3"/>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631">
    <w:name w:val="正文_114"/>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2">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3">
    <w:name w:val="正文_13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4">
    <w:name w:val="正文_101"/>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5">
    <w:name w:val="样式 2 三号_17"/>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6">
    <w:name w:val="正文_6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7">
    <w:name w:val="正文_50"/>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8">
    <w:name w:val="正文_66"/>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639">
    <w:name w:val="样式 30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0">
    <w:name w:val="修订15"/>
    <w:hidden/>
    <w:semiHidden/>
    <w:qFormat/>
    <w:uiPriority w:val="99"/>
    <w:rPr>
      <w:rFonts w:ascii="宋体" w:hAnsi="宋体" w:eastAsia="宋体" w:cs="宋体"/>
      <w:sz w:val="21"/>
      <w:szCs w:val="24"/>
      <w:lang w:val="en-US" w:eastAsia="zh-CN" w:bidi="ar-SA"/>
    </w:rPr>
  </w:style>
  <w:style w:type="paragraph" w:customStyle="1" w:styleId="641">
    <w:name w:val="修订16"/>
    <w:hidden/>
    <w:unhideWhenUsed/>
    <w:qFormat/>
    <w:uiPriority w:val="99"/>
    <w:rPr>
      <w:rFonts w:ascii="宋体" w:hAnsi="宋体" w:eastAsia="宋体" w:cs="宋体"/>
      <w:sz w:val="21"/>
      <w:szCs w:val="24"/>
      <w:lang w:val="en-US" w:eastAsia="zh-CN" w:bidi="ar-SA"/>
    </w:rPr>
  </w:style>
  <w:style w:type="paragraph" w:customStyle="1" w:styleId="642">
    <w:name w:val="修订17"/>
    <w:hidden/>
    <w:unhideWhenUsed/>
    <w:qFormat/>
    <w:uiPriority w:val="99"/>
    <w:rPr>
      <w:rFonts w:ascii="宋体" w:hAnsi="宋体" w:eastAsia="宋体" w:cs="宋体"/>
      <w:sz w:val="21"/>
      <w:szCs w:val="24"/>
      <w:lang w:val="en-US" w:eastAsia="zh-CN" w:bidi="ar-SA"/>
    </w:rPr>
  </w:style>
  <w:style w:type="paragraph" w:customStyle="1" w:styleId="643">
    <w:name w:val="修订18"/>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7D91-4A4F-4461-94B9-B7371838CCB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110</Pages>
  <Words>65447</Words>
  <Characters>71162</Characters>
  <Lines>611</Lines>
  <Paragraphs>172</Paragraphs>
  <TotalTime>20</TotalTime>
  <ScaleCrop>false</ScaleCrop>
  <LinksUpToDate>false</LinksUpToDate>
  <CharactersWithSpaces>72457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2024-10-21T01:11:00Z</dcterms:created>
  <dc:creator>thsware</dc:creator>
  <cp:lastModifiedBy>微信用户</cp:lastModifiedBy>
  <cp:lastPrinted>2024-10-12T06:08:00Z</cp:lastPrinted>
  <dcterms:modified xsi:type="dcterms:W3CDTF">2024-10-21T10:22:08Z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FEF743CDA3374A10B04DE71152E3EBDD_13</vt:lpwstr>
  </property>
</Properties>
</file>