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highlight w:val="none"/>
        </w:rPr>
      </w:pPr>
    </w:p>
    <w:p>
      <w:pPr>
        <w:tabs>
          <w:tab w:val="clear" w:pos="426"/>
        </w:tabs>
        <w:rPr>
          <w:highlight w:val="none"/>
        </w:rPr>
      </w:pPr>
    </w:p>
    <w:p>
      <w:pPr>
        <w:pStyle w:val="291"/>
        <w:rPr>
          <w:rFonts w:hint="default" w:eastAsia="宋体"/>
          <w:highlight w:val="none"/>
          <w:lang w:val="en-US" w:eastAsia="zh-CN"/>
        </w:rPr>
      </w:pPr>
      <w:r>
        <w:rPr>
          <w:rFonts w:hint="eastAsia"/>
          <w:highlight w:val="none"/>
        </w:rPr>
        <w:t>采购项目编号：</w:t>
      </w:r>
      <w:r>
        <w:rPr>
          <w:rFonts w:hint="eastAsia"/>
          <w:lang w:eastAsia="zh-CN"/>
        </w:rPr>
        <w:t>FTDL2021187961</w:t>
      </w:r>
    </w:p>
    <w:p>
      <w:pPr>
        <w:tabs>
          <w:tab w:val="clear" w:pos="426"/>
        </w:tabs>
        <w:rPr>
          <w:highlight w:val="none"/>
        </w:rPr>
      </w:pPr>
    </w:p>
    <w:p>
      <w:pPr>
        <w:tabs>
          <w:tab w:val="clear" w:pos="426"/>
        </w:tabs>
        <w:rPr>
          <w:highlight w:val="none"/>
        </w:rPr>
      </w:pPr>
    </w:p>
    <w:p>
      <w:pPr>
        <w:tabs>
          <w:tab w:val="clear" w:pos="426"/>
        </w:tabs>
        <w:rPr>
          <w:highlight w:val="none"/>
        </w:rPr>
      </w:pPr>
    </w:p>
    <w:p>
      <w:pPr>
        <w:pStyle w:val="290"/>
        <w:rPr>
          <w:highlight w:val="none"/>
        </w:rPr>
      </w:pPr>
      <w:r>
        <w:rPr>
          <w:rFonts w:hint="eastAsia"/>
          <w:highlight w:val="none"/>
        </w:rPr>
        <w:t>深圳市</w:t>
      </w:r>
      <w:r>
        <w:rPr>
          <w:rFonts w:hint="eastAsia"/>
          <w:highlight w:val="none"/>
          <w:lang w:val="en-US" w:eastAsia="zh-CN"/>
        </w:rPr>
        <w:t>福田区</w:t>
      </w:r>
      <w:r>
        <w:rPr>
          <w:rFonts w:hint="eastAsia"/>
          <w:highlight w:val="none"/>
        </w:rPr>
        <w:t>政府采购</w:t>
      </w:r>
    </w:p>
    <w:p>
      <w:pPr>
        <w:pStyle w:val="290"/>
        <w:rPr>
          <w:highlight w:val="none"/>
        </w:rPr>
      </w:pPr>
      <w:r>
        <w:rPr>
          <w:rFonts w:hint="eastAsia"/>
          <w:highlight w:val="none"/>
        </w:rPr>
        <w:t>招标文件</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pStyle w:val="293"/>
        <w:rPr>
          <w:highlight w:val="none"/>
        </w:rPr>
      </w:pPr>
      <w:r>
        <w:rPr>
          <w:rFonts w:hint="eastAsia"/>
          <w:highlight w:val="none"/>
        </w:rPr>
        <w:t>【</w:t>
      </w:r>
      <w:r>
        <w:rPr>
          <w:rFonts w:hint="eastAsia"/>
          <w:highlight w:val="none"/>
          <w:lang w:val="en-US" w:eastAsia="zh-CN"/>
        </w:rPr>
        <w:t>服务</w:t>
      </w:r>
      <w:r>
        <w:rPr>
          <w:rFonts w:hint="eastAsia"/>
          <w:highlight w:val="none"/>
        </w:rPr>
        <w:t>类】</w:t>
      </w:r>
    </w:p>
    <w:p>
      <w:pPr>
        <w:tabs>
          <w:tab w:val="clear" w:pos="426"/>
        </w:tabs>
        <w:spacing w:line="240" w:lineRule="auto"/>
        <w:ind w:firstLine="420" w:firstLineChars="200"/>
        <w:jc w:val="left"/>
        <w:rPr>
          <w:i/>
          <w:iCs/>
          <w:color w:val="00B050"/>
          <w:highlight w:val="none"/>
        </w:rPr>
      </w:pPr>
      <w:r>
        <w:rPr>
          <w:rFonts w:hint="eastAsia"/>
          <w:i/>
          <w:iCs/>
          <w:color w:val="00B050"/>
          <w:highlight w:val="none"/>
        </w:rPr>
        <w:t>。</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pStyle w:val="295"/>
        <w:ind w:left="1418" w:hanging="1418"/>
        <w:rPr>
          <w:rFonts w:hint="default"/>
          <w:highlight w:val="none"/>
          <w:u w:val="single"/>
          <w:lang w:val="en-US"/>
        </w:rPr>
      </w:pPr>
      <w:r>
        <w:rPr>
          <w:rFonts w:hint="eastAsia"/>
          <w:highlight w:val="none"/>
        </w:rPr>
        <w:t>项目名称：</w:t>
      </w:r>
      <w:r>
        <w:rPr>
          <w:rFonts w:hint="eastAsia"/>
          <w:highlight w:val="none"/>
          <w:u w:val="single"/>
          <w:lang w:eastAsia="zh-CN"/>
        </w:rPr>
        <w:t>福田区水务工程第三方安全检查与检测技术服务</w:t>
      </w:r>
      <w:r>
        <w:rPr>
          <w:rFonts w:hint="eastAsia"/>
          <w:highlight w:val="none"/>
          <w:u w:val="single"/>
          <w:lang w:val="en-US" w:eastAsia="zh-CN"/>
        </w:rPr>
        <w:t xml:space="preserve">  </w:t>
      </w:r>
    </w:p>
    <w:p>
      <w:pPr>
        <w:pStyle w:val="295"/>
        <w:rPr>
          <w:highlight w:val="none"/>
          <w:u w:val="none"/>
        </w:rPr>
      </w:pPr>
    </w:p>
    <w:p>
      <w:pPr>
        <w:pStyle w:val="295"/>
        <w:rPr>
          <w:rFonts w:hint="default"/>
          <w:highlight w:val="none"/>
          <w:u w:val="none"/>
          <w:lang w:val="en-US"/>
        </w:rPr>
      </w:pPr>
      <w:bookmarkStart w:id="0" w:name="_Hlk41553452"/>
      <w:r>
        <w:rPr>
          <w:rFonts w:hint="eastAsia"/>
          <w:highlight w:val="none"/>
          <w:u w:val="none"/>
        </w:rPr>
        <w:t>采购人名称：</w:t>
      </w:r>
      <w:r>
        <w:rPr>
          <w:rFonts w:hint="eastAsia"/>
          <w:highlight w:val="none"/>
          <w:u w:val="single"/>
          <w:lang w:eastAsia="zh-CN"/>
        </w:rPr>
        <w:t>深圳市福田区水务局</w:t>
      </w:r>
      <w:r>
        <w:rPr>
          <w:rFonts w:hint="eastAsia"/>
          <w:highlight w:val="none"/>
          <w:u w:val="single"/>
          <w:lang w:val="en-US" w:eastAsia="zh-CN"/>
        </w:rPr>
        <w:t xml:space="preserve">                  </w:t>
      </w:r>
    </w:p>
    <w:p>
      <w:pPr>
        <w:pStyle w:val="295"/>
        <w:rPr>
          <w:highlight w:val="none"/>
          <w:u w:val="none"/>
        </w:rPr>
      </w:pPr>
    </w:p>
    <w:p>
      <w:pPr>
        <w:pStyle w:val="295"/>
        <w:rPr>
          <w:rFonts w:hint="default" w:eastAsia="宋体"/>
          <w:highlight w:val="none"/>
          <w:u w:val="none"/>
          <w:lang w:val="en-US" w:eastAsia="zh-CN"/>
        </w:rPr>
      </w:pPr>
      <w:r>
        <w:rPr>
          <w:rFonts w:hint="eastAsia"/>
          <w:highlight w:val="none"/>
          <w:u w:val="none"/>
        </w:rPr>
        <w:t>采购代理机构名称：</w:t>
      </w:r>
      <w:r>
        <w:rPr>
          <w:rFonts w:hint="eastAsia"/>
          <w:highlight w:val="none"/>
          <w:u w:val="single"/>
        </w:rPr>
        <w:t>深圳市深水水务咨询有限公司</w:t>
      </w:r>
      <w:r>
        <w:rPr>
          <w:rFonts w:hint="eastAsia"/>
          <w:highlight w:val="none"/>
          <w:u w:val="single"/>
          <w:lang w:val="en-US" w:eastAsia="zh-CN"/>
        </w:rPr>
        <w:t xml:space="preserve">    </w:t>
      </w:r>
    </w:p>
    <w:bookmarkEnd w:id="0"/>
    <w:p>
      <w:pPr>
        <w:tabs>
          <w:tab w:val="clear" w:pos="426"/>
        </w:tabs>
        <w:rPr>
          <w:highlight w:val="none"/>
        </w:rPr>
      </w:pPr>
      <w:r>
        <w:rPr>
          <w:highlight w:val="none"/>
        </w:rPr>
        <w:br w:type="page"/>
      </w:r>
    </w:p>
    <w:p>
      <w:pPr>
        <w:pStyle w:val="299"/>
        <w:rPr>
          <w:highlight w:val="none"/>
        </w:rPr>
      </w:pPr>
      <w:r>
        <w:rPr>
          <w:rFonts w:hint="eastAsia"/>
          <w:highlight w:val="none"/>
        </w:rPr>
        <w:t>目      录</w:t>
      </w:r>
    </w:p>
    <w:p>
      <w:pPr>
        <w:tabs>
          <w:tab w:val="clear" w:pos="426"/>
        </w:tabs>
        <w:jc w:val="center"/>
        <w:rPr>
          <w:sz w:val="32"/>
          <w:szCs w:val="32"/>
          <w:highlight w:val="none"/>
        </w:rPr>
      </w:pPr>
    </w:p>
    <w:p>
      <w:pPr>
        <w:pStyle w:val="31"/>
        <w:rPr>
          <w:rFonts w:asciiTheme="minorHAnsi" w:hAnsiTheme="minorHAnsi" w:eastAsiaTheme="minorEastAsia" w:cstheme="minorBidi"/>
          <w:b w:val="0"/>
          <w:bCs w:val="0"/>
          <w:caps w:val="0"/>
          <w:kern w:val="2"/>
          <w:sz w:val="21"/>
          <w:szCs w:val="22"/>
          <w:highlight w:val="none"/>
        </w:rPr>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"_Toc67387137" </w:instrText>
      </w:r>
      <w:r>
        <w:rPr>
          <w:highlight w:val="none"/>
        </w:rPr>
        <w:fldChar w:fldCharType="separate"/>
      </w:r>
      <w:r>
        <w:rPr>
          <w:rStyle w:val="52"/>
          <w:highlight w:val="none"/>
        </w:rPr>
        <w:t>第一册  专用条款</w:t>
      </w:r>
      <w:r>
        <w:rPr>
          <w:highlight w:val="none"/>
        </w:rPr>
        <w:tab/>
      </w:r>
      <w:r>
        <w:rPr>
          <w:highlight w:val="none"/>
        </w:rPr>
        <w:fldChar w:fldCharType="begin"/>
      </w:r>
      <w:r>
        <w:rPr>
          <w:highlight w:val="none"/>
        </w:rPr>
        <w:instrText xml:space="preserve"> PAGEREF _Toc67387137 \h </w:instrText>
      </w:r>
      <w:r>
        <w:rPr>
          <w:highlight w:val="none"/>
        </w:rPr>
        <w:fldChar w:fldCharType="separate"/>
      </w:r>
      <w:r>
        <w:rPr>
          <w:highlight w:val="none"/>
        </w:rPr>
        <w:t>1</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"_Toc67387138" </w:instrText>
      </w:r>
      <w:r>
        <w:rPr>
          <w:highlight w:val="none"/>
        </w:rPr>
        <w:fldChar w:fldCharType="separate"/>
      </w:r>
      <w:r>
        <w:rPr>
          <w:rStyle w:val="52"/>
          <w:highlight w:val="none"/>
        </w:rPr>
        <w:t>警示条款</w:t>
      </w:r>
      <w:r>
        <w:rPr>
          <w:highlight w:val="none"/>
        </w:rPr>
        <w:tab/>
      </w:r>
      <w:r>
        <w:rPr>
          <w:highlight w:val="none"/>
        </w:rPr>
        <w:fldChar w:fldCharType="begin"/>
      </w:r>
      <w:r>
        <w:rPr>
          <w:highlight w:val="none"/>
        </w:rPr>
        <w:instrText xml:space="preserve"> PAGEREF _Toc67387138 \h </w:instrText>
      </w:r>
      <w:r>
        <w:rPr>
          <w:highlight w:val="none"/>
        </w:rPr>
        <w:fldChar w:fldCharType="separate"/>
      </w:r>
      <w:r>
        <w:rPr>
          <w:highlight w:val="none"/>
        </w:rPr>
        <w:t>1</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"_Toc67387139" </w:instrText>
      </w:r>
      <w:r>
        <w:rPr>
          <w:highlight w:val="none"/>
        </w:rPr>
        <w:fldChar w:fldCharType="separate"/>
      </w:r>
      <w:r>
        <w:rPr>
          <w:rStyle w:val="52"/>
          <w:highlight w:val="none"/>
        </w:rPr>
        <w:t>关键信息</w:t>
      </w:r>
      <w:r>
        <w:rPr>
          <w:highlight w:val="none"/>
        </w:rPr>
        <w:tab/>
      </w:r>
      <w:r>
        <w:rPr>
          <w:highlight w:val="none"/>
        </w:rPr>
        <w:fldChar w:fldCharType="begin"/>
      </w:r>
      <w:r>
        <w:rPr>
          <w:highlight w:val="none"/>
        </w:rPr>
        <w:instrText xml:space="preserve"> PAGEREF _Toc67387139 \h </w:instrText>
      </w:r>
      <w:r>
        <w:rPr>
          <w:highlight w:val="none"/>
        </w:rPr>
        <w:fldChar w:fldCharType="separate"/>
      </w:r>
      <w:r>
        <w:rPr>
          <w:highlight w:val="none"/>
        </w:rPr>
        <w:t>3</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"_Toc67387140" </w:instrText>
      </w:r>
      <w:r>
        <w:rPr>
          <w:highlight w:val="none"/>
        </w:rPr>
        <w:fldChar w:fldCharType="separate"/>
      </w:r>
      <w:r>
        <w:rPr>
          <w:rStyle w:val="52"/>
          <w:highlight w:val="none"/>
        </w:rPr>
        <w:t>第一章 采购公告</w:t>
      </w:r>
      <w:r>
        <w:rPr>
          <w:highlight w:val="none"/>
        </w:rPr>
        <w:tab/>
      </w:r>
      <w:r>
        <w:rPr>
          <w:highlight w:val="none"/>
        </w:rPr>
        <w:fldChar w:fldCharType="begin"/>
      </w:r>
      <w:r>
        <w:rPr>
          <w:highlight w:val="none"/>
        </w:rPr>
        <w:instrText xml:space="preserve"> PAGEREF _Toc67387140 \h </w:instrText>
      </w:r>
      <w:r>
        <w:rPr>
          <w:highlight w:val="none"/>
        </w:rPr>
        <w:fldChar w:fldCharType="separate"/>
      </w:r>
      <w:r>
        <w:rPr>
          <w:highlight w:val="none"/>
        </w:rPr>
        <w:t>16</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"_Toc67387141" </w:instrText>
      </w:r>
      <w:r>
        <w:rPr>
          <w:highlight w:val="none"/>
        </w:rPr>
        <w:fldChar w:fldCharType="separate"/>
      </w:r>
      <w:r>
        <w:rPr>
          <w:rStyle w:val="52"/>
          <w:highlight w:val="none"/>
        </w:rPr>
        <w:t>第二章 投标须知前附表</w:t>
      </w:r>
      <w:r>
        <w:rPr>
          <w:highlight w:val="none"/>
        </w:rPr>
        <w:tab/>
      </w:r>
      <w:r>
        <w:rPr>
          <w:highlight w:val="none"/>
        </w:rPr>
        <w:fldChar w:fldCharType="begin"/>
      </w:r>
      <w:r>
        <w:rPr>
          <w:highlight w:val="none"/>
        </w:rPr>
        <w:instrText xml:space="preserve"> PAGEREF _Toc67387141 \h </w:instrText>
      </w:r>
      <w:r>
        <w:rPr>
          <w:highlight w:val="none"/>
        </w:rPr>
        <w:fldChar w:fldCharType="separate"/>
      </w:r>
      <w:r>
        <w:rPr>
          <w:highlight w:val="none"/>
        </w:rPr>
        <w:t>19</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"_Toc67387142" </w:instrText>
      </w:r>
      <w:r>
        <w:rPr>
          <w:highlight w:val="none"/>
        </w:rPr>
        <w:fldChar w:fldCharType="separate"/>
      </w:r>
      <w:r>
        <w:rPr>
          <w:rStyle w:val="52"/>
          <w:highlight w:val="none"/>
        </w:rPr>
        <w:t>第三章 项目需求</w:t>
      </w:r>
      <w:r>
        <w:rPr>
          <w:highlight w:val="none"/>
        </w:rPr>
        <w:tab/>
      </w:r>
      <w:r>
        <w:rPr>
          <w:highlight w:val="none"/>
        </w:rPr>
        <w:fldChar w:fldCharType="begin"/>
      </w:r>
      <w:r>
        <w:rPr>
          <w:highlight w:val="none"/>
        </w:rPr>
        <w:instrText xml:space="preserve"> PAGEREF _Toc67387142 \h </w:instrText>
      </w:r>
      <w:r>
        <w:rPr>
          <w:highlight w:val="none"/>
        </w:rPr>
        <w:fldChar w:fldCharType="separate"/>
      </w:r>
      <w:r>
        <w:rPr>
          <w:highlight w:val="none"/>
        </w:rPr>
        <w:t>20</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"_Toc67387143" </w:instrText>
      </w:r>
      <w:r>
        <w:rPr>
          <w:highlight w:val="none"/>
        </w:rPr>
        <w:fldChar w:fldCharType="separate"/>
      </w:r>
      <w:r>
        <w:rPr>
          <w:rStyle w:val="52"/>
          <w:highlight w:val="none"/>
        </w:rPr>
        <w:t>第四章 政府采购合同的签订、履约及验收</w:t>
      </w:r>
      <w:r>
        <w:rPr>
          <w:highlight w:val="none"/>
        </w:rPr>
        <w:tab/>
      </w:r>
      <w:r>
        <w:rPr>
          <w:highlight w:val="none"/>
        </w:rPr>
        <w:fldChar w:fldCharType="begin"/>
      </w:r>
      <w:r>
        <w:rPr>
          <w:highlight w:val="none"/>
        </w:rPr>
        <w:instrText xml:space="preserve"> PAGEREF _Toc67387143 \h </w:instrText>
      </w:r>
      <w:r>
        <w:rPr>
          <w:highlight w:val="none"/>
        </w:rPr>
        <w:fldChar w:fldCharType="separate"/>
      </w:r>
      <w:r>
        <w:rPr>
          <w:highlight w:val="none"/>
        </w:rPr>
        <w:t>27</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"_Toc67387144" </w:instrText>
      </w:r>
      <w:r>
        <w:rPr>
          <w:highlight w:val="none"/>
        </w:rPr>
        <w:fldChar w:fldCharType="separate"/>
      </w:r>
      <w:r>
        <w:rPr>
          <w:rStyle w:val="52"/>
          <w:highlight w:val="none"/>
        </w:rPr>
        <w:t>第五章 投标文件格式、附件</w:t>
      </w:r>
      <w:r>
        <w:rPr>
          <w:highlight w:val="none"/>
        </w:rPr>
        <w:tab/>
      </w:r>
      <w:r>
        <w:rPr>
          <w:highlight w:val="none"/>
        </w:rPr>
        <w:fldChar w:fldCharType="begin"/>
      </w:r>
      <w:r>
        <w:rPr>
          <w:highlight w:val="none"/>
        </w:rPr>
        <w:instrText xml:space="preserve"> PAGEREF _Toc67387144 \h </w:instrText>
      </w:r>
      <w:r>
        <w:rPr>
          <w:highlight w:val="none"/>
        </w:rPr>
        <w:fldChar w:fldCharType="separate"/>
      </w:r>
      <w:r>
        <w:rPr>
          <w:highlight w:val="none"/>
        </w:rPr>
        <w:t>33</w:t>
      </w:r>
      <w:r>
        <w:rPr>
          <w:highlight w:val="none"/>
        </w:rPr>
        <w:fldChar w:fldCharType="end"/>
      </w:r>
      <w:r>
        <w:rPr>
          <w:highlight w:val="none"/>
        </w:rPr>
        <w:fldChar w:fldCharType="end"/>
      </w:r>
    </w:p>
    <w:p>
      <w:pPr>
        <w:pStyle w:val="31"/>
        <w:rPr>
          <w:rFonts w:asciiTheme="minorHAnsi" w:hAnsiTheme="minorHAnsi" w:eastAsiaTheme="minorEastAsia" w:cstheme="minorBidi"/>
          <w:b w:val="0"/>
          <w:bCs w:val="0"/>
          <w:caps w:val="0"/>
          <w:kern w:val="2"/>
          <w:sz w:val="21"/>
          <w:szCs w:val="22"/>
          <w:highlight w:val="none"/>
        </w:rPr>
      </w:pPr>
      <w:r>
        <w:rPr>
          <w:highlight w:val="none"/>
        </w:rPr>
        <w:fldChar w:fldCharType="begin"/>
      </w:r>
      <w:r>
        <w:rPr>
          <w:highlight w:val="none"/>
        </w:rPr>
        <w:instrText xml:space="preserve"> HYPERLINK \l "_Toc67387145" </w:instrText>
      </w:r>
      <w:r>
        <w:rPr>
          <w:highlight w:val="none"/>
        </w:rPr>
        <w:fldChar w:fldCharType="separate"/>
      </w:r>
      <w:r>
        <w:rPr>
          <w:rStyle w:val="52"/>
          <w:highlight w:val="none"/>
        </w:rPr>
        <w:t>第二册  通用条款</w:t>
      </w:r>
      <w:r>
        <w:rPr>
          <w:highlight w:val="none"/>
        </w:rPr>
        <w:tab/>
      </w:r>
      <w:r>
        <w:rPr>
          <w:highlight w:val="none"/>
        </w:rPr>
        <w:fldChar w:fldCharType="begin"/>
      </w:r>
      <w:r>
        <w:rPr>
          <w:highlight w:val="none"/>
        </w:rPr>
        <w:instrText xml:space="preserve"> PAGEREF _Toc67387145 \h </w:instrText>
      </w:r>
      <w:r>
        <w:rPr>
          <w:highlight w:val="none"/>
        </w:rPr>
        <w:fldChar w:fldCharType="separate"/>
      </w:r>
      <w:r>
        <w:rPr>
          <w:highlight w:val="none"/>
        </w:rPr>
        <w:t>55</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"_Toc67387146" </w:instrText>
      </w:r>
      <w:r>
        <w:rPr>
          <w:highlight w:val="none"/>
        </w:rPr>
        <w:fldChar w:fldCharType="separate"/>
      </w:r>
      <w:r>
        <w:rPr>
          <w:rStyle w:val="52"/>
          <w:highlight w:val="none"/>
        </w:rPr>
        <w:t>第一章 总则</w:t>
      </w:r>
      <w:r>
        <w:rPr>
          <w:highlight w:val="none"/>
        </w:rPr>
        <w:tab/>
      </w:r>
      <w:r>
        <w:rPr>
          <w:highlight w:val="none"/>
        </w:rPr>
        <w:fldChar w:fldCharType="begin"/>
      </w:r>
      <w:r>
        <w:rPr>
          <w:highlight w:val="none"/>
        </w:rPr>
        <w:instrText xml:space="preserve"> PAGEREF _Toc67387146 \h </w:instrText>
      </w:r>
      <w:r>
        <w:rPr>
          <w:highlight w:val="none"/>
        </w:rPr>
        <w:fldChar w:fldCharType="separate"/>
      </w:r>
      <w:r>
        <w:rPr>
          <w:highlight w:val="none"/>
        </w:rPr>
        <w:t>55</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"_Toc67387147" </w:instrText>
      </w:r>
      <w:r>
        <w:rPr>
          <w:highlight w:val="none"/>
        </w:rPr>
        <w:fldChar w:fldCharType="separate"/>
      </w:r>
      <w:r>
        <w:rPr>
          <w:rStyle w:val="52"/>
          <w:highlight w:val="none"/>
        </w:rPr>
        <w:t>第二章 招标文件</w:t>
      </w:r>
      <w:r>
        <w:rPr>
          <w:highlight w:val="none"/>
        </w:rPr>
        <w:tab/>
      </w:r>
      <w:r>
        <w:rPr>
          <w:highlight w:val="none"/>
        </w:rPr>
        <w:fldChar w:fldCharType="begin"/>
      </w:r>
      <w:r>
        <w:rPr>
          <w:highlight w:val="none"/>
        </w:rPr>
        <w:instrText xml:space="preserve"> PAGEREF _Toc67387147 \h </w:instrText>
      </w:r>
      <w:r>
        <w:rPr>
          <w:highlight w:val="none"/>
        </w:rPr>
        <w:fldChar w:fldCharType="separate"/>
      </w:r>
      <w:r>
        <w:rPr>
          <w:highlight w:val="none"/>
        </w:rPr>
        <w:t>57</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"_Toc67387148" </w:instrText>
      </w:r>
      <w:r>
        <w:rPr>
          <w:highlight w:val="none"/>
        </w:rPr>
        <w:fldChar w:fldCharType="separate"/>
      </w:r>
      <w:r>
        <w:rPr>
          <w:rStyle w:val="52"/>
          <w:highlight w:val="none"/>
        </w:rPr>
        <w:t>第三章 投标文件的编制与递交</w:t>
      </w:r>
      <w:r>
        <w:rPr>
          <w:highlight w:val="none"/>
        </w:rPr>
        <w:tab/>
      </w:r>
      <w:r>
        <w:rPr>
          <w:highlight w:val="none"/>
        </w:rPr>
        <w:fldChar w:fldCharType="begin"/>
      </w:r>
      <w:r>
        <w:rPr>
          <w:highlight w:val="none"/>
        </w:rPr>
        <w:instrText xml:space="preserve"> PAGEREF _Toc67387148 \h </w:instrText>
      </w:r>
      <w:r>
        <w:rPr>
          <w:highlight w:val="none"/>
        </w:rPr>
        <w:fldChar w:fldCharType="separate"/>
      </w:r>
      <w:r>
        <w:rPr>
          <w:highlight w:val="none"/>
        </w:rPr>
        <w:t>59</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"_Toc67387149" </w:instrText>
      </w:r>
      <w:r>
        <w:rPr>
          <w:highlight w:val="none"/>
        </w:rPr>
        <w:fldChar w:fldCharType="separate"/>
      </w:r>
      <w:r>
        <w:rPr>
          <w:rStyle w:val="52"/>
          <w:highlight w:val="none"/>
        </w:rPr>
        <w:t>第四章 开标</w:t>
      </w:r>
      <w:r>
        <w:rPr>
          <w:highlight w:val="none"/>
        </w:rPr>
        <w:tab/>
      </w:r>
      <w:r>
        <w:rPr>
          <w:highlight w:val="none"/>
        </w:rPr>
        <w:fldChar w:fldCharType="begin"/>
      </w:r>
      <w:r>
        <w:rPr>
          <w:highlight w:val="none"/>
        </w:rPr>
        <w:instrText xml:space="preserve"> PAGEREF _Toc67387149 \h </w:instrText>
      </w:r>
      <w:r>
        <w:rPr>
          <w:highlight w:val="none"/>
        </w:rPr>
        <w:fldChar w:fldCharType="separate"/>
      </w:r>
      <w:r>
        <w:rPr>
          <w:highlight w:val="none"/>
        </w:rPr>
        <w:t>63</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"_Toc67387150" </w:instrText>
      </w:r>
      <w:r>
        <w:rPr>
          <w:highlight w:val="none"/>
        </w:rPr>
        <w:fldChar w:fldCharType="separate"/>
      </w:r>
      <w:r>
        <w:rPr>
          <w:rStyle w:val="52"/>
          <w:highlight w:val="none"/>
        </w:rPr>
        <w:t>第五章 评标要求</w:t>
      </w:r>
      <w:r>
        <w:rPr>
          <w:highlight w:val="none"/>
        </w:rPr>
        <w:tab/>
      </w:r>
      <w:r>
        <w:rPr>
          <w:highlight w:val="none"/>
        </w:rPr>
        <w:fldChar w:fldCharType="begin"/>
      </w:r>
      <w:r>
        <w:rPr>
          <w:highlight w:val="none"/>
        </w:rPr>
        <w:instrText xml:space="preserve"> PAGEREF _Toc67387150 \h </w:instrText>
      </w:r>
      <w:r>
        <w:rPr>
          <w:highlight w:val="none"/>
        </w:rPr>
        <w:fldChar w:fldCharType="separate"/>
      </w:r>
      <w:r>
        <w:rPr>
          <w:highlight w:val="none"/>
        </w:rPr>
        <w:t>63</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"_Toc67387151" </w:instrText>
      </w:r>
      <w:r>
        <w:rPr>
          <w:highlight w:val="none"/>
        </w:rPr>
        <w:fldChar w:fldCharType="separate"/>
      </w:r>
      <w:r>
        <w:rPr>
          <w:rStyle w:val="52"/>
          <w:highlight w:val="none"/>
        </w:rPr>
        <w:t>第六章 评标程序及评标方法</w:t>
      </w:r>
      <w:r>
        <w:rPr>
          <w:highlight w:val="none"/>
        </w:rPr>
        <w:tab/>
      </w:r>
      <w:r>
        <w:rPr>
          <w:highlight w:val="none"/>
        </w:rPr>
        <w:fldChar w:fldCharType="begin"/>
      </w:r>
      <w:r>
        <w:rPr>
          <w:highlight w:val="none"/>
        </w:rPr>
        <w:instrText xml:space="preserve"> PAGEREF _Toc67387151 \h </w:instrText>
      </w:r>
      <w:r>
        <w:rPr>
          <w:highlight w:val="none"/>
        </w:rPr>
        <w:fldChar w:fldCharType="separate"/>
      </w:r>
      <w:r>
        <w:rPr>
          <w:highlight w:val="none"/>
        </w:rPr>
        <w:t>64</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"_Toc67387152" </w:instrText>
      </w:r>
      <w:r>
        <w:rPr>
          <w:highlight w:val="none"/>
        </w:rPr>
        <w:fldChar w:fldCharType="separate"/>
      </w:r>
      <w:r>
        <w:rPr>
          <w:rStyle w:val="52"/>
          <w:highlight w:val="none"/>
        </w:rPr>
        <w:t>第七章 定标及公示</w:t>
      </w:r>
      <w:r>
        <w:rPr>
          <w:highlight w:val="none"/>
        </w:rPr>
        <w:tab/>
      </w:r>
      <w:r>
        <w:rPr>
          <w:highlight w:val="none"/>
        </w:rPr>
        <w:fldChar w:fldCharType="begin"/>
      </w:r>
      <w:r>
        <w:rPr>
          <w:highlight w:val="none"/>
        </w:rPr>
        <w:instrText xml:space="preserve"> PAGEREF _Toc67387152 \h </w:instrText>
      </w:r>
      <w:r>
        <w:rPr>
          <w:highlight w:val="none"/>
        </w:rPr>
        <w:fldChar w:fldCharType="separate"/>
      </w:r>
      <w:r>
        <w:rPr>
          <w:highlight w:val="none"/>
        </w:rPr>
        <w:t>67</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"_Toc67387153" </w:instrText>
      </w:r>
      <w:r>
        <w:rPr>
          <w:highlight w:val="none"/>
        </w:rPr>
        <w:fldChar w:fldCharType="separate"/>
      </w:r>
      <w:r>
        <w:rPr>
          <w:rStyle w:val="52"/>
          <w:highlight w:val="none"/>
        </w:rPr>
        <w:t>第八章 公开招标失败的后续处理</w:t>
      </w:r>
      <w:r>
        <w:rPr>
          <w:highlight w:val="none"/>
        </w:rPr>
        <w:tab/>
      </w:r>
      <w:r>
        <w:rPr>
          <w:highlight w:val="none"/>
        </w:rPr>
        <w:fldChar w:fldCharType="begin"/>
      </w:r>
      <w:r>
        <w:rPr>
          <w:highlight w:val="none"/>
        </w:rPr>
        <w:instrText xml:space="preserve"> PAGEREF _Toc67387153 \h </w:instrText>
      </w:r>
      <w:r>
        <w:rPr>
          <w:highlight w:val="none"/>
        </w:rPr>
        <w:fldChar w:fldCharType="separate"/>
      </w:r>
      <w:r>
        <w:rPr>
          <w:highlight w:val="none"/>
        </w:rPr>
        <w:t>69</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"_Toc67387154" </w:instrText>
      </w:r>
      <w:r>
        <w:rPr>
          <w:highlight w:val="none"/>
        </w:rPr>
        <w:fldChar w:fldCharType="separate"/>
      </w:r>
      <w:r>
        <w:rPr>
          <w:rStyle w:val="52"/>
          <w:highlight w:val="none"/>
        </w:rPr>
        <w:t>第九章 合同的授予与备案</w:t>
      </w:r>
      <w:r>
        <w:rPr>
          <w:highlight w:val="none"/>
        </w:rPr>
        <w:tab/>
      </w:r>
      <w:r>
        <w:rPr>
          <w:highlight w:val="none"/>
        </w:rPr>
        <w:fldChar w:fldCharType="begin"/>
      </w:r>
      <w:r>
        <w:rPr>
          <w:highlight w:val="none"/>
        </w:rPr>
        <w:instrText xml:space="preserve"> PAGEREF _Toc67387154 \h </w:instrText>
      </w:r>
      <w:r>
        <w:rPr>
          <w:highlight w:val="none"/>
        </w:rPr>
        <w:fldChar w:fldCharType="separate"/>
      </w:r>
      <w:r>
        <w:rPr>
          <w:highlight w:val="none"/>
        </w:rPr>
        <w:t>71</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"_Toc67387155" </w:instrText>
      </w:r>
      <w:r>
        <w:rPr>
          <w:highlight w:val="none"/>
        </w:rPr>
        <w:fldChar w:fldCharType="separate"/>
      </w:r>
      <w:r>
        <w:rPr>
          <w:rStyle w:val="52"/>
          <w:highlight w:val="none"/>
        </w:rPr>
        <w:t>第十章 质疑受理</w:t>
      </w:r>
      <w:r>
        <w:rPr>
          <w:highlight w:val="none"/>
        </w:rPr>
        <w:tab/>
      </w:r>
      <w:r>
        <w:rPr>
          <w:highlight w:val="none"/>
        </w:rPr>
        <w:fldChar w:fldCharType="begin"/>
      </w:r>
      <w:r>
        <w:rPr>
          <w:highlight w:val="none"/>
        </w:rPr>
        <w:instrText xml:space="preserve"> PAGEREF _Toc67387155 \h </w:instrText>
      </w:r>
      <w:r>
        <w:rPr>
          <w:highlight w:val="none"/>
        </w:rPr>
        <w:fldChar w:fldCharType="separate"/>
      </w:r>
      <w:r>
        <w:rPr>
          <w:highlight w:val="none"/>
        </w:rPr>
        <w:t>72</w:t>
      </w:r>
      <w:r>
        <w:rPr>
          <w:highlight w:val="none"/>
        </w:rPr>
        <w:fldChar w:fldCharType="end"/>
      </w:r>
      <w:r>
        <w:rPr>
          <w:highlight w:val="none"/>
        </w:rPr>
        <w:fldChar w:fldCharType="end"/>
      </w:r>
    </w:p>
    <w:p>
      <w:pPr>
        <w:tabs>
          <w:tab w:val="right" w:leader="dot" w:pos="8820"/>
          <w:tab w:val="right" w:leader="dot" w:pos="9240"/>
          <w:tab w:val="clear" w:pos="426"/>
        </w:tabs>
        <w:rPr>
          <w:highlight w:val="none"/>
        </w:rPr>
      </w:pPr>
      <w:r>
        <w:rPr>
          <w:smallCaps/>
          <w:sz w:val="28"/>
          <w:highlight w:val="none"/>
        </w:rPr>
        <w:fldChar w:fldCharType="end"/>
      </w:r>
    </w:p>
    <w:p>
      <w:pPr>
        <w:tabs>
          <w:tab w:val="clear" w:pos="426"/>
        </w:tabs>
        <w:rPr>
          <w:highlight w:val="none"/>
        </w:rPr>
        <w:sectPr>
          <w:footerReference r:id="rId5" w:type="even"/>
          <w:pgSz w:w="11906" w:h="16838"/>
          <w:pgMar w:top="1134" w:right="1700" w:bottom="1134" w:left="1418" w:header="851" w:footer="992" w:gutter="0"/>
          <w:pgNumType w:start="0"/>
          <w:cols w:space="425" w:num="1"/>
          <w:titlePg/>
          <w:docGrid w:linePitch="462" w:charSpace="0"/>
        </w:sectPr>
      </w:pPr>
    </w:p>
    <w:p>
      <w:pPr>
        <w:pStyle w:val="301"/>
        <w:pageBreakBefore/>
        <w:rPr>
          <w:highlight w:val="none"/>
        </w:rPr>
      </w:pPr>
      <w:bookmarkStart w:id="1" w:name="_Toc67387137"/>
      <w:bookmarkStart w:id="2" w:name="_Toc432592808"/>
      <w:r>
        <w:rPr>
          <w:rFonts w:hint="eastAsia"/>
          <w:highlight w:val="none"/>
        </w:rPr>
        <w:t>第一册  专用条款</w:t>
      </w:r>
      <w:bookmarkEnd w:id="1"/>
    </w:p>
    <w:p>
      <w:pPr>
        <w:pStyle w:val="309"/>
        <w:rPr>
          <w:highlight w:val="none"/>
        </w:rPr>
      </w:pPr>
      <w:bookmarkStart w:id="3" w:name="_Toc67387138"/>
      <w:r>
        <w:rPr>
          <w:rFonts w:hint="eastAsia"/>
          <w:highlight w:val="none"/>
        </w:rPr>
        <w:t>特别警示条款</w:t>
      </w:r>
      <w:bookmarkEnd w:id="3"/>
    </w:p>
    <w:p>
      <w:pPr>
        <w:pStyle w:val="305"/>
        <w:jc w:val="left"/>
        <w:rPr>
          <w:highlight w:val="none"/>
        </w:rPr>
      </w:pPr>
      <w:r>
        <w:rPr>
          <w:rFonts w:hint="eastAsia"/>
          <w:highlight w:val="none"/>
        </w:rPr>
        <w:t>一、《深圳经济特区政府采购条例》</w:t>
      </w:r>
    </w:p>
    <w:p>
      <w:pPr>
        <w:pStyle w:val="305"/>
        <w:jc w:val="left"/>
        <w:rPr>
          <w:highlight w:val="none"/>
        </w:rPr>
      </w:pPr>
      <w:r>
        <w:rPr>
          <w:rFonts w:hint="eastAsia"/>
          <w:highlight w:val="none"/>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pStyle w:val="305"/>
        <w:jc w:val="left"/>
        <w:rPr>
          <w:highlight w:val="none"/>
        </w:rPr>
      </w:pPr>
      <w:r>
        <w:rPr>
          <w:rFonts w:hint="eastAsia"/>
          <w:highlight w:val="none"/>
        </w:rPr>
        <w:t>（一）在采购活动中应当回避而未回避的；</w:t>
      </w:r>
    </w:p>
    <w:p>
      <w:pPr>
        <w:pStyle w:val="305"/>
        <w:jc w:val="left"/>
        <w:rPr>
          <w:highlight w:val="none"/>
        </w:rPr>
      </w:pPr>
      <w:r>
        <w:rPr>
          <w:rFonts w:hint="eastAsia"/>
          <w:highlight w:val="none"/>
        </w:rPr>
        <w:t>（二）未按本条例规定签订、履行采购合同，造成严重后果的；</w:t>
      </w:r>
    </w:p>
    <w:p>
      <w:pPr>
        <w:pStyle w:val="305"/>
        <w:jc w:val="left"/>
        <w:rPr>
          <w:highlight w:val="none"/>
        </w:rPr>
      </w:pPr>
      <w:r>
        <w:rPr>
          <w:rFonts w:hint="eastAsia"/>
          <w:highlight w:val="none"/>
        </w:rPr>
        <w:t>（三）隐瞒真实情况，提供虚假资料的；</w:t>
      </w:r>
    </w:p>
    <w:p>
      <w:pPr>
        <w:pStyle w:val="305"/>
        <w:jc w:val="left"/>
        <w:rPr>
          <w:highlight w:val="none"/>
        </w:rPr>
      </w:pPr>
      <w:r>
        <w:rPr>
          <w:rFonts w:hint="eastAsia"/>
          <w:highlight w:val="none"/>
        </w:rPr>
        <w:t>（四）以非法手段排斥其他供应商参与竞争的；</w:t>
      </w:r>
    </w:p>
    <w:p>
      <w:pPr>
        <w:pStyle w:val="305"/>
        <w:jc w:val="left"/>
        <w:rPr>
          <w:highlight w:val="none"/>
        </w:rPr>
      </w:pPr>
      <w:r>
        <w:rPr>
          <w:rFonts w:hint="eastAsia"/>
          <w:highlight w:val="none"/>
        </w:rPr>
        <w:t>（五）与其他采购参加人串通投标的；</w:t>
      </w:r>
    </w:p>
    <w:p>
      <w:pPr>
        <w:pStyle w:val="305"/>
        <w:jc w:val="left"/>
        <w:rPr>
          <w:highlight w:val="none"/>
        </w:rPr>
      </w:pPr>
      <w:r>
        <w:rPr>
          <w:rFonts w:hint="eastAsia"/>
          <w:highlight w:val="none"/>
        </w:rPr>
        <w:t>（六）恶意投诉的；</w:t>
      </w:r>
    </w:p>
    <w:p>
      <w:pPr>
        <w:pStyle w:val="305"/>
        <w:jc w:val="left"/>
        <w:rPr>
          <w:highlight w:val="none"/>
        </w:rPr>
      </w:pPr>
      <w:r>
        <w:rPr>
          <w:rFonts w:hint="eastAsia"/>
          <w:highlight w:val="none"/>
        </w:rPr>
        <w:t>（七）向采购项目相关人行贿或者提供其他不当利益的；</w:t>
      </w:r>
    </w:p>
    <w:p>
      <w:pPr>
        <w:pStyle w:val="305"/>
        <w:jc w:val="left"/>
        <w:rPr>
          <w:highlight w:val="none"/>
        </w:rPr>
      </w:pPr>
      <w:r>
        <w:rPr>
          <w:rFonts w:hint="eastAsia"/>
          <w:highlight w:val="none"/>
        </w:rPr>
        <w:t>（八）阻碍、抗拒主管部门监督检查的；</w:t>
      </w:r>
    </w:p>
    <w:p>
      <w:pPr>
        <w:pStyle w:val="305"/>
        <w:jc w:val="left"/>
        <w:rPr>
          <w:highlight w:val="none"/>
        </w:rPr>
      </w:pPr>
      <w:r>
        <w:rPr>
          <w:rFonts w:hint="eastAsia"/>
          <w:highlight w:val="none"/>
        </w:rPr>
        <w:t>（九）其他违反本条例规定的行为。</w:t>
      </w:r>
    </w:p>
    <w:p>
      <w:pPr>
        <w:pStyle w:val="305"/>
        <w:jc w:val="left"/>
        <w:rPr>
          <w:highlight w:val="none"/>
        </w:rPr>
      </w:pPr>
      <w:r>
        <w:rPr>
          <w:rFonts w:hint="eastAsia"/>
          <w:highlight w:val="none"/>
        </w:rPr>
        <w:t>二、《深圳经济特区政府采购条例实施细则》</w:t>
      </w:r>
    </w:p>
    <w:p>
      <w:pPr>
        <w:pStyle w:val="305"/>
        <w:jc w:val="left"/>
        <w:rPr>
          <w:highlight w:val="none"/>
        </w:rPr>
      </w:pPr>
      <w:r>
        <w:rPr>
          <w:rFonts w:hint="eastAsia"/>
          <w:highlight w:val="none"/>
        </w:rPr>
        <w:t>第七十六条 供应商有下列行为之一的，由主管部门记入供应商诚信档案并作出以下处罚：</w:t>
      </w:r>
    </w:p>
    <w:p>
      <w:pPr>
        <w:pStyle w:val="305"/>
        <w:jc w:val="left"/>
        <w:rPr>
          <w:highlight w:val="none"/>
        </w:rPr>
      </w:pPr>
      <w:r>
        <w:rPr>
          <w:rFonts w:hint="eastAsia"/>
          <w:highlight w:val="none"/>
        </w:rPr>
        <w:t>（一）违法行为属于采购条例第五十七条第（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元以上五百万元以下的，处以采购金额千分之二十的罚款，三年内禁止其参与本市政府采购。</w:t>
      </w:r>
    </w:p>
    <w:p>
      <w:pPr>
        <w:pStyle w:val="305"/>
        <w:jc w:val="left"/>
        <w:rPr>
          <w:highlight w:val="none"/>
        </w:rPr>
      </w:pPr>
      <w:r>
        <w:rPr>
          <w:rFonts w:hint="eastAsia"/>
          <w:highlight w:val="none"/>
        </w:rPr>
        <w:t>（二）违法行为属于采购条例第五十七条第（五）、（七）项情形，涉及的采购金额累计在一百万元以下，处以采购金额千分之十五的罚款，两年内禁止其参与本市政府采购；涉及的采购金额累计在一百万元以上两百万元以下的，处以采购金额千分之二十的罚款，三年内禁止其参与本市政府采购。</w:t>
      </w:r>
    </w:p>
    <w:p>
      <w:pPr>
        <w:pStyle w:val="305"/>
        <w:jc w:val="left"/>
        <w:rPr>
          <w:highlight w:val="none"/>
        </w:rPr>
      </w:pPr>
      <w:r>
        <w:rPr>
          <w:rFonts w:hint="eastAsia"/>
          <w:highlight w:val="none"/>
        </w:rPr>
        <w:t xml:space="preserve">第七十七条 </w:t>
      </w:r>
      <w:r>
        <w:rPr>
          <w:highlight w:val="none"/>
        </w:rPr>
        <w:t xml:space="preserve"> </w:t>
      </w:r>
      <w:r>
        <w:rPr>
          <w:rFonts w:hint="eastAsia"/>
          <w:highlight w:val="none"/>
        </w:rPr>
        <w:t>供应商有下列行为之一的，属于情节严重，由市场监管部门依法吊销其营业执照，主管部门取消其参与本市政府采购的资格，并作出以下处罚：</w:t>
      </w:r>
    </w:p>
    <w:p>
      <w:pPr>
        <w:pStyle w:val="305"/>
        <w:jc w:val="left"/>
        <w:rPr>
          <w:highlight w:val="none"/>
        </w:rPr>
      </w:pPr>
      <w:r>
        <w:rPr>
          <w:rFonts w:hint="eastAsia"/>
          <w:highlight w:val="none"/>
        </w:rPr>
        <w:t>（一）违法行为属于采购条例第五十七条第（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pPr>
        <w:pStyle w:val="305"/>
        <w:jc w:val="left"/>
        <w:rPr>
          <w:highlight w:val="none"/>
        </w:rPr>
      </w:pPr>
      <w:r>
        <w:rPr>
          <w:rFonts w:hint="eastAsia"/>
          <w:highlight w:val="none"/>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pPr>
        <w:pStyle w:val="305"/>
        <w:jc w:val="left"/>
        <w:rPr>
          <w:highlight w:val="none"/>
        </w:rPr>
      </w:pPr>
      <w:r>
        <w:rPr>
          <w:rFonts w:hint="eastAsia"/>
          <w:highlight w:val="none"/>
        </w:rPr>
        <w:t>第七十九条 供应商有下列情形之一的，属于采购条例所称的串通投标行为，按照采购条例第五十七条有关规定处理：</w:t>
      </w:r>
    </w:p>
    <w:p>
      <w:pPr>
        <w:pStyle w:val="305"/>
        <w:jc w:val="left"/>
        <w:rPr>
          <w:highlight w:val="none"/>
        </w:rPr>
      </w:pPr>
      <w:r>
        <w:rPr>
          <w:rFonts w:hint="eastAsia"/>
          <w:highlight w:val="none"/>
        </w:rPr>
        <w:t>（一）投标供应商之间相互约定给予未中标的供应商利益补偿。</w:t>
      </w:r>
    </w:p>
    <w:p>
      <w:pPr>
        <w:pStyle w:val="305"/>
        <w:jc w:val="left"/>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pPr>
        <w:pStyle w:val="305"/>
        <w:jc w:val="left"/>
        <w:rPr>
          <w:highlight w:val="none"/>
        </w:rPr>
      </w:pPr>
      <w:r>
        <w:rPr>
          <w:rFonts w:hint="eastAsia"/>
          <w:highlight w:val="none"/>
        </w:rPr>
        <w:t>（三）不同投标供应商的投标文件由同一单位或者同一人编制，或者由同一人分阶段参与编制的。</w:t>
      </w:r>
    </w:p>
    <w:p>
      <w:pPr>
        <w:pStyle w:val="305"/>
        <w:jc w:val="left"/>
        <w:rPr>
          <w:highlight w:val="none"/>
        </w:rPr>
      </w:pPr>
      <w:r>
        <w:rPr>
          <w:rFonts w:hint="eastAsia"/>
          <w:highlight w:val="none"/>
        </w:rPr>
        <w:t>（四）不同投标供应商的投标文件或部分投标文件相互混装。</w:t>
      </w:r>
    </w:p>
    <w:p>
      <w:pPr>
        <w:pStyle w:val="305"/>
        <w:jc w:val="left"/>
        <w:rPr>
          <w:highlight w:val="none"/>
        </w:rPr>
      </w:pPr>
      <w:r>
        <w:rPr>
          <w:rFonts w:hint="eastAsia"/>
          <w:highlight w:val="none"/>
        </w:rPr>
        <w:t>（五）不同投标供应商的投标文件内容存在非正常一致。</w:t>
      </w:r>
    </w:p>
    <w:p>
      <w:pPr>
        <w:pStyle w:val="305"/>
        <w:jc w:val="left"/>
        <w:rPr>
          <w:highlight w:val="none"/>
        </w:rPr>
      </w:pPr>
      <w:r>
        <w:rPr>
          <w:rFonts w:hint="eastAsia"/>
          <w:highlight w:val="none"/>
        </w:rPr>
        <w:t>（六）由同一单位工作人员为两家以上（含两家）供应商进行同一项投标活动的。</w:t>
      </w:r>
    </w:p>
    <w:p>
      <w:pPr>
        <w:pStyle w:val="305"/>
        <w:jc w:val="left"/>
        <w:rPr>
          <w:highlight w:val="none"/>
        </w:rPr>
      </w:pPr>
      <w:r>
        <w:rPr>
          <w:rFonts w:hint="eastAsia"/>
          <w:highlight w:val="none"/>
        </w:rPr>
        <w:t>（七）主管部门依照法律、法规认定的其他情形。</w:t>
      </w:r>
    </w:p>
    <w:p>
      <w:pPr>
        <w:pStyle w:val="305"/>
        <w:jc w:val="left"/>
        <w:rPr>
          <w:highlight w:val="none"/>
        </w:rPr>
      </w:pPr>
      <w:r>
        <w:rPr>
          <w:rFonts w:hint="eastAsia"/>
          <w:highlight w:val="none"/>
        </w:rPr>
        <w:t>第八十一条</w:t>
      </w:r>
      <w:r>
        <w:rPr>
          <w:highlight w:val="none"/>
        </w:rPr>
        <w:t xml:space="preserve"> </w:t>
      </w:r>
      <w:r>
        <w:rPr>
          <w:rFonts w:hint="eastAsia"/>
          <w:highlight w:val="none"/>
        </w:rPr>
        <w:t>供应商有下列情形之一的，属于隐瞒真实情况，提供虚假资料，按照采购条例第五十七条的有关规定处理：</w:t>
      </w:r>
    </w:p>
    <w:p>
      <w:pPr>
        <w:pStyle w:val="305"/>
        <w:jc w:val="left"/>
        <w:rPr>
          <w:highlight w:val="none"/>
        </w:rPr>
      </w:pPr>
      <w:r>
        <w:rPr>
          <w:rFonts w:hint="eastAsia"/>
          <w:highlight w:val="none"/>
        </w:rPr>
        <w:t>（一）通过转让或者租借等方式从其他单位获取资格或者资质证书投标的。</w:t>
      </w:r>
    </w:p>
    <w:p>
      <w:pPr>
        <w:pStyle w:val="305"/>
        <w:jc w:val="left"/>
        <w:rPr>
          <w:highlight w:val="none"/>
        </w:rPr>
      </w:pPr>
      <w:r>
        <w:rPr>
          <w:rFonts w:hint="eastAsia"/>
          <w:highlight w:val="none"/>
        </w:rPr>
        <w:t>（二）由其他单位或者其他单位负责人在投标供应商编制的投标文件上加盖印章或者签字的。</w:t>
      </w:r>
    </w:p>
    <w:p>
      <w:pPr>
        <w:pStyle w:val="305"/>
        <w:jc w:val="left"/>
        <w:rPr>
          <w:highlight w:val="none"/>
        </w:rPr>
      </w:pPr>
      <w:r>
        <w:rPr>
          <w:rFonts w:hint="eastAsia"/>
          <w:highlight w:val="none"/>
        </w:rPr>
        <w:t>（三）项目负责人或者主要技术人员不是本单位人员的。</w:t>
      </w:r>
    </w:p>
    <w:p>
      <w:pPr>
        <w:pStyle w:val="305"/>
        <w:jc w:val="left"/>
        <w:rPr>
          <w:highlight w:val="none"/>
        </w:rPr>
      </w:pPr>
      <w:r>
        <w:rPr>
          <w:rFonts w:hint="eastAsia"/>
          <w:highlight w:val="none"/>
        </w:rPr>
        <w:t>（四）投标保证金不是从投标供应商基本账户转出的。</w:t>
      </w:r>
    </w:p>
    <w:p>
      <w:pPr>
        <w:pStyle w:val="305"/>
        <w:jc w:val="left"/>
        <w:rPr>
          <w:highlight w:val="none"/>
        </w:rPr>
      </w:pPr>
      <w:r>
        <w:rPr>
          <w:rFonts w:hint="eastAsia"/>
          <w:highlight w:val="none"/>
        </w:rPr>
        <w:t>（五）其他隐瞒真实情况、提供虚假资料的行为。</w:t>
      </w:r>
    </w:p>
    <w:p>
      <w:pPr>
        <w:pStyle w:val="305"/>
        <w:jc w:val="left"/>
        <w:rPr>
          <w:highlight w:val="none"/>
        </w:rPr>
      </w:pPr>
      <w:r>
        <w:rPr>
          <w:rFonts w:hint="eastAsia"/>
          <w:highlight w:val="none"/>
        </w:rPr>
        <w:t>投标供应商不能提供项目负责人或者主要技术人员的劳动合同、社会保险等劳动关系证明材料的，视为存在前款第（三）项规定的情形。</w:t>
      </w:r>
    </w:p>
    <w:p>
      <w:pPr>
        <w:pStyle w:val="305"/>
        <w:jc w:val="left"/>
        <w:rPr>
          <w:highlight w:val="none"/>
        </w:rPr>
      </w:pPr>
      <w:r>
        <w:rPr>
          <w:rFonts w:hint="eastAsia"/>
          <w:highlight w:val="none"/>
        </w:rPr>
        <w:t>第八十四条</w:t>
      </w:r>
      <w:r>
        <w:rPr>
          <w:highlight w:val="none"/>
        </w:rPr>
        <w:t xml:space="preserve"> 供应商有下列行为之一的，招标机构或采购人不予退还其交纳的投标保证金，情节严重的，并由主管部门记入供应商诚信档案，予以通报。</w:t>
      </w:r>
    </w:p>
    <w:p>
      <w:pPr>
        <w:pStyle w:val="305"/>
        <w:jc w:val="left"/>
        <w:rPr>
          <w:highlight w:val="none"/>
        </w:rPr>
      </w:pPr>
      <w:r>
        <w:rPr>
          <w:rFonts w:hint="eastAsia"/>
          <w:highlight w:val="none"/>
        </w:rPr>
        <w:t>（一）投标截止后，撤销投标的。</w:t>
      </w:r>
    </w:p>
    <w:p>
      <w:pPr>
        <w:pStyle w:val="305"/>
        <w:jc w:val="left"/>
        <w:rPr>
          <w:highlight w:val="none"/>
        </w:rPr>
      </w:pPr>
      <w:r>
        <w:rPr>
          <w:rFonts w:hint="eastAsia"/>
          <w:highlight w:val="none"/>
        </w:rPr>
        <w:t>（二）中标后无正当理由未在规定期限内签订合同的。</w:t>
      </w:r>
    </w:p>
    <w:p>
      <w:pPr>
        <w:pStyle w:val="305"/>
        <w:jc w:val="left"/>
        <w:rPr>
          <w:highlight w:val="none"/>
        </w:rPr>
      </w:pPr>
      <w:r>
        <w:rPr>
          <w:rFonts w:hint="eastAsia"/>
          <w:highlight w:val="none"/>
        </w:rPr>
        <w:t>（三）将中标项目转让给他人或者在投标文件中未说明且未经采购人、采购招标机构同意，将中标项目分包给他人的。</w:t>
      </w:r>
    </w:p>
    <w:p>
      <w:pPr>
        <w:pStyle w:val="305"/>
        <w:jc w:val="left"/>
        <w:rPr>
          <w:highlight w:val="none"/>
        </w:rPr>
      </w:pPr>
      <w:r>
        <w:rPr>
          <w:rFonts w:hint="eastAsia"/>
          <w:highlight w:val="none"/>
        </w:rPr>
        <w:t>（四）拒绝履行合同义务的。</w:t>
      </w:r>
    </w:p>
    <w:p>
      <w:pPr>
        <w:pStyle w:val="305"/>
        <w:jc w:val="left"/>
        <w:rPr>
          <w:highlight w:val="none"/>
        </w:rPr>
      </w:pPr>
      <w:r>
        <w:rPr>
          <w:rFonts w:hint="eastAsia"/>
          <w:highlight w:val="none"/>
        </w:rPr>
        <w:t>不予退还的投标保证金及其利息应当上缴国库。</w:t>
      </w:r>
    </w:p>
    <w:p>
      <w:pPr>
        <w:pStyle w:val="305"/>
        <w:jc w:val="left"/>
        <w:rPr>
          <w:highlight w:val="none"/>
        </w:rPr>
      </w:pPr>
      <w:r>
        <w:rPr>
          <w:rFonts w:hint="eastAsia"/>
          <w:highlight w:val="none"/>
        </w:rPr>
        <w:t>三、《深圳市财政局关于明确政府采购保证金管理工作的通知》（深财购[2019]42号）</w:t>
      </w:r>
    </w:p>
    <w:p>
      <w:pPr>
        <w:pStyle w:val="305"/>
        <w:jc w:val="left"/>
        <w:rPr>
          <w:highlight w:val="none"/>
        </w:rPr>
      </w:pPr>
      <w:r>
        <w:rPr>
          <w:rFonts w:hint="eastAsia"/>
          <w:highlight w:val="none"/>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shd w:val="clear" w:color="auto" w:fill="auto"/>
        <w:tabs>
          <w:tab w:val="clear" w:pos="426"/>
        </w:tabs>
        <w:spacing w:line="240" w:lineRule="auto"/>
        <w:jc w:val="left"/>
        <w:rPr>
          <w:rFonts w:ascii="Cambria" w:hAnsi="Cambria" w:cs="Times New Roman"/>
          <w:b/>
          <w:bCs/>
          <w:kern w:val="28"/>
          <w:sz w:val="28"/>
          <w:szCs w:val="32"/>
          <w:highlight w:val="none"/>
        </w:rPr>
      </w:pPr>
      <w:r>
        <w:rPr>
          <w:rFonts w:ascii="Cambria" w:hAnsi="Cambria" w:cs="Times New Roman"/>
          <w:b/>
          <w:bCs/>
          <w:kern w:val="28"/>
          <w:sz w:val="28"/>
          <w:szCs w:val="32"/>
          <w:highlight w:val="none"/>
        </w:rPr>
        <w:br w:type="page"/>
      </w:r>
    </w:p>
    <w:p>
      <w:pPr>
        <w:pStyle w:val="309"/>
        <w:pageBreakBefore/>
        <w:rPr>
          <w:highlight w:val="none"/>
        </w:rPr>
      </w:pPr>
      <w:bookmarkStart w:id="4" w:name="_Toc67387139"/>
      <w:bookmarkStart w:id="5" w:name="_Hlk41553520"/>
      <w:r>
        <w:rPr>
          <w:rFonts w:hint="eastAsia"/>
          <w:highlight w:val="none"/>
        </w:rPr>
        <w:t>关键信息</w:t>
      </w:r>
      <w:bookmarkEnd w:id="2"/>
      <w:bookmarkEnd w:id="4"/>
      <w:r>
        <w:rPr>
          <w:rFonts w:hint="eastAsia"/>
          <w:highlight w:val="none"/>
        </w:rPr>
        <w:t>（通用）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rPr>
                <w:highlight w:val="none"/>
              </w:rPr>
            </w:pPr>
            <w:r>
              <w:rPr>
                <w:rFonts w:hint="eastAsia"/>
                <w:highlight w:val="none"/>
              </w:rPr>
              <w:t>采购项目编号</w:t>
            </w:r>
          </w:p>
        </w:tc>
        <w:tc>
          <w:tcPr>
            <w:tcW w:w="3773" w:type="pct"/>
            <w:vAlign w:val="center"/>
          </w:tcPr>
          <w:p>
            <w:pPr>
              <w:pStyle w:val="307"/>
              <w:rPr>
                <w:rFonts w:hint="eastAsia" w:eastAsia="宋体"/>
                <w:highlight w:val="none"/>
                <w:lang w:eastAsia="zh-CN"/>
              </w:rPr>
            </w:pPr>
            <w:r>
              <w:rPr>
                <w:rFonts w:hint="eastAsia"/>
                <w:lang w:eastAsia="zh-CN"/>
              </w:rPr>
              <w:t>FTDL2021187961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rPr>
                <w:highlight w:val="none"/>
              </w:rPr>
            </w:pPr>
            <w:r>
              <w:rPr>
                <w:rFonts w:hint="eastAsia"/>
                <w:highlight w:val="none"/>
              </w:rPr>
              <w:t>项目名称</w:t>
            </w:r>
          </w:p>
        </w:tc>
        <w:tc>
          <w:tcPr>
            <w:tcW w:w="3773" w:type="pct"/>
            <w:vAlign w:val="center"/>
          </w:tcPr>
          <w:p>
            <w:pPr>
              <w:pStyle w:val="307"/>
              <w:rPr>
                <w:rFonts w:hint="eastAsia" w:eastAsia="宋体"/>
                <w:highlight w:val="none"/>
                <w:lang w:eastAsia="zh-CN"/>
              </w:rPr>
            </w:pPr>
            <w:r>
              <w:rPr>
                <w:rFonts w:hint="eastAsia"/>
                <w:highlight w:val="none"/>
                <w:lang w:eastAsia="zh-CN"/>
              </w:rPr>
              <w:t>福田区水务工程第三方安全检查与检测技术服务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rPr>
                <w:highlight w:val="none"/>
              </w:rPr>
            </w:pPr>
            <w:r>
              <w:rPr>
                <w:highlight w:val="none"/>
              </w:rPr>
              <w:t>项目类型</w:t>
            </w:r>
          </w:p>
        </w:tc>
        <w:tc>
          <w:tcPr>
            <w:tcW w:w="3773" w:type="pct"/>
            <w:vAlign w:val="center"/>
          </w:tcPr>
          <w:p>
            <w:pPr>
              <w:tabs>
                <w:tab w:val="clear" w:pos="426"/>
              </w:tabs>
              <w:spacing w:line="240" w:lineRule="auto"/>
              <w:jc w:val="left"/>
              <w:rPr>
                <w:highlight w:val="none"/>
              </w:rPr>
            </w:pPr>
            <w:r>
              <w:rPr>
                <w:rFonts w:hint="eastAsia"/>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pct"/>
            <w:vAlign w:val="center"/>
          </w:tcPr>
          <w:p>
            <w:pPr>
              <w:pStyle w:val="307"/>
              <w:rPr>
                <w:highlight w:val="none"/>
              </w:rPr>
            </w:pPr>
            <w:r>
              <w:rPr>
                <w:rFonts w:hint="eastAsia"/>
                <w:highlight w:val="none"/>
              </w:rPr>
              <w:t>是否长期服务项目</w:t>
            </w:r>
          </w:p>
          <w:p>
            <w:pPr>
              <w:pStyle w:val="307"/>
              <w:rPr>
                <w:highlight w:val="none"/>
              </w:rPr>
            </w:pPr>
          </w:p>
          <w:p>
            <w:pPr>
              <w:pStyle w:val="297"/>
              <w:ind w:firstLine="420"/>
              <w:rPr>
                <w:highlight w:val="none"/>
              </w:rPr>
            </w:pPr>
          </w:p>
        </w:tc>
        <w:tc>
          <w:tcPr>
            <w:tcW w:w="3773" w:type="pct"/>
            <w:vAlign w:val="center"/>
          </w:tcPr>
          <w:p>
            <w:pPr>
              <w:pStyle w:val="307"/>
              <w:rPr>
                <w:highlight w:val="none"/>
              </w:rPr>
            </w:pPr>
            <w:r>
              <w:rPr>
                <w:rFonts w:hint="eastAsia"/>
                <w:highlight w:val="none"/>
              </w:rPr>
              <w:t>■是</w:t>
            </w:r>
          </w:p>
          <w:p>
            <w:pPr>
              <w:pStyle w:val="307"/>
              <w:rPr>
                <w:highlight w:val="none"/>
              </w:rPr>
            </w:pPr>
            <w:r>
              <w:rPr>
                <w:rFonts w:hint="eastAsia"/>
                <w:highlight w:val="none"/>
              </w:rPr>
              <w:t>本次采购预算金额所对应的合同期限是</w:t>
            </w:r>
            <w:r>
              <w:rPr>
                <w:rFonts w:hint="eastAsia"/>
                <w:highlight w:val="none"/>
                <w:u w:val="none"/>
                <w:lang w:val="en-US" w:eastAsia="zh-CN"/>
              </w:rPr>
              <w:t>1年</w:t>
            </w:r>
            <w:r>
              <w:rPr>
                <w:highlight w:val="none"/>
              </w:rPr>
              <w:t>。</w:t>
            </w:r>
            <w:r>
              <w:rPr>
                <w:rFonts w:hint="eastAsia"/>
                <w:highlight w:val="none"/>
              </w:rPr>
              <w:t>该项目为长期服务项目，合同期限可以延长，长期服务政府采购合同履行期限最长不得超过三十六个月。如甲方对履约情况不满意，甲方不再续约。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rPr>
                <w:highlight w:val="none"/>
              </w:rPr>
            </w:pPr>
            <w:r>
              <w:rPr>
                <w:highlight w:val="none"/>
              </w:rPr>
              <w:t>采购方式</w:t>
            </w:r>
          </w:p>
        </w:tc>
        <w:tc>
          <w:tcPr>
            <w:tcW w:w="3773" w:type="pct"/>
            <w:vAlign w:val="center"/>
          </w:tcPr>
          <w:p>
            <w:pPr>
              <w:pStyle w:val="307"/>
              <w:rPr>
                <w:highlight w:val="none"/>
              </w:rPr>
            </w:pPr>
            <w:r>
              <w:rPr>
                <w:rFonts w:hint="eastAsia"/>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rPr>
                <w:highlight w:val="none"/>
              </w:rPr>
            </w:pPr>
            <w:r>
              <w:rPr>
                <w:highlight w:val="none"/>
              </w:rPr>
              <w:t>货币类型</w:t>
            </w:r>
          </w:p>
        </w:tc>
        <w:tc>
          <w:tcPr>
            <w:tcW w:w="3773" w:type="pct"/>
            <w:vAlign w:val="center"/>
          </w:tcPr>
          <w:p>
            <w:pPr>
              <w:pStyle w:val="307"/>
              <w:rPr>
                <w:highlight w:val="none"/>
              </w:rPr>
            </w:pPr>
            <w:r>
              <w:rPr>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rPr>
                <w:highlight w:val="none"/>
              </w:rPr>
            </w:pPr>
            <w:r>
              <w:rPr>
                <w:rFonts w:hint="eastAsia"/>
                <w:highlight w:val="none"/>
              </w:rPr>
              <w:t>招标文件结构</w:t>
            </w:r>
          </w:p>
        </w:tc>
        <w:tc>
          <w:tcPr>
            <w:tcW w:w="3773" w:type="pct"/>
            <w:vAlign w:val="center"/>
          </w:tcPr>
          <w:p>
            <w:pPr>
              <w:pStyle w:val="307"/>
              <w:rPr>
                <w:highlight w:val="none"/>
              </w:rPr>
            </w:pPr>
            <w:r>
              <w:rPr>
                <w:highlight w:val="none"/>
              </w:rPr>
              <w:t>1.本招标文件分为第一册“专用条款”和第二册“通用条款”</w:t>
            </w:r>
            <w:r>
              <w:rPr>
                <w:rFonts w:hint="eastAsia"/>
                <w:highlight w:val="none"/>
              </w:rPr>
              <w:t>（另行装订）</w:t>
            </w:r>
            <w:r>
              <w:rPr>
                <w:highlight w:val="none"/>
              </w:rPr>
              <w:t>。</w:t>
            </w:r>
          </w:p>
          <w:p>
            <w:pPr>
              <w:pStyle w:val="307"/>
              <w:rPr>
                <w:highlight w:val="none"/>
              </w:rPr>
            </w:pPr>
            <w:r>
              <w:rPr>
                <w:highlight w:val="none"/>
              </w:rPr>
              <w:t>2.“专用条款”是对本次采购项目的具体要求，包含招标公告、招标项目需求、合同条款及格式、投标文件格式、附件等内容。</w:t>
            </w:r>
          </w:p>
          <w:p>
            <w:pPr>
              <w:pStyle w:val="307"/>
              <w:rPr>
                <w:highlight w:val="none"/>
              </w:rPr>
            </w:pPr>
            <w:r>
              <w:rPr>
                <w:highlight w:val="none"/>
              </w:rPr>
              <w:t>3.“通用条款”是通用于政府采购项目的基础性条款，具有普遍性和通用性。</w:t>
            </w:r>
          </w:p>
          <w:p>
            <w:pPr>
              <w:pStyle w:val="307"/>
              <w:rPr>
                <w:highlight w:val="none"/>
              </w:rPr>
            </w:pPr>
            <w:r>
              <w:rPr>
                <w:highlight w:val="none"/>
              </w:rPr>
              <w:t>4.当出现“专用条款”和“通用条款”表述不一致或有冲突时，以“专用条款”为准。</w:t>
            </w:r>
          </w:p>
        </w:tc>
      </w:tr>
      <w:bookmarkEnd w:id="5"/>
    </w:tbl>
    <w:p>
      <w:pPr>
        <w:rPr>
          <w:highlight w:val="none"/>
        </w:rPr>
      </w:pPr>
      <w:r>
        <w:rPr>
          <w:highlight w:val="none"/>
        </w:rPr>
        <w:br w:type="page"/>
      </w:r>
    </w:p>
    <w:p>
      <w:pPr>
        <w:pStyle w:val="321"/>
        <w:rPr>
          <w:highlight w:val="none"/>
        </w:rPr>
      </w:pPr>
      <w:r>
        <w:rPr>
          <w:rFonts w:hint="eastAsia"/>
          <w:highlight w:val="none"/>
        </w:rPr>
        <w:t>资格、符合性评审条款</w:t>
      </w:r>
    </w:p>
    <w:p>
      <w:pPr>
        <w:jc w:val="center"/>
        <w:rPr>
          <w:b/>
          <w:color w:val="FF0000"/>
          <w:highlight w:val="none"/>
        </w:rPr>
      </w:pPr>
      <w:r>
        <w:rPr>
          <w:rFonts w:hint="eastAsia"/>
          <w:b/>
          <w:color w:val="FF0000"/>
          <w:highlight w:val="none"/>
        </w:rPr>
        <w:t>（凡有下列情形之一的，将导致投标无效）</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78" w:type="pct"/>
            <w:vAlign w:val="center"/>
          </w:tcPr>
          <w:p>
            <w:pPr>
              <w:tabs>
                <w:tab w:val="clear" w:pos="426"/>
              </w:tabs>
              <w:spacing w:line="240" w:lineRule="auto"/>
              <w:jc w:val="center"/>
              <w:rPr>
                <w:b/>
                <w:highlight w:val="none"/>
              </w:rPr>
            </w:pPr>
            <w:r>
              <w:rPr>
                <w:rFonts w:hint="eastAsia"/>
                <w:b/>
                <w:highlight w:val="none"/>
              </w:rPr>
              <w:t>序号</w:t>
            </w:r>
          </w:p>
        </w:tc>
        <w:tc>
          <w:tcPr>
            <w:tcW w:w="4621" w:type="pct"/>
            <w:vAlign w:val="center"/>
          </w:tcPr>
          <w:p>
            <w:pPr>
              <w:tabs>
                <w:tab w:val="clear" w:pos="426"/>
              </w:tabs>
              <w:spacing w:line="240" w:lineRule="auto"/>
              <w:jc w:val="center"/>
              <w:rPr>
                <w:b/>
                <w:highlight w:val="none"/>
              </w:rPr>
            </w:pPr>
            <w:r>
              <w:rPr>
                <w:rFonts w:hint="eastAsia"/>
                <w:b/>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2"/>
            <w:vAlign w:val="center"/>
          </w:tcPr>
          <w:p>
            <w:pPr>
              <w:tabs>
                <w:tab w:val="clear" w:pos="426"/>
              </w:tabs>
              <w:spacing w:line="240" w:lineRule="auto"/>
              <w:jc w:val="center"/>
              <w:rPr>
                <w:b/>
                <w:highlight w:val="none"/>
              </w:rPr>
            </w:pPr>
            <w:r>
              <w:rPr>
                <w:rFonts w:hint="eastAsia"/>
                <w:highlight w:val="none"/>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78" w:type="pct"/>
            <w:vAlign w:val="center"/>
          </w:tcPr>
          <w:p>
            <w:pPr>
              <w:numPr>
                <w:ilvl w:val="0"/>
                <w:numId w:val="25"/>
              </w:numPr>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投标人不具备招标资质要求，或未提交相应资质证明材料；(详见采购公告“投标人资质要求”，其中未列示的资质要求不得导致投标无效。)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2"/>
            <w:vAlign w:val="center"/>
          </w:tcPr>
          <w:p>
            <w:pPr>
              <w:tabs>
                <w:tab w:val="clear" w:pos="426"/>
              </w:tabs>
              <w:spacing w:line="240" w:lineRule="auto"/>
              <w:jc w:val="center"/>
              <w:rPr>
                <w:highlight w:val="none"/>
              </w:rPr>
            </w:pPr>
            <w:r>
              <w:rPr>
                <w:rFonts w:hint="eastAsia"/>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highlight w:val="none"/>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未按招标文件所提供的样式填写</w:t>
            </w:r>
            <w:r>
              <w:rPr>
                <w:highlight w:val="none"/>
              </w:rPr>
              <w:t>《</w:t>
            </w:r>
            <w:r>
              <w:rPr>
                <w:rFonts w:hint="eastAsia"/>
                <w:highlight w:val="none"/>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tabs>
                <w:tab w:val="clear" w:pos="426"/>
              </w:tabs>
              <w:spacing w:line="240" w:lineRule="auto"/>
              <w:rPr>
                <w:highlight w:val="none"/>
              </w:rPr>
            </w:pPr>
            <w:r>
              <w:rPr>
                <w:rFonts w:hint="eastAsia"/>
                <w:highlight w:val="none"/>
              </w:rPr>
              <w:t>投标总价或分项报价高于预算金额</w:t>
            </w:r>
            <w:r>
              <w:rPr>
                <w:szCs w:val="21"/>
                <w:highlight w:val="none"/>
              </w:rPr>
              <w:t>（最高投标限价）</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highlight w:val="none"/>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投标报价有严重缺漏项目或对招标文件规定的服务清单项目及数量进行修改；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投标文件存在招标文件中规定的其它投标无效条款的；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highlight w:val="none"/>
              </w:rPr>
            </w:pPr>
          </w:p>
        </w:tc>
        <w:tc>
          <w:tcPr>
            <w:tcW w:w="4621" w:type="pct"/>
            <w:vAlign w:val="center"/>
          </w:tcPr>
          <w:p>
            <w:pPr>
              <w:pStyle w:val="307"/>
              <w:rPr>
                <w:highlight w:val="none"/>
              </w:rPr>
            </w:pPr>
            <w:r>
              <w:rPr>
                <w:rFonts w:hint="eastAsia"/>
                <w:highlight w:val="none"/>
              </w:rPr>
              <w:t>法律、法规规定的属于投标无效的其他情形。</w:t>
            </w:r>
          </w:p>
        </w:tc>
      </w:tr>
    </w:tbl>
    <w:p>
      <w:pPr>
        <w:rPr>
          <w:highlight w:val="none"/>
        </w:rPr>
      </w:pPr>
    </w:p>
    <w:p>
      <w:pPr>
        <w:shd w:val="clear" w:color="auto" w:fill="auto"/>
        <w:tabs>
          <w:tab w:val="clear" w:pos="426"/>
        </w:tabs>
        <w:adjustRightInd/>
        <w:snapToGrid/>
        <w:spacing w:line="240" w:lineRule="auto"/>
        <w:jc w:val="left"/>
        <w:rPr>
          <w:highlight w:val="none"/>
        </w:rPr>
      </w:pPr>
      <w:r>
        <w:rPr>
          <w:highlight w:val="none"/>
        </w:rPr>
        <w:br w:type="page"/>
      </w:r>
    </w:p>
    <w:p>
      <w:pPr>
        <w:pStyle w:val="321"/>
        <w:rPr>
          <w:highlight w:val="none"/>
        </w:rPr>
      </w:pPr>
      <w:bookmarkStart w:id="6" w:name="_Toc435514846"/>
      <w:r>
        <w:rPr>
          <w:highlight w:val="none"/>
        </w:rPr>
        <w:t>评</w:t>
      </w:r>
      <w:r>
        <w:rPr>
          <w:rFonts w:hint="eastAsia"/>
          <w:highlight w:val="none"/>
        </w:rPr>
        <w:t>审</w:t>
      </w:r>
      <w:r>
        <w:rPr>
          <w:highlight w:val="none"/>
        </w:rPr>
        <w:t>信息</w:t>
      </w:r>
      <w:r>
        <w:rPr>
          <w:rFonts w:hint="eastAsia"/>
          <w:highlight w:val="none"/>
        </w:rPr>
        <w:t>（综合评分法）</w:t>
      </w:r>
    </w:p>
    <w:p>
      <w:pPr>
        <w:widowControl w:val="0"/>
        <w:shd w:val="clear" w:color="auto" w:fill="auto"/>
        <w:tabs>
          <w:tab w:val="clear" w:pos="426"/>
        </w:tabs>
        <w:spacing w:line="300" w:lineRule="auto"/>
        <w:ind w:firstLine="420" w:firstLineChars="200"/>
        <w:rPr>
          <w:bCs/>
          <w:szCs w:val="21"/>
          <w:highlight w:val="none"/>
        </w:rPr>
      </w:pPr>
      <w:bookmarkStart w:id="7" w:name="_Hlk2106396"/>
      <w:r>
        <w:rPr>
          <w:rFonts w:hint="eastAsia"/>
          <w:bCs/>
          <w:szCs w:val="21"/>
          <w:highlight w:val="none"/>
        </w:rPr>
        <w:t>本招标文件所述评标方法和定标方法与招标文件《通用条款</w:t>
      </w:r>
      <w:r>
        <w:rPr>
          <w:bCs/>
          <w:szCs w:val="21"/>
          <w:highlight w:val="none"/>
        </w:rPr>
        <w:t>》所述不一致之处，以以下方法为准。</w:t>
      </w:r>
    </w:p>
    <w:p>
      <w:pPr>
        <w:widowControl w:val="0"/>
        <w:shd w:val="clear" w:color="auto" w:fill="auto"/>
        <w:tabs>
          <w:tab w:val="clear" w:pos="426"/>
        </w:tabs>
        <w:spacing w:line="300" w:lineRule="auto"/>
        <w:ind w:firstLine="420" w:firstLineChars="200"/>
        <w:rPr>
          <w:bCs/>
          <w:szCs w:val="21"/>
          <w:highlight w:val="none"/>
        </w:rPr>
      </w:pPr>
      <w:r>
        <w:rPr>
          <w:rFonts w:hint="eastAsia"/>
          <w:bCs/>
          <w:szCs w:val="21"/>
          <w:highlight w:val="none"/>
        </w:rPr>
        <w:t>一、评标定标信息</w:t>
      </w:r>
    </w:p>
    <w:p>
      <w:pPr>
        <w:widowControl w:val="0"/>
        <w:shd w:val="clear" w:color="auto" w:fill="auto"/>
        <w:tabs>
          <w:tab w:val="clear" w:pos="426"/>
        </w:tabs>
        <w:spacing w:line="300" w:lineRule="auto"/>
        <w:ind w:firstLine="420" w:firstLineChars="200"/>
        <w:rPr>
          <w:bCs/>
          <w:szCs w:val="21"/>
          <w:highlight w:val="none"/>
        </w:rPr>
      </w:pPr>
      <w:r>
        <w:rPr>
          <w:rFonts w:hint="eastAsia"/>
          <w:bCs/>
          <w:szCs w:val="21"/>
          <w:highlight w:val="none"/>
        </w:rPr>
        <w:t>本项目为非评定分离项目。</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Borders>
              <w:top w:val="single" w:color="auto" w:sz="4" w:space="0"/>
              <w:left w:val="single" w:color="auto" w:sz="4" w:space="0"/>
              <w:bottom w:val="single" w:color="auto" w:sz="4" w:space="0"/>
              <w:right w:val="single" w:color="auto" w:sz="4" w:space="0"/>
            </w:tcBorders>
          </w:tcPr>
          <w:p>
            <w:pPr>
              <w:widowControl w:val="0"/>
              <w:shd w:val="clear" w:color="auto" w:fill="auto"/>
              <w:tabs>
                <w:tab w:val="clear" w:pos="426"/>
              </w:tabs>
              <w:adjustRightInd/>
              <w:snapToGrid/>
              <w:spacing w:line="240" w:lineRule="auto"/>
              <w:jc w:val="center"/>
              <w:rPr>
                <w:rFonts w:ascii="Times New Roman" w:hAnsi="Times New Roman" w:cs="Times New Roman"/>
                <w:kern w:val="2"/>
                <w:highlight w:val="none"/>
              </w:rPr>
            </w:pPr>
            <w:r>
              <w:rPr>
                <w:rFonts w:hint="eastAsia" w:ascii="Times New Roman" w:hAnsi="Times New Roman" w:cs="Times New Roman"/>
                <w:kern w:val="2"/>
                <w:highlight w:val="none"/>
              </w:rPr>
              <w:t>评标方法</w:t>
            </w:r>
          </w:p>
        </w:tc>
        <w:tc>
          <w:tcPr>
            <w:tcW w:w="4264" w:type="dxa"/>
            <w:tcBorders>
              <w:top w:val="single" w:color="auto" w:sz="4" w:space="0"/>
              <w:left w:val="single" w:color="auto" w:sz="4" w:space="0"/>
              <w:bottom w:val="single" w:color="auto" w:sz="4" w:space="0"/>
              <w:right w:val="single" w:color="auto" w:sz="4" w:space="0"/>
            </w:tcBorders>
          </w:tcPr>
          <w:p>
            <w:pPr>
              <w:widowControl w:val="0"/>
              <w:shd w:val="clear" w:color="auto" w:fill="auto"/>
              <w:tabs>
                <w:tab w:val="clear" w:pos="426"/>
              </w:tabs>
              <w:adjustRightInd/>
              <w:snapToGrid/>
              <w:spacing w:line="240" w:lineRule="auto"/>
              <w:jc w:val="center"/>
              <w:rPr>
                <w:rFonts w:ascii="Times New Roman" w:hAnsi="Times New Roman" w:cs="Times New Roman"/>
                <w:kern w:val="2"/>
                <w:highlight w:val="none"/>
              </w:rPr>
            </w:pPr>
            <w:r>
              <w:rPr>
                <w:rFonts w:hint="eastAsia" w:ascii="Times New Roman" w:hAnsi="Times New Roman" w:cs="Times New Roman"/>
                <w:kern w:val="2"/>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pPr>
              <w:widowControl w:val="0"/>
              <w:shd w:val="clear" w:color="auto" w:fill="auto"/>
              <w:tabs>
                <w:tab w:val="clear" w:pos="426"/>
              </w:tabs>
              <w:adjustRightInd/>
              <w:snapToGrid/>
              <w:spacing w:line="240" w:lineRule="auto"/>
              <w:jc w:val="center"/>
              <w:rPr>
                <w:rFonts w:ascii="Times New Roman" w:hAnsi="Times New Roman" w:cs="Times New Roman"/>
                <w:kern w:val="2"/>
                <w:highlight w:val="none"/>
              </w:rPr>
            </w:pPr>
            <w:r>
              <w:rPr>
                <w:rFonts w:hint="eastAsia" w:ascii="Times New Roman" w:hAnsi="Times New Roman" w:cs="Times New Roman"/>
                <w:kern w:val="2"/>
                <w:highlight w:val="none"/>
              </w:rPr>
              <w:t>候选中标供应商家数</w:t>
            </w:r>
          </w:p>
        </w:tc>
        <w:tc>
          <w:tcPr>
            <w:tcW w:w="4264" w:type="dxa"/>
            <w:tcBorders>
              <w:top w:val="single" w:color="auto" w:sz="4" w:space="0"/>
              <w:left w:val="single" w:color="auto" w:sz="4" w:space="0"/>
              <w:bottom w:val="single" w:color="auto" w:sz="4" w:space="0"/>
              <w:right w:val="single" w:color="auto" w:sz="4" w:space="0"/>
            </w:tcBorders>
          </w:tcPr>
          <w:p>
            <w:pPr>
              <w:widowControl w:val="0"/>
              <w:shd w:val="clear" w:color="auto" w:fill="auto"/>
              <w:tabs>
                <w:tab w:val="clear" w:pos="426"/>
              </w:tabs>
              <w:adjustRightInd/>
              <w:snapToGrid/>
              <w:spacing w:line="240" w:lineRule="auto"/>
              <w:jc w:val="center"/>
              <w:rPr>
                <w:rFonts w:ascii="Times New Roman" w:hAnsi="Times New Roman" w:cs="Times New Roman"/>
                <w:kern w:val="2"/>
                <w:highlight w:val="none"/>
              </w:rPr>
            </w:pPr>
            <w:r>
              <w:rPr>
                <w:rFonts w:ascii="Times New Roman" w:hAnsi="Times New Roman" w:cs="Times New Roman"/>
                <w:kern w:val="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pPr>
              <w:widowControl w:val="0"/>
              <w:shd w:val="clear" w:color="auto" w:fill="auto"/>
              <w:tabs>
                <w:tab w:val="clear" w:pos="426"/>
              </w:tabs>
              <w:adjustRightInd/>
              <w:snapToGrid/>
              <w:spacing w:line="240" w:lineRule="auto"/>
              <w:jc w:val="center"/>
              <w:rPr>
                <w:rFonts w:ascii="Times New Roman" w:hAnsi="Times New Roman" w:cs="Times New Roman"/>
                <w:kern w:val="2"/>
                <w:highlight w:val="none"/>
              </w:rPr>
            </w:pPr>
            <w:r>
              <w:rPr>
                <w:rFonts w:hint="eastAsia" w:ascii="Times New Roman" w:hAnsi="Times New Roman" w:cs="Times New Roman"/>
                <w:kern w:val="2"/>
                <w:highlight w:val="none"/>
              </w:rPr>
              <w:t>中标供应商家数</w:t>
            </w:r>
          </w:p>
        </w:tc>
        <w:tc>
          <w:tcPr>
            <w:tcW w:w="4264" w:type="dxa"/>
            <w:tcBorders>
              <w:top w:val="single" w:color="auto" w:sz="4" w:space="0"/>
              <w:left w:val="single" w:color="auto" w:sz="4" w:space="0"/>
              <w:bottom w:val="single" w:color="auto" w:sz="4" w:space="0"/>
              <w:right w:val="single" w:color="auto" w:sz="4" w:space="0"/>
            </w:tcBorders>
          </w:tcPr>
          <w:p>
            <w:pPr>
              <w:widowControl w:val="0"/>
              <w:shd w:val="clear" w:color="auto" w:fill="auto"/>
              <w:tabs>
                <w:tab w:val="clear" w:pos="426"/>
              </w:tabs>
              <w:adjustRightInd/>
              <w:snapToGrid/>
              <w:spacing w:line="240" w:lineRule="auto"/>
              <w:jc w:val="center"/>
              <w:rPr>
                <w:rFonts w:ascii="Times New Roman" w:hAnsi="Times New Roman" w:cs="Times New Roman"/>
                <w:kern w:val="2"/>
                <w:highlight w:val="none"/>
              </w:rPr>
            </w:pPr>
            <w:r>
              <w:rPr>
                <w:rFonts w:ascii="Times New Roman" w:hAnsi="Times New Roman" w:cs="Times New Roman"/>
                <w:kern w:val="2"/>
                <w:highlight w:val="none"/>
              </w:rPr>
              <w:t>1</w:t>
            </w:r>
          </w:p>
        </w:tc>
      </w:tr>
    </w:tbl>
    <w:p>
      <w:pPr>
        <w:widowControl w:val="0"/>
        <w:shd w:val="clear" w:color="auto" w:fill="auto"/>
        <w:tabs>
          <w:tab w:val="clear" w:pos="426"/>
        </w:tabs>
        <w:spacing w:line="300" w:lineRule="auto"/>
        <w:ind w:firstLine="420" w:firstLineChars="200"/>
        <w:rPr>
          <w:bCs/>
          <w:szCs w:val="21"/>
          <w:highlight w:val="none"/>
        </w:rPr>
      </w:pPr>
      <w:r>
        <w:rPr>
          <w:rFonts w:hint="eastAsia"/>
          <w:bCs/>
          <w:szCs w:val="21"/>
          <w:highlight w:val="none"/>
        </w:rPr>
        <w:t>二、评审方法</w:t>
      </w:r>
    </w:p>
    <w:p>
      <w:pPr>
        <w:widowControl w:val="0"/>
        <w:shd w:val="clear" w:color="auto" w:fill="auto"/>
        <w:tabs>
          <w:tab w:val="clear" w:pos="426"/>
        </w:tabs>
        <w:spacing w:line="300" w:lineRule="auto"/>
        <w:ind w:firstLine="420" w:firstLineChars="200"/>
        <w:rPr>
          <w:bCs/>
          <w:szCs w:val="21"/>
          <w:highlight w:val="none"/>
        </w:rPr>
      </w:pPr>
      <w:r>
        <w:rPr>
          <w:rFonts w:hint="eastAsia"/>
          <w:szCs w:val="21"/>
          <w:highlight w:val="none"/>
        </w:rPr>
        <w:t>本项目采用综合评分法评审，投标文件应满足招标文件全部实质性要求，且按照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Pr>
          <w:rFonts w:hint="eastAsia"/>
          <w:bCs/>
          <w:szCs w:val="21"/>
          <w:highlight w:val="none"/>
        </w:rPr>
        <w:t>。</w:t>
      </w:r>
    </w:p>
    <w:p>
      <w:pPr>
        <w:widowControl w:val="0"/>
        <w:shd w:val="clear" w:color="auto" w:fill="auto"/>
        <w:tabs>
          <w:tab w:val="clear" w:pos="426"/>
        </w:tabs>
        <w:spacing w:line="300" w:lineRule="auto"/>
        <w:ind w:firstLine="420" w:firstLineChars="200"/>
        <w:rPr>
          <w:rFonts w:hint="eastAsia"/>
          <w:szCs w:val="21"/>
          <w:highlight w:val="none"/>
        </w:rPr>
      </w:pPr>
      <w:r>
        <w:rPr>
          <w:rFonts w:hint="eastAsia"/>
          <w:szCs w:val="21"/>
          <w:highlight w:val="none"/>
        </w:rPr>
        <w:t>候选中标供应商按评审总得分由高到低顺序排列，排名第一的投标人为第一候选中标供应商，排名第二的投标人为第二候选中标供应商，排名第三的投标人为第三候选中标供应商。</w:t>
      </w:r>
    </w:p>
    <w:p>
      <w:pPr>
        <w:widowControl w:val="0"/>
        <w:shd w:val="clear" w:color="auto" w:fill="auto"/>
        <w:tabs>
          <w:tab w:val="clear" w:pos="426"/>
        </w:tabs>
        <w:spacing w:line="300" w:lineRule="auto"/>
        <w:ind w:firstLine="420" w:firstLineChars="200"/>
        <w:rPr>
          <w:highlight w:val="none"/>
        </w:rPr>
      </w:pPr>
      <w:r>
        <w:rPr>
          <w:rFonts w:hint="eastAsia"/>
          <w:szCs w:val="21"/>
          <w:highlight w:val="none"/>
        </w:rPr>
        <w:t>候选中标供应商评审总得分相同的，按投标报价由低到高顺序排列；得分且投标报价相同的，按技术指标或服务方案优劣顺序排列；得分且投标报价相同的且技术指标或服务方案优劣相同的，</w:t>
      </w:r>
      <w:r>
        <w:rPr>
          <w:rFonts w:cs="Times New Roman"/>
          <w:bCs/>
          <w:kern w:val="2"/>
          <w:szCs w:val="21"/>
          <w:highlight w:val="none"/>
        </w:rPr>
        <w:t>采取随机抽取方式确定</w:t>
      </w:r>
      <w:r>
        <w:rPr>
          <w:rFonts w:hint="eastAsia" w:cs="Times New Roman"/>
          <w:bCs/>
          <w:kern w:val="2"/>
          <w:szCs w:val="21"/>
          <w:highlight w:val="none"/>
        </w:rPr>
        <w:t>候选中标供应商的</w:t>
      </w:r>
      <w:r>
        <w:rPr>
          <w:rFonts w:cs="Times New Roman"/>
          <w:bCs/>
          <w:kern w:val="2"/>
          <w:szCs w:val="21"/>
          <w:highlight w:val="none"/>
        </w:rPr>
        <w:t>推荐资格</w:t>
      </w:r>
      <w:r>
        <w:rPr>
          <w:rFonts w:hint="eastAsia" w:cs="Times New Roman"/>
          <w:bCs/>
          <w:kern w:val="2"/>
          <w:szCs w:val="21"/>
          <w:highlight w:val="none"/>
        </w:rPr>
        <w:t>。</w:t>
      </w:r>
    </w:p>
    <w:p>
      <w:pPr>
        <w:tabs>
          <w:tab w:val="clear" w:pos="426"/>
        </w:tabs>
        <w:spacing w:line="300" w:lineRule="auto"/>
        <w:ind w:firstLine="420" w:firstLineChars="200"/>
        <w:rPr>
          <w:highlight w:val="none"/>
        </w:rPr>
      </w:pPr>
      <w:r>
        <w:rPr>
          <w:rFonts w:hint="eastAsia"/>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pPr>
        <w:tabs>
          <w:tab w:val="clear" w:pos="426"/>
        </w:tabs>
        <w:spacing w:line="300" w:lineRule="auto"/>
        <w:ind w:firstLine="420" w:firstLineChars="200"/>
        <w:rPr>
          <w:highlight w:val="none"/>
        </w:rPr>
      </w:pPr>
      <w:r>
        <w:rPr>
          <w:rFonts w:hint="eastAsia"/>
          <w:highlight w:val="none"/>
        </w:rPr>
        <w:t>供应商提供报价合理性说明的方式，包括但不限于现场提交、电子邮件提交等其他便捷方式。若评审委员会成员对是否须由投标人作出报价合理性说明，以及书面说明是否采纳等判断不一致的，按照“少数服从多数”的原则确定评审委员会的意见。</w:t>
      </w:r>
    </w:p>
    <w:p>
      <w:pPr>
        <w:widowControl w:val="0"/>
        <w:shd w:val="clear" w:color="auto" w:fill="auto"/>
        <w:tabs>
          <w:tab w:val="clear" w:pos="426"/>
        </w:tabs>
        <w:spacing w:line="300" w:lineRule="auto"/>
        <w:ind w:firstLine="420" w:firstLineChars="200"/>
        <w:rPr>
          <w:szCs w:val="21"/>
          <w:highlight w:val="none"/>
        </w:rPr>
      </w:pPr>
      <w:r>
        <w:rPr>
          <w:rFonts w:hint="eastAsia"/>
          <w:szCs w:val="21"/>
          <w:highlight w:val="none"/>
        </w:rPr>
        <w:t>三、</w:t>
      </w:r>
      <w:r>
        <w:rPr>
          <w:szCs w:val="21"/>
          <w:highlight w:val="none"/>
        </w:rPr>
        <w:t>价格分计算方法</w:t>
      </w:r>
    </w:p>
    <w:p>
      <w:pPr>
        <w:pStyle w:val="305"/>
        <w:rPr>
          <w:highlight w:val="none"/>
        </w:rPr>
      </w:pPr>
      <w:r>
        <w:rPr>
          <w:rFonts w:hint="eastAsia"/>
          <w:highlight w:val="none"/>
        </w:rPr>
        <w:t>依据《</w:t>
      </w:r>
      <w:r>
        <w:rPr>
          <w:highlight w:val="none"/>
        </w:rPr>
        <w:t>深圳市财政局关于严格执行财政部87号令价格分计算规定的通知</w:t>
      </w:r>
      <w:r>
        <w:rPr>
          <w:rFonts w:hint="eastAsia"/>
          <w:highlight w:val="none"/>
        </w:rPr>
        <w:t>》（深财购〔</w:t>
      </w:r>
      <w:r>
        <w:rPr>
          <w:highlight w:val="none"/>
        </w:rPr>
        <w:t>2018〕33号</w:t>
      </w:r>
      <w:r>
        <w:rPr>
          <w:rFonts w:hint="eastAsia"/>
          <w:highlight w:val="none"/>
        </w:rPr>
        <w:t>）、《</w:t>
      </w:r>
      <w:r>
        <w:rPr>
          <w:highlight w:val="none"/>
        </w:rPr>
        <w:t>政府采购货物和服务招标投标管理办法</w:t>
      </w:r>
      <w:r>
        <w:rPr>
          <w:rFonts w:hint="eastAsia"/>
          <w:highlight w:val="none"/>
        </w:rPr>
        <w:t>》（财政部令第</w:t>
      </w:r>
      <w:r>
        <w:rPr>
          <w:highlight w:val="none"/>
        </w:rPr>
        <w:t>87号）</w:t>
      </w:r>
      <w:r>
        <w:rPr>
          <w:rFonts w:hint="eastAsia"/>
          <w:highlight w:val="none"/>
        </w:rPr>
        <w:t>第五十五条第六款之规定：价格分应当采用低价优先法计算，即满足招标文件要求且投标价格最低的投标报价为评标基准价，其价格分为满分。其他投标人的价格分统一按照下列公式计算：</w:t>
      </w:r>
    </w:p>
    <w:p>
      <w:pPr>
        <w:pStyle w:val="305"/>
        <w:rPr>
          <w:highlight w:val="none"/>
        </w:rPr>
      </w:pPr>
      <w:r>
        <w:rPr>
          <w:rFonts w:hint="eastAsia"/>
          <w:highlight w:val="none"/>
        </w:rPr>
        <w:t>投标报价得分</w:t>
      </w:r>
      <w:r>
        <w:rPr>
          <w:highlight w:val="none"/>
        </w:rPr>
        <w:t>=(评标基准价／投标报价)×100</w:t>
      </w:r>
    </w:p>
    <w:p>
      <w:pPr>
        <w:pStyle w:val="305"/>
        <w:rPr>
          <w:highlight w:val="none"/>
        </w:rPr>
      </w:pPr>
      <w:r>
        <w:rPr>
          <w:rFonts w:hint="eastAsia"/>
          <w:highlight w:val="none"/>
        </w:rPr>
        <w:t>评标总得分＝</w:t>
      </w:r>
      <w:r>
        <w:rPr>
          <w:highlight w:val="none"/>
        </w:rPr>
        <w:t>F1×A1＋F2×A2＋……＋Fn×An</w:t>
      </w:r>
    </w:p>
    <w:p>
      <w:pPr>
        <w:pStyle w:val="305"/>
        <w:rPr>
          <w:highlight w:val="none"/>
        </w:rPr>
      </w:pPr>
      <w:r>
        <w:rPr>
          <w:highlight w:val="none"/>
        </w:rPr>
        <w:t>F1、F2……Fn分别为各项评审因素的得分；</w:t>
      </w:r>
    </w:p>
    <w:p>
      <w:pPr>
        <w:pStyle w:val="305"/>
        <w:rPr>
          <w:highlight w:val="none"/>
        </w:rPr>
      </w:pPr>
      <w:r>
        <w:rPr>
          <w:highlight w:val="none"/>
        </w:rPr>
        <w:t>A1、A2、……An 分别为各项评审因素所占的权重(A1＋A2＋……＋An＝1)。</w:t>
      </w:r>
    </w:p>
    <w:p>
      <w:pPr>
        <w:pStyle w:val="305"/>
        <w:rPr>
          <w:highlight w:val="none"/>
        </w:rPr>
      </w:pPr>
      <w:r>
        <w:rPr>
          <w:rFonts w:hint="eastAsia"/>
          <w:highlight w:val="none"/>
        </w:rPr>
        <w:t>评标过程中，不得去掉报价中的最高报价和最低报价。</w:t>
      </w:r>
    </w:p>
    <w:p>
      <w:pPr>
        <w:pStyle w:val="305"/>
        <w:rPr>
          <w:highlight w:val="none"/>
        </w:rPr>
      </w:pPr>
      <w:r>
        <w:rPr>
          <w:rFonts w:hint="eastAsia"/>
          <w:highlight w:val="none"/>
        </w:rPr>
        <w:t>因落实政府采购政策进行价格调整的，以调整后的价格计算评标基准价和投标报价。</w:t>
      </w:r>
    </w:p>
    <w:p>
      <w:pPr>
        <w:pStyle w:val="305"/>
        <w:rPr>
          <w:highlight w:val="none"/>
        </w:rPr>
      </w:pPr>
      <w:r>
        <w:rPr>
          <w:rFonts w:hint="eastAsia"/>
          <w:highlight w:val="none"/>
        </w:rPr>
        <w:t>在实际评标过程中，《评分细则表》中的“分值”项为各项评审因素的实际分</w:t>
      </w:r>
      <w:r>
        <w:rPr>
          <w:highlight w:val="none"/>
        </w:rPr>
        <w:t>Sn，Sn=Fn×An，评标总得分=S1＋S2＋……＋Sn，投标报价的实际分=(评标基准价／投标报价)×100×价格权重。</w:t>
      </w:r>
    </w:p>
    <w:p>
      <w:pPr>
        <w:tabs>
          <w:tab w:val="clear" w:pos="426"/>
        </w:tabs>
        <w:spacing w:line="300" w:lineRule="auto"/>
        <w:ind w:firstLine="420" w:firstLineChars="200"/>
        <w:rPr>
          <w:szCs w:val="21"/>
          <w:highlight w:val="none"/>
        </w:rPr>
      </w:pPr>
      <w:r>
        <w:rPr>
          <w:rFonts w:hint="eastAsia"/>
          <w:szCs w:val="21"/>
          <w:highlight w:val="none"/>
        </w:rPr>
        <w:t>四、详细评审</w:t>
      </w:r>
    </w:p>
    <w:p>
      <w:pPr>
        <w:tabs>
          <w:tab w:val="clear" w:pos="426"/>
        </w:tabs>
        <w:spacing w:line="300" w:lineRule="auto"/>
        <w:ind w:firstLine="420" w:firstLineChars="200"/>
        <w:rPr>
          <w:szCs w:val="21"/>
          <w:highlight w:val="none"/>
        </w:rPr>
      </w:pPr>
      <w:r>
        <w:rPr>
          <w:rFonts w:hint="eastAsia"/>
          <w:szCs w:val="21"/>
          <w:highlight w:val="none"/>
        </w:rPr>
        <w:t>（一）</w:t>
      </w:r>
      <w:r>
        <w:rPr>
          <w:szCs w:val="21"/>
          <w:highlight w:val="none"/>
        </w:rPr>
        <w:t>评标专家应对通过投标文件初审进入评标程序的投标文件先评技术标、再评商务标；</w:t>
      </w:r>
    </w:p>
    <w:p>
      <w:pPr>
        <w:tabs>
          <w:tab w:val="clear" w:pos="426"/>
        </w:tabs>
        <w:spacing w:line="300" w:lineRule="auto"/>
        <w:ind w:firstLine="420" w:firstLineChars="200"/>
        <w:rPr>
          <w:szCs w:val="21"/>
          <w:highlight w:val="none"/>
        </w:rPr>
      </w:pPr>
      <w:r>
        <w:rPr>
          <w:rFonts w:hint="eastAsia"/>
          <w:szCs w:val="21"/>
          <w:highlight w:val="none"/>
        </w:rPr>
        <w:t>（二）</w:t>
      </w:r>
      <w:r>
        <w:rPr>
          <w:szCs w:val="21"/>
          <w:highlight w:val="none"/>
        </w:rPr>
        <w:t>评标专家需按招标文件规定的评审标准对投标人提交的投标文件进行评审，投标文件中与评审标准无关的内容不作为评审内容</w:t>
      </w:r>
      <w:r>
        <w:rPr>
          <w:rFonts w:hint="eastAsia"/>
          <w:szCs w:val="21"/>
          <w:highlight w:val="none"/>
        </w:rPr>
        <w:t>。</w:t>
      </w:r>
    </w:p>
    <w:p>
      <w:pPr>
        <w:tabs>
          <w:tab w:val="clear" w:pos="426"/>
        </w:tabs>
        <w:spacing w:line="300" w:lineRule="auto"/>
        <w:ind w:firstLine="420" w:firstLineChars="200"/>
        <w:rPr>
          <w:szCs w:val="21"/>
          <w:highlight w:val="none"/>
        </w:rPr>
      </w:pPr>
      <w:r>
        <w:rPr>
          <w:rFonts w:hint="eastAsia"/>
          <w:szCs w:val="21"/>
          <w:highlight w:val="none"/>
        </w:rPr>
        <w:t>（三）评标委员会在评标时，应按照以下量化的评审因素，对各投标文件进行分析和比较：</w:t>
      </w:r>
    </w:p>
    <w:bookmarkEnd w:id="6"/>
    <w:bookmarkEnd w:id="7"/>
    <w:p>
      <w:pPr>
        <w:pStyle w:val="321"/>
        <w:rPr>
          <w:highlight w:val="none"/>
        </w:rPr>
      </w:pPr>
      <w:r>
        <w:rPr>
          <w:rFonts w:hint="eastAsia"/>
          <w:highlight w:val="none"/>
        </w:rPr>
        <w:t>评分细则表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79"/>
        <w:gridCol w:w="1515"/>
        <w:gridCol w:w="736"/>
        <w:gridCol w:w="705"/>
        <w:gridCol w:w="4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Align w:val="center"/>
          </w:tcPr>
          <w:p>
            <w:pPr>
              <w:pStyle w:val="323"/>
              <w:jc w:val="center"/>
              <w:rPr>
                <w:rFonts w:hint="eastAsia" w:ascii="宋体" w:hAnsi="宋体" w:eastAsia="宋体" w:cs="宋体"/>
                <w:b/>
                <w:bCs/>
                <w:sz w:val="21"/>
                <w:szCs w:val="21"/>
                <w:highlight w:val="none"/>
              </w:rPr>
            </w:pPr>
            <w:bookmarkStart w:id="8" w:name="bt技术标投标文件格式"/>
            <w:bookmarkEnd w:id="8"/>
            <w:bookmarkStart w:id="9" w:name="bt合同格式"/>
            <w:bookmarkEnd w:id="9"/>
            <w:bookmarkStart w:id="10" w:name="bt项目管理班子配备情况"/>
            <w:bookmarkEnd w:id="10"/>
            <w:bookmarkStart w:id="11" w:name="bt合同条款"/>
            <w:bookmarkEnd w:id="11"/>
            <w:bookmarkStart w:id="12" w:name="bt其他资料2"/>
            <w:bookmarkEnd w:id="12"/>
            <w:bookmarkStart w:id="13" w:name="bt投标函"/>
            <w:bookmarkEnd w:id="13"/>
            <w:bookmarkStart w:id="14" w:name="bt投标人情况介绍"/>
            <w:bookmarkEnd w:id="14"/>
            <w:bookmarkStart w:id="15" w:name="bt其他资料由投标人自定"/>
            <w:bookmarkEnd w:id="15"/>
            <w:bookmarkStart w:id="16" w:name="bt商务标投标文件格式"/>
            <w:bookmarkEnd w:id="16"/>
            <w:bookmarkStart w:id="17" w:name="合同格式"/>
            <w:bookmarkEnd w:id="17"/>
            <w:bookmarkStart w:id="18" w:name="bt投标文件签署授权委托书"/>
            <w:bookmarkEnd w:id="18"/>
            <w:bookmarkStart w:id="19" w:name="bt投标报价汇总表"/>
            <w:bookmarkEnd w:id="19"/>
            <w:bookmarkStart w:id="20" w:name="bt本工程承诺书"/>
            <w:bookmarkEnd w:id="20"/>
            <w:bookmarkStart w:id="21" w:name="bt说明"/>
            <w:bookmarkEnd w:id="21"/>
            <w:bookmarkStart w:id="22" w:name="bt合同条款及格式"/>
            <w:bookmarkEnd w:id="22"/>
            <w:bookmarkStart w:id="23" w:name="bt开标一览表"/>
            <w:bookmarkEnd w:id="23"/>
            <w:bookmarkStart w:id="24" w:name="bt投标人须知"/>
            <w:bookmarkEnd w:id="24"/>
            <w:bookmarkStart w:id="25" w:name="_Toc432592812"/>
            <w:r>
              <w:rPr>
                <w:rFonts w:hint="eastAsia" w:ascii="宋体" w:hAnsi="宋体" w:eastAsia="宋体" w:cs="宋体"/>
                <w:b/>
                <w:bCs/>
                <w:sz w:val="21"/>
                <w:szCs w:val="21"/>
                <w:highlight w:val="none"/>
              </w:rPr>
              <w:t>序号</w:t>
            </w:r>
          </w:p>
        </w:tc>
        <w:tc>
          <w:tcPr>
            <w:tcW w:w="3435" w:type="dxa"/>
            <w:gridSpan w:val="4"/>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4667" w:type="dxa"/>
            <w:vAlign w:val="center"/>
          </w:tcPr>
          <w:p>
            <w:pPr>
              <w:pStyle w:val="323"/>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3435" w:type="dxa"/>
            <w:gridSpan w:val="4"/>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w:t>
            </w:r>
          </w:p>
        </w:tc>
        <w:tc>
          <w:tcPr>
            <w:tcW w:w="4667" w:type="dxa"/>
            <w:vAlign w:val="center"/>
          </w:tcPr>
          <w:p>
            <w:pPr>
              <w:pStyle w:val="323"/>
              <w:rPr>
                <w:rFonts w:hint="default" w:ascii="宋体" w:hAnsi="宋体" w:eastAsia="宋体" w:cs="宋体"/>
                <w:b/>
                <w:bCs/>
                <w:sz w:val="21"/>
                <w:szCs w:val="21"/>
                <w:highlight w:val="none"/>
                <w:lang w:val="en-US" w:eastAsia="zh-CN"/>
              </w:rPr>
            </w:pPr>
            <w:r>
              <w:rPr>
                <w:rFonts w:hint="eastAsia" w:cs="宋体"/>
                <w:b/>
                <w:bCs/>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3435" w:type="dxa"/>
            <w:gridSpan w:val="4"/>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服务</w:t>
            </w:r>
            <w:r>
              <w:rPr>
                <w:rFonts w:hint="eastAsia" w:ascii="宋体" w:hAnsi="宋体" w:eastAsia="宋体" w:cs="宋体"/>
                <w:b/>
                <w:bCs/>
                <w:sz w:val="21"/>
                <w:szCs w:val="21"/>
                <w:highlight w:val="none"/>
              </w:rPr>
              <w:t>部分</w:t>
            </w:r>
          </w:p>
        </w:tc>
        <w:tc>
          <w:tcPr>
            <w:tcW w:w="4667" w:type="dxa"/>
            <w:vAlign w:val="center"/>
          </w:tcPr>
          <w:p>
            <w:pPr>
              <w:pStyle w:val="323"/>
              <w:rPr>
                <w:rFonts w:hint="default" w:ascii="宋体" w:hAnsi="宋体" w:eastAsia="宋体" w:cs="宋体"/>
                <w:b/>
                <w:bCs/>
                <w:sz w:val="21"/>
                <w:szCs w:val="21"/>
                <w:highlight w:val="none"/>
                <w:lang w:val="en-US" w:eastAsia="zh-CN"/>
              </w:rPr>
            </w:pPr>
            <w:r>
              <w:rPr>
                <w:rFonts w:hint="eastAsia" w:cs="宋体"/>
                <w:b/>
                <w:bCs/>
                <w:sz w:val="21"/>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8" w:type="dxa"/>
            <w:gridSpan w:val="6"/>
            <w:vAlign w:val="center"/>
          </w:tcPr>
          <w:p>
            <w:pPr>
              <w:pStyle w:val="297"/>
              <w:ind w:firstLine="420"/>
              <w:jc w:val="center"/>
              <w:rPr>
                <w:rFonts w:hint="eastAsia" w:ascii="宋体" w:hAnsi="宋体" w:eastAsia="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restart"/>
            <w:vAlign w:val="center"/>
          </w:tcPr>
          <w:p>
            <w:pPr>
              <w:tabs>
                <w:tab w:val="clear" w:pos="426"/>
              </w:tabs>
              <w:spacing w:line="240" w:lineRule="auto"/>
              <w:jc w:val="center"/>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服务方案</w:t>
            </w:r>
          </w:p>
        </w:tc>
        <w:tc>
          <w:tcPr>
            <w:tcW w:w="479" w:type="dxa"/>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15" w:type="dxa"/>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评分因素</w:t>
            </w:r>
          </w:p>
        </w:tc>
        <w:tc>
          <w:tcPr>
            <w:tcW w:w="736" w:type="dxa"/>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c>
          <w:tcPr>
            <w:tcW w:w="705" w:type="dxa"/>
            <w:vAlign w:val="center"/>
          </w:tcPr>
          <w:p>
            <w:pPr>
              <w:pStyle w:val="323"/>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评分方式</w:t>
            </w:r>
          </w:p>
        </w:tc>
        <w:tc>
          <w:tcPr>
            <w:tcW w:w="4667" w:type="dxa"/>
            <w:vAlign w:val="center"/>
          </w:tcPr>
          <w:p>
            <w:pPr>
              <w:pStyle w:val="323"/>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cs="宋体"/>
                <w:kern w:val="0"/>
                <w:szCs w:val="21"/>
              </w:rPr>
              <w:t>实施方案（工作措施、工作方法、工作手段、工作流程）</w:t>
            </w:r>
          </w:p>
        </w:tc>
        <w:tc>
          <w:tcPr>
            <w:tcW w:w="736" w:type="dxa"/>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widowControl/>
              <w:numPr>
                <w:ilvl w:val="0"/>
                <w:numId w:val="0"/>
              </w:numPr>
              <w:spacing w:line="240" w:lineRule="auto"/>
              <w:jc w:val="left"/>
              <w:rPr>
                <w:rFonts w:hint="eastAsia" w:ascii="宋体" w:hAnsi="宋体" w:eastAsia="宋体" w:cs="宋体"/>
                <w:b/>
                <w:bCs/>
                <w:sz w:val="21"/>
                <w:szCs w:val="21"/>
                <w:highlight w:val="none"/>
                <w:lang w:val="zh-CN" w:eastAsia="zh-CN" w:bidi="ar-SA"/>
              </w:rPr>
            </w:pPr>
            <w:r>
              <w:rPr>
                <w:rFonts w:hint="eastAsia" w:ascii="宋体" w:hAnsi="宋体" w:eastAsia="宋体" w:cs="宋体"/>
                <w:b/>
                <w:bCs/>
                <w:sz w:val="21"/>
                <w:szCs w:val="21"/>
                <w:highlight w:val="none"/>
                <w:lang w:val="en-US" w:eastAsia="zh-CN" w:bidi="ar-SA"/>
              </w:rPr>
              <w:t>评审内容：</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根据招标文件的需求和投标文件响应情况及实施方案的合理性进行横向比较评分：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1.对项目的分析是否深入</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2.方案是否可行</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3.目标是否明确</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4.措施是否得当。</w:t>
            </w:r>
          </w:p>
          <w:p>
            <w:pPr>
              <w:pStyle w:val="307"/>
              <w:rPr>
                <w:rFonts w:hint="eastAsia" w:ascii="宋体" w:hAnsi="宋体" w:eastAsia="宋体" w:cs="宋体"/>
                <w:b/>
                <w:bCs/>
                <w:sz w:val="21"/>
                <w:szCs w:val="21"/>
                <w:highlight w:val="none"/>
              </w:rPr>
            </w:pPr>
          </w:p>
          <w:p>
            <w:pPr>
              <w:pStyle w:val="307"/>
              <w:rPr>
                <w:rFonts w:hint="eastAsia" w:ascii="宋体" w:hAnsi="宋体" w:eastAsia="宋体" w:cs="宋体"/>
                <w:b/>
                <w:bCs/>
                <w:kern w:val="0"/>
                <w:sz w:val="21"/>
                <w:szCs w:val="21"/>
                <w:highlight w:val="none"/>
                <w:lang w:val="sq-AL"/>
              </w:rPr>
            </w:pPr>
            <w:r>
              <w:rPr>
                <w:rFonts w:hint="eastAsia" w:ascii="宋体" w:hAnsi="宋体" w:eastAsia="宋体" w:cs="宋体"/>
                <w:b/>
                <w:bCs/>
                <w:sz w:val="21"/>
                <w:szCs w:val="21"/>
                <w:highlight w:val="none"/>
              </w:rPr>
              <w:t>优良中差评分标准：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1.实施方案将评审内容4项全部提供可得</w:t>
            </w:r>
            <w:r>
              <w:rPr>
                <w:rFonts w:hint="eastAsia" w:cs="宋体"/>
                <w:sz w:val="21"/>
                <w:szCs w:val="21"/>
                <w:highlight w:val="none"/>
                <w:lang w:val="en-US" w:eastAsia="zh-CN"/>
              </w:rPr>
              <w:t>本项4</w:t>
            </w:r>
            <w:r>
              <w:rPr>
                <w:rFonts w:hint="eastAsia" w:ascii="宋体" w:hAnsi="宋体" w:eastAsia="宋体" w:cs="宋体"/>
                <w:sz w:val="21"/>
                <w:szCs w:val="21"/>
                <w:highlight w:val="none"/>
                <w:lang w:val="en-US" w:eastAsia="zh-CN"/>
              </w:rPr>
              <w:t>分，每少一项扣</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分，扣完为止。</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2.在投标人以上内容提供的基础上，评审委员会根据以下评审标准分档打分：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（1）投标文件响应内容全面；</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（2）投标文件响应内容具体；</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（3）投标文件响应内容针对性强；</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（4）投标文件响应内容科学合理；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（5）投标文件响应内容可操作性强。</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满足以上五项要求的评价为优，得</w:t>
            </w:r>
            <w:r>
              <w:rPr>
                <w:rFonts w:hint="eastAsia" w:cs="宋体"/>
                <w:sz w:val="21"/>
                <w:szCs w:val="21"/>
                <w:highlight w:val="none"/>
                <w:lang w:val="en-US" w:eastAsia="zh-CN"/>
              </w:rPr>
              <w:t>6</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满足以上四项要求的评价为良，得</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满足以上三项要求的评价为中，得</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tabs>
                <w:tab w:val="clear" w:pos="426"/>
              </w:tabs>
              <w:spacing w:line="240" w:lineRule="auto"/>
              <w:jc w:val="center"/>
              <w:rPr>
                <w:rFonts w:hint="eastAsia" w:ascii="宋体" w:hAnsi="宋体" w:eastAsia="宋体"/>
                <w:szCs w:val="21"/>
                <w:lang w:eastAsia="zh-CN"/>
              </w:rPr>
            </w:pPr>
            <w:r>
              <w:rPr>
                <w:rFonts w:hint="eastAsia" w:ascii="宋体" w:hAnsi="宋体"/>
                <w:szCs w:val="21"/>
              </w:rPr>
              <w:t>质量保障措施</w:t>
            </w:r>
          </w:p>
          <w:p>
            <w:pPr>
              <w:pStyle w:val="2"/>
              <w:rPr>
                <w:rFonts w:hint="eastAsia"/>
                <w:lang w:eastAsia="zh-CN"/>
              </w:rPr>
            </w:pPr>
          </w:p>
        </w:tc>
        <w:tc>
          <w:tcPr>
            <w:tcW w:w="736" w:type="dxa"/>
            <w:vAlign w:val="center"/>
          </w:tcPr>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评审内容：</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根据质量保障措施的合理性进行横向比较评分：</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为本项目制定的质量管理及保证措施情况。</w:t>
            </w:r>
          </w:p>
          <w:p>
            <w:pPr>
              <w:pStyle w:val="307"/>
              <w:rPr>
                <w:rFonts w:hint="eastAsia" w:ascii="宋体" w:hAnsi="宋体" w:eastAsia="宋体" w:cs="宋体"/>
                <w:sz w:val="21"/>
                <w:szCs w:val="21"/>
                <w:highlight w:val="none"/>
              </w:rPr>
            </w:pPr>
          </w:p>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优良中差评分标准：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cs="宋体"/>
                <w:sz w:val="21"/>
                <w:szCs w:val="21"/>
                <w:highlight w:val="none"/>
                <w:lang w:val="en-US" w:eastAsia="zh-CN"/>
              </w:rPr>
              <w:t>保障措施</w:t>
            </w:r>
            <w:r>
              <w:rPr>
                <w:rFonts w:hint="eastAsia" w:ascii="宋体" w:hAnsi="宋体" w:eastAsia="宋体" w:cs="宋体"/>
                <w:sz w:val="21"/>
                <w:szCs w:val="21"/>
                <w:highlight w:val="none"/>
                <w:lang w:val="en-US" w:eastAsia="zh-CN"/>
              </w:rPr>
              <w:t>将</w:t>
            </w:r>
            <w:r>
              <w:rPr>
                <w:rFonts w:hint="eastAsia" w:ascii="宋体" w:hAnsi="宋体" w:eastAsia="宋体" w:cs="宋体"/>
                <w:sz w:val="21"/>
                <w:szCs w:val="21"/>
                <w:highlight w:val="none"/>
              </w:rPr>
              <w:t>质量管理及保证措施</w:t>
            </w:r>
            <w:r>
              <w:rPr>
                <w:rFonts w:hint="eastAsia" w:cs="宋体"/>
                <w:sz w:val="21"/>
                <w:szCs w:val="21"/>
                <w:highlight w:val="none"/>
                <w:lang w:val="en-US" w:eastAsia="zh-CN"/>
              </w:rPr>
              <w:t>2项内容</w:t>
            </w:r>
            <w:r>
              <w:rPr>
                <w:rFonts w:hint="eastAsia" w:ascii="宋体" w:hAnsi="宋体" w:eastAsia="宋体" w:cs="宋体"/>
                <w:sz w:val="21"/>
                <w:szCs w:val="21"/>
                <w:highlight w:val="none"/>
                <w:lang w:val="en-US" w:eastAsia="zh-CN"/>
              </w:rPr>
              <w:t>全部提供可得</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分，每少一项扣</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分，扣完为止。</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2.在投标人以上内容提供的基础上，评审委员会根据以下评审标准分档打分：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（1）投标文件响应内容全面；</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（2）投标文件响应内容具体；</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（3）投标文件响应内容针对性强；</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（4）投标文件响应内容科学合理；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（5）投标文件响应内容可操作性强。</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满足以上五项要求的评价为优，得6分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满足以上四项要求的评价为良，得3分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满足以上三项要求的评价为中，得1分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其它情况的评价为差</w:t>
            </w:r>
            <w:r>
              <w:rPr>
                <w:rFonts w:hint="eastAsia" w:cs="宋体"/>
                <w:sz w:val="21"/>
                <w:szCs w:val="21"/>
                <w:highlight w:val="none"/>
                <w:lang w:val="en-US" w:eastAsia="zh-CN"/>
              </w:rPr>
              <w:t>，</w:t>
            </w:r>
            <w:r>
              <w:rPr>
                <w:rFonts w:hint="eastAsia" w:ascii="宋体" w:hAnsi="宋体" w:eastAsia="宋体" w:cs="宋体"/>
                <w:sz w:val="21"/>
                <w:szCs w:val="21"/>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项目重点难点分析、应对措施及相关的合理化建议</w:t>
            </w:r>
          </w:p>
        </w:tc>
        <w:tc>
          <w:tcPr>
            <w:tcW w:w="736" w:type="dxa"/>
            <w:vAlign w:val="center"/>
          </w:tcPr>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评审内容：</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根据项目重点难点分析、应对措施及相关的合理化建议情况横向比较评分：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1.投标人对项目的重点、难点、关键技术点把握是否到位。</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2.对项目的重点、难点及其解决的管理、技术措施具有针对性、合理性。</w:t>
            </w:r>
          </w:p>
          <w:p>
            <w:pPr>
              <w:pStyle w:val="307"/>
              <w:rPr>
                <w:rFonts w:hint="eastAsia" w:ascii="宋体" w:hAnsi="宋体" w:eastAsia="宋体" w:cs="宋体"/>
                <w:b/>
                <w:bCs/>
                <w:sz w:val="21"/>
                <w:szCs w:val="21"/>
                <w:highlight w:val="none"/>
              </w:rPr>
            </w:pPr>
          </w:p>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优良中差评分标准：</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1.实施方案将评审内容2项全部提供可得2分，每少一项扣1分，扣完为止。</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2.在投标人以上内容提供的基础上，评审委员会根据以下评审标准分档打分：</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（1）投标文件响应内容全面；</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（2）投标文件响应内容具体；</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（3）投标文件响应内容针对性强；</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（4）投标文件响应内容科学合理；</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（5）投标文件响应内容可操作性强。</w:t>
            </w:r>
          </w:p>
          <w:p>
            <w:pPr>
              <w:pStyle w:val="307"/>
              <w:shd w:val="clear" w:color="auto" w:fill="FFFFFF"/>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满足以上五项要求的评价为优，得6分</w:t>
            </w:r>
            <w:r>
              <w:rPr>
                <w:rFonts w:hint="eastAsia" w:cs="宋体"/>
                <w:sz w:val="21"/>
                <w:szCs w:val="21"/>
                <w:highlight w:val="none"/>
                <w:lang w:eastAsia="zh-CN"/>
              </w:rPr>
              <w:t>；</w:t>
            </w:r>
          </w:p>
          <w:p>
            <w:pPr>
              <w:pStyle w:val="307"/>
              <w:shd w:val="clear" w:color="auto" w:fill="FFFFFF"/>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满足以上四项要求的评价为良，得3分</w:t>
            </w:r>
            <w:r>
              <w:rPr>
                <w:rFonts w:hint="eastAsia" w:cs="宋体"/>
                <w:sz w:val="21"/>
                <w:szCs w:val="21"/>
                <w:highlight w:val="none"/>
                <w:lang w:eastAsia="zh-CN"/>
              </w:rPr>
              <w:t>；</w:t>
            </w:r>
          </w:p>
          <w:p>
            <w:pPr>
              <w:pStyle w:val="307"/>
              <w:shd w:val="clear" w:color="auto" w:fill="FFFFFF"/>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满足以上三项要求的评价为中，得1分</w:t>
            </w:r>
            <w:r>
              <w:rPr>
                <w:rFonts w:hint="eastAsia" w:cs="宋体"/>
                <w:sz w:val="21"/>
                <w:szCs w:val="21"/>
                <w:highlight w:val="none"/>
                <w:lang w:eastAsia="zh-CN"/>
              </w:rPr>
              <w:t>；</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服务承诺</w:t>
            </w:r>
          </w:p>
        </w:tc>
        <w:tc>
          <w:tcPr>
            <w:tcW w:w="736" w:type="dxa"/>
            <w:vAlign w:val="center"/>
          </w:tcPr>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widowControl/>
              <w:numPr>
                <w:ilvl w:val="0"/>
                <w:numId w:val="0"/>
              </w:numPr>
              <w:spacing w:line="240" w:lineRule="auto"/>
              <w:jc w:val="left"/>
              <w:rPr>
                <w:rFonts w:ascii="宋体" w:hAnsi="宋体"/>
                <w:b/>
                <w:kern w:val="0"/>
                <w:szCs w:val="21"/>
                <w:lang w:val="zh-CN"/>
              </w:rPr>
            </w:pPr>
            <w:r>
              <w:rPr>
                <w:b/>
                <w:bCs/>
              </w:rPr>
              <w:t>评审</w:t>
            </w:r>
            <w:r>
              <w:rPr>
                <w:rFonts w:hint="eastAsia"/>
                <w:b/>
                <w:bCs/>
              </w:rPr>
              <w:t>内容</w:t>
            </w:r>
            <w:r>
              <w:rPr>
                <w:b/>
                <w:bCs/>
              </w:rPr>
              <w:t>：</w:t>
            </w:r>
          </w:p>
          <w:p>
            <w:pPr>
              <w:pStyle w:val="307"/>
              <w:shd w:val="clear" w:color="auto" w:fill="FFFFFF"/>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根据招服务承诺情况进行横向比较评分：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1.项目的进度安排是否满足招标要求。</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2.售后服务计划的合理性、可行性。</w:t>
            </w:r>
          </w:p>
          <w:p>
            <w:pPr>
              <w:pStyle w:val="307"/>
              <w:rPr>
                <w:rFonts w:hint="eastAsia" w:ascii="宋体" w:hAnsi="宋体" w:eastAsia="宋体" w:cs="宋体"/>
                <w:b/>
                <w:bCs/>
                <w:sz w:val="21"/>
                <w:szCs w:val="21"/>
                <w:highlight w:val="none"/>
              </w:rPr>
            </w:pPr>
          </w:p>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优良中差评分标准：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1.实施方案将评审内容2项全部提供可得1分，每少一项扣0.5分，扣完为止。</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2.在投标人以上内容提供的基础上，评审委员会根据以下评审标准分档打分：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（1）投标文件响应内容全面；</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（2）投标文件响应内容具体；</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（3）投标文件响应内容针对性强；</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（4）投标文件响应内容科学合理；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（5）投标文件响应内容可操作性强。</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满足以上五项要求的评价为优，得2分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满足以上四项要求的评价为良，得1分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满足以上三项要求的评价为中，得0.5分</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投入服务配套的设施情况</w:t>
            </w:r>
          </w:p>
        </w:tc>
        <w:tc>
          <w:tcPr>
            <w:tcW w:w="736" w:type="dxa"/>
            <w:vAlign w:val="center"/>
          </w:tcPr>
          <w:p>
            <w:pPr>
              <w:tabs>
                <w:tab w:val="clear" w:pos="426"/>
              </w:tabs>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w:t>
            </w:r>
          </w:p>
        </w:tc>
        <w:tc>
          <w:tcPr>
            <w:tcW w:w="705"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vAlign w:val="top"/>
          </w:tcPr>
          <w:p>
            <w:pPr>
              <w:pStyle w:val="307"/>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评分标准：</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对投标文件中拟投入使用的设备情况进行比较</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（1）为派驻人员办公提供的电脑（台式电脑不少于派驻人员数量、笔记本电脑至少1台）、打印设备（至少2台）数量能够满足检查工作开展、日常办公需要；为监督抽检、</w:t>
            </w:r>
            <w:r>
              <w:rPr>
                <w:rFonts w:hint="eastAsia" w:cs="宋体"/>
                <w:sz w:val="21"/>
                <w:szCs w:val="21"/>
                <w:highlight w:val="none"/>
                <w:lang w:val="en-US" w:eastAsia="zh-CN"/>
              </w:rPr>
              <w:t>安全</w:t>
            </w:r>
            <w:r>
              <w:rPr>
                <w:rFonts w:hint="eastAsia" w:ascii="宋体" w:hAnsi="宋体" w:eastAsia="宋体" w:cs="宋体"/>
                <w:sz w:val="21"/>
                <w:szCs w:val="21"/>
                <w:highlight w:val="none"/>
                <w:lang w:val="en-US" w:eastAsia="zh-CN"/>
              </w:rPr>
              <w:t>检查、综合评比团队人员提供的自身安全防护用品数量及质量能够满足工作开展需要；</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（2）提供至少2辆供派驻人员使用车辆（车辆购买年限须5年之内）（自有车辆须提供购买发票和车辆行驶证扫描件；租赁车辆须提供租赁合同扫描件）。</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（3）本项目投入的监督抽检、安全检查仪器设备的种类及数量能够充分满足监督抽检工作高效性及可靠性要求，满足日常</w:t>
            </w:r>
            <w:r>
              <w:rPr>
                <w:rFonts w:hint="eastAsia" w:cs="宋体"/>
                <w:sz w:val="21"/>
                <w:szCs w:val="21"/>
                <w:highlight w:val="none"/>
                <w:lang w:val="en-US" w:eastAsia="zh-CN"/>
              </w:rPr>
              <w:t>安全</w:t>
            </w:r>
            <w:r>
              <w:rPr>
                <w:rFonts w:hint="eastAsia" w:ascii="宋体" w:hAnsi="宋体" w:eastAsia="宋体" w:cs="宋体"/>
                <w:sz w:val="21"/>
                <w:szCs w:val="21"/>
                <w:highlight w:val="none"/>
                <w:lang w:val="en-US" w:eastAsia="zh-CN"/>
              </w:rPr>
              <w:t>检查的基本需要（自有设备须提供购买发票；租赁设备须提供租赁合同扫描件）。</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优评分标准:满足以上三项要求，得</w:t>
            </w:r>
            <w:r>
              <w:rPr>
                <w:rFonts w:hint="eastAsia" w:cs="宋体"/>
                <w:sz w:val="21"/>
                <w:szCs w:val="21"/>
                <w:highlight w:val="none"/>
                <w:lang w:val="en-US" w:eastAsia="zh-CN"/>
              </w:rPr>
              <w:t>5</w:t>
            </w:r>
            <w:r>
              <w:rPr>
                <w:rFonts w:hint="eastAsia" w:ascii="宋体" w:hAnsi="宋体" w:eastAsia="宋体" w:cs="宋体"/>
                <w:sz w:val="21"/>
                <w:szCs w:val="21"/>
                <w:highlight w:val="none"/>
                <w:lang w:val="en-US" w:eastAsia="zh-CN"/>
              </w:rPr>
              <w:t>分；</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良评分标准:满足以上两项要求，得</w:t>
            </w:r>
            <w:r>
              <w:rPr>
                <w:rFonts w:hint="eastAsia" w:cs="宋体"/>
                <w:sz w:val="21"/>
                <w:szCs w:val="21"/>
                <w:highlight w:val="none"/>
                <w:lang w:val="en-US" w:eastAsia="zh-CN"/>
              </w:rPr>
              <w:t>3</w:t>
            </w:r>
            <w:r>
              <w:rPr>
                <w:rFonts w:hint="eastAsia" w:ascii="宋体" w:hAnsi="宋体" w:eastAsia="宋体" w:cs="宋体"/>
                <w:sz w:val="21"/>
                <w:szCs w:val="21"/>
                <w:highlight w:val="none"/>
                <w:lang w:val="en-US" w:eastAsia="zh-CN"/>
              </w:rPr>
              <w:t>分；</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中评分标准:</w:t>
            </w:r>
            <w:r>
              <w:rPr>
                <w:rFonts w:hint="eastAsia" w:cs="宋体"/>
                <w:sz w:val="21"/>
                <w:szCs w:val="21"/>
                <w:highlight w:val="none"/>
                <w:lang w:val="en-US" w:eastAsia="zh-CN"/>
              </w:rPr>
              <w:t>满</w:t>
            </w:r>
            <w:r>
              <w:rPr>
                <w:rFonts w:hint="eastAsia" w:ascii="宋体" w:hAnsi="宋体" w:eastAsia="宋体" w:cs="宋体"/>
                <w:sz w:val="21"/>
                <w:szCs w:val="21"/>
                <w:highlight w:val="none"/>
                <w:lang w:val="en-US" w:eastAsia="zh-CN"/>
              </w:rPr>
              <w:t>足以上一项要求，得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差评分标准:其他情况，得0分；</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备注：不提供方案不得分。</w:t>
            </w:r>
          </w:p>
          <w:p>
            <w:pPr>
              <w:pStyle w:val="307"/>
              <w:rPr>
                <w:rFonts w:hint="eastAsia" w:ascii="宋体" w:hAnsi="宋体" w:eastAsia="宋体" w:cs="宋体"/>
                <w:b/>
                <w:bCs/>
                <w:sz w:val="21"/>
                <w:szCs w:val="21"/>
                <w:highlight w:val="none"/>
              </w:rPr>
            </w:pPr>
          </w:p>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评分依据：</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（1）投标人须提供评分标准中要求的证明文件复印件加盖投标人公章（原件中标备查）作为得分依据；</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服务要求响应</w:t>
            </w:r>
          </w:p>
        </w:tc>
        <w:tc>
          <w:tcPr>
            <w:tcW w:w="736" w:type="dxa"/>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rPr>
                <w:rFonts w:hint="eastAsia" w:ascii="宋体" w:hAnsi="宋体" w:eastAsia="宋体" w:cs="宋体"/>
                <w:sz w:val="21"/>
                <w:szCs w:val="21"/>
                <w:highlight w:val="none"/>
              </w:rPr>
            </w:pPr>
            <w:r>
              <w:rPr>
                <w:rFonts w:hint="eastAsia" w:ascii="宋体" w:hAnsi="宋体" w:eastAsia="宋体" w:cs="宋体"/>
                <w:b/>
                <w:sz w:val="21"/>
                <w:szCs w:val="21"/>
                <w:highlight w:val="none"/>
              </w:rPr>
              <w:t>评审内容：</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评标专家根据投标人投标文件中对本项目服务要求相应情况进行评审</w:t>
            </w:r>
          </w:p>
          <w:p>
            <w:pPr>
              <w:pStyle w:val="307"/>
              <w:shd w:val="clear" w:color="auto" w:fill="FFFFFF"/>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评审标准：</w:t>
            </w:r>
          </w:p>
          <w:p>
            <w:pPr>
              <w:pStyle w:val="307"/>
              <w:shd w:val="clear" w:color="auto" w:fill="FFFFFF"/>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投标文件中每有一项重要服务负偏离，扣本项</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分；每有一项一般服务要求负偏离，扣本项</w:t>
            </w:r>
            <w:r>
              <w:rPr>
                <w:rFonts w:hint="eastAsia" w:cs="宋体"/>
                <w:sz w:val="21"/>
                <w:szCs w:val="21"/>
                <w:highlight w:val="none"/>
                <w:lang w:val="en-US" w:eastAsia="zh-CN"/>
              </w:rPr>
              <w:t>0.1</w:t>
            </w:r>
            <w:r>
              <w:rPr>
                <w:rFonts w:hint="eastAsia" w:ascii="宋体" w:hAnsi="宋体" w:eastAsia="宋体" w:cs="宋体"/>
                <w:sz w:val="21"/>
                <w:szCs w:val="21"/>
                <w:highlight w:val="none"/>
                <w:lang w:val="en-US" w:eastAsia="zh-CN"/>
              </w:rPr>
              <w:t>分，扣完本项分值为止。</w:t>
            </w:r>
          </w:p>
          <w:p>
            <w:pPr>
              <w:jc w:val="left"/>
              <w:rPr>
                <w:rFonts w:hint="eastAsia" w:ascii="宋体" w:hAnsi="宋体" w:eastAsia="宋体" w:cs="宋体"/>
                <w:sz w:val="21"/>
                <w:szCs w:val="21"/>
                <w:highlight w:val="none"/>
                <w:lang w:val="en-US" w:eastAsia="zh-CN"/>
              </w:rPr>
            </w:pPr>
            <w:r>
              <w:rPr>
                <w:rFonts w:hint="eastAsia" w:ascii="宋体" w:hAnsi="宋体" w:eastAsia="宋体" w:cs="宋体"/>
                <w:b/>
                <w:kern w:val="0"/>
                <w:sz w:val="21"/>
                <w:szCs w:val="21"/>
                <w:highlight w:val="none"/>
              </w:rPr>
              <w:t>注有</w:t>
            </w:r>
            <w:r>
              <w:rPr>
                <w:rFonts w:hint="eastAsia" w:ascii="宋体" w:hAnsi="宋体" w:eastAsia="宋体" w:cs="宋体"/>
                <w:b/>
                <w:bCs/>
                <w:sz w:val="21"/>
                <w:szCs w:val="21"/>
                <w:highlight w:val="none"/>
              </w:rPr>
              <w:t>▲</w:t>
            </w:r>
            <w:r>
              <w:rPr>
                <w:rFonts w:hint="eastAsia" w:ascii="宋体" w:hAnsi="宋体" w:eastAsia="宋体" w:cs="宋体"/>
                <w:b/>
                <w:kern w:val="0"/>
                <w:sz w:val="21"/>
                <w:szCs w:val="21"/>
                <w:highlight w:val="none"/>
              </w:rPr>
              <w:t>的服务参数为重要服务要求。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拟派项目负责人</w:t>
            </w:r>
          </w:p>
        </w:tc>
        <w:tc>
          <w:tcPr>
            <w:tcW w:w="736" w:type="dxa"/>
            <w:vAlign w:val="center"/>
          </w:tcPr>
          <w:p>
            <w:pPr>
              <w:spacing w:line="240"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8</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p>
            <w:pPr>
              <w:pStyle w:val="307"/>
              <w:shd w:val="clear" w:color="auto" w:fill="FFFFFF"/>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拟派日常、周末及节假日安全检查项目负责人（8分）</w:t>
            </w:r>
            <w:r>
              <w:rPr>
                <w:rFonts w:hint="eastAsia" w:cs="宋体"/>
                <w:b/>
                <w:bCs/>
                <w:sz w:val="21"/>
                <w:szCs w:val="21"/>
                <w:highlight w:val="none"/>
                <w:lang w:val="en-US" w:eastAsia="zh-CN"/>
              </w:rPr>
              <w:t>（1人）</w:t>
            </w:r>
            <w:r>
              <w:rPr>
                <w:rFonts w:hint="eastAsia" w:ascii="宋体" w:hAnsi="宋体" w:eastAsia="宋体" w:cs="宋体"/>
                <w:b/>
                <w:bCs/>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（1）职称（2分）：</w:t>
            </w:r>
            <w:r>
              <w:rPr>
                <w:rFonts w:hint="eastAsia" w:cs="宋体"/>
                <w:sz w:val="21"/>
                <w:szCs w:val="21"/>
                <w:highlight w:val="none"/>
                <w:lang w:val="en-US" w:eastAsia="zh-CN"/>
              </w:rPr>
              <w:t>拟派项目负责人</w:t>
            </w:r>
            <w:r>
              <w:rPr>
                <w:rFonts w:hint="eastAsia" w:ascii="宋体" w:hAnsi="宋体" w:eastAsia="宋体" w:cs="宋体"/>
                <w:sz w:val="21"/>
                <w:szCs w:val="21"/>
                <w:highlight w:val="none"/>
                <w:lang w:val="en-US" w:eastAsia="zh-CN"/>
              </w:rPr>
              <w:t>具有工程类（水利水电类或市政工程类或建筑工程类）高级工程师职称的，得</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r>
              <w:rPr>
                <w:rFonts w:hint="eastAsia"/>
              </w:rPr>
              <w:t>（证明文件：</w:t>
            </w:r>
            <w:r>
              <w:rPr>
                <w:rFonts w:hint="eastAsia"/>
                <w:lang w:val="en-US" w:eastAsia="zh-CN"/>
              </w:rPr>
              <w:t>职称证书</w:t>
            </w:r>
            <w:r>
              <w:rPr>
                <w:rFonts w:hint="eastAsia"/>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（2）学历及资质（2分）：</w:t>
            </w:r>
            <w:r>
              <w:rPr>
                <w:rFonts w:hint="eastAsia" w:cs="宋体"/>
                <w:sz w:val="21"/>
                <w:szCs w:val="21"/>
                <w:highlight w:val="none"/>
                <w:lang w:val="en-US" w:eastAsia="zh-CN"/>
              </w:rPr>
              <w:t>拟派项目负责人</w:t>
            </w:r>
            <w:r>
              <w:rPr>
                <w:rFonts w:hint="eastAsia" w:ascii="宋体" w:hAnsi="宋体" w:eastAsia="宋体" w:cs="宋体"/>
                <w:sz w:val="21"/>
                <w:szCs w:val="21"/>
                <w:highlight w:val="none"/>
                <w:lang w:val="en-US" w:eastAsia="zh-CN"/>
              </w:rPr>
              <w:t>具备本科（及以上）学历的，得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；拟派项目负责人</w:t>
            </w:r>
            <w:r>
              <w:rPr>
                <w:rFonts w:hint="eastAsia" w:ascii="宋体" w:hAnsi="宋体" w:eastAsia="宋体" w:cs="宋体"/>
                <w:sz w:val="21"/>
                <w:szCs w:val="21"/>
                <w:highlight w:val="none"/>
                <w:lang w:val="en-US" w:eastAsia="zh-CN"/>
              </w:rPr>
              <w:t>具备安全评价师或注册安全工程师资格，得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r>
              <w:rPr>
                <w:rFonts w:hint="eastAsia"/>
              </w:rPr>
              <w:t>（证明文件：</w:t>
            </w:r>
            <w:r>
              <w:rPr>
                <w:rFonts w:hint="eastAsia"/>
                <w:lang w:val="en-US" w:eastAsia="zh-CN"/>
              </w:rPr>
              <w:t>学历证书、注册证书</w:t>
            </w:r>
            <w:r>
              <w:rPr>
                <w:rFonts w:hint="eastAsia"/>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（3）从业时间（2分）：</w:t>
            </w:r>
            <w:r>
              <w:rPr>
                <w:rFonts w:hint="eastAsia" w:cs="宋体"/>
                <w:sz w:val="21"/>
                <w:szCs w:val="21"/>
                <w:highlight w:val="none"/>
                <w:lang w:val="en-US" w:eastAsia="zh-CN"/>
              </w:rPr>
              <w:t>拟派项目负责人</w:t>
            </w:r>
            <w:r>
              <w:rPr>
                <w:rFonts w:hint="eastAsia" w:ascii="宋体" w:hAnsi="宋体" w:eastAsia="宋体" w:cs="宋体"/>
                <w:sz w:val="21"/>
                <w:szCs w:val="21"/>
                <w:highlight w:val="none"/>
                <w:lang w:val="en-US" w:eastAsia="zh-CN"/>
              </w:rPr>
              <w:t>从事工程建设领域15年及以上的，得本项</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r>
              <w:rPr>
                <w:rFonts w:hint="eastAsia"/>
              </w:rPr>
              <w:t>证明文件：</w:t>
            </w:r>
            <w:r>
              <w:rPr>
                <w:rFonts w:hint="eastAsia"/>
                <w:lang w:val="en-US" w:eastAsia="zh-CN"/>
              </w:rPr>
              <w:t>劳动合同</w:t>
            </w:r>
            <w:r>
              <w:rPr>
                <w:rFonts w:hint="eastAsia" w:cs="宋体"/>
                <w:sz w:val="21"/>
                <w:szCs w:val="21"/>
                <w:highlight w:val="none"/>
                <w:lang w:val="en-US" w:eastAsia="zh-CN"/>
              </w:rPr>
              <w:t>）</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（4）项目经验（2分）：</w:t>
            </w:r>
            <w:r>
              <w:rPr>
                <w:rFonts w:hint="eastAsia" w:cs="宋体"/>
                <w:sz w:val="21"/>
                <w:szCs w:val="21"/>
                <w:highlight w:val="none"/>
                <w:lang w:val="en-US" w:eastAsia="zh-CN"/>
              </w:rPr>
              <w:t>拟派项目负责人</w:t>
            </w:r>
            <w:r>
              <w:rPr>
                <w:rFonts w:hint="eastAsia" w:ascii="宋体" w:hAnsi="宋体" w:eastAsia="宋体" w:cs="宋体"/>
                <w:sz w:val="21"/>
                <w:szCs w:val="21"/>
                <w:highlight w:val="none"/>
                <w:lang w:val="en-US" w:eastAsia="zh-CN"/>
              </w:rPr>
              <w:t>作为项目主要参加人参加工程类安全检查、评估咨询（已验收或履约评价合格）的，提供一项得</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分；作为项目</w:t>
            </w:r>
            <w:r>
              <w:rPr>
                <w:rFonts w:hint="eastAsia" w:cs="宋体"/>
                <w:sz w:val="21"/>
                <w:szCs w:val="21"/>
                <w:highlight w:val="none"/>
                <w:lang w:val="en-US" w:eastAsia="zh-CN"/>
              </w:rPr>
              <w:t>一般成员</w:t>
            </w:r>
            <w:r>
              <w:rPr>
                <w:rFonts w:hint="eastAsia" w:ascii="宋体" w:hAnsi="宋体" w:eastAsia="宋体" w:cs="宋体"/>
                <w:sz w:val="21"/>
                <w:szCs w:val="21"/>
                <w:highlight w:val="none"/>
                <w:lang w:val="en-US" w:eastAsia="zh-CN"/>
              </w:rPr>
              <w:t>参加工程类安全检查、评估咨询（已验收或履约评价合格）的，提供一项得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r>
              <w:rPr>
                <w:rFonts w:hint="eastAsia"/>
              </w:rPr>
              <w:t>（证明文件：</w:t>
            </w:r>
            <w:r>
              <w:rPr>
                <w:rFonts w:hint="eastAsia"/>
                <w:lang w:val="en-US" w:eastAsia="zh-CN"/>
              </w:rPr>
              <w:t>验收证明、履约评价</w:t>
            </w:r>
            <w:r>
              <w:rPr>
                <w:rFonts w:hint="eastAsia"/>
              </w:rPr>
              <w:t>）</w:t>
            </w:r>
          </w:p>
          <w:p>
            <w:pPr>
              <w:pStyle w:val="307"/>
              <w:shd w:val="clear" w:color="auto" w:fill="FFFFFF"/>
              <w:rPr>
                <w:rFonts w:hint="eastAsia" w:ascii="宋体" w:hAnsi="宋体" w:eastAsia="宋体" w:cs="宋体"/>
                <w:b/>
                <w:kern w:val="0"/>
                <w:sz w:val="21"/>
                <w:szCs w:val="21"/>
                <w:highlight w:val="none"/>
              </w:rPr>
            </w:pPr>
            <w:r>
              <w:rPr>
                <w:rFonts w:hint="eastAsia" w:ascii="宋体" w:hAnsi="宋体" w:eastAsia="宋体" w:cs="宋体"/>
                <w:sz w:val="21"/>
                <w:szCs w:val="21"/>
                <w:highlight w:val="none"/>
                <w:lang w:val="en-US" w:eastAsia="zh-CN"/>
              </w:rPr>
              <w:t>（5）其他（0分）：不提供或者不能有效证明的，得0分。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拟安排的项目主要团队成员（主要技术人员）情况</w:t>
            </w:r>
            <w:r>
              <w:rPr>
                <w:rFonts w:hint="eastAsia" w:cs="宋体"/>
                <w:sz w:val="21"/>
                <w:szCs w:val="21"/>
                <w:highlight w:val="none"/>
                <w:lang w:eastAsia="zh-CN"/>
              </w:rPr>
              <w:t>（</w:t>
            </w:r>
            <w:r>
              <w:rPr>
                <w:rFonts w:hint="eastAsia" w:cs="宋体"/>
                <w:sz w:val="21"/>
                <w:szCs w:val="21"/>
                <w:highlight w:val="none"/>
                <w:lang w:val="en-US" w:eastAsia="zh-CN"/>
              </w:rPr>
              <w:t>项目负责人除外</w:t>
            </w:r>
            <w:r>
              <w:rPr>
                <w:rFonts w:hint="eastAsia" w:cs="宋体"/>
                <w:sz w:val="21"/>
                <w:szCs w:val="21"/>
                <w:highlight w:val="none"/>
                <w:lang w:eastAsia="zh-CN"/>
              </w:rPr>
              <w:t>）</w:t>
            </w:r>
          </w:p>
        </w:tc>
        <w:tc>
          <w:tcPr>
            <w:tcW w:w="736" w:type="dxa"/>
            <w:vAlign w:val="center"/>
          </w:tcPr>
          <w:p>
            <w:pPr>
              <w:spacing w:line="240"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18</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vAlign w:val="top"/>
          </w:tcPr>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p>
            <w:pPr>
              <w:pStyle w:val="307"/>
              <w:shd w:val="clear" w:color="auto" w:fill="FFFFFF"/>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拟派</w:t>
            </w:r>
            <w:r>
              <w:rPr>
                <w:rFonts w:hint="eastAsia"/>
                <w:b/>
                <w:bCs/>
                <w:szCs w:val="21"/>
                <w:highlight w:val="none"/>
              </w:rPr>
              <w:t>安全巡查评比（红黑榜）</w:t>
            </w:r>
            <w:r>
              <w:rPr>
                <w:rFonts w:hint="eastAsia" w:ascii="宋体" w:hAnsi="宋体" w:eastAsia="宋体" w:cs="宋体"/>
                <w:b/>
                <w:bCs/>
                <w:sz w:val="21"/>
                <w:szCs w:val="21"/>
                <w:highlight w:val="none"/>
                <w:lang w:val="en-US" w:eastAsia="zh-CN"/>
              </w:rPr>
              <w:t>技术服务</w:t>
            </w:r>
            <w:r>
              <w:rPr>
                <w:rFonts w:hint="eastAsia" w:ascii="宋体" w:hAnsi="宋体" w:eastAsia="宋体" w:cs="宋体"/>
                <w:b/>
                <w:bCs/>
                <w:sz w:val="21"/>
                <w:szCs w:val="21"/>
                <w:highlight w:val="none"/>
                <w:lang w:eastAsia="zh-CN"/>
              </w:rPr>
              <w:t>负责人（</w:t>
            </w:r>
            <w:r>
              <w:rPr>
                <w:rFonts w:hint="eastAsia" w:cs="宋体"/>
                <w:b/>
                <w:bCs/>
                <w:sz w:val="21"/>
                <w:szCs w:val="21"/>
                <w:highlight w:val="none"/>
                <w:lang w:val="en-US" w:eastAsia="zh-CN"/>
              </w:rPr>
              <w:t>5</w:t>
            </w:r>
            <w:r>
              <w:rPr>
                <w:rFonts w:hint="eastAsia" w:ascii="宋体" w:hAnsi="宋体" w:eastAsia="宋体" w:cs="宋体"/>
                <w:b/>
                <w:bCs/>
                <w:sz w:val="21"/>
                <w:szCs w:val="21"/>
                <w:highlight w:val="none"/>
                <w:lang w:val="en-US" w:eastAsia="zh-CN"/>
              </w:rPr>
              <w:t>分</w:t>
            </w:r>
            <w:r>
              <w:rPr>
                <w:rFonts w:hint="eastAsia" w:ascii="宋体" w:hAnsi="宋体" w:eastAsia="宋体" w:cs="宋体"/>
                <w:b/>
                <w:bCs/>
                <w:sz w:val="21"/>
                <w:szCs w:val="21"/>
                <w:highlight w:val="none"/>
                <w:lang w:eastAsia="zh-CN"/>
              </w:rPr>
              <w:t>）</w:t>
            </w:r>
            <w:r>
              <w:rPr>
                <w:rFonts w:hint="eastAsia" w:cs="宋体"/>
                <w:b/>
                <w:bCs/>
                <w:sz w:val="21"/>
                <w:szCs w:val="21"/>
                <w:highlight w:val="none"/>
                <w:lang w:eastAsia="zh-CN"/>
              </w:rPr>
              <w:t>（</w:t>
            </w:r>
            <w:r>
              <w:rPr>
                <w:rFonts w:hint="eastAsia" w:cs="宋体"/>
                <w:b/>
                <w:bCs/>
                <w:sz w:val="21"/>
                <w:szCs w:val="21"/>
                <w:highlight w:val="none"/>
                <w:lang w:val="en-US" w:eastAsia="zh-CN"/>
              </w:rPr>
              <w:t>1人</w:t>
            </w:r>
            <w:r>
              <w:rPr>
                <w:rFonts w:hint="eastAsia" w:cs="宋体"/>
                <w:b/>
                <w:bCs/>
                <w:sz w:val="21"/>
                <w:szCs w:val="21"/>
                <w:highlight w:val="none"/>
                <w:lang w:eastAsia="zh-CN"/>
              </w:rPr>
              <w:t>）</w:t>
            </w:r>
            <w:r>
              <w:rPr>
                <w:rFonts w:hint="eastAsia" w:ascii="宋体" w:hAnsi="宋体" w:eastAsia="宋体" w:cs="宋体"/>
                <w:b/>
                <w:bCs/>
                <w:sz w:val="21"/>
                <w:szCs w:val="21"/>
                <w:highlight w:val="none"/>
                <w:lang w:eastAsia="zh-CN"/>
              </w:rPr>
              <w:t>：</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（1）职称（</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分）：具有工程类（水利水电类或市政工程类或建筑工程类）高级工程师职称的，得1分；</w:t>
            </w:r>
            <w:r>
              <w:rPr>
                <w:rFonts w:hint="eastAsia" w:cs="宋体"/>
                <w:sz w:val="21"/>
                <w:szCs w:val="21"/>
                <w:highlight w:val="none"/>
                <w:lang w:val="en-US" w:eastAsia="zh-CN"/>
              </w:rPr>
              <w:t>（证明文件：职称证书）</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）从业时间（</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分）：从事工程建设领域</w:t>
            </w:r>
            <w:r>
              <w:rPr>
                <w:rFonts w:hint="eastAsia" w:cs="宋体"/>
                <w:sz w:val="21"/>
                <w:szCs w:val="21"/>
                <w:highlight w:val="none"/>
                <w:lang w:val="en-US" w:eastAsia="zh-CN"/>
              </w:rPr>
              <w:t>15</w:t>
            </w:r>
            <w:r>
              <w:rPr>
                <w:rFonts w:hint="eastAsia" w:ascii="宋体" w:hAnsi="宋体" w:eastAsia="宋体" w:cs="宋体"/>
                <w:sz w:val="21"/>
                <w:szCs w:val="21"/>
                <w:highlight w:val="none"/>
                <w:lang w:val="en-US" w:eastAsia="zh-CN"/>
              </w:rPr>
              <w:t>年及以上的，得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；（证明文件：劳动合同）</w:t>
            </w:r>
            <w:r>
              <w:rPr>
                <w:rFonts w:hint="eastAsia" w:ascii="宋体" w:hAnsi="宋体" w:eastAsia="宋体" w:cs="宋体"/>
                <w:sz w:val="21"/>
                <w:szCs w:val="21"/>
                <w:highlight w:val="none"/>
                <w:lang w:val="en-US" w:eastAsia="zh-CN"/>
              </w:rPr>
              <w:t>（</w:t>
            </w:r>
            <w:r>
              <w:rPr>
                <w:rFonts w:hint="eastAsia" w:cs="宋体"/>
                <w:sz w:val="21"/>
                <w:szCs w:val="21"/>
                <w:highlight w:val="none"/>
                <w:lang w:val="en-US" w:eastAsia="zh-CN"/>
              </w:rPr>
              <w:t>3</w:t>
            </w:r>
            <w:r>
              <w:rPr>
                <w:rFonts w:hint="eastAsia" w:ascii="宋体" w:hAnsi="宋体" w:eastAsia="宋体" w:cs="宋体"/>
                <w:sz w:val="21"/>
                <w:szCs w:val="21"/>
                <w:highlight w:val="none"/>
                <w:lang w:val="en-US" w:eastAsia="zh-CN"/>
              </w:rPr>
              <w:t>）项目经验（1分）：作为项目主要参加人参加工程类安全检查、评估咨询（已验收或履约评价合格）的得1分，作为一般参与人的得0.5分，否则不得分，本项最高得1分</w:t>
            </w:r>
            <w:r>
              <w:rPr>
                <w:rFonts w:hint="eastAsia" w:cs="宋体"/>
                <w:sz w:val="21"/>
                <w:szCs w:val="21"/>
                <w:highlight w:val="none"/>
                <w:lang w:val="en-US" w:eastAsia="zh-CN"/>
              </w:rPr>
              <w:t>；（证明文件：验收证明、履约评价）</w:t>
            </w:r>
          </w:p>
          <w:p>
            <w:pPr>
              <w:pStyle w:val="307"/>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）其他（0分）：其他情况及不提供或者不能有效证明的，得0分。</w:t>
            </w:r>
          </w:p>
          <w:p>
            <w:pPr>
              <w:pStyle w:val="307"/>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日常、周末及节假日安全检查项目团队成员（</w:t>
            </w:r>
            <w:r>
              <w:rPr>
                <w:rFonts w:hint="eastAsia"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r>
              <w:rPr>
                <w:rFonts w:hint="eastAsia" w:cs="宋体"/>
                <w:b/>
                <w:bCs/>
                <w:color w:val="auto"/>
                <w:sz w:val="21"/>
                <w:szCs w:val="21"/>
                <w:highlight w:val="none"/>
                <w:lang w:val="en-US" w:eastAsia="zh-CN"/>
              </w:rPr>
              <w:t>(不少于5人）</w:t>
            </w:r>
            <w:r>
              <w:rPr>
                <w:rFonts w:hint="eastAsia"/>
                <w:color w:val="auto"/>
                <w:lang w:eastAsia="zh-CN"/>
              </w:rPr>
              <w:t>：</w:t>
            </w:r>
          </w:p>
          <w:p>
            <w:pPr>
              <w:pStyle w:val="307"/>
              <w:shd w:val="clear" w:color="auto" w:fill="FFFFFF"/>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）学历及资质（</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分）：项目团队</w:t>
            </w:r>
            <w:r>
              <w:rPr>
                <w:rFonts w:hint="eastAsia" w:cs="宋体"/>
                <w:color w:val="auto"/>
                <w:sz w:val="21"/>
                <w:szCs w:val="21"/>
                <w:highlight w:val="none"/>
                <w:lang w:val="en-US" w:eastAsia="zh-CN"/>
              </w:rPr>
              <w:t>成员中</w:t>
            </w:r>
            <w:r>
              <w:rPr>
                <w:rFonts w:hint="eastAsia" w:ascii="宋体" w:hAnsi="宋体" w:eastAsia="宋体" w:cs="宋体"/>
                <w:color w:val="auto"/>
                <w:sz w:val="21"/>
                <w:szCs w:val="21"/>
                <w:highlight w:val="none"/>
                <w:lang w:val="en-US" w:eastAsia="zh-CN"/>
              </w:rPr>
              <w:t>具备本科（及以上）学历的，每一人具备上述学历要求的，得</w:t>
            </w:r>
            <w:r>
              <w:rPr>
                <w:rFonts w:hint="eastAsia"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分，以此类推，最高不超过</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分；具备安全评价师或注册安全工程师资格，每一人得0.4分，以此类推，本项最高不超过2分。</w:t>
            </w:r>
            <w:r>
              <w:rPr>
                <w:rFonts w:hint="eastAsia" w:cs="宋体"/>
                <w:color w:val="auto"/>
                <w:sz w:val="21"/>
                <w:szCs w:val="21"/>
                <w:highlight w:val="none"/>
                <w:lang w:val="en-US" w:eastAsia="zh-CN"/>
              </w:rPr>
              <w:t>（证明文件：学历证书、注册证书）</w:t>
            </w:r>
          </w:p>
          <w:p>
            <w:pPr>
              <w:pStyle w:val="30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）从业时间（</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分）：安全检查项目团队成员</w:t>
            </w:r>
            <w:r>
              <w:rPr>
                <w:rFonts w:hint="eastAsia" w:cs="宋体"/>
                <w:color w:val="auto"/>
                <w:sz w:val="21"/>
                <w:szCs w:val="21"/>
                <w:highlight w:val="none"/>
                <w:lang w:val="en-US" w:eastAsia="zh-CN"/>
              </w:rPr>
              <w:t>中具备</w:t>
            </w:r>
            <w:r>
              <w:rPr>
                <w:rFonts w:hint="eastAsia" w:ascii="宋体" w:hAnsi="宋体" w:eastAsia="宋体" w:cs="宋体"/>
                <w:color w:val="auto"/>
                <w:sz w:val="21"/>
                <w:szCs w:val="21"/>
                <w:highlight w:val="none"/>
                <w:lang w:val="en-US" w:eastAsia="zh-CN"/>
              </w:rPr>
              <w:t>从事工程领域工作</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年及以上的，每一人具备上述要求的，得</w:t>
            </w:r>
            <w:r>
              <w:rPr>
                <w:rFonts w:hint="eastAsia"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分；以此类推</w:t>
            </w:r>
            <w:r>
              <w:rPr>
                <w:rFonts w:hint="eastAsia" w:cs="宋体"/>
                <w:color w:val="auto"/>
                <w:sz w:val="21"/>
                <w:szCs w:val="21"/>
                <w:highlight w:val="none"/>
                <w:lang w:val="en-US" w:eastAsia="zh-CN"/>
              </w:rPr>
              <w:t>，最多可得2分</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（证明文件：劳动合同）</w:t>
            </w:r>
          </w:p>
          <w:p>
            <w:pPr>
              <w:pStyle w:val="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）项目经验（</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分）：安全检查项目团队成员</w:t>
            </w:r>
            <w:r>
              <w:rPr>
                <w:rFonts w:hint="eastAsia" w:cs="宋体"/>
                <w:color w:val="auto"/>
                <w:sz w:val="21"/>
                <w:szCs w:val="21"/>
                <w:highlight w:val="none"/>
                <w:lang w:val="en-US" w:eastAsia="zh-CN"/>
              </w:rPr>
              <w:t>中具备</w:t>
            </w:r>
            <w:r>
              <w:rPr>
                <w:rFonts w:hint="eastAsia" w:ascii="宋体" w:hAnsi="宋体" w:eastAsia="宋体" w:cs="宋体"/>
                <w:color w:val="auto"/>
                <w:sz w:val="21"/>
                <w:szCs w:val="21"/>
                <w:highlight w:val="none"/>
                <w:lang w:val="en-US" w:eastAsia="zh-CN"/>
              </w:rPr>
              <w:t>作为项目主要</w:t>
            </w:r>
            <w:r>
              <w:rPr>
                <w:rFonts w:hint="eastAsia" w:cs="宋体"/>
                <w:color w:val="auto"/>
                <w:sz w:val="21"/>
                <w:szCs w:val="21"/>
                <w:highlight w:val="none"/>
                <w:lang w:val="en-US" w:eastAsia="zh-CN"/>
              </w:rPr>
              <w:t>负责</w:t>
            </w:r>
            <w:r>
              <w:rPr>
                <w:rFonts w:hint="eastAsia" w:ascii="宋体" w:hAnsi="宋体" w:eastAsia="宋体" w:cs="宋体"/>
                <w:color w:val="auto"/>
                <w:sz w:val="21"/>
                <w:szCs w:val="21"/>
                <w:highlight w:val="none"/>
                <w:lang w:val="en-US" w:eastAsia="zh-CN"/>
              </w:rPr>
              <w:t>人参加工程类安全检查、评估咨询（已验收或履约评价合格）</w:t>
            </w:r>
            <w:r>
              <w:rPr>
                <w:rFonts w:hint="eastAsia" w:cs="宋体"/>
                <w:color w:val="auto"/>
                <w:sz w:val="21"/>
                <w:szCs w:val="21"/>
                <w:highlight w:val="none"/>
                <w:lang w:val="en-US" w:eastAsia="zh-CN"/>
              </w:rPr>
              <w:t>经验</w:t>
            </w:r>
            <w:r>
              <w:rPr>
                <w:rFonts w:hint="eastAsia" w:ascii="宋体" w:hAnsi="宋体" w:eastAsia="宋体" w:cs="宋体"/>
                <w:color w:val="auto"/>
                <w:sz w:val="21"/>
                <w:szCs w:val="21"/>
                <w:highlight w:val="none"/>
                <w:lang w:val="en-US" w:eastAsia="zh-CN"/>
              </w:rPr>
              <w:t>的</w:t>
            </w:r>
            <w:r>
              <w:rPr>
                <w:rFonts w:hint="eastAsia" w:cs="宋体"/>
                <w:color w:val="auto"/>
                <w:sz w:val="21"/>
                <w:szCs w:val="21"/>
                <w:highlight w:val="none"/>
                <w:lang w:val="en-US" w:eastAsia="zh-CN"/>
              </w:rPr>
              <w:t>，每一项经验</w:t>
            </w:r>
            <w:r>
              <w:rPr>
                <w:rFonts w:hint="eastAsia"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0.8</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；具备作为一般成员</w:t>
            </w:r>
            <w:r>
              <w:rPr>
                <w:rFonts w:hint="eastAsia" w:ascii="宋体" w:hAnsi="宋体" w:eastAsia="宋体" w:cs="宋体"/>
                <w:color w:val="auto"/>
                <w:sz w:val="21"/>
                <w:szCs w:val="21"/>
                <w:highlight w:val="none"/>
                <w:lang w:val="en-US" w:eastAsia="zh-CN"/>
              </w:rPr>
              <w:t>参加工程类安全检查、评估咨询（已验收或履约评价合格）</w:t>
            </w:r>
            <w:r>
              <w:rPr>
                <w:rFonts w:hint="eastAsia" w:cs="宋体"/>
                <w:color w:val="auto"/>
                <w:sz w:val="21"/>
                <w:szCs w:val="21"/>
                <w:highlight w:val="none"/>
                <w:lang w:val="en-US" w:eastAsia="zh-CN"/>
              </w:rPr>
              <w:t>经验</w:t>
            </w:r>
            <w:r>
              <w:rPr>
                <w:rFonts w:hint="eastAsia" w:ascii="宋体" w:hAnsi="宋体" w:eastAsia="宋体" w:cs="宋体"/>
                <w:color w:val="auto"/>
                <w:sz w:val="21"/>
                <w:szCs w:val="21"/>
                <w:highlight w:val="none"/>
                <w:lang w:val="en-US" w:eastAsia="zh-CN"/>
              </w:rPr>
              <w:t>的</w:t>
            </w:r>
            <w:r>
              <w:rPr>
                <w:rFonts w:hint="eastAsia" w:cs="宋体"/>
                <w:color w:val="auto"/>
                <w:sz w:val="21"/>
                <w:szCs w:val="21"/>
                <w:highlight w:val="none"/>
                <w:lang w:val="en-US" w:eastAsia="zh-CN"/>
              </w:rPr>
              <w:t>，每一项经验</w:t>
            </w:r>
            <w:r>
              <w:rPr>
                <w:rFonts w:hint="eastAsia"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同一人只考察最优业绩</w:t>
            </w:r>
            <w:r>
              <w:rPr>
                <w:rFonts w:hint="eastAsia" w:cs="宋体"/>
                <w:color w:val="auto"/>
                <w:sz w:val="21"/>
                <w:szCs w:val="21"/>
                <w:highlight w:val="none"/>
                <w:lang w:val="en-US" w:eastAsia="zh-CN"/>
              </w:rPr>
              <w:t>，最高可得4分；（证明文件：验收证明、履约评价）</w:t>
            </w:r>
          </w:p>
          <w:p>
            <w:pPr>
              <w:pStyle w:val="307"/>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）其他（0分）：其他情况及不提供或者不能有效证明的，得0分。</w:t>
            </w:r>
          </w:p>
          <w:p>
            <w:pPr>
              <w:pStyle w:val="307"/>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安全巡查评比（红黑榜）技术服务团队成员（</w:t>
            </w: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r>
              <w:rPr>
                <w:rFonts w:hint="eastAsia" w:cs="宋体"/>
                <w:b/>
                <w:bCs/>
                <w:color w:val="auto"/>
                <w:sz w:val="21"/>
                <w:szCs w:val="21"/>
                <w:highlight w:val="none"/>
                <w:lang w:val="en-US" w:eastAsia="zh-CN"/>
              </w:rPr>
              <w:t>（1人）</w:t>
            </w:r>
          </w:p>
          <w:p>
            <w:pPr>
              <w:pStyle w:val="30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）学历及资质（</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分）：技术服务团队成员</w:t>
            </w:r>
            <w:r>
              <w:rPr>
                <w:rFonts w:hint="eastAsia"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具备本科（及以上）学历的，得</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具备安全评价师或注册安全工程师资格，得</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（证明文件：学历证书、注册证书）</w:t>
            </w:r>
          </w:p>
          <w:p>
            <w:pPr>
              <w:pStyle w:val="30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）从业时间（</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分）：技术服务团队成员</w:t>
            </w:r>
            <w:r>
              <w:rPr>
                <w:rFonts w:hint="eastAsia" w:cs="宋体"/>
                <w:color w:val="auto"/>
                <w:sz w:val="21"/>
                <w:szCs w:val="21"/>
                <w:highlight w:val="none"/>
                <w:lang w:val="en-US" w:eastAsia="zh-CN"/>
              </w:rPr>
              <w:t>中具备</w:t>
            </w:r>
            <w:r>
              <w:rPr>
                <w:rFonts w:hint="eastAsia" w:ascii="宋体" w:hAnsi="宋体" w:eastAsia="宋体" w:cs="宋体"/>
                <w:color w:val="auto"/>
                <w:sz w:val="21"/>
                <w:szCs w:val="21"/>
                <w:highlight w:val="none"/>
                <w:lang w:val="en-US" w:eastAsia="zh-CN"/>
              </w:rPr>
              <w:t>从事工程建设领域</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年及以上的，得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；（证明文件：劳动合同）</w:t>
            </w:r>
          </w:p>
          <w:p>
            <w:pPr>
              <w:pStyle w:val="30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）项目经验（</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分）：作为项目主要参加人参加工程类安全检查、评估咨询（已验收或履约评价合格）的，</w:t>
            </w:r>
            <w:r>
              <w:rPr>
                <w:rFonts w:hint="eastAsia" w:cs="宋体"/>
                <w:color w:val="auto"/>
                <w:sz w:val="21"/>
                <w:szCs w:val="21"/>
                <w:highlight w:val="none"/>
                <w:lang w:val="en-US" w:eastAsia="zh-CN"/>
              </w:rPr>
              <w:t>每一项经验</w:t>
            </w:r>
            <w:r>
              <w:rPr>
                <w:rFonts w:hint="eastAsia"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具备作为一般成员</w:t>
            </w:r>
            <w:r>
              <w:rPr>
                <w:rFonts w:hint="eastAsia" w:ascii="宋体" w:hAnsi="宋体" w:eastAsia="宋体" w:cs="宋体"/>
                <w:color w:val="auto"/>
                <w:sz w:val="21"/>
                <w:szCs w:val="21"/>
                <w:highlight w:val="none"/>
                <w:lang w:val="en-US" w:eastAsia="zh-CN"/>
              </w:rPr>
              <w:t>参加工程类安全检查、评估咨询（已验收或履约评价合格）</w:t>
            </w:r>
            <w:r>
              <w:rPr>
                <w:rFonts w:hint="eastAsia" w:cs="宋体"/>
                <w:color w:val="auto"/>
                <w:sz w:val="21"/>
                <w:szCs w:val="21"/>
                <w:highlight w:val="none"/>
                <w:lang w:val="en-US" w:eastAsia="zh-CN"/>
              </w:rPr>
              <w:t>经验</w:t>
            </w:r>
            <w:r>
              <w:rPr>
                <w:rFonts w:hint="eastAsia" w:ascii="宋体" w:hAnsi="宋体" w:eastAsia="宋体" w:cs="宋体"/>
                <w:color w:val="auto"/>
                <w:sz w:val="21"/>
                <w:szCs w:val="21"/>
                <w:highlight w:val="none"/>
                <w:lang w:val="en-US" w:eastAsia="zh-CN"/>
              </w:rPr>
              <w:t>的，</w:t>
            </w:r>
            <w:r>
              <w:rPr>
                <w:rFonts w:hint="eastAsia" w:cs="宋体"/>
                <w:color w:val="auto"/>
                <w:sz w:val="21"/>
                <w:szCs w:val="21"/>
                <w:highlight w:val="none"/>
                <w:lang w:val="en-US" w:eastAsia="zh-CN"/>
              </w:rPr>
              <w:t>每一项经验</w:t>
            </w:r>
            <w:r>
              <w:rPr>
                <w:rFonts w:hint="eastAsia"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（证明文件：验收证明、履约评价）</w:t>
            </w:r>
          </w:p>
          <w:p>
            <w:pPr>
              <w:pStyle w:val="30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）其他（0分）：其他情况及不提供或者不能有效证明的，得0分。</w:t>
            </w:r>
          </w:p>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证明文件：</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（1）投标人须提供上述</w:t>
            </w:r>
            <w:r>
              <w:rPr>
                <w:rFonts w:hint="eastAsia" w:ascii="宋体" w:hAnsi="宋体" w:eastAsia="宋体" w:cs="宋体"/>
                <w:sz w:val="21"/>
                <w:szCs w:val="21"/>
                <w:highlight w:val="none"/>
                <w:lang w:val="en-US" w:eastAsia="zh-CN"/>
              </w:rPr>
              <w:t>学历证书、职称证书、项目合同关键页、业主证明等</w:t>
            </w:r>
            <w:r>
              <w:rPr>
                <w:rFonts w:hint="eastAsia" w:ascii="宋体" w:hAnsi="宋体" w:eastAsia="宋体" w:cs="宋体"/>
                <w:sz w:val="21"/>
                <w:szCs w:val="21"/>
                <w:highlight w:val="none"/>
              </w:rPr>
              <w:t>证明文件。</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（2）投标人须提供上述所有人员近三个月（具体指</w:t>
            </w:r>
            <w:r>
              <w:rPr>
                <w:rFonts w:hint="eastAsia" w:ascii="宋体" w:hAnsi="宋体" w:eastAsia="宋体" w:cs="宋体"/>
                <w:sz w:val="21"/>
                <w:szCs w:val="21"/>
                <w:highlight w:val="none"/>
                <w:lang w:val="en-US" w:eastAsia="zh-CN"/>
              </w:rPr>
              <w:t>2021年8月-2021年10月，因社保部门无法打印的往前推一个月</w:t>
            </w:r>
            <w:r>
              <w:rPr>
                <w:rFonts w:hint="eastAsia" w:ascii="宋体" w:hAnsi="宋体" w:eastAsia="宋体" w:cs="宋体"/>
                <w:sz w:val="21"/>
                <w:szCs w:val="21"/>
                <w:highlight w:val="none"/>
              </w:rPr>
              <w:t>）在本单位社保证明(社保部门资料或网页资料或窗口打印资料均可)，未按要求提供资料不予计分。</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社保证明资料应当至少包含医疗保险，证明资料可为社保收缴部门盖章证明资料、社保窗口打印资料或社保官网截图。</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（3）工作经验证明为项目合同关键信息，通过合同关键信息无法判断是否得分的，可提供合同甲方出具的证明文件。</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（4）以上证明材料均要求提供复印件加盖投标人公章，原件中标备查。</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7"/>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投标文件制作质量</w:t>
            </w:r>
          </w:p>
        </w:tc>
        <w:tc>
          <w:tcPr>
            <w:tcW w:w="736" w:type="dxa"/>
            <w:vAlign w:val="center"/>
          </w:tcPr>
          <w:p>
            <w:pPr>
              <w:spacing w:line="240" w:lineRule="auto"/>
              <w:jc w:val="center"/>
              <w:rPr>
                <w:rFonts w:hint="eastAsia" w:ascii="宋体" w:hAnsi="宋体" w:eastAsia="宋体" w:cs="宋体"/>
                <w:sz w:val="21"/>
                <w:szCs w:val="21"/>
                <w:highlight w:val="none"/>
                <w:lang w:eastAsia="zh-CN"/>
              </w:rPr>
            </w:pPr>
            <w:r>
              <w:rPr>
                <w:rFonts w:hint="eastAsia" w:cs="宋体"/>
                <w:sz w:val="21"/>
                <w:szCs w:val="21"/>
                <w:highlight w:val="none"/>
                <w:lang w:val="en-US" w:eastAsia="zh-CN"/>
              </w:rPr>
              <w:t>2</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shd w:val="clear" w:color="auto" w:fill="FFFFFF"/>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评审内容：</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对投标文件编制情况、内容进行评价</w:t>
            </w:r>
          </w:p>
          <w:p>
            <w:pPr>
              <w:pStyle w:val="307"/>
              <w:shd w:val="clear" w:color="auto" w:fill="FFFFFF"/>
              <w:rPr>
                <w:rFonts w:hint="eastAsia" w:ascii="宋体" w:hAnsi="宋体" w:eastAsia="宋体" w:cs="宋体"/>
                <w:sz w:val="21"/>
                <w:szCs w:val="21"/>
                <w:highlight w:val="none"/>
                <w:lang w:val="en-US" w:eastAsia="zh-CN"/>
              </w:rPr>
            </w:pPr>
          </w:p>
          <w:p>
            <w:pPr>
              <w:pStyle w:val="307"/>
              <w:shd w:val="clear" w:color="auto" w:fill="FFFFFF"/>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评审标准：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1.投标文件有缺漏项但未导致实质性偏离的，扣25%分；</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2.投标文件资料扫描不清晰的，扣25%分；</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3.投标文件目录中节点与内容对应错误或修改节点的，本项不得分。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435" w:type="dxa"/>
            <w:gridSpan w:val="4"/>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商务</w:t>
            </w:r>
            <w:r>
              <w:rPr>
                <w:rFonts w:hint="eastAsia" w:ascii="宋体" w:hAnsi="宋体" w:eastAsia="宋体" w:cs="宋体"/>
                <w:sz w:val="21"/>
                <w:szCs w:val="21"/>
                <w:highlight w:val="none"/>
              </w:rPr>
              <w:t>部分</w:t>
            </w:r>
          </w:p>
        </w:tc>
        <w:tc>
          <w:tcPr>
            <w:tcW w:w="4667" w:type="dxa"/>
            <w:vAlign w:val="center"/>
          </w:tcPr>
          <w:p>
            <w:pPr>
              <w:tabs>
                <w:tab w:val="clear" w:pos="426"/>
              </w:tabs>
              <w:spacing w:line="240"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restart"/>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15"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736"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705"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评分方式</w:t>
            </w:r>
          </w:p>
        </w:tc>
        <w:tc>
          <w:tcPr>
            <w:tcW w:w="4667"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8"/>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投标人同类项目业绩情况</w:t>
            </w:r>
          </w:p>
        </w:tc>
        <w:tc>
          <w:tcPr>
            <w:tcW w:w="736" w:type="dxa"/>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（1）投标人近三年（具体指自201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年1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月1日起至本项目投标截止日，以合同签订时间为准）</w:t>
            </w:r>
            <w:r>
              <w:rPr>
                <w:rFonts w:hint="eastAsia" w:ascii="宋体" w:hAnsi="宋体" w:eastAsia="宋体" w:cs="宋体"/>
                <w:sz w:val="21"/>
                <w:szCs w:val="21"/>
                <w:highlight w:val="none"/>
                <w:lang w:val="en-US" w:eastAsia="zh-CN"/>
              </w:rPr>
              <w:t>已完成的</w:t>
            </w:r>
            <w:r>
              <w:rPr>
                <w:rFonts w:hint="eastAsia" w:ascii="宋体" w:hAnsi="宋体" w:eastAsia="宋体" w:cs="宋体"/>
                <w:sz w:val="21"/>
                <w:szCs w:val="21"/>
                <w:highlight w:val="none"/>
              </w:rPr>
              <w:t>同类业绩（具体指：</w:t>
            </w:r>
            <w:r>
              <w:rPr>
                <w:rFonts w:hint="eastAsia" w:ascii="宋体" w:hAnsi="宋体" w:eastAsia="宋体" w:cs="宋体"/>
                <w:sz w:val="21"/>
                <w:szCs w:val="21"/>
                <w:highlight w:val="none"/>
                <w:lang w:val="en-US" w:eastAsia="zh-CN"/>
              </w:rPr>
              <w:t>由政府机构（含事业单位）委托的第三方机构开展工程类安全监督检查、评估咨询项目</w:t>
            </w:r>
            <w:r>
              <w:rPr>
                <w:rFonts w:hint="eastAsia" w:ascii="宋体" w:hAnsi="宋体" w:eastAsia="宋体" w:cs="宋体"/>
                <w:sz w:val="21"/>
                <w:szCs w:val="21"/>
                <w:highlight w:val="none"/>
              </w:rPr>
              <w:t>）</w:t>
            </w:r>
            <w:r>
              <w:rPr>
                <w:rFonts w:hint="eastAsia" w:cs="宋体"/>
                <w:sz w:val="21"/>
                <w:szCs w:val="21"/>
                <w:highlight w:val="none"/>
                <w:lang w:val="en-US" w:eastAsia="zh-CN"/>
              </w:rPr>
              <w:t>情况</w:t>
            </w:r>
            <w:r>
              <w:rPr>
                <w:rFonts w:hint="eastAsia" w:ascii="宋体" w:hAnsi="宋体" w:eastAsia="宋体" w:cs="宋体"/>
                <w:sz w:val="21"/>
                <w:szCs w:val="21"/>
                <w:highlight w:val="none"/>
              </w:rPr>
              <w:t>，提供1</w:t>
            </w:r>
            <w:r>
              <w:rPr>
                <w:rFonts w:hint="eastAsia" w:cs="宋体"/>
                <w:sz w:val="21"/>
                <w:szCs w:val="21"/>
                <w:highlight w:val="none"/>
                <w:lang w:val="en-US" w:eastAsia="zh-CN"/>
              </w:rPr>
              <w:t>项合格业绩</w:t>
            </w:r>
            <w:r>
              <w:rPr>
                <w:rFonts w:hint="eastAsia" w:ascii="宋体" w:hAnsi="宋体" w:eastAsia="宋体" w:cs="宋体"/>
                <w:sz w:val="21"/>
                <w:szCs w:val="21"/>
                <w:highlight w:val="none"/>
              </w:rPr>
              <w:t>得</w:t>
            </w:r>
            <w:r>
              <w:rPr>
                <w:rFonts w:hint="eastAsia" w:cs="宋体"/>
                <w:sz w:val="21"/>
                <w:szCs w:val="21"/>
                <w:highlight w:val="none"/>
                <w:lang w:val="en-US" w:eastAsia="zh-CN"/>
              </w:rPr>
              <w:t>2</w:t>
            </w:r>
            <w:r>
              <w:rPr>
                <w:rFonts w:hint="eastAsia" w:ascii="宋体" w:hAnsi="宋体" w:eastAsia="宋体" w:cs="宋体"/>
                <w:sz w:val="21"/>
                <w:szCs w:val="21"/>
                <w:highlight w:val="none"/>
              </w:rPr>
              <w:t>分</w:t>
            </w:r>
            <w:r>
              <w:rPr>
                <w:rFonts w:hint="eastAsia" w:cs="宋体"/>
                <w:sz w:val="21"/>
                <w:szCs w:val="21"/>
                <w:highlight w:val="none"/>
                <w:lang w:eastAsia="zh-CN"/>
              </w:rPr>
              <w:t>，</w:t>
            </w:r>
            <w:r>
              <w:rPr>
                <w:rFonts w:hint="eastAsia" w:cs="宋体"/>
                <w:sz w:val="21"/>
                <w:szCs w:val="21"/>
                <w:highlight w:val="none"/>
                <w:lang w:val="en-US" w:eastAsia="zh-CN"/>
              </w:rPr>
              <w:t>以此类推，</w:t>
            </w:r>
            <w:r>
              <w:rPr>
                <w:rFonts w:hint="eastAsia" w:ascii="宋体" w:hAnsi="宋体" w:eastAsia="宋体" w:cs="宋体"/>
                <w:sz w:val="21"/>
                <w:szCs w:val="21"/>
                <w:highlight w:val="none"/>
              </w:rPr>
              <w:t>提供</w:t>
            </w:r>
            <w:r>
              <w:rPr>
                <w:rFonts w:hint="eastAsia" w:cs="宋体"/>
                <w:sz w:val="21"/>
                <w:szCs w:val="21"/>
                <w:highlight w:val="none"/>
                <w:lang w:val="en-US" w:eastAsia="zh-CN"/>
              </w:rPr>
              <w:t>5项合格</w:t>
            </w:r>
            <w:r>
              <w:rPr>
                <w:rFonts w:hint="eastAsia" w:ascii="宋体" w:hAnsi="宋体" w:eastAsia="宋体" w:cs="宋体"/>
                <w:sz w:val="21"/>
                <w:szCs w:val="21"/>
                <w:highlight w:val="none"/>
              </w:rPr>
              <w:t>同类业绩</w:t>
            </w:r>
            <w:r>
              <w:rPr>
                <w:rFonts w:hint="eastAsia" w:cs="宋体"/>
                <w:sz w:val="21"/>
                <w:szCs w:val="21"/>
                <w:highlight w:val="none"/>
                <w:lang w:val="en-US" w:eastAsia="zh-CN"/>
              </w:rPr>
              <w:t>即得本项满分</w:t>
            </w:r>
            <w:r>
              <w:rPr>
                <w:rFonts w:hint="eastAsia" w:ascii="宋体" w:hAnsi="宋体" w:eastAsia="宋体" w:cs="宋体"/>
                <w:sz w:val="21"/>
                <w:szCs w:val="21"/>
                <w:highlight w:val="none"/>
              </w:rPr>
              <w:t>，未提供</w:t>
            </w:r>
            <w:r>
              <w:rPr>
                <w:rFonts w:hint="eastAsia" w:cs="宋体"/>
                <w:sz w:val="21"/>
                <w:szCs w:val="21"/>
                <w:highlight w:val="none"/>
                <w:lang w:val="en-US" w:eastAsia="zh-CN"/>
              </w:rPr>
              <w:t>或非合格同类业绩</w:t>
            </w:r>
            <w:r>
              <w:rPr>
                <w:rFonts w:hint="eastAsia" w:ascii="宋体" w:hAnsi="宋体" w:eastAsia="宋体" w:cs="宋体"/>
                <w:sz w:val="21"/>
                <w:szCs w:val="21"/>
                <w:highlight w:val="none"/>
              </w:rPr>
              <w:t>的不得分。</w:t>
            </w:r>
          </w:p>
          <w:p>
            <w:pPr>
              <w:pStyle w:val="307"/>
              <w:rPr>
                <w:rFonts w:hint="eastAsia" w:ascii="宋体" w:hAnsi="宋体" w:eastAsia="宋体" w:cs="宋体"/>
                <w:b/>
                <w:sz w:val="21"/>
                <w:szCs w:val="21"/>
                <w:highlight w:val="none"/>
              </w:rPr>
            </w:pPr>
          </w:p>
          <w:p>
            <w:pPr>
              <w:pStyle w:val="307"/>
              <w:rPr>
                <w:rFonts w:hint="eastAsia" w:ascii="宋体" w:hAnsi="宋体" w:eastAsia="宋体" w:cs="宋体"/>
                <w:b/>
                <w:sz w:val="21"/>
                <w:szCs w:val="21"/>
                <w:highlight w:val="none"/>
              </w:rPr>
            </w:pPr>
            <w:r>
              <w:rPr>
                <w:rFonts w:hint="eastAsia" w:ascii="宋体" w:hAnsi="宋体" w:eastAsia="宋体" w:cs="宋体"/>
                <w:b/>
                <w:sz w:val="21"/>
                <w:szCs w:val="21"/>
                <w:highlight w:val="none"/>
              </w:rPr>
              <w:t>证明文件：</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1）要求同时提供合同关键信息和项目履约（验收）合格评价证明文件作为得分依据。通过合同关键信息无法判断是否得分的，也可以提供能证明得分的其它证明资料，如项目报告或合同甲方出具的证明文件等。</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（2）以上证明材料均要求提供复印件加盖投标人公章，原件中标备查。</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（3）评分中出现无证明资料或专家无法凭所提供资料判断是否得分的情况，一律作不得分处理。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8"/>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pStyle w:val="307"/>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履约评价</w:t>
            </w:r>
            <w:r>
              <w:rPr>
                <w:rFonts w:hint="eastAsia" w:ascii="宋体" w:hAnsi="宋体" w:eastAsia="宋体" w:cs="宋体"/>
                <w:sz w:val="21"/>
                <w:szCs w:val="21"/>
                <w:highlight w:val="none"/>
                <w:lang w:val="en-US" w:eastAsia="zh-CN"/>
              </w:rPr>
              <w:t>情况</w:t>
            </w:r>
          </w:p>
          <w:p>
            <w:pPr>
              <w:spacing w:line="240" w:lineRule="auto"/>
              <w:jc w:val="center"/>
              <w:rPr>
                <w:rFonts w:hint="eastAsia" w:ascii="宋体" w:hAnsi="宋体" w:eastAsia="宋体" w:cs="宋体"/>
                <w:sz w:val="21"/>
                <w:szCs w:val="21"/>
                <w:highlight w:val="none"/>
              </w:rPr>
            </w:pPr>
          </w:p>
        </w:tc>
        <w:tc>
          <w:tcPr>
            <w:tcW w:w="736"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vAlign w:val="top"/>
          </w:tcPr>
          <w:p>
            <w:pPr>
              <w:pStyle w:val="307"/>
              <w:rPr>
                <w:rFonts w:hint="eastAsia" w:ascii="宋体" w:hAnsi="宋体" w:eastAsia="宋体" w:cs="宋体"/>
                <w:sz w:val="21"/>
                <w:szCs w:val="21"/>
                <w:highlight w:val="none"/>
              </w:rPr>
            </w:pPr>
            <w:r>
              <w:rPr>
                <w:rFonts w:hint="eastAsia" w:ascii="宋体" w:hAnsi="宋体" w:eastAsia="宋体" w:cs="宋体"/>
                <w:b/>
                <w:sz w:val="21"/>
                <w:szCs w:val="21"/>
                <w:highlight w:val="none"/>
              </w:rPr>
              <w:t>评审内容：</w:t>
            </w:r>
          </w:p>
          <w:p>
            <w:pPr>
              <w:pStyle w:val="307"/>
              <w:shd w:val="clear" w:color="auto" w:fill="FFFFFF"/>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供应商提供</w:t>
            </w:r>
            <w:r>
              <w:rPr>
                <w:rFonts w:hint="eastAsia" w:ascii="宋体" w:hAnsi="宋体" w:eastAsia="宋体" w:cs="宋体"/>
                <w:sz w:val="21"/>
                <w:szCs w:val="21"/>
                <w:highlight w:val="none"/>
                <w:lang w:val="en-US" w:eastAsia="zh-CN"/>
              </w:rPr>
              <w:t>业主单位</w:t>
            </w:r>
            <w:r>
              <w:rPr>
                <w:rFonts w:hint="eastAsia" w:ascii="宋体" w:hAnsi="宋体" w:eastAsia="宋体" w:cs="宋体"/>
                <w:sz w:val="21"/>
                <w:szCs w:val="21"/>
                <w:highlight w:val="none"/>
              </w:rPr>
              <w:t>出具的上述“投标人同类项目业绩”</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被认定</w:t>
            </w:r>
            <w:r>
              <w:rPr>
                <w:rFonts w:hint="eastAsia" w:ascii="宋体" w:hAnsi="宋体" w:eastAsia="宋体" w:cs="宋体"/>
                <w:sz w:val="21"/>
                <w:szCs w:val="21"/>
                <w:highlight w:val="none"/>
                <w:lang w:val="en-US" w:eastAsia="zh-CN"/>
              </w:rPr>
              <w:t>为合格同类业绩的</w:t>
            </w:r>
            <w:r>
              <w:rPr>
                <w:rFonts w:hint="eastAsia" w:ascii="宋体" w:hAnsi="宋体" w:eastAsia="宋体" w:cs="宋体"/>
                <w:sz w:val="21"/>
                <w:szCs w:val="21"/>
                <w:highlight w:val="none"/>
              </w:rPr>
              <w:t>履约评价书</w:t>
            </w:r>
            <w:r>
              <w:rPr>
                <w:rFonts w:hint="eastAsia" w:ascii="宋体" w:hAnsi="宋体" w:eastAsia="宋体" w:cs="宋体"/>
                <w:sz w:val="21"/>
                <w:szCs w:val="21"/>
                <w:highlight w:val="none"/>
                <w:lang w:eastAsia="zh-CN"/>
              </w:rPr>
              <w:t>。其中评价为优的，</w:t>
            </w:r>
            <w:r>
              <w:rPr>
                <w:rFonts w:hint="eastAsia" w:ascii="宋体" w:hAnsi="宋体" w:eastAsia="宋体" w:cs="宋体"/>
                <w:sz w:val="21"/>
                <w:szCs w:val="21"/>
                <w:highlight w:val="none"/>
              </w:rPr>
              <w:t>每份评价书得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；评价为合格的，每份评价书得</w:t>
            </w:r>
            <w:r>
              <w:rPr>
                <w:rFonts w:hint="eastAsia" w:ascii="宋体" w:hAnsi="宋体" w:eastAsia="宋体" w:cs="宋体"/>
                <w:sz w:val="21"/>
                <w:szCs w:val="21"/>
                <w:highlight w:val="none"/>
                <w:lang w:val="en-US" w:eastAsia="zh-CN"/>
              </w:rPr>
              <w:t>0.6分；此项得分不超过5分。</w:t>
            </w:r>
          </w:p>
          <w:p>
            <w:pPr>
              <w:pStyle w:val="307"/>
              <w:shd w:val="clear" w:color="auto" w:fill="FFFFFF"/>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未</w:t>
            </w:r>
            <w:r>
              <w:rPr>
                <w:rFonts w:hint="eastAsia" w:ascii="宋体" w:hAnsi="宋体" w:eastAsia="宋体" w:cs="宋体"/>
                <w:sz w:val="21"/>
                <w:szCs w:val="21"/>
                <w:highlight w:val="none"/>
              </w:rPr>
              <w:t>提供或者不能</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有效证明</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的，得0分。</w:t>
            </w:r>
          </w:p>
          <w:p>
            <w:pPr>
              <w:pStyle w:val="307"/>
              <w:shd w:val="clear" w:color="auto" w:fill="FFFFFF"/>
              <w:rPr>
                <w:rFonts w:hint="eastAsia" w:ascii="宋体" w:hAnsi="宋体" w:eastAsia="宋体" w:cs="宋体"/>
                <w:sz w:val="21"/>
                <w:szCs w:val="21"/>
                <w:highlight w:val="none"/>
              </w:rPr>
            </w:pPr>
          </w:p>
          <w:p>
            <w:pPr>
              <w:spacing w:line="240" w:lineRule="auto"/>
              <w:jc w:val="left"/>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证明文件：</w:t>
            </w:r>
          </w:p>
          <w:p>
            <w:pPr>
              <w:pStyle w:val="307"/>
              <w:shd w:val="clear" w:color="auto" w:fill="FFFFFF"/>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须提供委托人出具的履约评价书复印件，原件备查。未提供或者提供不完整、不清晰的不得分。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tabs>
                <w:tab w:val="clear" w:pos="426"/>
              </w:tabs>
              <w:spacing w:line="240" w:lineRule="auto"/>
              <w:jc w:val="center"/>
              <w:rPr>
                <w:rFonts w:hint="eastAsia" w:ascii="宋体" w:hAnsi="宋体" w:eastAsia="宋体" w:cs="宋体"/>
                <w:sz w:val="21"/>
                <w:szCs w:val="21"/>
                <w:highlight w:val="none"/>
              </w:rPr>
            </w:pPr>
          </w:p>
        </w:tc>
        <w:tc>
          <w:tcPr>
            <w:tcW w:w="479" w:type="dxa"/>
            <w:vAlign w:val="center"/>
          </w:tcPr>
          <w:p>
            <w:pPr>
              <w:pStyle w:val="280"/>
              <w:numPr>
                <w:ilvl w:val="0"/>
                <w:numId w:val="28"/>
              </w:numPr>
              <w:adjustRightInd w:val="0"/>
              <w:snapToGrid w:val="0"/>
              <w:spacing w:line="240" w:lineRule="auto"/>
              <w:ind w:firstLineChars="0"/>
              <w:jc w:val="center"/>
              <w:rPr>
                <w:rFonts w:hint="eastAsia" w:ascii="宋体" w:hAnsi="宋体" w:eastAsia="宋体" w:cs="宋体"/>
                <w:sz w:val="21"/>
                <w:szCs w:val="21"/>
                <w:highlight w:val="none"/>
              </w:rPr>
            </w:pPr>
          </w:p>
        </w:tc>
        <w:tc>
          <w:tcPr>
            <w:tcW w:w="1515"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投标人自主知识产权</w:t>
            </w:r>
            <w:r>
              <w:rPr>
                <w:rFonts w:hint="eastAsia" w:cs="宋体"/>
                <w:sz w:val="21"/>
                <w:szCs w:val="21"/>
                <w:highlight w:val="none"/>
                <w:lang w:eastAsia="zh-CN"/>
              </w:rPr>
              <w:t>、</w:t>
            </w:r>
            <w:r>
              <w:rPr>
                <w:rFonts w:hint="eastAsia" w:cs="宋体"/>
                <w:sz w:val="21"/>
                <w:szCs w:val="21"/>
                <w:highlight w:val="none"/>
                <w:lang w:val="en-US" w:eastAsia="zh-CN"/>
              </w:rPr>
              <w:t>认证</w:t>
            </w:r>
            <w:r>
              <w:rPr>
                <w:rFonts w:hint="eastAsia" w:ascii="宋体" w:hAnsi="宋体" w:eastAsia="宋体" w:cs="宋体"/>
                <w:sz w:val="21"/>
                <w:szCs w:val="21"/>
                <w:highlight w:val="none"/>
              </w:rPr>
              <w:t>情况</w:t>
            </w:r>
          </w:p>
        </w:tc>
        <w:tc>
          <w:tcPr>
            <w:tcW w:w="736" w:type="dxa"/>
            <w:vAlign w:val="center"/>
          </w:tcPr>
          <w:p>
            <w:pPr>
              <w:tabs>
                <w:tab w:val="clear" w:pos="426"/>
              </w:tabs>
              <w:spacing w:line="240" w:lineRule="auto"/>
              <w:jc w:val="center"/>
              <w:rPr>
                <w:rFonts w:hint="eastAsia" w:ascii="宋体" w:hAnsi="宋体" w:eastAsia="宋体" w:cs="宋体"/>
                <w:sz w:val="21"/>
                <w:szCs w:val="21"/>
                <w:highlight w:val="none"/>
                <w:lang w:eastAsia="zh-CN"/>
              </w:rPr>
            </w:pPr>
            <w:r>
              <w:rPr>
                <w:rFonts w:hint="eastAsia" w:cs="宋体"/>
                <w:sz w:val="21"/>
                <w:szCs w:val="21"/>
                <w:highlight w:val="none"/>
                <w:lang w:val="en-US" w:eastAsia="zh-CN"/>
              </w:rPr>
              <w:t>6</w:t>
            </w:r>
          </w:p>
        </w:tc>
        <w:tc>
          <w:tcPr>
            <w:tcW w:w="705"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1.知识产权（1分）：</w:t>
            </w:r>
            <w:r>
              <w:rPr>
                <w:rFonts w:hint="eastAsia" w:ascii="宋体" w:hAnsi="宋体" w:eastAsia="宋体" w:cs="宋体"/>
                <w:sz w:val="21"/>
                <w:szCs w:val="21"/>
                <w:highlight w:val="none"/>
              </w:rPr>
              <w:t>投标人具有与第三方质量检查或建筑类相关的自主知识产权软件著作或实用新型专利证书的，每提供1项得</w:t>
            </w:r>
            <w:r>
              <w:rPr>
                <w:rFonts w:hint="eastAsia" w:cs="宋体"/>
                <w:sz w:val="21"/>
                <w:szCs w:val="21"/>
                <w:highlight w:val="none"/>
                <w:lang w:val="en-US" w:eastAsia="zh-CN"/>
              </w:rPr>
              <w:t>0.5</w:t>
            </w:r>
            <w:r>
              <w:rPr>
                <w:rFonts w:hint="eastAsia" w:ascii="宋体" w:hAnsi="宋体" w:eastAsia="宋体" w:cs="宋体"/>
                <w:sz w:val="21"/>
                <w:szCs w:val="21"/>
                <w:highlight w:val="none"/>
              </w:rPr>
              <w:t>分，最高</w:t>
            </w:r>
            <w:r>
              <w:rPr>
                <w:rFonts w:hint="eastAsia" w:cs="宋体"/>
                <w:sz w:val="21"/>
                <w:szCs w:val="21"/>
                <w:highlight w:val="none"/>
                <w:lang w:val="en-US" w:eastAsia="zh-CN"/>
              </w:rPr>
              <w:t>可</w:t>
            </w:r>
            <w:r>
              <w:rPr>
                <w:rFonts w:hint="eastAsia" w:ascii="宋体" w:hAnsi="宋体" w:eastAsia="宋体" w:cs="宋体"/>
                <w:sz w:val="21"/>
                <w:szCs w:val="21"/>
                <w:highlight w:val="none"/>
              </w:rPr>
              <w:t>得</w:t>
            </w:r>
            <w:r>
              <w:rPr>
                <w:rFonts w:hint="eastAsia" w:cs="宋体"/>
                <w:sz w:val="21"/>
                <w:szCs w:val="21"/>
                <w:highlight w:val="none"/>
                <w:lang w:val="en-US" w:eastAsia="zh-CN"/>
              </w:rPr>
              <w:t>1</w:t>
            </w:r>
            <w:r>
              <w:rPr>
                <w:rFonts w:hint="eastAsia" w:ascii="宋体" w:hAnsi="宋体" w:eastAsia="宋体" w:cs="宋体"/>
                <w:sz w:val="21"/>
                <w:szCs w:val="21"/>
                <w:highlight w:val="none"/>
              </w:rPr>
              <w:t>分。</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2.相关认证（1分）：</w:t>
            </w:r>
            <w:r>
              <w:rPr>
                <w:rFonts w:hint="eastAsia" w:ascii="宋体" w:hAnsi="宋体" w:eastAsia="宋体" w:cs="宋体"/>
                <w:sz w:val="21"/>
                <w:szCs w:val="21"/>
                <w:highlight w:val="none"/>
              </w:rPr>
              <w:t>投标人具有质量体系认证证书、环境管理系认证证书、职业健康安全管理体系认证证书的，每提供1项得</w:t>
            </w:r>
            <w:r>
              <w:rPr>
                <w:rFonts w:hint="eastAsia" w:cs="宋体"/>
                <w:sz w:val="21"/>
                <w:szCs w:val="21"/>
                <w:highlight w:val="none"/>
                <w:lang w:val="en-US" w:eastAsia="zh-CN"/>
              </w:rPr>
              <w:t>0.5</w:t>
            </w:r>
            <w:r>
              <w:rPr>
                <w:rFonts w:hint="eastAsia" w:ascii="宋体" w:hAnsi="宋体" w:eastAsia="宋体" w:cs="宋体"/>
                <w:sz w:val="21"/>
                <w:szCs w:val="21"/>
                <w:highlight w:val="none"/>
              </w:rPr>
              <w:t>分，</w:t>
            </w:r>
            <w:r>
              <w:rPr>
                <w:rFonts w:hint="eastAsia" w:cs="宋体"/>
                <w:sz w:val="21"/>
                <w:szCs w:val="21"/>
                <w:highlight w:val="none"/>
                <w:lang w:val="en-US" w:eastAsia="zh-CN"/>
              </w:rPr>
              <w:t>提供三项中任意两项认证即得1</w:t>
            </w:r>
            <w:r>
              <w:rPr>
                <w:rFonts w:hint="eastAsia" w:ascii="宋体" w:hAnsi="宋体" w:eastAsia="宋体" w:cs="宋体"/>
                <w:sz w:val="21"/>
                <w:szCs w:val="21"/>
                <w:highlight w:val="none"/>
              </w:rPr>
              <w:t>分。</w:t>
            </w:r>
          </w:p>
          <w:p>
            <w:pPr>
              <w:pStyle w:val="307"/>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3.规范、标准编制（</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分）：投标人以公司名义主编或参编过</w:t>
            </w:r>
            <w:r>
              <w:rPr>
                <w:rFonts w:hint="eastAsia" w:cs="宋体"/>
                <w:sz w:val="21"/>
                <w:szCs w:val="21"/>
                <w:highlight w:val="none"/>
                <w:lang w:val="en-US" w:eastAsia="zh-CN"/>
              </w:rPr>
              <w:t>市</w:t>
            </w:r>
            <w:r>
              <w:rPr>
                <w:rFonts w:hint="eastAsia" w:ascii="宋体" w:hAnsi="宋体" w:eastAsia="宋体" w:cs="宋体"/>
                <w:sz w:val="21"/>
                <w:szCs w:val="21"/>
                <w:highlight w:val="none"/>
                <w:lang w:val="en-US" w:eastAsia="zh-CN"/>
              </w:rPr>
              <w:t>级或以上城市（含所辖取得区级）政府部门建设工程质量类规范或标准或手册等技术标准文件并颁布实施，每提供一项主编或参编过</w:t>
            </w:r>
            <w:r>
              <w:rPr>
                <w:rFonts w:hint="eastAsia" w:cs="宋体"/>
                <w:sz w:val="21"/>
                <w:szCs w:val="21"/>
                <w:highlight w:val="none"/>
                <w:lang w:val="en-US" w:eastAsia="zh-CN"/>
              </w:rPr>
              <w:t>市</w:t>
            </w:r>
            <w:r>
              <w:rPr>
                <w:rFonts w:hint="eastAsia" w:ascii="宋体" w:hAnsi="宋体" w:eastAsia="宋体" w:cs="宋体"/>
                <w:sz w:val="21"/>
                <w:szCs w:val="21"/>
                <w:highlight w:val="none"/>
                <w:lang w:val="en-US" w:eastAsia="zh-CN"/>
              </w:rPr>
              <w:t>级或以上城市（含所辖取得区级）政府部门建设工程质量类规范或标准或手册，得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r>
              <w:rPr>
                <w:rFonts w:hint="eastAsia" w:ascii="宋体" w:hAnsi="宋体" w:eastAsia="宋体" w:cs="宋体"/>
                <w:sz w:val="21"/>
                <w:szCs w:val="21"/>
                <w:highlight w:val="none"/>
                <w:lang w:val="en-US" w:eastAsia="zh-CN"/>
              </w:rPr>
              <w:t>提供</w:t>
            </w:r>
            <w:r>
              <w:rPr>
                <w:rFonts w:hint="eastAsia" w:cs="宋体"/>
                <w:sz w:val="21"/>
                <w:szCs w:val="21"/>
                <w:highlight w:val="none"/>
                <w:lang w:val="en-US" w:eastAsia="zh-CN"/>
              </w:rPr>
              <w:t>两</w:t>
            </w:r>
            <w:r>
              <w:rPr>
                <w:rFonts w:hint="eastAsia" w:ascii="宋体" w:hAnsi="宋体" w:eastAsia="宋体" w:cs="宋体"/>
                <w:sz w:val="21"/>
                <w:szCs w:val="21"/>
                <w:highlight w:val="none"/>
                <w:lang w:val="en-US" w:eastAsia="zh-CN"/>
              </w:rPr>
              <w:t>项主编或参编过</w:t>
            </w:r>
            <w:r>
              <w:rPr>
                <w:rFonts w:hint="eastAsia" w:cs="宋体"/>
                <w:sz w:val="21"/>
                <w:szCs w:val="21"/>
                <w:highlight w:val="none"/>
                <w:lang w:val="en-US" w:eastAsia="zh-CN"/>
              </w:rPr>
              <w:t>市</w:t>
            </w:r>
            <w:r>
              <w:rPr>
                <w:rFonts w:hint="eastAsia" w:ascii="宋体" w:hAnsi="宋体" w:eastAsia="宋体" w:cs="宋体"/>
                <w:sz w:val="21"/>
                <w:szCs w:val="21"/>
                <w:highlight w:val="none"/>
                <w:lang w:val="en-US" w:eastAsia="zh-CN"/>
              </w:rPr>
              <w:t>级或以上城市（含所辖取得区级）政府部门建设工程质量类规范或标准或手册</w:t>
            </w:r>
            <w:r>
              <w:rPr>
                <w:rFonts w:hint="eastAsia" w:cs="宋体"/>
                <w:sz w:val="21"/>
                <w:szCs w:val="21"/>
                <w:highlight w:val="none"/>
                <w:lang w:val="en-US" w:eastAsia="zh-CN"/>
              </w:rPr>
              <w:t>即</w:t>
            </w:r>
            <w:r>
              <w:rPr>
                <w:rFonts w:hint="eastAsia" w:ascii="宋体" w:hAnsi="宋体" w:eastAsia="宋体" w:cs="宋体"/>
                <w:sz w:val="21"/>
                <w:szCs w:val="21"/>
                <w:highlight w:val="none"/>
                <w:lang w:val="en-US" w:eastAsia="zh-CN"/>
              </w:rPr>
              <w:t>得</w:t>
            </w: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分。</w:t>
            </w:r>
          </w:p>
          <w:p>
            <w:pPr>
              <w:pStyle w:val="307"/>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4.资质认定（2分）：投标人具备中华人民共和国检验检测机构核准证及检验检测机构资质认定证书的，得2分。</w:t>
            </w:r>
          </w:p>
          <w:p>
            <w:pPr>
              <w:pStyle w:val="307"/>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证明文件：</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（1）投标人须提供上述有效的产权（专利）证书等证明材料的复印件，原件中标备查。</w:t>
            </w:r>
          </w:p>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Align w:val="center"/>
          </w:tcPr>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3435" w:type="dxa"/>
            <w:gridSpan w:val="4"/>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诚信部分</w:t>
            </w:r>
          </w:p>
        </w:tc>
        <w:tc>
          <w:tcPr>
            <w:tcW w:w="4667"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26" w:type="dxa"/>
            <w:vMerge w:val="restart"/>
            <w:vAlign w:val="center"/>
          </w:tcPr>
          <w:p>
            <w:pPr>
              <w:jc w:val="center"/>
              <w:rPr>
                <w:rFonts w:hint="eastAsia" w:ascii="宋体" w:hAnsi="宋体" w:eastAsia="宋体" w:cs="宋体"/>
                <w:sz w:val="21"/>
                <w:szCs w:val="21"/>
                <w:highlight w:val="none"/>
              </w:rPr>
            </w:pPr>
          </w:p>
        </w:tc>
        <w:tc>
          <w:tcPr>
            <w:tcW w:w="479"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1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736"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评分方式</w:t>
            </w:r>
          </w:p>
        </w:tc>
        <w:tc>
          <w:tcPr>
            <w:tcW w:w="4667" w:type="dxa"/>
            <w:vAlign w:val="center"/>
          </w:tcPr>
          <w:p>
            <w:pPr>
              <w:tabs>
                <w:tab w:val="clear" w:pos="426"/>
              </w:tabs>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jc w:val="center"/>
              <w:rPr>
                <w:rFonts w:hint="eastAsia" w:ascii="宋体" w:hAnsi="宋体" w:eastAsia="宋体" w:cs="宋体"/>
                <w:sz w:val="21"/>
                <w:szCs w:val="21"/>
                <w:highlight w:val="none"/>
              </w:rPr>
            </w:pPr>
          </w:p>
        </w:tc>
        <w:tc>
          <w:tcPr>
            <w:tcW w:w="47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1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诚信管理情况</w:t>
            </w:r>
          </w:p>
        </w:tc>
        <w:tc>
          <w:tcPr>
            <w:tcW w:w="736"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0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4667" w:type="dxa"/>
          </w:tcPr>
          <w:p>
            <w:pPr>
              <w:pStyle w:val="307"/>
              <w:rPr>
                <w:rFonts w:hint="eastAsia" w:ascii="宋体" w:hAnsi="宋体" w:eastAsia="宋体" w:cs="宋体"/>
                <w:sz w:val="21"/>
                <w:szCs w:val="21"/>
                <w:highlight w:val="none"/>
              </w:rPr>
            </w:pPr>
            <w:r>
              <w:rPr>
                <w:rFonts w:hint="eastAsia" w:ascii="宋体" w:hAnsi="宋体" w:eastAsia="宋体" w:cs="宋体"/>
                <w:sz w:val="21"/>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p>
            <w:pPr>
              <w:pStyle w:val="307"/>
              <w:rPr>
                <w:rFonts w:hint="eastAsia" w:ascii="宋体" w:hAnsi="宋体" w:eastAsia="宋体" w:cs="宋体"/>
                <w:sz w:val="21"/>
                <w:szCs w:val="21"/>
                <w:highlight w:val="none"/>
              </w:rPr>
            </w:pPr>
            <w:r>
              <w:rPr>
                <w:rFonts w:hint="eastAsia" w:ascii="宋体" w:hAnsi="宋体" w:eastAsia="宋体" w:cs="宋体"/>
                <w:b/>
                <w:sz w:val="21"/>
                <w:szCs w:val="21"/>
                <w:highlight w:val="none"/>
              </w:rPr>
              <w:t>以联合体投标的，双方都要满足此要求。</w:t>
            </w:r>
          </w:p>
        </w:tc>
      </w:tr>
    </w:tbl>
    <w:p>
      <w:pPr>
        <w:pStyle w:val="317"/>
        <w:rPr>
          <w:highlight w:val="none"/>
        </w:rPr>
      </w:pPr>
    </w:p>
    <w:p>
      <w:pPr>
        <w:pStyle w:val="317"/>
        <w:rPr>
          <w:highlight w:val="none"/>
        </w:rPr>
      </w:pPr>
      <w:r>
        <w:rPr>
          <w:rFonts w:hint="eastAsia"/>
          <w:highlight w:val="none"/>
        </w:rPr>
        <w:t>备注：</w:t>
      </w:r>
    </w:p>
    <w:p>
      <w:pPr>
        <w:pStyle w:val="317"/>
        <w:rPr>
          <w:highlight w:val="none"/>
        </w:rPr>
      </w:pPr>
      <w:r>
        <w:rPr>
          <w:rFonts w:hint="eastAsia"/>
          <w:highlight w:val="none"/>
        </w:rPr>
        <w:t>1.有取值范围的，含上限值不含下限值。每一项的得分均不能超过该项最高分值。</w:t>
      </w:r>
    </w:p>
    <w:p>
      <w:pPr>
        <w:pStyle w:val="317"/>
        <w:rPr>
          <w:highlight w:val="none"/>
        </w:rPr>
      </w:pPr>
      <w:r>
        <w:rPr>
          <w:rFonts w:hint="eastAsia"/>
          <w:highlight w:val="none"/>
        </w:rPr>
        <w:t>2.缺项则该项为0分或不合格为0分。</w:t>
      </w:r>
    </w:p>
    <w:p>
      <w:pPr>
        <w:pStyle w:val="317"/>
        <w:rPr>
          <w:highlight w:val="none"/>
        </w:rPr>
      </w:pPr>
      <w:r>
        <w:rPr>
          <w:rFonts w:hint="eastAsia"/>
          <w:highlight w:val="none"/>
        </w:rPr>
        <w:t>3.价格、技术、商务部分为针对项目具体情况设置项目，累加满分为100分，固定额外加分部分为固定设置项，对涉及政策导向优先采购产品进行额外加分。</w:t>
      </w:r>
    </w:p>
    <w:p>
      <w:pPr>
        <w:pStyle w:val="317"/>
        <w:rPr>
          <w:rFonts w:ascii="Arial" w:hAnsi="Arial" w:cs="Arial"/>
          <w:snapToGrid w:val="0"/>
          <w:szCs w:val="18"/>
          <w:highlight w:val="none"/>
        </w:rPr>
      </w:pPr>
      <w:r>
        <w:rPr>
          <w:rFonts w:hint="eastAsia"/>
          <w:highlight w:val="none"/>
        </w:rPr>
        <w:t>4.综合以上</w:t>
      </w:r>
      <w:r>
        <w:rPr>
          <w:rFonts w:hint="eastAsia"/>
          <w:snapToGrid w:val="0"/>
          <w:highlight w:val="none"/>
        </w:rPr>
        <w:t>分析比较，评委会将对各投标文件进行书面的量化评定，得分</w:t>
      </w:r>
      <w:r>
        <w:rPr>
          <w:rFonts w:ascii="Arial" w:hAnsi="Arial" w:cs="Arial"/>
          <w:snapToGrid w:val="0"/>
          <w:szCs w:val="18"/>
          <w:highlight w:val="none"/>
        </w:rPr>
        <w:t>精确到小数点后两位</w:t>
      </w:r>
      <w:r>
        <w:rPr>
          <w:rFonts w:hint="eastAsia" w:ascii="Arial" w:hAnsi="Arial" w:cs="Arial"/>
          <w:snapToGrid w:val="0"/>
          <w:szCs w:val="18"/>
          <w:highlight w:val="none"/>
        </w:rPr>
        <w:t>。</w:t>
      </w:r>
    </w:p>
    <w:p>
      <w:pPr>
        <w:pStyle w:val="317"/>
        <w:rPr>
          <w:highlight w:val="none"/>
        </w:rPr>
      </w:pPr>
      <w:r>
        <w:rPr>
          <w:rFonts w:hint="eastAsia"/>
          <w:highlight w:val="none"/>
        </w:rPr>
        <w:t>5.客观评分项，所有评审专家应当统一打分分值；主观评分项，评审专家应当按照打分标准独立打分，对于单项打分低于60%或者达到100%，评审专家需要做出书面合理说明。</w:t>
      </w:r>
    </w:p>
    <w:p>
      <w:pPr>
        <w:pStyle w:val="317"/>
        <w:rPr>
          <w:highlight w:val="none"/>
        </w:rPr>
      </w:pPr>
      <w:bookmarkStart w:id="26" w:name="_Hlk14428026"/>
      <w:r>
        <w:rPr>
          <w:rFonts w:hint="eastAsia"/>
          <w:highlight w:val="none"/>
        </w:rPr>
        <w:t>6.根据财政部《关于在政府采购活动中查询及使用信用记录有关问题的通知》（财库</w:t>
      </w:r>
      <w:r>
        <w:rPr>
          <w:rFonts w:ascii="Arial" w:hAnsi="Arial" w:cs="Arial"/>
          <w:sz w:val="20"/>
          <w:szCs w:val="20"/>
          <w:highlight w:val="none"/>
          <w:shd w:val="clear" w:color="auto" w:fill="FFFFFF"/>
        </w:rPr>
        <w:t>〔</w:t>
      </w:r>
      <w:r>
        <w:rPr>
          <w:rFonts w:hint="eastAsia" w:ascii="Arial" w:hAnsi="Arial" w:cs="Arial"/>
          <w:sz w:val="20"/>
          <w:szCs w:val="20"/>
          <w:highlight w:val="none"/>
          <w:shd w:val="clear" w:color="auto" w:fill="FFFFFF"/>
        </w:rPr>
        <w:t>2016</w:t>
      </w:r>
      <w:r>
        <w:rPr>
          <w:rFonts w:ascii="Arial" w:hAnsi="Arial" w:cs="Arial"/>
          <w:sz w:val="20"/>
          <w:szCs w:val="20"/>
          <w:highlight w:val="none"/>
          <w:shd w:val="clear" w:color="auto" w:fill="FFFFFF"/>
        </w:rPr>
        <w:t>〕</w:t>
      </w:r>
      <w:r>
        <w:rPr>
          <w:rFonts w:hint="eastAsia" w:ascii="Arial" w:hAnsi="Arial" w:cs="Arial"/>
          <w:sz w:val="20"/>
          <w:szCs w:val="20"/>
          <w:highlight w:val="none"/>
          <w:shd w:val="clear" w:color="auto" w:fill="FFFFFF"/>
        </w:rPr>
        <w:t>125号</w:t>
      </w:r>
      <w:r>
        <w:rPr>
          <w:rFonts w:hint="eastAsia"/>
          <w:highlight w:val="none"/>
        </w:rPr>
        <w:t>）、《深圳市政府采购供应商诚信管理暂行办法》（深财规〔</w:t>
      </w:r>
      <w:r>
        <w:rPr>
          <w:highlight w:val="none"/>
        </w:rPr>
        <w:t>2017〕8号</w:t>
      </w:r>
      <w:r>
        <w:rPr>
          <w:rFonts w:hint="eastAsia"/>
          <w:highlight w:val="none"/>
        </w:rPr>
        <w:t>），供应商信用信息的查询渠道为“信用中国（</w:t>
      </w:r>
      <w:r>
        <w:rPr>
          <w:highlight w:val="none"/>
        </w:rPr>
        <w:t>https：//www.creditchina.gov.cn/）”中的“信用服务”栏的“重大税收违法案件当事人名单”“失信被执行人”、“中国政府采购网（http：//www.ccgp.gov.cn/）” 中的“政府采购严重违法失信行为记录名单”、“深圳信用网（https：//www.szcredit.org.cn/）”、“深圳市政府采购监管网（http：//www.zfcg.sz.gov.cn/）”</w:t>
      </w:r>
      <w:r>
        <w:rPr>
          <w:rFonts w:hint="eastAsia"/>
          <w:highlight w:val="none"/>
        </w:rPr>
        <w:t>，相关信息以开标当日的查询结果为准。</w:t>
      </w:r>
      <w:bookmarkEnd w:id="26"/>
    </w:p>
    <w:p>
      <w:pPr>
        <w:tabs>
          <w:tab w:val="clear" w:pos="426"/>
        </w:tabs>
        <w:spacing w:line="240" w:lineRule="auto"/>
        <w:ind w:firstLine="426" w:firstLineChars="202"/>
        <w:rPr>
          <w:rFonts w:ascii="Calibri" w:hAnsi="Calibri" w:cs="Times New Roman"/>
          <w:b/>
          <w:kern w:val="2"/>
          <w:szCs w:val="22"/>
          <w:highlight w:val="none"/>
        </w:rPr>
      </w:pPr>
      <w:bookmarkStart w:id="27" w:name="_Hlk24731683"/>
    </w:p>
    <w:p>
      <w:pPr>
        <w:tabs>
          <w:tab w:val="clear" w:pos="426"/>
        </w:tabs>
        <w:spacing w:line="240" w:lineRule="auto"/>
        <w:ind w:firstLine="426" w:firstLineChars="202"/>
        <w:rPr>
          <w:rFonts w:ascii="Calibri" w:hAnsi="Calibri" w:cs="Times New Roman"/>
          <w:b/>
          <w:kern w:val="2"/>
          <w:szCs w:val="22"/>
          <w:highlight w:val="none"/>
        </w:rPr>
      </w:pPr>
    </w:p>
    <w:p>
      <w:pPr>
        <w:tabs>
          <w:tab w:val="clear" w:pos="426"/>
        </w:tabs>
        <w:spacing w:line="240" w:lineRule="auto"/>
        <w:ind w:firstLine="426" w:firstLineChars="202"/>
        <w:rPr>
          <w:rFonts w:ascii="Calibri" w:hAnsi="Calibri" w:cs="Times New Roman"/>
          <w:b/>
          <w:kern w:val="2"/>
          <w:szCs w:val="22"/>
          <w:highlight w:val="none"/>
        </w:rPr>
      </w:pPr>
    </w:p>
    <w:p>
      <w:pPr>
        <w:tabs>
          <w:tab w:val="clear" w:pos="426"/>
        </w:tabs>
        <w:spacing w:line="240" w:lineRule="auto"/>
        <w:ind w:firstLine="426" w:firstLineChars="202"/>
        <w:rPr>
          <w:rFonts w:ascii="Calibri" w:hAnsi="Calibri" w:cs="Times New Roman"/>
          <w:b/>
          <w:kern w:val="2"/>
          <w:szCs w:val="22"/>
          <w:highlight w:val="none"/>
        </w:rPr>
      </w:pPr>
      <w:r>
        <w:rPr>
          <w:rFonts w:ascii="Calibri" w:hAnsi="Calibri" w:cs="Times New Roman"/>
          <w:b/>
          <w:kern w:val="2"/>
          <w:szCs w:val="22"/>
          <w:highlight w:val="none"/>
        </w:rPr>
        <w:br w:type="page"/>
      </w:r>
    </w:p>
    <w:p>
      <w:pPr>
        <w:widowControl w:val="0"/>
        <w:tabs>
          <w:tab w:val="clear" w:pos="426"/>
        </w:tabs>
        <w:spacing w:before="280" w:after="290" w:line="377" w:lineRule="auto"/>
        <w:jc w:val="center"/>
        <w:outlineLvl w:val="2"/>
        <w:rPr>
          <w:b/>
          <w:sz w:val="24"/>
          <w:highlight w:val="none"/>
        </w:rPr>
      </w:pPr>
      <w:r>
        <w:rPr>
          <w:rFonts w:hint="eastAsia"/>
          <w:b/>
          <w:sz w:val="24"/>
          <w:highlight w:val="none"/>
        </w:rPr>
        <w:t>需要落实的政府采购政策</w:t>
      </w:r>
    </w:p>
    <w:p>
      <w:pPr>
        <w:tabs>
          <w:tab w:val="clear" w:pos="426"/>
        </w:tabs>
        <w:spacing w:line="300" w:lineRule="auto"/>
        <w:ind w:firstLine="422" w:firstLineChars="200"/>
        <w:rPr>
          <w:b/>
          <w:bCs/>
          <w:szCs w:val="21"/>
          <w:highlight w:val="none"/>
        </w:rPr>
      </w:pPr>
      <w:r>
        <w:rPr>
          <w:rFonts w:hint="eastAsia"/>
          <w:b/>
          <w:bCs/>
          <w:szCs w:val="21"/>
          <w:highlight w:val="none"/>
        </w:rPr>
        <w:t>一、评标优惠政策</w:t>
      </w:r>
    </w:p>
    <w:p>
      <w:pPr>
        <w:tabs>
          <w:tab w:val="clear" w:pos="426"/>
        </w:tabs>
        <w:spacing w:line="300" w:lineRule="auto"/>
        <w:ind w:firstLine="420" w:firstLineChars="200"/>
        <w:rPr>
          <w:rFonts w:hint="eastAsia"/>
          <w:szCs w:val="21"/>
          <w:highlight w:val="none"/>
        </w:rPr>
      </w:pPr>
      <w:r>
        <w:rPr>
          <w:rFonts w:hint="eastAsia"/>
          <w:szCs w:val="21"/>
          <w:highlight w:val="none"/>
        </w:rPr>
        <w:t>（一）1.根据《政府采购促进中小企业发展暂行办法》（财库[2011]181号）、《财政部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b/>
          <w:bCs/>
          <w:color w:val="000000" w:themeColor="text1"/>
          <w:szCs w:val="21"/>
          <w:highlight w:val="none"/>
          <w:u w:val="single"/>
          <w:lang w:val="en-US" w:eastAsia="zh-CN"/>
          <w14:textFill>
            <w14:solidFill>
              <w14:schemeClr w14:val="tx1"/>
            </w14:solidFill>
          </w14:textFill>
        </w:rPr>
        <w:t xml:space="preserve"> 8% </w:t>
      </w:r>
      <w:r>
        <w:rPr>
          <w:rFonts w:hint="eastAsia"/>
          <w:szCs w:val="21"/>
          <w:highlight w:val="none"/>
        </w:rPr>
        <w:t>后参与评审。对于同时属于小微企业、监狱企业或残疾人福利性单位的，不重复进行投标报价扣除。如有其它政策支持因素（如鼓励创新等）需一并列出。</w:t>
      </w:r>
    </w:p>
    <w:p>
      <w:pPr>
        <w:tabs>
          <w:tab w:val="clear" w:pos="426"/>
        </w:tabs>
        <w:spacing w:line="300" w:lineRule="auto"/>
        <w:ind w:firstLine="420" w:firstLineChars="200"/>
        <w:rPr>
          <w:rFonts w:hint="eastAsia"/>
          <w:szCs w:val="21"/>
          <w:highlight w:val="none"/>
        </w:rPr>
      </w:pPr>
      <w:r>
        <w:rPr>
          <w:rFonts w:hint="eastAsia"/>
          <w:szCs w:val="21"/>
          <w:highlight w:val="none"/>
        </w:rPr>
        <w:t>2.联合协议中约定，小型、微型企业和监狱企业的协议合同金额占到联合体协议合同总金额30%以上的，可给予联合体</w:t>
      </w:r>
      <w:r>
        <w:rPr>
          <w:rFonts w:hint="eastAsia"/>
          <w:szCs w:val="21"/>
          <w:highlight w:val="none"/>
          <w:u w:val="single"/>
          <w:lang w:val="en-US" w:eastAsia="zh-CN"/>
        </w:rPr>
        <w:t xml:space="preserve"> / </w:t>
      </w:r>
      <w:r>
        <w:rPr>
          <w:rFonts w:hint="eastAsia"/>
          <w:szCs w:val="21"/>
          <w:highlight w:val="none"/>
        </w:rPr>
        <w:t>%的价格扣除。</w:t>
      </w:r>
    </w:p>
    <w:p>
      <w:pPr>
        <w:tabs>
          <w:tab w:val="clear" w:pos="426"/>
        </w:tabs>
        <w:spacing w:line="300" w:lineRule="auto"/>
        <w:ind w:firstLine="420" w:firstLineChars="200"/>
        <w:rPr>
          <w:rFonts w:hint="eastAsia"/>
          <w:szCs w:val="21"/>
          <w:highlight w:val="none"/>
        </w:rPr>
      </w:pPr>
      <w:r>
        <w:rPr>
          <w:rFonts w:hint="eastAsia"/>
          <w:szCs w:val="21"/>
          <w:highlight w:val="none"/>
        </w:rPr>
        <w:t>联合体各方均为小型、微型企业和监狱企业的，联合体视同为小型、微型企业和监狱企业，均享受评标优惠政策第一款的优惠政策。</w:t>
      </w:r>
    </w:p>
    <w:p>
      <w:pPr>
        <w:tabs>
          <w:tab w:val="clear" w:pos="426"/>
        </w:tabs>
        <w:spacing w:line="300" w:lineRule="auto"/>
        <w:ind w:firstLine="420" w:firstLineChars="200"/>
        <w:rPr>
          <w:szCs w:val="21"/>
          <w:highlight w:val="none"/>
        </w:rPr>
      </w:pPr>
    </w:p>
    <w:p>
      <w:pPr>
        <w:tabs>
          <w:tab w:val="clear" w:pos="426"/>
        </w:tabs>
        <w:spacing w:line="300" w:lineRule="auto"/>
        <w:ind w:firstLine="420" w:firstLineChars="200"/>
        <w:rPr>
          <w:szCs w:val="21"/>
          <w:highlight w:val="none"/>
        </w:rPr>
      </w:pPr>
      <w:r>
        <w:rPr>
          <w:rFonts w:hint="eastAsia"/>
          <w:szCs w:val="21"/>
          <w:highlight w:val="none"/>
        </w:rPr>
        <w:t>（二）优惠主体资格的认定资料为《中小企业声明函》、《残疾人福利性单位声明函》以及《监狱企业声明函》等承诺性质的资料（声明函样式见本招标文件 “投标文件格式、附件”中“四、投标人情况介绍”章节提供的格式）；监狱企业或者代理提供监狱企业货物的供应商如须享受优惠政策，除上述资料外，还须提供省级以上监狱管理局、戒毒管理局出具的监狱企业证明文件。</w:t>
      </w:r>
    </w:p>
    <w:p>
      <w:pPr>
        <w:tabs>
          <w:tab w:val="clear" w:pos="426"/>
        </w:tabs>
        <w:spacing w:line="300" w:lineRule="auto"/>
        <w:ind w:firstLine="422" w:firstLineChars="200"/>
        <w:rPr>
          <w:b/>
          <w:bCs/>
          <w:szCs w:val="21"/>
          <w:highlight w:val="none"/>
        </w:rPr>
      </w:pPr>
    </w:p>
    <w:p>
      <w:pPr>
        <w:tabs>
          <w:tab w:val="clear" w:pos="426"/>
        </w:tabs>
        <w:spacing w:line="300" w:lineRule="auto"/>
        <w:ind w:firstLine="422" w:firstLineChars="200"/>
        <w:rPr>
          <w:b/>
          <w:bCs/>
          <w:szCs w:val="21"/>
          <w:highlight w:val="none"/>
        </w:rPr>
      </w:pPr>
      <w:r>
        <w:rPr>
          <w:rFonts w:hint="eastAsia"/>
          <w:b/>
          <w:bCs/>
          <w:szCs w:val="21"/>
          <w:highlight w:val="none"/>
        </w:rPr>
        <w:t>二、关于失信供应商的价格上浮</w:t>
      </w:r>
    </w:p>
    <w:p>
      <w:pPr>
        <w:tabs>
          <w:tab w:val="clear" w:pos="426"/>
        </w:tabs>
        <w:spacing w:line="300" w:lineRule="auto"/>
        <w:ind w:firstLine="420" w:firstLineChars="200"/>
        <w:rPr>
          <w:szCs w:val="21"/>
          <w:highlight w:val="none"/>
        </w:rPr>
      </w:pPr>
      <w:r>
        <w:rPr>
          <w:rFonts w:hint="eastAsia"/>
          <w:szCs w:val="21"/>
          <w:highlight w:val="none"/>
        </w:rPr>
        <w:t>根据《深圳市财政局关于印发〈深圳市政府采购供应商诚信管理暂行办法操作细则〉的通知》（深财购〔</w:t>
      </w:r>
      <w:r>
        <w:rPr>
          <w:szCs w:val="21"/>
          <w:highlight w:val="none"/>
        </w:rPr>
        <w:t>2017〕42号）的规定，采取价格评比法（比如最低</w:t>
      </w:r>
      <w:r>
        <w:rPr>
          <w:rFonts w:hint="eastAsia"/>
          <w:szCs w:val="21"/>
          <w:highlight w:val="none"/>
        </w:rPr>
        <w:t>评标</w:t>
      </w:r>
      <w:r>
        <w:rPr>
          <w:szCs w:val="21"/>
          <w:highlight w:val="none"/>
        </w:rPr>
        <w:t>价法）的项目，因违法违规行为被记入诚信档案的失信供应商最终报价在该企业最后一轮报价的基础上上浮</w:t>
      </w:r>
      <w:r>
        <w:rPr>
          <w:b/>
          <w:bCs/>
          <w:szCs w:val="21"/>
          <w:highlight w:val="none"/>
          <w:u w:val="single"/>
        </w:rPr>
        <w:t>10%</w:t>
      </w:r>
      <w:r>
        <w:rPr>
          <w:szCs w:val="21"/>
          <w:highlight w:val="none"/>
        </w:rPr>
        <w:t>。失信供应商符合优惠主体资格的，价格扣除和价格上浮一并执行。</w:t>
      </w:r>
    </w:p>
    <w:p>
      <w:pPr>
        <w:tabs>
          <w:tab w:val="clear" w:pos="426"/>
        </w:tabs>
        <w:spacing w:line="300" w:lineRule="auto"/>
        <w:ind w:firstLine="422" w:firstLineChars="200"/>
        <w:rPr>
          <w:b/>
          <w:szCs w:val="21"/>
          <w:highlight w:val="none"/>
        </w:rPr>
      </w:pPr>
    </w:p>
    <w:p>
      <w:pPr>
        <w:tabs>
          <w:tab w:val="clear" w:pos="426"/>
        </w:tabs>
        <w:spacing w:line="300" w:lineRule="auto"/>
        <w:ind w:firstLine="422" w:firstLineChars="200"/>
        <w:rPr>
          <w:b/>
          <w:bCs/>
          <w:szCs w:val="21"/>
          <w:highlight w:val="none"/>
        </w:rPr>
      </w:pPr>
      <w:r>
        <w:rPr>
          <w:rFonts w:hint="eastAsia"/>
          <w:b/>
          <w:bCs/>
          <w:szCs w:val="21"/>
          <w:highlight w:val="none"/>
        </w:rPr>
        <w:t>三、疫情防控</w:t>
      </w:r>
    </w:p>
    <w:p>
      <w:pPr>
        <w:tabs>
          <w:tab w:val="clear" w:pos="426"/>
        </w:tabs>
        <w:spacing w:line="300" w:lineRule="auto"/>
        <w:ind w:firstLine="420" w:firstLineChars="200"/>
        <w:rPr>
          <w:bCs/>
          <w:szCs w:val="21"/>
          <w:highlight w:val="none"/>
        </w:rPr>
      </w:pPr>
      <w:r>
        <w:rPr>
          <w:rFonts w:hint="eastAsia"/>
          <w:bCs/>
          <w:szCs w:val="21"/>
          <w:highlight w:val="none"/>
        </w:rPr>
        <w:t>根据《深圳市财政局</w:t>
      </w:r>
      <w:r>
        <w:rPr>
          <w:bCs/>
          <w:szCs w:val="21"/>
          <w:highlight w:val="none"/>
        </w:rPr>
        <w:t xml:space="preserve"> 深圳市政府采购中心关于印发&lt;深圳市政府采购落实支持企业复工复产政策的实施细则&gt;的通知》（深府购〔2020〕24号）的规定</w:t>
      </w:r>
      <w:r>
        <w:rPr>
          <w:rFonts w:hint="eastAsia"/>
          <w:bCs/>
          <w:szCs w:val="21"/>
          <w:highlight w:val="none"/>
        </w:rPr>
        <w:t>：</w:t>
      </w:r>
    </w:p>
    <w:p>
      <w:pPr>
        <w:tabs>
          <w:tab w:val="clear" w:pos="426"/>
        </w:tabs>
        <w:spacing w:line="300" w:lineRule="auto"/>
        <w:ind w:firstLine="420" w:firstLineChars="200"/>
        <w:rPr>
          <w:bCs/>
          <w:szCs w:val="21"/>
          <w:highlight w:val="none"/>
        </w:rPr>
      </w:pPr>
      <w:r>
        <w:rPr>
          <w:bCs/>
          <w:szCs w:val="21"/>
          <w:highlight w:val="none"/>
        </w:rPr>
        <w:t>1.鼓励采购人积极运用公共信用信息，明确对信用记录良好的投标人（特</w:t>
      </w:r>
      <w:r>
        <w:rPr>
          <w:rFonts w:hint="eastAsia"/>
          <w:bCs/>
          <w:szCs w:val="21"/>
          <w:highlight w:val="none"/>
        </w:rPr>
        <w:t>别是中小微企业）免收履约保证金，确需收取履约保证金的，列明通过保函等非现金方式收取；</w:t>
      </w:r>
    </w:p>
    <w:p>
      <w:pPr>
        <w:tabs>
          <w:tab w:val="clear" w:pos="426"/>
        </w:tabs>
        <w:spacing w:line="300" w:lineRule="auto"/>
        <w:rPr>
          <w:bCs/>
          <w:szCs w:val="21"/>
          <w:highlight w:val="none"/>
        </w:rPr>
      </w:pPr>
      <w:r>
        <w:rPr>
          <w:bCs/>
          <w:szCs w:val="21"/>
          <w:highlight w:val="none"/>
        </w:rPr>
        <w:t>23.在采购合同中明确对上述企业加大首付款或预付款比例，具体由采购人根据项目实际情况确定。</w:t>
      </w:r>
    </w:p>
    <w:p>
      <w:pPr>
        <w:tabs>
          <w:tab w:val="clear" w:pos="426"/>
        </w:tabs>
        <w:spacing w:line="300" w:lineRule="auto"/>
        <w:ind w:firstLine="422" w:firstLineChars="200"/>
        <w:rPr>
          <w:b/>
          <w:szCs w:val="21"/>
          <w:highlight w:val="none"/>
        </w:rPr>
      </w:pPr>
    </w:p>
    <w:p>
      <w:pPr>
        <w:tabs>
          <w:tab w:val="clear" w:pos="426"/>
        </w:tabs>
        <w:spacing w:line="300" w:lineRule="auto"/>
        <w:ind w:firstLine="422" w:firstLineChars="200"/>
        <w:rPr>
          <w:b/>
          <w:szCs w:val="21"/>
          <w:highlight w:val="none"/>
        </w:rPr>
      </w:pPr>
      <w:r>
        <w:rPr>
          <w:rFonts w:hint="eastAsia"/>
          <w:b/>
          <w:szCs w:val="21"/>
          <w:highlight w:val="none"/>
        </w:rPr>
        <w:t>四、其他需要落实的政府采购政策</w:t>
      </w:r>
    </w:p>
    <w:p>
      <w:pPr>
        <w:tabs>
          <w:tab w:val="clear" w:pos="426"/>
        </w:tabs>
        <w:spacing w:line="300" w:lineRule="auto"/>
        <w:ind w:firstLine="420" w:firstLineChars="200"/>
        <w:rPr>
          <w:bCs/>
          <w:szCs w:val="21"/>
          <w:highlight w:val="none"/>
        </w:rPr>
      </w:pPr>
      <w:r>
        <w:rPr>
          <w:rFonts w:hint="eastAsia"/>
          <w:bCs/>
          <w:szCs w:val="21"/>
          <w:highlight w:val="none"/>
        </w:rPr>
        <w:t>（一）采购人拟采购的产品属于《关于调整优化节能产品环境标志产品政府采购执行机制的通知》（财库〔</w:t>
      </w:r>
      <w:r>
        <w:rPr>
          <w:bCs/>
          <w:szCs w:val="21"/>
          <w:highlight w:val="none"/>
        </w:rPr>
        <w:t>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w:t>
      </w:r>
      <w:r>
        <w:rPr>
          <w:rFonts w:hint="eastAsia"/>
          <w:bCs/>
          <w:szCs w:val="21"/>
          <w:highlight w:val="none"/>
        </w:rPr>
        <w:t>提出相关绿色采购要求，促进绿色产品推广应用。</w:t>
      </w:r>
    </w:p>
    <w:p>
      <w:pPr>
        <w:widowControl w:val="0"/>
        <w:shd w:val="clear" w:color="auto" w:fill="auto"/>
        <w:tabs>
          <w:tab w:val="clear" w:pos="426"/>
        </w:tabs>
        <w:spacing w:line="300" w:lineRule="auto"/>
        <w:ind w:firstLine="420" w:firstLineChars="200"/>
        <w:rPr>
          <w:rFonts w:cs="Times New Roman"/>
          <w:kern w:val="2"/>
          <w:szCs w:val="21"/>
          <w:highlight w:val="none"/>
        </w:rPr>
      </w:pPr>
      <w:r>
        <w:rPr>
          <w:rFonts w:hint="eastAsia" w:cs="Times New Roman"/>
          <w:kern w:val="2"/>
          <w:szCs w:val="21"/>
          <w:highlight w:val="none"/>
        </w:rPr>
        <w:t>（二）</w:t>
      </w:r>
      <w:r>
        <w:rPr>
          <w:rFonts w:cs="Times New Roman"/>
          <w:kern w:val="2"/>
          <w:szCs w:val="21"/>
          <w:highlight w:val="none"/>
        </w:rPr>
        <w:t>根据《深圳市人民政府关于印发深圳市贯彻落实守信联合激励和失信联合惩戒制度实施方案的通知》（深府〔2017〕57号）、《深圳市政府采购供应商诚信管理暂行办法》（深财规〔2017〕8号）以及《深圳市财政局关于印发&lt;深圳市政府采购供应商诚信管理暂行办法操作细则&gt;的通知》的要求，对列入失信“黑名单”的供应商限制参与政府采购。</w:t>
      </w:r>
    </w:p>
    <w:p>
      <w:pPr>
        <w:widowControl w:val="0"/>
        <w:shd w:val="clear" w:color="auto" w:fill="auto"/>
        <w:tabs>
          <w:tab w:val="clear" w:pos="426"/>
        </w:tabs>
        <w:spacing w:line="300" w:lineRule="auto"/>
        <w:ind w:firstLine="420" w:firstLineChars="200"/>
        <w:rPr>
          <w:rFonts w:cs="Times New Roman"/>
          <w:kern w:val="2"/>
          <w:szCs w:val="21"/>
          <w:highlight w:val="none"/>
        </w:rPr>
      </w:pPr>
      <w:r>
        <w:rPr>
          <w:rFonts w:hint="eastAsia" w:cs="Times New Roman"/>
          <w:kern w:val="2"/>
          <w:szCs w:val="21"/>
          <w:highlight w:val="none"/>
        </w:rPr>
        <w:t>（三）</w:t>
      </w:r>
      <w:r>
        <w:rPr>
          <w:rFonts w:cs="Times New Roman"/>
          <w:kern w:val="2"/>
          <w:szCs w:val="21"/>
          <w:highlight w:val="none"/>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widowControl w:val="0"/>
        <w:shd w:val="clear" w:color="auto" w:fill="auto"/>
        <w:tabs>
          <w:tab w:val="clear" w:pos="426"/>
        </w:tabs>
        <w:spacing w:line="300" w:lineRule="auto"/>
        <w:ind w:firstLine="420" w:firstLineChars="200"/>
        <w:rPr>
          <w:rFonts w:cs="Times New Roman"/>
          <w:kern w:val="2"/>
          <w:szCs w:val="21"/>
          <w:highlight w:val="none"/>
        </w:rPr>
      </w:pPr>
      <w:r>
        <w:rPr>
          <w:rFonts w:hint="eastAsia" w:cs="Times New Roman"/>
          <w:kern w:val="2"/>
          <w:szCs w:val="21"/>
          <w:highlight w:val="none"/>
        </w:rPr>
        <w:t>（四）</w:t>
      </w:r>
      <w:r>
        <w:rPr>
          <w:rFonts w:cs="Times New Roman"/>
          <w:kern w:val="2"/>
          <w:szCs w:val="21"/>
          <w:highlight w:val="none"/>
        </w:rPr>
        <w:t>根据财政部《关于在政府采购活动中查询及使用信用记录有关问题的通知》（财库〔2016〕125号）、《深圳市政府采购供应商诚信管理暂行办法》（深财规〔2017〕8号），供应商信用信息的查询渠道为“信用中国（https：//www.creditchina.gov.cn/）”</w:t>
      </w:r>
      <w:r>
        <w:rPr>
          <w:rFonts w:hint="eastAsia" w:cs="Times New Roman"/>
          <w:kern w:val="2"/>
          <w:szCs w:val="21"/>
          <w:highlight w:val="none"/>
        </w:rPr>
        <w:t>中的“信用服务”栏的“重大税收违法案件当事人名单”“失信被执行人”</w:t>
      </w:r>
      <w:r>
        <w:rPr>
          <w:rFonts w:cs="Times New Roman"/>
          <w:kern w:val="2"/>
          <w:szCs w:val="21"/>
          <w:highlight w:val="none"/>
        </w:rPr>
        <w:t>、“中国政府采购网（http：//www.ccgp.gov.cn/）”</w:t>
      </w:r>
      <w:r>
        <w:rPr>
          <w:rFonts w:hint="eastAsia" w:cs="Times New Roman"/>
          <w:kern w:val="2"/>
          <w:szCs w:val="21"/>
          <w:highlight w:val="none"/>
        </w:rPr>
        <w:t xml:space="preserve"> 中的“政府采购严重违法失信行为记录名单”</w:t>
      </w:r>
      <w:r>
        <w:rPr>
          <w:rFonts w:cs="Times New Roman"/>
          <w:kern w:val="2"/>
          <w:szCs w:val="21"/>
          <w:highlight w:val="none"/>
        </w:rPr>
        <w:t>、</w:t>
      </w:r>
      <w:r>
        <w:rPr>
          <w:rFonts w:hint="eastAsia" w:cs="Times New Roman"/>
          <w:kern w:val="2"/>
          <w:szCs w:val="21"/>
          <w:highlight w:val="none"/>
        </w:rPr>
        <w:t>“深圳信用网（</w:t>
      </w:r>
      <w:r>
        <w:rPr>
          <w:rFonts w:cs="Times New Roman"/>
          <w:kern w:val="2"/>
          <w:szCs w:val="21"/>
          <w:highlight w:val="none"/>
        </w:rPr>
        <w:t>https：//www.szcredit.org.cn/</w:t>
      </w:r>
      <w:r>
        <w:rPr>
          <w:rFonts w:hint="eastAsia" w:cs="Times New Roman"/>
          <w:kern w:val="2"/>
          <w:szCs w:val="21"/>
          <w:highlight w:val="none"/>
        </w:rPr>
        <w:t>）”、</w:t>
      </w:r>
      <w:r>
        <w:rPr>
          <w:rFonts w:cs="Times New Roman"/>
          <w:kern w:val="2"/>
          <w:szCs w:val="21"/>
          <w:highlight w:val="none"/>
        </w:rPr>
        <w:t>“深圳市政府采购监管网（http：//www.zfcg.sz.gov.cn/）”，相关信息以</w:t>
      </w:r>
      <w:r>
        <w:rPr>
          <w:rFonts w:hint="eastAsia" w:cs="Times New Roman"/>
          <w:kern w:val="2"/>
          <w:szCs w:val="21"/>
          <w:highlight w:val="none"/>
        </w:rPr>
        <w:t>开标当日</w:t>
      </w:r>
      <w:r>
        <w:rPr>
          <w:rFonts w:cs="Times New Roman"/>
          <w:kern w:val="2"/>
          <w:szCs w:val="21"/>
          <w:highlight w:val="none"/>
        </w:rPr>
        <w:t>的查询结果为准。</w:t>
      </w:r>
    </w:p>
    <w:p>
      <w:pPr>
        <w:widowControl w:val="0"/>
        <w:shd w:val="clear" w:color="auto" w:fill="auto"/>
        <w:tabs>
          <w:tab w:val="clear" w:pos="426"/>
        </w:tabs>
        <w:spacing w:line="300" w:lineRule="auto"/>
        <w:ind w:firstLine="420" w:firstLineChars="200"/>
        <w:rPr>
          <w:rFonts w:cs="Times New Roman"/>
          <w:kern w:val="2"/>
          <w:szCs w:val="21"/>
          <w:highlight w:val="none"/>
        </w:rPr>
      </w:pPr>
    </w:p>
    <w:p>
      <w:pPr>
        <w:widowControl w:val="0"/>
        <w:shd w:val="clear" w:color="auto" w:fill="auto"/>
        <w:tabs>
          <w:tab w:val="clear" w:pos="426"/>
        </w:tabs>
        <w:spacing w:line="300" w:lineRule="auto"/>
        <w:ind w:firstLine="420" w:firstLineChars="200"/>
        <w:rPr>
          <w:rFonts w:cs="Times New Roman"/>
          <w:kern w:val="2"/>
          <w:szCs w:val="21"/>
          <w:highlight w:val="none"/>
        </w:rPr>
      </w:pPr>
    </w:p>
    <w:p>
      <w:pPr>
        <w:shd w:val="clear" w:color="auto" w:fill="auto"/>
        <w:tabs>
          <w:tab w:val="clear" w:pos="426"/>
        </w:tabs>
        <w:adjustRightInd/>
        <w:snapToGrid/>
        <w:spacing w:line="240" w:lineRule="auto"/>
        <w:jc w:val="left"/>
        <w:rPr>
          <w:szCs w:val="21"/>
          <w:highlight w:val="none"/>
        </w:rPr>
      </w:pPr>
      <w:r>
        <w:rPr>
          <w:szCs w:val="21"/>
          <w:highlight w:val="none"/>
        </w:rPr>
        <w:br w:type="page"/>
      </w:r>
    </w:p>
    <w:p>
      <w:pPr>
        <w:pStyle w:val="321"/>
        <w:rPr>
          <w:highlight w:val="none"/>
        </w:rPr>
      </w:pPr>
      <w:r>
        <w:rPr>
          <w:rFonts w:hint="eastAsia"/>
          <w:highlight w:val="none"/>
        </w:rPr>
        <w:t>招标代理服务取费说明</w:t>
      </w:r>
    </w:p>
    <w:p>
      <w:pPr>
        <w:tabs>
          <w:tab w:val="clear" w:pos="426"/>
        </w:tabs>
        <w:spacing w:line="300" w:lineRule="auto"/>
        <w:ind w:firstLine="420" w:firstLineChars="200"/>
        <w:rPr>
          <w:szCs w:val="21"/>
          <w:highlight w:val="none"/>
        </w:rPr>
      </w:pPr>
      <w:r>
        <w:rPr>
          <w:rFonts w:hint="eastAsia"/>
          <w:szCs w:val="21"/>
          <w:highlight w:val="none"/>
        </w:rPr>
        <w:t>（1）计算基数：中标金额。</w:t>
      </w:r>
    </w:p>
    <w:p>
      <w:pPr>
        <w:tabs>
          <w:tab w:val="clear" w:pos="426"/>
        </w:tabs>
        <w:spacing w:line="300" w:lineRule="auto"/>
        <w:ind w:firstLine="420" w:firstLineChars="200"/>
        <w:rPr>
          <w:rFonts w:hint="eastAsia"/>
          <w:szCs w:val="21"/>
          <w:highlight w:val="none"/>
          <w:lang w:eastAsia="zh-CN"/>
        </w:rPr>
      </w:pPr>
      <w:r>
        <w:rPr>
          <w:rFonts w:hint="eastAsia"/>
          <w:szCs w:val="21"/>
          <w:highlight w:val="none"/>
        </w:rPr>
        <w:t>（2）计算方法：采购代理机构以招标文件规定的计算基数，依据</w:t>
      </w:r>
      <w:r>
        <w:rPr>
          <w:rFonts w:hint="eastAsia"/>
          <w:szCs w:val="21"/>
          <w:highlight w:val="none"/>
          <w:lang w:eastAsia="zh-CN"/>
        </w:rPr>
        <w:t>《福田区财政局关于规范福田区社会采购代理机构管理有关事项的通知》（福财〔2018〕154号）</w:t>
      </w:r>
    </w:p>
    <w:p>
      <w:pPr>
        <w:tabs>
          <w:tab w:val="clear" w:pos="426"/>
        </w:tabs>
        <w:spacing w:line="300" w:lineRule="auto"/>
        <w:ind w:firstLine="420" w:firstLineChars="200"/>
        <w:rPr>
          <w:szCs w:val="21"/>
          <w:highlight w:val="none"/>
          <w:u w:val="none"/>
        </w:rPr>
      </w:pPr>
      <w:r>
        <w:rPr>
          <w:szCs w:val="21"/>
          <w:highlight w:val="none"/>
        </w:rPr>
        <w:t>规定的招标代理服务费收费</w:t>
      </w:r>
      <w:r>
        <w:rPr>
          <w:rFonts w:hint="eastAsia"/>
          <w:szCs w:val="21"/>
          <w:highlight w:val="none"/>
        </w:rPr>
        <w:t>标准</w:t>
      </w:r>
      <w:r>
        <w:rPr>
          <w:szCs w:val="21"/>
          <w:highlight w:val="none"/>
          <w:u w:val="none"/>
        </w:rPr>
        <w:t>，按差额定率累进法计算</w:t>
      </w:r>
      <w:r>
        <w:rPr>
          <w:rFonts w:hint="eastAsia"/>
          <w:szCs w:val="21"/>
          <w:highlight w:val="none"/>
          <w:u w:val="none"/>
        </w:rPr>
        <w:t>,低于</w:t>
      </w:r>
      <w:r>
        <w:rPr>
          <w:rFonts w:hint="eastAsia"/>
          <w:szCs w:val="21"/>
          <w:highlight w:val="none"/>
          <w:u w:val="single"/>
          <w:lang w:val="en-US" w:eastAsia="zh-CN"/>
        </w:rPr>
        <w:t>5000</w:t>
      </w:r>
      <w:r>
        <w:rPr>
          <w:rFonts w:hint="eastAsia"/>
          <w:szCs w:val="21"/>
          <w:highlight w:val="none"/>
          <w:u w:val="none"/>
        </w:rPr>
        <w:t>元的，按照</w:t>
      </w:r>
      <w:r>
        <w:rPr>
          <w:rFonts w:hint="eastAsia"/>
          <w:szCs w:val="21"/>
          <w:highlight w:val="none"/>
          <w:u w:val="single"/>
          <w:lang w:val="en-US" w:eastAsia="zh-CN"/>
        </w:rPr>
        <w:t>5000</w:t>
      </w:r>
      <w:r>
        <w:rPr>
          <w:rFonts w:hint="eastAsia"/>
          <w:szCs w:val="21"/>
          <w:highlight w:val="none"/>
          <w:u w:val="none"/>
        </w:rPr>
        <w:t>元计取。</w:t>
      </w:r>
    </w:p>
    <w:p>
      <w:pPr>
        <w:tabs>
          <w:tab w:val="clear" w:pos="426"/>
        </w:tabs>
        <w:spacing w:line="300" w:lineRule="auto"/>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）支付人：</w:t>
      </w:r>
      <w:r>
        <w:rPr>
          <w:szCs w:val="21"/>
          <w:highlight w:val="none"/>
        </w:rPr>
        <w:t>■</w:t>
      </w:r>
      <w:r>
        <w:rPr>
          <w:rFonts w:hint="eastAsia"/>
          <w:szCs w:val="21"/>
          <w:highlight w:val="none"/>
        </w:rPr>
        <w:t>中标人。</w:t>
      </w:r>
    </w:p>
    <w:p>
      <w:pPr>
        <w:tabs>
          <w:tab w:val="clear" w:pos="426"/>
        </w:tabs>
        <w:spacing w:line="300" w:lineRule="auto"/>
        <w:ind w:firstLine="420" w:firstLineChars="200"/>
        <w:rPr>
          <w:szCs w:val="21"/>
          <w:highlight w:val="none"/>
        </w:rPr>
      </w:pPr>
      <w:r>
        <w:rPr>
          <w:rFonts w:hint="eastAsia"/>
          <w:szCs w:val="21"/>
          <w:highlight w:val="none"/>
        </w:rPr>
        <w:t>（</w:t>
      </w:r>
      <w:r>
        <w:rPr>
          <w:szCs w:val="21"/>
          <w:highlight w:val="none"/>
        </w:rPr>
        <w:t>4）支付方式：银行转账。</w:t>
      </w:r>
    </w:p>
    <w:p>
      <w:pPr>
        <w:tabs>
          <w:tab w:val="clear" w:pos="426"/>
        </w:tabs>
        <w:spacing w:line="300" w:lineRule="auto"/>
        <w:ind w:firstLine="420" w:firstLineChars="200"/>
        <w:rPr>
          <w:szCs w:val="21"/>
          <w:highlight w:val="none"/>
        </w:rPr>
      </w:pPr>
      <w:r>
        <w:rPr>
          <w:rFonts w:hint="eastAsia"/>
          <w:szCs w:val="21"/>
          <w:highlight w:val="none"/>
        </w:rPr>
        <w:t>（</w:t>
      </w:r>
      <w:r>
        <w:rPr>
          <w:szCs w:val="21"/>
          <w:highlight w:val="none"/>
        </w:rPr>
        <w:t>5）收款账户信息如下：</w:t>
      </w:r>
    </w:p>
    <w:p>
      <w:pPr>
        <w:tabs>
          <w:tab w:val="clear" w:pos="426"/>
        </w:tabs>
        <w:spacing w:line="300" w:lineRule="auto"/>
        <w:ind w:firstLine="420" w:firstLineChars="200"/>
        <w:rPr>
          <w:szCs w:val="21"/>
          <w:highlight w:val="none"/>
        </w:rPr>
      </w:pPr>
      <w:r>
        <w:rPr>
          <w:rFonts w:hint="eastAsia"/>
          <w:szCs w:val="21"/>
          <w:highlight w:val="none"/>
        </w:rPr>
        <w:t>户名：深圳市深水水务咨询有限公司</w:t>
      </w:r>
    </w:p>
    <w:p>
      <w:pPr>
        <w:tabs>
          <w:tab w:val="clear" w:pos="426"/>
        </w:tabs>
        <w:spacing w:line="300" w:lineRule="auto"/>
        <w:ind w:firstLine="420" w:firstLineChars="200"/>
        <w:rPr>
          <w:szCs w:val="21"/>
          <w:highlight w:val="none"/>
        </w:rPr>
      </w:pPr>
      <w:r>
        <w:rPr>
          <w:rFonts w:hint="eastAsia"/>
          <w:szCs w:val="21"/>
          <w:highlight w:val="none"/>
        </w:rPr>
        <w:t>账号：</w:t>
      </w:r>
      <w:r>
        <w:rPr>
          <w:szCs w:val="21"/>
          <w:highlight w:val="none"/>
        </w:rPr>
        <w:t>443899991010003343618</w:t>
      </w:r>
    </w:p>
    <w:p>
      <w:pPr>
        <w:tabs>
          <w:tab w:val="clear" w:pos="426"/>
        </w:tabs>
        <w:spacing w:line="300" w:lineRule="auto"/>
        <w:ind w:firstLine="420" w:firstLineChars="200"/>
        <w:rPr>
          <w:szCs w:val="21"/>
          <w:highlight w:val="none"/>
        </w:rPr>
      </w:pPr>
      <w:r>
        <w:rPr>
          <w:rFonts w:hint="eastAsia"/>
          <w:szCs w:val="21"/>
          <w:highlight w:val="none"/>
        </w:rPr>
        <w:t>开户行：交通银行深圳金叶支行</w:t>
      </w:r>
    </w:p>
    <w:p>
      <w:pPr>
        <w:tabs>
          <w:tab w:val="clear" w:pos="426"/>
        </w:tabs>
        <w:spacing w:line="300" w:lineRule="auto"/>
        <w:ind w:firstLine="420" w:firstLineChars="200"/>
        <w:rPr>
          <w:szCs w:val="21"/>
          <w:highlight w:val="none"/>
        </w:rPr>
      </w:pPr>
      <w:r>
        <w:rPr>
          <w:rFonts w:hint="eastAsia"/>
          <w:szCs w:val="21"/>
          <w:highlight w:val="none"/>
        </w:rPr>
        <w:t>（</w:t>
      </w:r>
      <w:r>
        <w:rPr>
          <w:szCs w:val="21"/>
          <w:highlight w:val="none"/>
        </w:rPr>
        <w:t>6</w:t>
      </w:r>
      <w:r>
        <w:rPr>
          <w:rFonts w:hint="eastAsia"/>
          <w:szCs w:val="21"/>
          <w:highlight w:val="none"/>
        </w:rPr>
        <w:t>）发票联系人：</w:t>
      </w:r>
      <w:r>
        <w:rPr>
          <w:rFonts w:hint="eastAsia"/>
          <w:szCs w:val="21"/>
          <w:highlight w:val="none"/>
          <w:lang w:val="en-US" w:eastAsia="zh-CN"/>
        </w:rPr>
        <w:t>刘</w:t>
      </w:r>
      <w:r>
        <w:rPr>
          <w:rFonts w:hint="eastAsia"/>
          <w:szCs w:val="21"/>
          <w:highlight w:val="none"/>
        </w:rPr>
        <w:t>工0755-25163491</w:t>
      </w:r>
    </w:p>
    <w:p>
      <w:pPr>
        <w:tabs>
          <w:tab w:val="clear" w:pos="426"/>
        </w:tabs>
        <w:spacing w:line="300" w:lineRule="auto"/>
        <w:ind w:firstLine="420" w:firstLineChars="200"/>
        <w:rPr>
          <w:szCs w:val="21"/>
          <w:highlight w:val="none"/>
        </w:rPr>
      </w:pPr>
    </w:p>
    <w:p>
      <w:pPr>
        <w:tabs>
          <w:tab w:val="clear" w:pos="426"/>
        </w:tabs>
        <w:spacing w:line="300" w:lineRule="auto"/>
        <w:jc w:val="center"/>
        <w:rPr>
          <w:szCs w:val="21"/>
          <w:highlight w:val="none"/>
        </w:rPr>
      </w:pPr>
      <w:r>
        <w:rPr>
          <w:rFonts w:hint="eastAsia"/>
          <w:szCs w:val="21"/>
          <w:highlight w:val="none"/>
        </w:rPr>
        <w:t>招标代理服务收费标准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szCs w:val="21"/>
                <w:highlight w:val="none"/>
              </w:rPr>
            </w:pPr>
            <w:r>
              <w:rPr>
                <w:rFonts w:hint="eastAsia"/>
                <w:szCs w:val="21"/>
                <w:highlight w:val="none"/>
              </w:rPr>
              <w:t>服务类型</w:t>
            </w:r>
          </w:p>
          <w:p>
            <w:pPr>
              <w:tabs>
                <w:tab w:val="clear" w:pos="426"/>
              </w:tabs>
              <w:spacing w:line="300" w:lineRule="auto"/>
              <w:jc w:val="center"/>
              <w:rPr>
                <w:szCs w:val="21"/>
                <w:highlight w:val="none"/>
              </w:rPr>
            </w:pPr>
            <w:r>
              <w:rPr>
                <w:rFonts w:hint="eastAsia"/>
                <w:szCs w:val="21"/>
                <w:highlight w:val="none"/>
              </w:rPr>
              <w:t>费率</w:t>
            </w:r>
          </w:p>
          <w:p>
            <w:pPr>
              <w:tabs>
                <w:tab w:val="clear" w:pos="426"/>
              </w:tabs>
              <w:spacing w:line="300" w:lineRule="auto"/>
              <w:rPr>
                <w:szCs w:val="21"/>
                <w:highlight w:val="none"/>
              </w:rPr>
            </w:pPr>
            <w:r>
              <w:rPr>
                <w:rFonts w:hint="eastAsia"/>
                <w:szCs w:val="21"/>
                <w:highlight w:val="none"/>
              </w:rPr>
              <w:t>中标金额</w:t>
            </w:r>
          </w:p>
        </w:tc>
        <w:tc>
          <w:tcPr>
            <w:tcW w:w="1845" w:type="dxa"/>
            <w:vAlign w:val="center"/>
          </w:tcPr>
          <w:p>
            <w:pPr>
              <w:spacing w:line="240" w:lineRule="auto"/>
              <w:jc w:val="center"/>
              <w:rPr>
                <w:szCs w:val="21"/>
                <w:highlight w:val="none"/>
              </w:rPr>
            </w:pPr>
            <w:r>
              <w:rPr>
                <w:rFonts w:hint="eastAsia"/>
                <w:szCs w:val="21"/>
                <w:highlight w:val="none"/>
              </w:rPr>
              <w:t>货物采购</w:t>
            </w:r>
          </w:p>
        </w:tc>
        <w:tc>
          <w:tcPr>
            <w:tcW w:w="1845" w:type="dxa"/>
            <w:vAlign w:val="center"/>
          </w:tcPr>
          <w:p>
            <w:pPr>
              <w:spacing w:line="240" w:lineRule="auto"/>
              <w:jc w:val="center"/>
              <w:rPr>
                <w:szCs w:val="21"/>
                <w:highlight w:val="none"/>
              </w:rPr>
            </w:pPr>
            <w:r>
              <w:rPr>
                <w:szCs w:val="21"/>
                <w:highlight w:val="none"/>
              </w:rPr>
              <w:t>服务采购</w:t>
            </w:r>
          </w:p>
        </w:tc>
        <w:tc>
          <w:tcPr>
            <w:tcW w:w="1846" w:type="dxa"/>
            <w:vAlign w:val="center"/>
          </w:tcPr>
          <w:p>
            <w:pPr>
              <w:spacing w:line="240" w:lineRule="auto"/>
              <w:jc w:val="center"/>
              <w:rPr>
                <w:szCs w:val="21"/>
                <w:highlight w:val="none"/>
              </w:rPr>
            </w:pPr>
            <w:r>
              <w:rPr>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spacing w:line="240" w:lineRule="auto"/>
              <w:jc w:val="left"/>
              <w:rPr>
                <w:color w:val="000000"/>
                <w:szCs w:val="21"/>
                <w:highlight w:val="none"/>
              </w:rPr>
            </w:pPr>
            <w:r>
              <w:rPr>
                <w:color w:val="000000"/>
                <w:szCs w:val="21"/>
                <w:highlight w:val="none"/>
              </w:rPr>
              <w:t>100万元以下</w:t>
            </w:r>
          </w:p>
        </w:tc>
        <w:tc>
          <w:tcPr>
            <w:tcW w:w="1845" w:type="dxa"/>
            <w:vAlign w:val="center"/>
          </w:tcPr>
          <w:p>
            <w:pPr>
              <w:spacing w:line="240" w:lineRule="auto"/>
              <w:jc w:val="center"/>
              <w:rPr>
                <w:color w:val="000000"/>
                <w:szCs w:val="21"/>
                <w:highlight w:val="none"/>
              </w:rPr>
            </w:pPr>
            <w:r>
              <w:rPr>
                <w:color w:val="000000"/>
                <w:szCs w:val="21"/>
                <w:highlight w:val="none"/>
              </w:rPr>
              <w:t>1.500%</w:t>
            </w:r>
          </w:p>
        </w:tc>
        <w:tc>
          <w:tcPr>
            <w:tcW w:w="1845" w:type="dxa"/>
            <w:vAlign w:val="center"/>
          </w:tcPr>
          <w:p>
            <w:pPr>
              <w:spacing w:line="240" w:lineRule="auto"/>
              <w:jc w:val="center"/>
              <w:rPr>
                <w:color w:val="000000"/>
                <w:szCs w:val="21"/>
                <w:highlight w:val="none"/>
              </w:rPr>
            </w:pPr>
            <w:r>
              <w:rPr>
                <w:color w:val="000000"/>
                <w:szCs w:val="21"/>
                <w:highlight w:val="none"/>
              </w:rPr>
              <w:t>1.500%</w:t>
            </w:r>
          </w:p>
        </w:tc>
        <w:tc>
          <w:tcPr>
            <w:tcW w:w="1846" w:type="dxa"/>
            <w:vAlign w:val="center"/>
          </w:tcPr>
          <w:p>
            <w:pPr>
              <w:spacing w:line="240" w:lineRule="auto"/>
              <w:jc w:val="center"/>
              <w:rPr>
                <w:color w:val="000000"/>
                <w:szCs w:val="21"/>
                <w:highlight w:val="none"/>
              </w:rPr>
            </w:pPr>
            <w:r>
              <w:rPr>
                <w:color w:val="000000"/>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100万元（含）-500万元</w:t>
            </w:r>
          </w:p>
        </w:tc>
        <w:tc>
          <w:tcPr>
            <w:tcW w:w="1845" w:type="dxa"/>
            <w:vAlign w:val="center"/>
          </w:tcPr>
          <w:p>
            <w:pPr>
              <w:spacing w:line="240" w:lineRule="auto"/>
              <w:jc w:val="center"/>
              <w:rPr>
                <w:color w:val="000000"/>
                <w:szCs w:val="21"/>
                <w:highlight w:val="none"/>
              </w:rPr>
            </w:pPr>
            <w:r>
              <w:rPr>
                <w:color w:val="000000"/>
                <w:szCs w:val="21"/>
                <w:highlight w:val="none"/>
              </w:rPr>
              <w:t>1.100%</w:t>
            </w:r>
          </w:p>
        </w:tc>
        <w:tc>
          <w:tcPr>
            <w:tcW w:w="1845" w:type="dxa"/>
            <w:vAlign w:val="center"/>
          </w:tcPr>
          <w:p>
            <w:pPr>
              <w:spacing w:line="240" w:lineRule="auto"/>
              <w:jc w:val="center"/>
              <w:rPr>
                <w:color w:val="000000"/>
                <w:szCs w:val="21"/>
                <w:highlight w:val="none"/>
              </w:rPr>
            </w:pPr>
            <w:r>
              <w:rPr>
                <w:color w:val="000000"/>
                <w:szCs w:val="21"/>
                <w:highlight w:val="none"/>
              </w:rPr>
              <w:t>0.800%</w:t>
            </w:r>
          </w:p>
        </w:tc>
        <w:tc>
          <w:tcPr>
            <w:tcW w:w="1846" w:type="dxa"/>
            <w:vAlign w:val="center"/>
          </w:tcPr>
          <w:p>
            <w:pPr>
              <w:spacing w:line="240" w:lineRule="auto"/>
              <w:jc w:val="center"/>
              <w:rPr>
                <w:color w:val="000000"/>
                <w:szCs w:val="21"/>
                <w:highlight w:val="none"/>
              </w:rPr>
            </w:pPr>
            <w:r>
              <w:rPr>
                <w:color w:val="000000"/>
                <w:szCs w:val="21"/>
                <w:highlight w:val="none"/>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500万元（含）-1000万元</w:t>
            </w:r>
          </w:p>
        </w:tc>
        <w:tc>
          <w:tcPr>
            <w:tcW w:w="1845" w:type="dxa"/>
            <w:vAlign w:val="center"/>
          </w:tcPr>
          <w:p>
            <w:pPr>
              <w:spacing w:line="240" w:lineRule="auto"/>
              <w:jc w:val="center"/>
              <w:rPr>
                <w:color w:val="000000"/>
                <w:szCs w:val="21"/>
                <w:highlight w:val="none"/>
              </w:rPr>
            </w:pPr>
            <w:r>
              <w:rPr>
                <w:color w:val="000000"/>
                <w:szCs w:val="21"/>
                <w:highlight w:val="none"/>
              </w:rPr>
              <w:t>0.800%</w:t>
            </w:r>
          </w:p>
        </w:tc>
        <w:tc>
          <w:tcPr>
            <w:tcW w:w="1845" w:type="dxa"/>
            <w:vAlign w:val="center"/>
          </w:tcPr>
          <w:p>
            <w:pPr>
              <w:spacing w:line="240" w:lineRule="auto"/>
              <w:jc w:val="center"/>
              <w:rPr>
                <w:color w:val="000000"/>
                <w:szCs w:val="21"/>
                <w:highlight w:val="none"/>
              </w:rPr>
            </w:pPr>
            <w:r>
              <w:rPr>
                <w:color w:val="000000"/>
                <w:szCs w:val="21"/>
                <w:highlight w:val="none"/>
              </w:rPr>
              <w:t>0.450%</w:t>
            </w:r>
          </w:p>
        </w:tc>
        <w:tc>
          <w:tcPr>
            <w:tcW w:w="1846" w:type="dxa"/>
            <w:vAlign w:val="center"/>
          </w:tcPr>
          <w:p>
            <w:pPr>
              <w:spacing w:line="240" w:lineRule="auto"/>
              <w:jc w:val="center"/>
              <w:rPr>
                <w:color w:val="000000"/>
                <w:szCs w:val="21"/>
                <w:highlight w:val="none"/>
              </w:rPr>
            </w:pPr>
            <w:r>
              <w:rPr>
                <w:color w:val="000000"/>
                <w:szCs w:val="21"/>
                <w:highlight w:val="none"/>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1000万元（含）-5000万元</w:t>
            </w:r>
          </w:p>
        </w:tc>
        <w:tc>
          <w:tcPr>
            <w:tcW w:w="1845" w:type="dxa"/>
            <w:vAlign w:val="center"/>
          </w:tcPr>
          <w:p>
            <w:pPr>
              <w:spacing w:line="240" w:lineRule="auto"/>
              <w:jc w:val="center"/>
              <w:rPr>
                <w:color w:val="000000"/>
                <w:szCs w:val="21"/>
                <w:highlight w:val="none"/>
              </w:rPr>
            </w:pPr>
            <w:r>
              <w:rPr>
                <w:color w:val="000000"/>
                <w:szCs w:val="21"/>
                <w:highlight w:val="none"/>
              </w:rPr>
              <w:t>0.500%</w:t>
            </w:r>
          </w:p>
        </w:tc>
        <w:tc>
          <w:tcPr>
            <w:tcW w:w="1845" w:type="dxa"/>
            <w:vAlign w:val="center"/>
          </w:tcPr>
          <w:p>
            <w:pPr>
              <w:spacing w:line="240" w:lineRule="auto"/>
              <w:jc w:val="center"/>
              <w:rPr>
                <w:color w:val="000000"/>
                <w:szCs w:val="21"/>
                <w:highlight w:val="none"/>
              </w:rPr>
            </w:pPr>
            <w:r>
              <w:rPr>
                <w:color w:val="000000"/>
                <w:szCs w:val="21"/>
                <w:highlight w:val="none"/>
              </w:rPr>
              <w:t>0.250%</w:t>
            </w:r>
          </w:p>
        </w:tc>
        <w:tc>
          <w:tcPr>
            <w:tcW w:w="1846" w:type="dxa"/>
            <w:vAlign w:val="center"/>
          </w:tcPr>
          <w:p>
            <w:pPr>
              <w:spacing w:line="240" w:lineRule="auto"/>
              <w:jc w:val="center"/>
              <w:rPr>
                <w:color w:val="000000"/>
                <w:szCs w:val="21"/>
                <w:highlight w:val="none"/>
              </w:rPr>
            </w:pPr>
            <w:r>
              <w:rPr>
                <w:color w:val="000000"/>
                <w:szCs w:val="21"/>
                <w:highlight w:val="none"/>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5000万元（含）-1亿元</w:t>
            </w:r>
          </w:p>
        </w:tc>
        <w:tc>
          <w:tcPr>
            <w:tcW w:w="1845" w:type="dxa"/>
            <w:vAlign w:val="center"/>
          </w:tcPr>
          <w:p>
            <w:pPr>
              <w:spacing w:line="240" w:lineRule="auto"/>
              <w:jc w:val="center"/>
              <w:rPr>
                <w:szCs w:val="21"/>
                <w:highlight w:val="none"/>
              </w:rPr>
            </w:pPr>
            <w:r>
              <w:rPr>
                <w:szCs w:val="21"/>
                <w:highlight w:val="none"/>
              </w:rPr>
              <w:t>0.250%</w:t>
            </w:r>
          </w:p>
        </w:tc>
        <w:tc>
          <w:tcPr>
            <w:tcW w:w="1845" w:type="dxa"/>
            <w:vAlign w:val="center"/>
          </w:tcPr>
          <w:p>
            <w:pPr>
              <w:spacing w:line="240" w:lineRule="auto"/>
              <w:jc w:val="center"/>
              <w:rPr>
                <w:szCs w:val="21"/>
                <w:highlight w:val="none"/>
              </w:rPr>
            </w:pPr>
            <w:r>
              <w:rPr>
                <w:szCs w:val="21"/>
                <w:highlight w:val="none"/>
              </w:rPr>
              <w:t>0.100%</w:t>
            </w:r>
          </w:p>
        </w:tc>
        <w:tc>
          <w:tcPr>
            <w:tcW w:w="1846" w:type="dxa"/>
            <w:vAlign w:val="center"/>
          </w:tcPr>
          <w:p>
            <w:pPr>
              <w:spacing w:line="240" w:lineRule="auto"/>
              <w:jc w:val="center"/>
              <w:rPr>
                <w:szCs w:val="21"/>
                <w:highlight w:val="none"/>
              </w:rPr>
            </w:pPr>
            <w:r>
              <w:rPr>
                <w:szCs w:val="21"/>
                <w:highlight w:val="none"/>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1亿元（含）-5亿元</w:t>
            </w:r>
          </w:p>
        </w:tc>
        <w:tc>
          <w:tcPr>
            <w:tcW w:w="1845" w:type="dxa"/>
            <w:vAlign w:val="center"/>
          </w:tcPr>
          <w:p>
            <w:pPr>
              <w:spacing w:line="240" w:lineRule="auto"/>
              <w:jc w:val="center"/>
              <w:rPr>
                <w:szCs w:val="21"/>
                <w:highlight w:val="none"/>
              </w:rPr>
            </w:pPr>
            <w:r>
              <w:rPr>
                <w:szCs w:val="21"/>
                <w:highlight w:val="none"/>
              </w:rPr>
              <w:t>0.050%</w:t>
            </w:r>
          </w:p>
        </w:tc>
        <w:tc>
          <w:tcPr>
            <w:tcW w:w="1845" w:type="dxa"/>
            <w:vAlign w:val="center"/>
          </w:tcPr>
          <w:p>
            <w:pPr>
              <w:spacing w:line="240" w:lineRule="auto"/>
              <w:jc w:val="center"/>
              <w:rPr>
                <w:szCs w:val="21"/>
                <w:highlight w:val="none"/>
              </w:rPr>
            </w:pPr>
            <w:r>
              <w:rPr>
                <w:szCs w:val="21"/>
                <w:highlight w:val="none"/>
              </w:rPr>
              <w:t>0.050%</w:t>
            </w:r>
          </w:p>
        </w:tc>
        <w:tc>
          <w:tcPr>
            <w:tcW w:w="1846" w:type="dxa"/>
            <w:vAlign w:val="center"/>
          </w:tcPr>
          <w:p>
            <w:pPr>
              <w:spacing w:line="240" w:lineRule="auto"/>
              <w:jc w:val="center"/>
              <w:rPr>
                <w:szCs w:val="21"/>
                <w:highlight w:val="none"/>
              </w:rPr>
            </w:pPr>
            <w:r>
              <w:rPr>
                <w:szCs w:val="21"/>
                <w:highlight w:val="none"/>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5亿元（含）-10亿元</w:t>
            </w:r>
          </w:p>
        </w:tc>
        <w:tc>
          <w:tcPr>
            <w:tcW w:w="1845" w:type="dxa"/>
            <w:vAlign w:val="center"/>
          </w:tcPr>
          <w:p>
            <w:pPr>
              <w:spacing w:line="240" w:lineRule="auto"/>
              <w:jc w:val="center"/>
              <w:rPr>
                <w:szCs w:val="21"/>
                <w:highlight w:val="none"/>
              </w:rPr>
            </w:pPr>
            <w:r>
              <w:rPr>
                <w:szCs w:val="21"/>
                <w:highlight w:val="none"/>
              </w:rPr>
              <w:t>0.035%</w:t>
            </w:r>
          </w:p>
        </w:tc>
        <w:tc>
          <w:tcPr>
            <w:tcW w:w="1845" w:type="dxa"/>
            <w:vAlign w:val="center"/>
          </w:tcPr>
          <w:p>
            <w:pPr>
              <w:spacing w:line="240" w:lineRule="auto"/>
              <w:jc w:val="center"/>
              <w:rPr>
                <w:szCs w:val="21"/>
                <w:highlight w:val="none"/>
              </w:rPr>
            </w:pPr>
            <w:r>
              <w:rPr>
                <w:szCs w:val="21"/>
                <w:highlight w:val="none"/>
              </w:rPr>
              <w:t>0.035%</w:t>
            </w:r>
          </w:p>
        </w:tc>
        <w:tc>
          <w:tcPr>
            <w:tcW w:w="1846" w:type="dxa"/>
            <w:vAlign w:val="center"/>
          </w:tcPr>
          <w:p>
            <w:pPr>
              <w:spacing w:line="240" w:lineRule="auto"/>
              <w:jc w:val="center"/>
              <w:rPr>
                <w:szCs w:val="21"/>
                <w:highlight w:val="none"/>
              </w:rPr>
            </w:pPr>
            <w:r>
              <w:rPr>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10亿元（含）-50亿元</w:t>
            </w:r>
          </w:p>
        </w:tc>
        <w:tc>
          <w:tcPr>
            <w:tcW w:w="1845" w:type="dxa"/>
            <w:vAlign w:val="center"/>
          </w:tcPr>
          <w:p>
            <w:pPr>
              <w:spacing w:line="240" w:lineRule="auto"/>
              <w:jc w:val="center"/>
              <w:rPr>
                <w:szCs w:val="21"/>
                <w:highlight w:val="none"/>
              </w:rPr>
            </w:pPr>
            <w:r>
              <w:rPr>
                <w:szCs w:val="21"/>
                <w:highlight w:val="none"/>
              </w:rPr>
              <w:t>0.008%</w:t>
            </w:r>
          </w:p>
        </w:tc>
        <w:tc>
          <w:tcPr>
            <w:tcW w:w="1845" w:type="dxa"/>
            <w:vAlign w:val="center"/>
          </w:tcPr>
          <w:p>
            <w:pPr>
              <w:spacing w:line="240" w:lineRule="auto"/>
              <w:jc w:val="center"/>
              <w:rPr>
                <w:szCs w:val="21"/>
                <w:highlight w:val="none"/>
              </w:rPr>
            </w:pPr>
            <w:r>
              <w:rPr>
                <w:szCs w:val="21"/>
                <w:highlight w:val="none"/>
              </w:rPr>
              <w:t>0.008%</w:t>
            </w:r>
          </w:p>
        </w:tc>
        <w:tc>
          <w:tcPr>
            <w:tcW w:w="1846" w:type="dxa"/>
            <w:vAlign w:val="center"/>
          </w:tcPr>
          <w:p>
            <w:pPr>
              <w:spacing w:line="240" w:lineRule="auto"/>
              <w:jc w:val="center"/>
              <w:rPr>
                <w:szCs w:val="21"/>
                <w:highlight w:val="none"/>
              </w:rPr>
            </w:pPr>
            <w:r>
              <w:rPr>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color w:val="000000"/>
                <w:szCs w:val="21"/>
                <w:highlight w:val="none"/>
              </w:rPr>
              <w:t>50亿元（含）-100亿元</w:t>
            </w:r>
          </w:p>
        </w:tc>
        <w:tc>
          <w:tcPr>
            <w:tcW w:w="1845" w:type="dxa"/>
            <w:vAlign w:val="center"/>
          </w:tcPr>
          <w:p>
            <w:pPr>
              <w:spacing w:line="240" w:lineRule="auto"/>
              <w:jc w:val="center"/>
              <w:rPr>
                <w:szCs w:val="21"/>
                <w:highlight w:val="none"/>
              </w:rPr>
            </w:pPr>
            <w:r>
              <w:rPr>
                <w:szCs w:val="21"/>
                <w:highlight w:val="none"/>
              </w:rPr>
              <w:t>0.006%</w:t>
            </w:r>
          </w:p>
        </w:tc>
        <w:tc>
          <w:tcPr>
            <w:tcW w:w="1845" w:type="dxa"/>
            <w:vAlign w:val="center"/>
          </w:tcPr>
          <w:p>
            <w:pPr>
              <w:spacing w:line="240" w:lineRule="auto"/>
              <w:jc w:val="center"/>
              <w:rPr>
                <w:szCs w:val="21"/>
                <w:highlight w:val="none"/>
              </w:rPr>
            </w:pPr>
            <w:r>
              <w:rPr>
                <w:szCs w:val="21"/>
                <w:highlight w:val="none"/>
              </w:rPr>
              <w:t>0.006%</w:t>
            </w:r>
          </w:p>
        </w:tc>
        <w:tc>
          <w:tcPr>
            <w:tcW w:w="1846" w:type="dxa"/>
            <w:vAlign w:val="center"/>
          </w:tcPr>
          <w:p>
            <w:pPr>
              <w:spacing w:line="240" w:lineRule="auto"/>
              <w:jc w:val="center"/>
              <w:rPr>
                <w:szCs w:val="21"/>
                <w:highlight w:val="none"/>
              </w:rPr>
            </w:pPr>
            <w:r>
              <w:rPr>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highlight w:val="none"/>
              </w:rPr>
            </w:pPr>
            <w:r>
              <w:rPr>
                <w:rFonts w:hint="eastAsia"/>
                <w:color w:val="000000"/>
                <w:sz w:val="22"/>
                <w:szCs w:val="22"/>
                <w:highlight w:val="none"/>
              </w:rPr>
              <w:t>100亿元（含）以上</w:t>
            </w:r>
          </w:p>
        </w:tc>
        <w:tc>
          <w:tcPr>
            <w:tcW w:w="1845" w:type="dxa"/>
            <w:vAlign w:val="center"/>
          </w:tcPr>
          <w:p>
            <w:pPr>
              <w:spacing w:line="240" w:lineRule="auto"/>
              <w:jc w:val="center"/>
              <w:rPr>
                <w:szCs w:val="21"/>
                <w:highlight w:val="none"/>
              </w:rPr>
            </w:pPr>
            <w:r>
              <w:rPr>
                <w:rFonts w:hint="eastAsia"/>
                <w:sz w:val="22"/>
                <w:szCs w:val="22"/>
                <w:highlight w:val="none"/>
              </w:rPr>
              <w:t>0.004%</w:t>
            </w:r>
          </w:p>
        </w:tc>
        <w:tc>
          <w:tcPr>
            <w:tcW w:w="1845" w:type="dxa"/>
            <w:vAlign w:val="center"/>
          </w:tcPr>
          <w:p>
            <w:pPr>
              <w:spacing w:line="240" w:lineRule="auto"/>
              <w:jc w:val="center"/>
              <w:rPr>
                <w:szCs w:val="21"/>
                <w:highlight w:val="none"/>
              </w:rPr>
            </w:pPr>
            <w:r>
              <w:rPr>
                <w:rFonts w:hint="eastAsia"/>
                <w:sz w:val="22"/>
                <w:szCs w:val="22"/>
                <w:highlight w:val="none"/>
              </w:rPr>
              <w:t>0.004%</w:t>
            </w:r>
          </w:p>
        </w:tc>
        <w:tc>
          <w:tcPr>
            <w:tcW w:w="1846" w:type="dxa"/>
            <w:vAlign w:val="center"/>
          </w:tcPr>
          <w:p>
            <w:pPr>
              <w:spacing w:line="240" w:lineRule="auto"/>
              <w:jc w:val="center"/>
              <w:rPr>
                <w:szCs w:val="21"/>
                <w:highlight w:val="none"/>
              </w:rPr>
            </w:pPr>
            <w:r>
              <w:rPr>
                <w:rFonts w:hint="eastAsia"/>
                <w:sz w:val="22"/>
                <w:szCs w:val="22"/>
                <w:highlight w:val="none"/>
              </w:rPr>
              <w:t>0.004%</w:t>
            </w:r>
          </w:p>
        </w:tc>
      </w:tr>
    </w:tbl>
    <w:p>
      <w:pPr>
        <w:tabs>
          <w:tab w:val="clear" w:pos="426"/>
        </w:tabs>
        <w:spacing w:line="300" w:lineRule="auto"/>
        <w:ind w:left="424" w:leftChars="202"/>
        <w:rPr>
          <w:szCs w:val="21"/>
          <w:highlight w:val="none"/>
        </w:rPr>
      </w:pPr>
      <w:r>
        <w:rPr>
          <w:rFonts w:hint="eastAsia"/>
          <w:szCs w:val="21"/>
          <w:highlight w:val="none"/>
        </w:rPr>
        <w:t>以某服务类项目招标为例：</w:t>
      </w:r>
    </w:p>
    <w:p>
      <w:pPr>
        <w:tabs>
          <w:tab w:val="clear" w:pos="426"/>
        </w:tabs>
        <w:spacing w:line="300" w:lineRule="auto"/>
        <w:ind w:left="424" w:leftChars="202"/>
        <w:rPr>
          <w:szCs w:val="21"/>
          <w:highlight w:val="none"/>
        </w:rPr>
      </w:pPr>
      <w:r>
        <w:rPr>
          <w:rFonts w:hint="eastAsia"/>
          <w:szCs w:val="21"/>
          <w:highlight w:val="none"/>
        </w:rPr>
        <w:t>假设其计算基准价</w:t>
      </w:r>
      <w:r>
        <w:rPr>
          <w:szCs w:val="21"/>
          <w:highlight w:val="none"/>
        </w:rPr>
        <w:t>为5000万元，则招标代理</w:t>
      </w:r>
      <w:r>
        <w:rPr>
          <w:rFonts w:hint="eastAsia"/>
          <w:szCs w:val="21"/>
          <w:highlight w:val="none"/>
        </w:rPr>
        <w:t>服务</w:t>
      </w:r>
      <w:r>
        <w:rPr>
          <w:szCs w:val="21"/>
          <w:highlight w:val="none"/>
        </w:rPr>
        <w:t>费计算为：</w:t>
      </w:r>
    </w:p>
    <w:p>
      <w:pPr>
        <w:tabs>
          <w:tab w:val="clear" w:pos="426"/>
        </w:tabs>
        <w:spacing w:line="300" w:lineRule="auto"/>
        <w:ind w:left="424" w:leftChars="202"/>
        <w:rPr>
          <w:szCs w:val="21"/>
          <w:highlight w:val="none"/>
        </w:rPr>
      </w:pPr>
      <w:r>
        <w:rPr>
          <w:szCs w:val="21"/>
          <w:highlight w:val="none"/>
        </w:rPr>
        <w:t>100万元×1.5%=1.5万元</w:t>
      </w:r>
    </w:p>
    <w:p>
      <w:pPr>
        <w:tabs>
          <w:tab w:val="clear" w:pos="426"/>
        </w:tabs>
        <w:spacing w:line="300" w:lineRule="auto"/>
        <w:ind w:left="424" w:leftChars="202"/>
        <w:rPr>
          <w:szCs w:val="21"/>
          <w:highlight w:val="none"/>
        </w:rPr>
      </w:pPr>
      <w:r>
        <w:rPr>
          <w:rFonts w:hint="eastAsia"/>
          <w:szCs w:val="21"/>
          <w:highlight w:val="none"/>
        </w:rPr>
        <w:t>（</w:t>
      </w:r>
      <w:r>
        <w:rPr>
          <w:szCs w:val="21"/>
          <w:highlight w:val="none"/>
        </w:rPr>
        <w:t>500-100）万元×0.8%=3.2</w:t>
      </w:r>
      <w:r>
        <w:rPr>
          <w:rFonts w:hint="eastAsia"/>
          <w:szCs w:val="21"/>
          <w:highlight w:val="none"/>
        </w:rPr>
        <w:t>万元</w:t>
      </w:r>
      <w:r>
        <w:rPr>
          <w:szCs w:val="21"/>
          <w:highlight w:val="none"/>
        </w:rPr>
        <w:t xml:space="preserve"> </w:t>
      </w:r>
    </w:p>
    <w:p>
      <w:pPr>
        <w:tabs>
          <w:tab w:val="clear" w:pos="426"/>
        </w:tabs>
        <w:spacing w:line="300" w:lineRule="auto"/>
        <w:ind w:left="424" w:leftChars="202"/>
        <w:rPr>
          <w:szCs w:val="21"/>
          <w:highlight w:val="none"/>
        </w:rPr>
      </w:pPr>
      <w:r>
        <w:rPr>
          <w:rFonts w:hint="eastAsia"/>
          <w:szCs w:val="21"/>
          <w:highlight w:val="none"/>
        </w:rPr>
        <w:t>（</w:t>
      </w:r>
      <w:r>
        <w:rPr>
          <w:szCs w:val="21"/>
          <w:highlight w:val="none"/>
        </w:rPr>
        <w:t>1000-500）万元×0.45%=2.25</w:t>
      </w:r>
      <w:r>
        <w:rPr>
          <w:rFonts w:hint="eastAsia"/>
          <w:szCs w:val="21"/>
          <w:highlight w:val="none"/>
        </w:rPr>
        <w:t>万元</w:t>
      </w:r>
      <w:r>
        <w:rPr>
          <w:szCs w:val="21"/>
          <w:highlight w:val="none"/>
        </w:rPr>
        <w:t xml:space="preserve"> </w:t>
      </w:r>
    </w:p>
    <w:p>
      <w:pPr>
        <w:tabs>
          <w:tab w:val="clear" w:pos="426"/>
        </w:tabs>
        <w:spacing w:line="300" w:lineRule="auto"/>
        <w:ind w:left="424" w:leftChars="202"/>
        <w:rPr>
          <w:szCs w:val="21"/>
          <w:highlight w:val="none"/>
        </w:rPr>
      </w:pPr>
      <w:r>
        <w:rPr>
          <w:rFonts w:hint="eastAsia"/>
          <w:szCs w:val="21"/>
          <w:highlight w:val="none"/>
        </w:rPr>
        <w:t>（</w:t>
      </w:r>
      <w:r>
        <w:rPr>
          <w:szCs w:val="21"/>
          <w:highlight w:val="none"/>
        </w:rPr>
        <w:t>5000-1000）万元×0.25%=10万元</w:t>
      </w:r>
    </w:p>
    <w:p>
      <w:pPr>
        <w:tabs>
          <w:tab w:val="clear" w:pos="426"/>
        </w:tabs>
        <w:spacing w:line="300" w:lineRule="auto"/>
        <w:ind w:left="424" w:leftChars="202"/>
        <w:rPr>
          <w:szCs w:val="21"/>
          <w:highlight w:val="none"/>
        </w:rPr>
      </w:pPr>
      <w:r>
        <w:rPr>
          <w:rFonts w:hint="eastAsia"/>
          <w:szCs w:val="21"/>
          <w:highlight w:val="none"/>
        </w:rPr>
        <w:t>因此，该项目招标代理服务费为：</w:t>
      </w:r>
      <w:r>
        <w:rPr>
          <w:szCs w:val="21"/>
          <w:highlight w:val="none"/>
        </w:rPr>
        <w:t>1.5+3.2+2.25+10= 16.95</w:t>
      </w:r>
      <w:r>
        <w:rPr>
          <w:rFonts w:hint="eastAsia"/>
          <w:szCs w:val="21"/>
          <w:highlight w:val="none"/>
        </w:rPr>
        <w:t>万元。</w:t>
      </w:r>
    </w:p>
    <w:p>
      <w:pPr>
        <w:tabs>
          <w:tab w:val="clear" w:pos="426"/>
        </w:tabs>
        <w:rPr>
          <w:szCs w:val="21"/>
          <w:highlight w:val="none"/>
        </w:rPr>
      </w:pPr>
    </w:p>
    <w:p>
      <w:pPr>
        <w:rPr>
          <w:highlight w:val="none"/>
        </w:rPr>
      </w:pPr>
    </w:p>
    <w:p>
      <w:pPr>
        <w:shd w:val="clear" w:color="auto" w:fill="auto"/>
        <w:tabs>
          <w:tab w:val="clear" w:pos="426"/>
        </w:tabs>
        <w:spacing w:line="240" w:lineRule="auto"/>
        <w:ind w:left="181" w:leftChars="86"/>
        <w:jc w:val="left"/>
        <w:rPr>
          <w:highlight w:val="none"/>
        </w:rPr>
      </w:pPr>
      <w:r>
        <w:rPr>
          <w:highlight w:val="none"/>
        </w:rPr>
        <w:br w:type="page"/>
      </w:r>
    </w:p>
    <w:bookmarkEnd w:id="25"/>
    <w:bookmarkEnd w:id="27"/>
    <w:p>
      <w:pPr>
        <w:pStyle w:val="309"/>
        <w:pageBreakBefore/>
        <w:rPr>
          <w:highlight w:val="none"/>
        </w:rPr>
      </w:pPr>
      <w:bookmarkStart w:id="118" w:name="_GoBack"/>
      <w:bookmarkEnd w:id="118"/>
      <w:bookmarkStart w:id="28" w:name="_Toc67387140"/>
      <w:bookmarkStart w:id="29" w:name="_Toc432592813"/>
      <w:bookmarkStart w:id="30" w:name="_Toc265483798"/>
      <w:r>
        <w:rPr>
          <w:rFonts w:hint="eastAsia"/>
          <w:highlight w:val="none"/>
        </w:rPr>
        <w:t xml:space="preserve">第一章 </w:t>
      </w:r>
      <w:bookmarkStart w:id="31" w:name="_Hlk66182504"/>
      <w:r>
        <w:rPr>
          <w:rFonts w:hint="eastAsia"/>
          <w:highlight w:val="none"/>
        </w:rPr>
        <w:t>采购公告</w:t>
      </w:r>
      <w:bookmarkEnd w:id="28"/>
      <w:bookmarkEnd w:id="29"/>
      <w:bookmarkEnd w:id="30"/>
      <w:bookmarkEnd w:id="31"/>
    </w:p>
    <w:p>
      <w:pPr>
        <w:tabs>
          <w:tab w:val="clear" w:pos="426"/>
        </w:tabs>
        <w:spacing w:line="240" w:lineRule="auto"/>
        <w:rPr>
          <w:b/>
          <w:highlight w:val="none"/>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pPr>
              <w:pStyle w:val="305"/>
              <w:rPr>
                <w:highlight w:val="none"/>
              </w:rPr>
            </w:pPr>
            <w:r>
              <w:rPr>
                <w:rFonts w:hint="eastAsia"/>
                <w:highlight w:val="none"/>
              </w:rPr>
              <w:t>项目概况</w:t>
            </w:r>
          </w:p>
          <w:p>
            <w:pPr>
              <w:widowControl w:val="0"/>
              <w:tabs>
                <w:tab w:val="clear" w:pos="426"/>
              </w:tabs>
              <w:spacing w:line="240" w:lineRule="auto"/>
              <w:ind w:firstLine="424" w:firstLineChars="202"/>
              <w:rPr>
                <w:highlight w:val="none"/>
              </w:rPr>
            </w:pPr>
            <w:r>
              <w:rPr>
                <w:rFonts w:hint="eastAsia"/>
                <w:highlight w:val="none"/>
                <w:u w:val="single"/>
                <w:lang w:eastAsia="zh-CN"/>
              </w:rPr>
              <w:t>福田区水务工程第三方安全检查与检测技术服务</w:t>
            </w:r>
            <w:r>
              <w:rPr>
                <w:rFonts w:hint="eastAsia"/>
                <w:highlight w:val="none"/>
              </w:rPr>
              <w:t>采购</w:t>
            </w:r>
            <w:r>
              <w:rPr>
                <w:highlight w:val="none"/>
              </w:rPr>
              <w:t>项目的潜在投标人应在</w:t>
            </w:r>
            <w:r>
              <w:rPr>
                <w:rFonts w:hint="eastAsia"/>
                <w:highlight w:val="none"/>
                <w:u w:val="single"/>
              </w:rPr>
              <w:t>深圳市罗湖区清水河一路116号罗湖投资控股大厦A座4层</w:t>
            </w:r>
            <w:r>
              <w:rPr>
                <w:highlight w:val="none"/>
              </w:rPr>
              <w:t>获取招标文件，并于</w:t>
            </w:r>
            <w:r>
              <w:rPr>
                <w:highlight w:val="none"/>
                <w:u w:val="single"/>
              </w:rPr>
              <w:t>2021</w:t>
            </w:r>
            <w:r>
              <w:rPr>
                <w:highlight w:val="none"/>
                <w:u w:val="none"/>
              </w:rPr>
              <w:t>年</w:t>
            </w:r>
            <w:r>
              <w:rPr>
                <w:rFonts w:hint="eastAsia"/>
                <w:highlight w:val="none"/>
                <w:u w:val="single"/>
                <w:lang w:val="en-US" w:eastAsia="zh-CN"/>
              </w:rPr>
              <w:t>11</w:t>
            </w:r>
            <w:r>
              <w:rPr>
                <w:highlight w:val="none"/>
                <w:u w:val="none"/>
              </w:rPr>
              <w:t>月</w:t>
            </w:r>
            <w:r>
              <w:rPr>
                <w:rFonts w:hint="eastAsia"/>
                <w:highlight w:val="none"/>
                <w:u w:val="single"/>
                <w:lang w:val="en-US" w:eastAsia="zh-CN"/>
              </w:rPr>
              <w:t>9</w:t>
            </w:r>
            <w:r>
              <w:rPr>
                <w:highlight w:val="none"/>
                <w:u w:val="none"/>
              </w:rPr>
              <w:t>日</w:t>
            </w:r>
            <w:r>
              <w:rPr>
                <w:rFonts w:hint="eastAsia"/>
                <w:highlight w:val="none"/>
                <w:u w:val="single"/>
                <w:lang w:val="en-US" w:eastAsia="zh-CN"/>
              </w:rPr>
              <w:t>14</w:t>
            </w:r>
            <w:r>
              <w:rPr>
                <w:highlight w:val="none"/>
                <w:u w:val="none"/>
              </w:rPr>
              <w:t>点</w:t>
            </w:r>
            <w:r>
              <w:rPr>
                <w:rFonts w:hint="eastAsia"/>
                <w:highlight w:val="none"/>
                <w:u w:val="single"/>
                <w:lang w:val="en-US" w:eastAsia="zh-CN"/>
              </w:rPr>
              <w:t>30</w:t>
            </w:r>
            <w:r>
              <w:rPr>
                <w:highlight w:val="none"/>
              </w:rPr>
              <w:t>分（北京时间）前递交投标文件。</w:t>
            </w:r>
          </w:p>
        </w:tc>
      </w:tr>
    </w:tbl>
    <w:p>
      <w:pPr>
        <w:tabs>
          <w:tab w:val="clear" w:pos="426"/>
        </w:tabs>
        <w:spacing w:line="240" w:lineRule="auto"/>
        <w:rPr>
          <w:b/>
          <w:highlight w:val="none"/>
        </w:rPr>
      </w:pPr>
    </w:p>
    <w:p>
      <w:pPr>
        <w:tabs>
          <w:tab w:val="clear" w:pos="426"/>
        </w:tabs>
        <w:spacing w:line="240" w:lineRule="auto"/>
        <w:rPr>
          <w:b/>
          <w:highlight w:val="none"/>
        </w:rPr>
      </w:pPr>
      <w:r>
        <w:rPr>
          <w:rFonts w:hint="eastAsia"/>
          <w:b/>
          <w:highlight w:val="none"/>
        </w:rPr>
        <w:t>一、项目基本情况</w:t>
      </w:r>
    </w:p>
    <w:p>
      <w:pPr>
        <w:pStyle w:val="305"/>
        <w:numPr>
          <w:ilvl w:val="0"/>
          <w:numId w:val="29"/>
        </w:numPr>
        <w:ind w:firstLineChars="0"/>
        <w:rPr>
          <w:highlight w:val="none"/>
        </w:rPr>
      </w:pPr>
      <w:bookmarkStart w:id="32" w:name="项目概况2"/>
      <w:r>
        <w:rPr>
          <w:rFonts w:hint="eastAsia"/>
          <w:highlight w:val="none"/>
        </w:rPr>
        <w:t>采购项目编号：</w:t>
      </w:r>
      <w:r>
        <w:rPr>
          <w:rFonts w:hint="eastAsia"/>
          <w:lang w:eastAsia="zh-CN"/>
        </w:rPr>
        <w:t>FTDL2021187961</w:t>
      </w:r>
    </w:p>
    <w:p>
      <w:pPr>
        <w:pStyle w:val="305"/>
        <w:numPr>
          <w:ilvl w:val="0"/>
          <w:numId w:val="29"/>
        </w:numPr>
        <w:ind w:firstLineChars="0"/>
        <w:rPr>
          <w:highlight w:val="none"/>
        </w:rPr>
      </w:pPr>
      <w:r>
        <w:rPr>
          <w:rFonts w:hint="eastAsia"/>
          <w:highlight w:val="none"/>
        </w:rPr>
        <w:t>项目名称：</w:t>
      </w:r>
      <w:r>
        <w:rPr>
          <w:rFonts w:hint="eastAsia"/>
          <w:highlight w:val="none"/>
          <w:lang w:eastAsia="zh-CN"/>
        </w:rPr>
        <w:t>福田区水务工程第三方安全检查与检测技术服务</w:t>
      </w:r>
    </w:p>
    <w:p>
      <w:pPr>
        <w:pStyle w:val="305"/>
        <w:numPr>
          <w:ilvl w:val="0"/>
          <w:numId w:val="29"/>
        </w:numPr>
        <w:ind w:firstLineChars="0"/>
        <w:rPr>
          <w:highlight w:val="none"/>
          <w:u w:val="none"/>
        </w:rPr>
      </w:pPr>
      <w:r>
        <w:rPr>
          <w:rFonts w:hint="eastAsia"/>
          <w:highlight w:val="none"/>
        </w:rPr>
        <w:t>预算金额：</w:t>
      </w:r>
      <w:r>
        <w:rPr>
          <w:rFonts w:hint="eastAsia"/>
          <w:highlight w:val="none"/>
          <w:u w:val="single"/>
          <w:lang w:val="en-US" w:eastAsia="zh-CN"/>
        </w:rPr>
        <w:t>1730000.00</w:t>
      </w:r>
      <w:r>
        <w:rPr>
          <w:rFonts w:hint="eastAsia"/>
          <w:highlight w:val="none"/>
          <w:u w:val="none"/>
        </w:rPr>
        <w:t>元</w:t>
      </w:r>
      <w:r>
        <w:rPr>
          <w:rFonts w:hint="eastAsia"/>
          <w:highlight w:val="none"/>
          <w:u w:val="none"/>
          <w:lang w:eastAsia="zh-CN"/>
        </w:rPr>
        <w:t>，</w:t>
      </w:r>
      <w:r>
        <w:rPr>
          <w:rFonts w:hint="eastAsia"/>
          <w:highlight w:val="none"/>
          <w:u w:val="none"/>
          <w:lang w:val="en-US" w:eastAsia="zh-CN"/>
        </w:rPr>
        <w:t>为本项目一年服务费用。</w:t>
      </w:r>
    </w:p>
    <w:p>
      <w:pPr>
        <w:pStyle w:val="305"/>
        <w:numPr>
          <w:ilvl w:val="0"/>
          <w:numId w:val="29"/>
        </w:numPr>
        <w:ind w:firstLineChars="0"/>
        <w:rPr>
          <w:highlight w:val="none"/>
        </w:rPr>
      </w:pPr>
      <w:r>
        <w:rPr>
          <w:rFonts w:hint="eastAsia"/>
          <w:highlight w:val="none"/>
          <w:u w:val="none"/>
        </w:rPr>
        <w:t>最高限价：</w:t>
      </w:r>
      <w:r>
        <w:rPr>
          <w:rFonts w:hint="eastAsia"/>
          <w:highlight w:val="none"/>
          <w:u w:val="single"/>
          <w:lang w:val="en-US" w:eastAsia="zh-CN"/>
        </w:rPr>
        <w:t>1730000.00</w:t>
      </w:r>
      <w:r>
        <w:rPr>
          <w:rFonts w:hint="eastAsia"/>
          <w:highlight w:val="none"/>
        </w:rPr>
        <w:t>元</w:t>
      </w:r>
    </w:p>
    <w:p>
      <w:pPr>
        <w:pStyle w:val="305"/>
        <w:numPr>
          <w:ilvl w:val="0"/>
          <w:numId w:val="29"/>
        </w:numPr>
        <w:ind w:firstLineChars="0"/>
        <w:rPr>
          <w:highlight w:val="none"/>
        </w:rPr>
      </w:pPr>
      <w:r>
        <w:rPr>
          <w:rFonts w:hint="eastAsia"/>
          <w:highlight w:val="none"/>
        </w:rPr>
        <w:t>采购需求：</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708"/>
        <w:gridCol w:w="710"/>
        <w:gridCol w:w="212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shd w:val="clear" w:color="auto" w:fill="auto"/>
            <w:vAlign w:val="center"/>
          </w:tcPr>
          <w:p>
            <w:pPr>
              <w:widowControl w:val="0"/>
              <w:shd w:val="clear" w:color="auto" w:fill="auto"/>
              <w:tabs>
                <w:tab w:val="clear" w:pos="426"/>
              </w:tabs>
              <w:spacing w:line="240" w:lineRule="auto"/>
              <w:jc w:val="center"/>
              <w:rPr>
                <w:rFonts w:cs="Times New Roman"/>
                <w:b/>
                <w:bCs/>
                <w:szCs w:val="21"/>
                <w:highlight w:val="none"/>
              </w:rPr>
            </w:pPr>
            <w:r>
              <w:rPr>
                <w:rFonts w:hint="eastAsia" w:cs="Times New Roman"/>
                <w:b/>
                <w:bCs/>
                <w:szCs w:val="21"/>
                <w:highlight w:val="none"/>
              </w:rPr>
              <w:t>标的</w:t>
            </w:r>
            <w:r>
              <w:rPr>
                <w:rFonts w:cs="Times New Roman"/>
                <w:b/>
                <w:bCs/>
                <w:szCs w:val="21"/>
                <w:highlight w:val="none"/>
              </w:rPr>
              <w:t>名称</w:t>
            </w:r>
          </w:p>
        </w:tc>
        <w:tc>
          <w:tcPr>
            <w:tcW w:w="415" w:type="pct"/>
            <w:shd w:val="clear" w:color="auto" w:fill="auto"/>
            <w:vAlign w:val="center"/>
          </w:tcPr>
          <w:p>
            <w:pPr>
              <w:widowControl w:val="0"/>
              <w:shd w:val="clear" w:color="auto" w:fill="auto"/>
              <w:tabs>
                <w:tab w:val="clear" w:pos="426"/>
              </w:tabs>
              <w:spacing w:line="240" w:lineRule="auto"/>
              <w:jc w:val="center"/>
              <w:rPr>
                <w:rFonts w:cs="Times New Roman"/>
                <w:b/>
                <w:bCs/>
                <w:szCs w:val="21"/>
                <w:highlight w:val="none"/>
              </w:rPr>
            </w:pPr>
            <w:r>
              <w:rPr>
                <w:rFonts w:cs="Times New Roman"/>
                <w:b/>
                <w:bCs/>
                <w:szCs w:val="21"/>
                <w:highlight w:val="none"/>
              </w:rPr>
              <w:t>数量</w:t>
            </w:r>
          </w:p>
        </w:tc>
        <w:tc>
          <w:tcPr>
            <w:tcW w:w="416" w:type="pct"/>
            <w:shd w:val="clear" w:color="auto" w:fill="auto"/>
            <w:vAlign w:val="center"/>
          </w:tcPr>
          <w:p>
            <w:pPr>
              <w:widowControl w:val="0"/>
              <w:shd w:val="clear" w:color="auto" w:fill="auto"/>
              <w:tabs>
                <w:tab w:val="clear" w:pos="426"/>
              </w:tabs>
              <w:spacing w:line="240" w:lineRule="auto"/>
              <w:jc w:val="center"/>
              <w:rPr>
                <w:rFonts w:cs="Times New Roman"/>
                <w:b/>
                <w:bCs/>
                <w:szCs w:val="21"/>
                <w:highlight w:val="none"/>
              </w:rPr>
            </w:pPr>
            <w:r>
              <w:rPr>
                <w:rFonts w:cs="Times New Roman"/>
                <w:b/>
                <w:bCs/>
                <w:szCs w:val="21"/>
                <w:highlight w:val="none"/>
              </w:rPr>
              <w:t>单位</w:t>
            </w:r>
          </w:p>
        </w:tc>
        <w:tc>
          <w:tcPr>
            <w:tcW w:w="1246" w:type="pct"/>
            <w:shd w:val="clear" w:color="auto" w:fill="auto"/>
            <w:vAlign w:val="center"/>
          </w:tcPr>
          <w:p>
            <w:pPr>
              <w:widowControl w:val="0"/>
              <w:shd w:val="clear" w:color="auto" w:fill="auto"/>
              <w:tabs>
                <w:tab w:val="clear" w:pos="426"/>
              </w:tabs>
              <w:spacing w:line="240" w:lineRule="auto"/>
              <w:jc w:val="center"/>
              <w:rPr>
                <w:rFonts w:cs="Times New Roman"/>
                <w:b/>
                <w:bCs/>
                <w:szCs w:val="21"/>
                <w:highlight w:val="none"/>
              </w:rPr>
            </w:pPr>
            <w:r>
              <w:rPr>
                <w:rFonts w:hint="eastAsia" w:cs="Times New Roman"/>
                <w:b/>
                <w:bCs/>
                <w:szCs w:val="21"/>
                <w:highlight w:val="none"/>
              </w:rPr>
              <w:t>简要服务需求</w:t>
            </w:r>
          </w:p>
        </w:tc>
        <w:tc>
          <w:tcPr>
            <w:tcW w:w="449" w:type="pct"/>
            <w:vAlign w:val="center"/>
          </w:tcPr>
          <w:p>
            <w:pPr>
              <w:widowControl w:val="0"/>
              <w:shd w:val="clear" w:color="auto" w:fill="auto"/>
              <w:tabs>
                <w:tab w:val="clear" w:pos="426"/>
              </w:tabs>
              <w:spacing w:line="240" w:lineRule="auto"/>
              <w:jc w:val="center"/>
              <w:rPr>
                <w:rFonts w:cs="Times New Roman"/>
                <w:b/>
                <w:bCs/>
                <w:szCs w:val="21"/>
                <w:highlight w:val="none"/>
              </w:rPr>
            </w:pPr>
            <w:r>
              <w:rPr>
                <w:rFonts w:hint="eastAsia" w:cs="Times New Roman"/>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shd w:val="clear" w:color="auto" w:fill="auto"/>
            <w:vAlign w:val="center"/>
          </w:tcPr>
          <w:p>
            <w:pPr>
              <w:spacing w:line="240" w:lineRule="auto"/>
              <w:jc w:val="center"/>
              <w:rPr>
                <w:rFonts w:hint="eastAsia" w:eastAsia="宋体"/>
                <w:bCs/>
                <w:szCs w:val="21"/>
                <w:highlight w:val="none"/>
                <w:lang w:eastAsia="zh-CN"/>
              </w:rPr>
            </w:pPr>
            <w:r>
              <w:rPr>
                <w:rFonts w:hint="eastAsia"/>
                <w:bCs/>
                <w:szCs w:val="21"/>
                <w:highlight w:val="none"/>
                <w:lang w:eastAsia="zh-CN"/>
              </w:rPr>
              <w:t>福田区水务工程第三方安全检查与检测技术服务</w:t>
            </w:r>
          </w:p>
        </w:tc>
        <w:tc>
          <w:tcPr>
            <w:tcW w:w="415" w:type="pct"/>
            <w:shd w:val="clear" w:color="auto" w:fill="auto"/>
            <w:vAlign w:val="center"/>
          </w:tcPr>
          <w:p>
            <w:pPr>
              <w:spacing w:line="240" w:lineRule="auto"/>
              <w:jc w:val="center"/>
              <w:rPr>
                <w:bCs/>
                <w:szCs w:val="21"/>
                <w:highlight w:val="none"/>
              </w:rPr>
            </w:pPr>
            <w:r>
              <w:rPr>
                <w:rFonts w:hint="eastAsia"/>
                <w:bCs/>
                <w:szCs w:val="21"/>
                <w:highlight w:val="none"/>
              </w:rPr>
              <w:t>1</w:t>
            </w:r>
          </w:p>
        </w:tc>
        <w:tc>
          <w:tcPr>
            <w:tcW w:w="416" w:type="pct"/>
            <w:shd w:val="clear" w:color="auto" w:fill="auto"/>
            <w:vAlign w:val="center"/>
          </w:tcPr>
          <w:p>
            <w:pPr>
              <w:spacing w:line="240" w:lineRule="auto"/>
              <w:jc w:val="center"/>
              <w:rPr>
                <w:bCs/>
                <w:szCs w:val="21"/>
                <w:highlight w:val="none"/>
              </w:rPr>
            </w:pPr>
            <w:r>
              <w:rPr>
                <w:rFonts w:hint="eastAsia"/>
                <w:szCs w:val="21"/>
                <w:highlight w:val="none"/>
              </w:rPr>
              <w:t>项</w:t>
            </w:r>
          </w:p>
        </w:tc>
        <w:tc>
          <w:tcPr>
            <w:tcW w:w="1246" w:type="pct"/>
            <w:shd w:val="clear" w:color="auto" w:fill="auto"/>
            <w:vAlign w:val="center"/>
          </w:tcPr>
          <w:p>
            <w:pPr>
              <w:widowControl w:val="0"/>
              <w:shd w:val="clear" w:color="auto" w:fill="auto"/>
              <w:tabs>
                <w:tab w:val="clear" w:pos="426"/>
              </w:tabs>
              <w:spacing w:line="240" w:lineRule="auto"/>
              <w:jc w:val="center"/>
              <w:rPr>
                <w:rFonts w:cs="Times New Roman"/>
                <w:szCs w:val="21"/>
                <w:highlight w:val="none"/>
              </w:rPr>
            </w:pPr>
            <w:r>
              <w:rPr>
                <w:rFonts w:hint="eastAsia"/>
                <w:bCs/>
                <w:szCs w:val="21"/>
                <w:highlight w:val="none"/>
              </w:rPr>
              <w:t>详见招标文件</w:t>
            </w:r>
          </w:p>
        </w:tc>
        <w:tc>
          <w:tcPr>
            <w:tcW w:w="449" w:type="pct"/>
            <w:vAlign w:val="center"/>
          </w:tcPr>
          <w:p>
            <w:pPr>
              <w:widowControl w:val="0"/>
              <w:shd w:val="clear" w:color="auto" w:fill="auto"/>
              <w:tabs>
                <w:tab w:val="clear" w:pos="426"/>
              </w:tabs>
              <w:spacing w:line="240" w:lineRule="auto"/>
              <w:jc w:val="center"/>
              <w:rPr>
                <w:bCs/>
                <w:szCs w:val="21"/>
                <w:highlight w:val="none"/>
              </w:rPr>
            </w:pPr>
          </w:p>
        </w:tc>
      </w:tr>
    </w:tbl>
    <w:p>
      <w:pPr>
        <w:pStyle w:val="305"/>
        <w:numPr>
          <w:ilvl w:val="0"/>
          <w:numId w:val="29"/>
        </w:numPr>
        <w:ind w:firstLineChars="0"/>
        <w:rPr>
          <w:rFonts w:hint="eastAsia"/>
          <w:highlight w:val="none"/>
          <w:u w:val="single"/>
          <w:lang w:val="en-US" w:eastAsia="zh-CN"/>
        </w:rPr>
      </w:pPr>
      <w:r>
        <w:rPr>
          <w:rFonts w:hint="eastAsia"/>
          <w:highlight w:val="none"/>
        </w:rPr>
        <w:t>合同履行期限：</w:t>
      </w:r>
      <w:bookmarkEnd w:id="32"/>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u w:val="single"/>
          <w:lang w:val="en-US" w:eastAsia="zh-CN"/>
        </w:rPr>
        <w:t>合同签订之日起一年</w:t>
      </w:r>
      <w:r>
        <w:rPr>
          <w:rFonts w:hint="eastAsia"/>
          <w:highlight w:val="none"/>
          <w:u w:val="single"/>
        </w:rPr>
        <w:t>。</w:t>
      </w:r>
    </w:p>
    <w:p>
      <w:pPr>
        <w:pStyle w:val="305"/>
        <w:numPr>
          <w:ilvl w:val="0"/>
          <w:numId w:val="0"/>
        </w:numPr>
        <w:ind w:left="420" w:leftChars="0"/>
        <w:rPr>
          <w:highlight w:val="none"/>
          <w:u w:val="single"/>
        </w:rPr>
      </w:pPr>
      <w:r>
        <w:rPr>
          <w:rFonts w:hint="eastAsia"/>
          <w:highlight w:val="none"/>
          <w:u w:val="none"/>
          <w:lang w:val="en-US" w:eastAsia="zh-CN"/>
        </w:rPr>
        <w:t>（2）、</w:t>
      </w:r>
      <w:r>
        <w:rPr>
          <w:rFonts w:hint="eastAsia"/>
          <w:highlight w:val="none"/>
          <w:u w:val="single"/>
          <w:lang w:val="en-US" w:eastAsia="zh-CN"/>
        </w:rPr>
        <w:t>服务开始日期以合同签订生效的日期为准，服务终止日期以合同约定为准。</w:t>
      </w:r>
    </w:p>
    <w:p>
      <w:pPr>
        <w:pStyle w:val="305"/>
        <w:numPr>
          <w:ilvl w:val="0"/>
          <w:numId w:val="29"/>
        </w:numPr>
        <w:ind w:firstLineChars="0"/>
        <w:rPr>
          <w:highlight w:val="none"/>
        </w:rPr>
      </w:pPr>
      <w:r>
        <w:rPr>
          <w:rFonts w:hint="eastAsia"/>
          <w:highlight w:val="none"/>
        </w:rPr>
        <w:t>长期服务项目说明：</w:t>
      </w:r>
      <w:r>
        <w:rPr>
          <w:highlight w:val="none"/>
        </w:rPr>
        <w:t>本次采购预算金额所对应的服务期限是</w:t>
      </w:r>
      <w:r>
        <w:rPr>
          <w:rFonts w:hint="eastAsia"/>
          <w:highlight w:val="none"/>
          <w:lang w:val="en-US" w:eastAsia="zh-CN"/>
        </w:rPr>
        <w:t>1</w:t>
      </w:r>
      <w:r>
        <w:rPr>
          <w:rFonts w:hint="eastAsia"/>
          <w:highlight w:val="none"/>
        </w:rPr>
        <w:t>年</w:t>
      </w:r>
      <w:r>
        <w:rPr>
          <w:highlight w:val="none"/>
        </w:rPr>
        <w:t>。</w:t>
      </w:r>
      <w:r>
        <w:rPr>
          <w:rFonts w:hint="eastAsia"/>
          <w:highlight w:val="none"/>
        </w:rPr>
        <w:t>该项目为长期服务项目，合同期限可以延长，但最长不超过</w:t>
      </w:r>
      <w:r>
        <w:rPr>
          <w:highlight w:val="none"/>
        </w:rPr>
        <w:t>3年。</w:t>
      </w:r>
      <w:r>
        <w:rPr>
          <w:rFonts w:hint="eastAsia"/>
          <w:highlight w:val="none"/>
        </w:rPr>
        <w:t>采购人将</w:t>
      </w:r>
      <w:r>
        <w:rPr>
          <w:highlight w:val="none"/>
        </w:rPr>
        <w:t>根据第一年的项目执行情况自行决定是否授予第二年、第三年的服务合同</w:t>
      </w:r>
      <w:r>
        <w:rPr>
          <w:rFonts w:hint="eastAsia"/>
          <w:highlight w:val="none"/>
        </w:rPr>
        <w:t>，合同一年一签，合同服务期限需明确到日，续期合同服务期限须衔接，且实质性内容不得改变。</w:t>
      </w:r>
    </w:p>
    <w:p>
      <w:pPr>
        <w:pStyle w:val="305"/>
        <w:numPr>
          <w:ilvl w:val="0"/>
          <w:numId w:val="29"/>
        </w:numPr>
        <w:ind w:firstLineChars="0"/>
        <w:rPr>
          <w:highlight w:val="none"/>
        </w:rPr>
      </w:pPr>
      <w:r>
        <w:rPr>
          <w:rFonts w:hint="eastAsia"/>
          <w:highlight w:val="none"/>
        </w:rPr>
        <w:t>本项目不接受联合体投标。</w:t>
      </w:r>
    </w:p>
    <w:p>
      <w:pPr>
        <w:pStyle w:val="305"/>
        <w:numPr>
          <w:ilvl w:val="0"/>
          <w:numId w:val="29"/>
        </w:numPr>
        <w:ind w:firstLineChars="0"/>
        <w:rPr>
          <w:highlight w:val="none"/>
        </w:rPr>
      </w:pPr>
      <w:r>
        <w:rPr>
          <w:highlight w:val="none"/>
        </w:rPr>
        <w:t>项目前期设计、规划论证单位：</w:t>
      </w:r>
      <w:r>
        <w:rPr>
          <w:rFonts w:hint="eastAsia"/>
          <w:highlight w:val="none"/>
        </w:rPr>
        <w:t>无</w:t>
      </w:r>
    </w:p>
    <w:p>
      <w:pPr>
        <w:pStyle w:val="305"/>
        <w:numPr>
          <w:ilvl w:val="0"/>
          <w:numId w:val="29"/>
        </w:numPr>
        <w:ind w:firstLineChars="0"/>
        <w:rPr>
          <w:highlight w:val="none"/>
        </w:rPr>
      </w:pPr>
      <w:r>
        <w:rPr>
          <w:rFonts w:hint="eastAsia"/>
          <w:highlight w:val="none"/>
        </w:rPr>
        <w:t>资金来源：财政资金</w:t>
      </w:r>
      <w:r>
        <w:rPr>
          <w:rFonts w:hint="eastAsia"/>
          <w:highlight w:val="none"/>
          <w:u w:val="single"/>
          <w:lang w:val="en-US" w:eastAsia="zh-CN"/>
        </w:rPr>
        <w:t>100</w:t>
      </w:r>
      <w:r>
        <w:rPr>
          <w:rFonts w:hint="eastAsia"/>
          <w:highlight w:val="none"/>
        </w:rPr>
        <w:t>%</w:t>
      </w:r>
    </w:p>
    <w:p>
      <w:pPr>
        <w:pStyle w:val="305"/>
        <w:numPr>
          <w:ilvl w:val="0"/>
          <w:numId w:val="29"/>
        </w:numPr>
        <w:ind w:firstLineChars="0"/>
        <w:rPr>
          <w:highlight w:val="none"/>
        </w:rPr>
      </w:pPr>
      <w:r>
        <w:rPr>
          <w:rFonts w:hint="eastAsia"/>
          <w:highlight w:val="none"/>
        </w:rPr>
        <w:t>采购计划编号：</w:t>
      </w:r>
      <w:r>
        <w:rPr>
          <w:rFonts w:hint="eastAsia"/>
          <w:sz w:val="21"/>
          <w:szCs w:val="21"/>
          <w:highlight w:val="none"/>
          <w:lang w:val="en-US" w:eastAsia="zh-CN"/>
        </w:rPr>
        <w:t>PLAN2021-440304-0402130001-01030、</w:t>
      </w:r>
    </w:p>
    <w:p>
      <w:pPr>
        <w:pStyle w:val="305"/>
        <w:numPr>
          <w:ilvl w:val="0"/>
          <w:numId w:val="29"/>
        </w:numPr>
        <w:ind w:firstLineChars="0"/>
        <w:rPr>
          <w:highlight w:val="none"/>
        </w:rPr>
      </w:pPr>
      <w:r>
        <w:rPr>
          <w:rFonts w:hint="eastAsia"/>
          <w:sz w:val="21"/>
          <w:szCs w:val="21"/>
          <w:highlight w:val="none"/>
          <w:lang w:val="en-US" w:eastAsia="zh-CN"/>
        </w:rPr>
        <w:t>PLAN2021-440304-0402130001-01031</w:t>
      </w:r>
    </w:p>
    <w:p>
      <w:pPr>
        <w:pStyle w:val="305"/>
        <w:numPr>
          <w:ilvl w:val="0"/>
          <w:numId w:val="29"/>
        </w:numPr>
        <w:ind w:firstLineChars="0"/>
        <w:rPr>
          <w:highlight w:val="none"/>
        </w:rPr>
      </w:pPr>
      <w:r>
        <w:rPr>
          <w:rFonts w:hint="eastAsia"/>
          <w:highlight w:val="none"/>
        </w:rPr>
        <w:t>项目地点：深圳市</w:t>
      </w:r>
    </w:p>
    <w:p>
      <w:pPr>
        <w:pStyle w:val="305"/>
        <w:numPr>
          <w:ilvl w:val="0"/>
          <w:numId w:val="29"/>
        </w:numPr>
        <w:ind w:firstLineChars="0"/>
        <w:rPr>
          <w:highlight w:val="none"/>
        </w:rPr>
      </w:pPr>
      <w:r>
        <w:rPr>
          <w:rFonts w:hint="eastAsia"/>
          <w:highlight w:val="none"/>
        </w:rPr>
        <w:t>评标方法：综合评分法</w:t>
      </w:r>
    </w:p>
    <w:p>
      <w:pPr>
        <w:tabs>
          <w:tab w:val="clear" w:pos="426"/>
        </w:tabs>
        <w:spacing w:line="240" w:lineRule="auto"/>
        <w:rPr>
          <w:b/>
          <w:highlight w:val="none"/>
        </w:rPr>
      </w:pPr>
      <w:r>
        <w:rPr>
          <w:rFonts w:hint="eastAsia"/>
          <w:b/>
          <w:highlight w:val="none"/>
        </w:rPr>
        <w:t>二、申请人的资格要求</w:t>
      </w:r>
    </w:p>
    <w:p>
      <w:pPr>
        <w:tabs>
          <w:tab w:val="clear" w:pos="426"/>
        </w:tabs>
        <w:spacing w:line="240" w:lineRule="auto"/>
        <w:ind w:firstLine="424" w:firstLineChars="202"/>
        <w:rPr>
          <w:highlight w:val="none"/>
        </w:rPr>
      </w:pPr>
      <w:r>
        <w:rPr>
          <w:rFonts w:hint="eastAsia"/>
          <w:highlight w:val="none"/>
        </w:rPr>
        <w:t>1</w:t>
      </w:r>
      <w:r>
        <w:rPr>
          <w:highlight w:val="none"/>
        </w:rPr>
        <w:t>.满足《中华人民共和国政府采购法》第二十二条规定（由供应商在《政府采购投标及履约承诺函》中作出声明）</w:t>
      </w:r>
      <w:r>
        <w:rPr>
          <w:rFonts w:hint="eastAsia"/>
          <w:highlight w:val="none"/>
        </w:rPr>
        <w:t>。</w:t>
      </w:r>
    </w:p>
    <w:p>
      <w:pPr>
        <w:tabs>
          <w:tab w:val="clear" w:pos="426"/>
        </w:tabs>
        <w:spacing w:line="240" w:lineRule="auto"/>
        <w:ind w:firstLine="424" w:firstLineChars="202"/>
        <w:rPr>
          <w:highlight w:val="none"/>
        </w:rPr>
      </w:pPr>
      <w:r>
        <w:rPr>
          <w:rFonts w:hint="eastAsia"/>
          <w:highlight w:val="none"/>
        </w:rPr>
        <w:t>（1）参与本项目投标前三年内，在经营活动中没有重大违法记录（由供应商在《政府采购投标及履约承诺函》中作出声明）。</w:t>
      </w:r>
    </w:p>
    <w:p>
      <w:pPr>
        <w:tabs>
          <w:tab w:val="clear" w:pos="426"/>
        </w:tabs>
        <w:spacing w:line="240" w:lineRule="auto"/>
        <w:ind w:firstLine="424" w:firstLineChars="202"/>
        <w:rPr>
          <w:highlight w:val="none"/>
        </w:rPr>
      </w:pPr>
      <w:r>
        <w:rPr>
          <w:rFonts w:hint="eastAsia"/>
          <w:highlight w:val="none"/>
        </w:rPr>
        <w:t>（2）参与本项目政府采购活动时不存在被有关部门禁止参与政府采购活动且在有效期内的情况（由供应商在《政府采购投标及履约承诺函》中作出声明）。</w:t>
      </w:r>
    </w:p>
    <w:p>
      <w:pPr>
        <w:tabs>
          <w:tab w:val="clear" w:pos="426"/>
        </w:tabs>
        <w:spacing w:line="240" w:lineRule="auto"/>
        <w:ind w:firstLine="424" w:firstLineChars="202"/>
        <w:rPr>
          <w:highlight w:val="none"/>
        </w:rPr>
      </w:pPr>
      <w:r>
        <w:rPr>
          <w:rFonts w:hint="eastAsia"/>
          <w:highlight w:val="none"/>
        </w:rPr>
        <w:t>（3）参与本项目的供应商具备《中华人民共和国政府采购法》第二十二条规定的资质（由供应商在《政府采购投标及履约承诺函》中作出声明）。</w:t>
      </w:r>
    </w:p>
    <w:p>
      <w:pPr>
        <w:tabs>
          <w:tab w:val="clear" w:pos="426"/>
        </w:tabs>
        <w:spacing w:line="240" w:lineRule="auto"/>
        <w:ind w:firstLine="424" w:firstLineChars="202"/>
        <w:rPr>
          <w:highlight w:val="none"/>
        </w:rPr>
      </w:pPr>
      <w:r>
        <w:rPr>
          <w:rFonts w:hint="eastAsia"/>
          <w:highlight w:val="none"/>
        </w:rPr>
        <w:t>（4）参与政府采购项目投标的供应商未被列入失信被执行人、重大税收违法案件当事人名单、政府采购严重违法失信行为记录名单（由供应商在《政府采购投标及履约承诺函》中作出声明）。</w:t>
      </w:r>
    </w:p>
    <w:p>
      <w:pPr>
        <w:tabs>
          <w:tab w:val="clear" w:pos="426"/>
        </w:tabs>
        <w:spacing w:line="240" w:lineRule="auto"/>
        <w:ind w:firstLine="424" w:firstLineChars="202"/>
        <w:rPr>
          <w:highlight w:val="none"/>
        </w:rPr>
      </w:pPr>
      <w:r>
        <w:rPr>
          <w:rFonts w:hint="eastAsia"/>
          <w:highlight w:val="none"/>
        </w:rPr>
        <w:t>2</w:t>
      </w:r>
      <w:r>
        <w:rPr>
          <w:highlight w:val="none"/>
        </w:rPr>
        <w:t>.落实政府采购政策需满足的资格要求：不属于专门面向中小企业采购的项目</w:t>
      </w:r>
      <w:r>
        <w:rPr>
          <w:rFonts w:hint="eastAsia"/>
          <w:highlight w:val="none"/>
        </w:rPr>
        <w:t>。</w:t>
      </w:r>
    </w:p>
    <w:p>
      <w:pPr>
        <w:tabs>
          <w:tab w:val="clear" w:pos="426"/>
        </w:tabs>
        <w:spacing w:line="240" w:lineRule="auto"/>
        <w:ind w:firstLine="424" w:firstLineChars="202"/>
        <w:rPr>
          <w:highlight w:val="none"/>
        </w:rPr>
      </w:pPr>
      <w:r>
        <w:rPr>
          <w:rFonts w:hint="eastAsia"/>
          <w:highlight w:val="none"/>
        </w:rPr>
        <w:t>3</w:t>
      </w:r>
      <w:r>
        <w:rPr>
          <w:highlight w:val="none"/>
        </w:rPr>
        <w:t>.</w:t>
      </w:r>
      <w:r>
        <w:rPr>
          <w:rFonts w:hint="eastAsia"/>
          <w:highlight w:val="none"/>
        </w:rPr>
        <w:t>本项目的特定资格要求：</w:t>
      </w:r>
    </w:p>
    <w:p>
      <w:pPr>
        <w:tabs>
          <w:tab w:val="clear" w:pos="426"/>
        </w:tabs>
        <w:spacing w:line="240" w:lineRule="auto"/>
        <w:ind w:firstLine="424" w:firstLineChars="202"/>
        <w:rPr>
          <w:highlight w:val="none"/>
        </w:rPr>
      </w:pPr>
      <w:r>
        <w:rPr>
          <w:rFonts w:hint="eastAsia"/>
          <w:highlight w:val="none"/>
        </w:rPr>
        <w:t>（1）投标人须具有独立法人资格（证明文件：须提供营业执照或法人证书或其他证明文件的复印件并加盖投标人公章，原件中标备查）；其中会计、法律、造价咨询、保险、银行、电信等项目允许分支机构投标，但必须由总公司提供授权。</w:t>
      </w:r>
    </w:p>
    <w:p>
      <w:pPr>
        <w:tabs>
          <w:tab w:val="clear" w:pos="426"/>
        </w:tabs>
        <w:spacing w:line="240" w:lineRule="auto"/>
        <w:ind w:firstLine="424" w:firstLineChars="202"/>
        <w:rPr>
          <w:highlight w:val="none"/>
        </w:rPr>
      </w:pPr>
      <w:r>
        <w:rPr>
          <w:rFonts w:hint="eastAsia"/>
          <w:highlight w:val="none"/>
        </w:rPr>
        <w:t>（2）投标人必须具有深圳市政府采购注册供应商资格（供应商注册网址http://www.szggzy.com/fwdh/fwdhzfcg/bszn1，查询供应商注册进度/结果网址http://szzfcg.cn/admin/supplyProgressQuery.do?，投标文件中无需提供证明材料。采购代理机构将在开标当天查询本项目所有投标人的注册状态，投标人注册状态不是“已注册成功”的，将按资格不符合招标文件要求，作资格审查不通过、投标无效处理）。</w:t>
      </w:r>
    </w:p>
    <w:p>
      <w:pPr>
        <w:tabs>
          <w:tab w:val="clear" w:pos="426"/>
        </w:tabs>
        <w:spacing w:line="240" w:lineRule="auto"/>
        <w:ind w:firstLine="424" w:firstLineChars="202"/>
        <w:rPr>
          <w:highlight w:val="none"/>
        </w:rPr>
      </w:pPr>
      <w:r>
        <w:rPr>
          <w:rFonts w:hint="eastAsia"/>
          <w:highlight w:val="none"/>
        </w:rPr>
        <w:t>（4）</w:t>
      </w:r>
      <w:r>
        <w:rPr>
          <w:highlight w:val="none"/>
        </w:rPr>
        <w:t>本项目不接受联合体投标，不允许转包、分包。</w:t>
      </w:r>
    </w:p>
    <w:p>
      <w:pPr>
        <w:tabs>
          <w:tab w:val="clear" w:pos="426"/>
        </w:tabs>
        <w:spacing w:line="240" w:lineRule="auto"/>
        <w:rPr>
          <w:b/>
          <w:highlight w:val="none"/>
        </w:rPr>
      </w:pPr>
      <w:r>
        <w:rPr>
          <w:rFonts w:hint="eastAsia"/>
          <w:b/>
          <w:highlight w:val="none"/>
        </w:rPr>
        <w:t>三、获取招标文件</w:t>
      </w:r>
    </w:p>
    <w:p>
      <w:pPr>
        <w:tabs>
          <w:tab w:val="clear" w:pos="426"/>
        </w:tabs>
        <w:spacing w:line="240" w:lineRule="auto"/>
        <w:ind w:firstLine="424" w:firstLineChars="202"/>
        <w:rPr>
          <w:highlight w:val="none"/>
        </w:rPr>
      </w:pPr>
      <w:r>
        <w:rPr>
          <w:highlight w:val="none"/>
        </w:rPr>
        <w:t>1</w:t>
      </w:r>
      <w:r>
        <w:rPr>
          <w:rFonts w:hint="eastAsia"/>
          <w:highlight w:val="none"/>
        </w:rPr>
        <w:t>.获取招标文件时间：</w:t>
      </w:r>
      <w:r>
        <w:rPr>
          <w:highlight w:val="none"/>
          <w:u w:val="single"/>
        </w:rPr>
        <w:t>2021</w:t>
      </w:r>
      <w:r>
        <w:rPr>
          <w:highlight w:val="none"/>
          <w:u w:val="none"/>
        </w:rPr>
        <w:t>年</w:t>
      </w:r>
      <w:r>
        <w:rPr>
          <w:rFonts w:hint="eastAsia"/>
          <w:highlight w:val="none"/>
          <w:u w:val="single"/>
          <w:lang w:val="en-US" w:eastAsia="zh-CN"/>
        </w:rPr>
        <w:t>10</w:t>
      </w:r>
      <w:r>
        <w:rPr>
          <w:highlight w:val="none"/>
          <w:u w:val="none"/>
        </w:rPr>
        <w:t>月</w:t>
      </w:r>
      <w:r>
        <w:rPr>
          <w:rFonts w:hint="eastAsia"/>
          <w:highlight w:val="none"/>
          <w:u w:val="single"/>
          <w:lang w:val="en-US" w:eastAsia="zh-CN"/>
        </w:rPr>
        <w:t>29</w:t>
      </w:r>
      <w:r>
        <w:rPr>
          <w:highlight w:val="none"/>
          <w:u w:val="none"/>
        </w:rPr>
        <w:t>日</w:t>
      </w:r>
      <w:r>
        <w:rPr>
          <w:rFonts w:hint="eastAsia"/>
          <w:highlight w:val="none"/>
          <w:u w:val="none"/>
        </w:rPr>
        <w:t>起至</w:t>
      </w:r>
      <w:r>
        <w:rPr>
          <w:highlight w:val="none"/>
          <w:u w:val="single"/>
        </w:rPr>
        <w:t>2021</w:t>
      </w:r>
      <w:r>
        <w:rPr>
          <w:highlight w:val="none"/>
          <w:u w:val="none"/>
        </w:rPr>
        <w:t>年</w:t>
      </w:r>
      <w:r>
        <w:rPr>
          <w:rFonts w:hint="eastAsia"/>
          <w:highlight w:val="none"/>
          <w:u w:val="single"/>
          <w:lang w:val="en-US" w:eastAsia="zh-CN"/>
        </w:rPr>
        <w:t>11</w:t>
      </w:r>
      <w:r>
        <w:rPr>
          <w:highlight w:val="none"/>
          <w:u w:val="none"/>
        </w:rPr>
        <w:t>月</w:t>
      </w:r>
      <w:r>
        <w:rPr>
          <w:rFonts w:hint="eastAsia"/>
          <w:highlight w:val="none"/>
          <w:u w:val="single"/>
          <w:lang w:val="en-US" w:eastAsia="zh-CN"/>
        </w:rPr>
        <w:t>4</w:t>
      </w:r>
      <w:r>
        <w:rPr>
          <w:highlight w:val="none"/>
          <w:u w:val="none"/>
        </w:rPr>
        <w:t>日</w:t>
      </w:r>
      <w:r>
        <w:rPr>
          <w:rFonts w:hint="eastAsia"/>
          <w:highlight w:val="none"/>
          <w:u w:val="none"/>
        </w:rPr>
        <w:t>（节假日除外），09：00～11：30，14：00～17：30（北京时间）。</w:t>
      </w:r>
    </w:p>
    <w:p>
      <w:pPr>
        <w:tabs>
          <w:tab w:val="clear" w:pos="426"/>
        </w:tabs>
        <w:spacing w:line="240" w:lineRule="auto"/>
        <w:ind w:firstLine="424" w:firstLineChars="202"/>
        <w:rPr>
          <w:highlight w:val="none"/>
        </w:rPr>
      </w:pPr>
      <w:r>
        <w:rPr>
          <w:highlight w:val="none"/>
        </w:rPr>
        <w:t>2</w:t>
      </w:r>
      <w:r>
        <w:rPr>
          <w:rFonts w:hint="eastAsia"/>
          <w:highlight w:val="none"/>
        </w:rPr>
        <w:t>.获取招标文件地点：深圳市罗湖区清水河一路116号罗湖投资控股大厦A座4层。</w:t>
      </w:r>
    </w:p>
    <w:p>
      <w:pPr>
        <w:tabs>
          <w:tab w:val="clear" w:pos="426"/>
        </w:tabs>
        <w:spacing w:line="240" w:lineRule="auto"/>
        <w:ind w:firstLine="424" w:firstLineChars="202"/>
        <w:rPr>
          <w:highlight w:val="none"/>
        </w:rPr>
      </w:pPr>
      <w:r>
        <w:rPr>
          <w:highlight w:val="none"/>
        </w:rPr>
        <w:t>3.获取招标文件方式：现场购买</w:t>
      </w:r>
      <w:r>
        <w:rPr>
          <w:rFonts w:hint="eastAsia"/>
          <w:highlight w:val="none"/>
        </w:rPr>
        <w:t>或邮购。</w:t>
      </w:r>
    </w:p>
    <w:p>
      <w:pPr>
        <w:tabs>
          <w:tab w:val="clear" w:pos="426"/>
        </w:tabs>
        <w:spacing w:line="240" w:lineRule="auto"/>
        <w:ind w:firstLine="424" w:firstLineChars="202"/>
        <w:rPr>
          <w:highlight w:val="none"/>
        </w:rPr>
      </w:pPr>
      <w:r>
        <w:rPr>
          <w:highlight w:val="none"/>
        </w:rPr>
        <w:t>4.招标文件售价：每套人民币500</w:t>
      </w:r>
      <w:r>
        <w:rPr>
          <w:rFonts w:hint="eastAsia"/>
          <w:highlight w:val="none"/>
        </w:rPr>
        <w:t>元；若邮购，每份加收人民币</w:t>
      </w:r>
      <w:r>
        <w:rPr>
          <w:highlight w:val="none"/>
        </w:rPr>
        <w:t>50元</w:t>
      </w:r>
      <w:r>
        <w:rPr>
          <w:rFonts w:hint="eastAsia"/>
          <w:highlight w:val="none"/>
        </w:rPr>
        <w:t>。招标文件售后不退。</w:t>
      </w:r>
    </w:p>
    <w:p>
      <w:pPr>
        <w:tabs>
          <w:tab w:val="clear" w:pos="426"/>
        </w:tabs>
        <w:spacing w:line="240" w:lineRule="auto"/>
        <w:ind w:firstLine="424" w:firstLineChars="202"/>
        <w:rPr>
          <w:highlight w:val="none"/>
        </w:rPr>
      </w:pPr>
      <w:r>
        <w:rPr>
          <w:highlight w:val="none"/>
        </w:rPr>
        <w:t>5.现场报名时提交以下资料：</w:t>
      </w:r>
    </w:p>
    <w:p>
      <w:pPr>
        <w:tabs>
          <w:tab w:val="clear" w:pos="426"/>
        </w:tabs>
        <w:spacing w:line="240" w:lineRule="auto"/>
        <w:ind w:firstLine="424" w:firstLineChars="202"/>
        <w:rPr>
          <w:highlight w:val="none"/>
        </w:rPr>
      </w:pPr>
      <w:r>
        <w:rPr>
          <w:rFonts w:hint="eastAsia"/>
          <w:highlight w:val="none"/>
        </w:rPr>
        <w:t>（</w:t>
      </w:r>
      <w:r>
        <w:rPr>
          <w:highlight w:val="none"/>
        </w:rPr>
        <w:t>1）</w:t>
      </w:r>
      <w:r>
        <w:rPr>
          <w:rFonts w:hint="eastAsia"/>
          <w:highlight w:val="none"/>
        </w:rPr>
        <w:t>供应商投标报名信息表（</w:t>
      </w:r>
      <w:r>
        <w:rPr>
          <w:highlight w:val="none"/>
        </w:rPr>
        <w:fldChar w:fldCharType="begin"/>
      </w:r>
      <w:r>
        <w:rPr>
          <w:highlight w:val="none"/>
        </w:rPr>
        <w:instrText xml:space="preserve"> HYPERLINK "http://www.szsszx.com/Files/Editor/file/202103091233406249.docx" </w:instrText>
      </w:r>
      <w:r>
        <w:rPr>
          <w:highlight w:val="none"/>
        </w:rPr>
        <w:fldChar w:fldCharType="separate"/>
      </w:r>
      <w:r>
        <w:rPr>
          <w:rStyle w:val="52"/>
          <w:rFonts w:hint="eastAsia"/>
          <w:highlight w:val="none"/>
        </w:rPr>
        <w:t>-点此下载-</w:t>
      </w:r>
      <w:r>
        <w:rPr>
          <w:rStyle w:val="52"/>
          <w:rFonts w:hint="eastAsia"/>
          <w:highlight w:val="none"/>
        </w:rPr>
        <w:fldChar w:fldCharType="end"/>
      </w:r>
      <w:r>
        <w:rPr>
          <w:rFonts w:hint="eastAsia"/>
          <w:highlight w:val="none"/>
        </w:rPr>
        <w:t>）加盖投标人公章。</w:t>
      </w:r>
    </w:p>
    <w:p>
      <w:pPr>
        <w:tabs>
          <w:tab w:val="clear" w:pos="426"/>
        </w:tabs>
        <w:spacing w:line="240" w:lineRule="auto"/>
        <w:ind w:firstLine="424" w:firstLineChars="202"/>
        <w:rPr>
          <w:highlight w:val="none"/>
        </w:rPr>
      </w:pPr>
      <w:r>
        <w:rPr>
          <w:rFonts w:hint="eastAsia"/>
          <w:highlight w:val="none"/>
        </w:rPr>
        <w:t>（2）</w:t>
      </w:r>
      <w:r>
        <w:rPr>
          <w:highlight w:val="none"/>
        </w:rPr>
        <w:t>投标人的营业执照复印件</w:t>
      </w:r>
      <w:r>
        <w:rPr>
          <w:rFonts w:hint="eastAsia"/>
          <w:highlight w:val="none"/>
        </w:rPr>
        <w:t>、</w:t>
      </w:r>
      <w:r>
        <w:rPr>
          <w:highlight w:val="none"/>
        </w:rPr>
        <w:t>法人代表证明书、授权委托书、被授权委托人身份证复印件</w:t>
      </w:r>
      <w:r>
        <w:rPr>
          <w:rFonts w:hint="eastAsia"/>
          <w:highlight w:val="none"/>
        </w:rPr>
        <w:t>加盖投标人公章，格式自定。</w:t>
      </w:r>
    </w:p>
    <w:p>
      <w:pPr>
        <w:tabs>
          <w:tab w:val="clear" w:pos="426"/>
        </w:tabs>
        <w:spacing w:line="240" w:lineRule="auto"/>
        <w:ind w:firstLine="424" w:firstLineChars="202"/>
        <w:rPr>
          <w:highlight w:val="none"/>
        </w:rPr>
      </w:pPr>
      <w:r>
        <w:rPr>
          <w:rFonts w:hint="eastAsia"/>
          <w:highlight w:val="none"/>
        </w:rPr>
        <w:t>6</w:t>
      </w:r>
      <w:r>
        <w:rPr>
          <w:highlight w:val="none"/>
        </w:rPr>
        <w:t>.</w:t>
      </w:r>
      <w:r>
        <w:rPr>
          <w:rFonts w:hint="eastAsia"/>
          <w:highlight w:val="none"/>
        </w:rPr>
        <w:t>如需邮购，请快递上述报名资料至采购代理机构并与项目负责人联系。</w:t>
      </w:r>
    </w:p>
    <w:p>
      <w:pPr>
        <w:widowControl w:val="0"/>
        <w:shd w:val="clear" w:color="auto" w:fill="auto"/>
        <w:tabs>
          <w:tab w:val="clear" w:pos="426"/>
        </w:tabs>
        <w:spacing w:line="240" w:lineRule="auto"/>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四、提交投标文件截止时间、开标时间和地点</w:t>
      </w:r>
    </w:p>
    <w:p>
      <w:pPr>
        <w:tabs>
          <w:tab w:val="clear" w:pos="426"/>
        </w:tabs>
        <w:spacing w:line="240" w:lineRule="auto"/>
        <w:ind w:firstLine="424" w:firstLineChars="202"/>
        <w:rPr>
          <w:highlight w:val="none"/>
          <w:u w:val="none"/>
        </w:rPr>
      </w:pPr>
      <w:r>
        <w:rPr>
          <w:highlight w:val="none"/>
        </w:rPr>
        <w:t>1</w:t>
      </w:r>
      <w:r>
        <w:rPr>
          <w:rFonts w:hint="eastAsia"/>
          <w:highlight w:val="none"/>
        </w:rPr>
        <w:t>.递交投标文件时间：</w:t>
      </w:r>
      <w:r>
        <w:rPr>
          <w:highlight w:val="none"/>
          <w:u w:val="single"/>
        </w:rPr>
        <w:t>2021</w:t>
      </w:r>
      <w:r>
        <w:rPr>
          <w:highlight w:val="none"/>
          <w:u w:val="none"/>
        </w:rPr>
        <w:t>年</w:t>
      </w:r>
      <w:r>
        <w:rPr>
          <w:rFonts w:hint="eastAsia"/>
          <w:highlight w:val="none"/>
          <w:u w:val="single"/>
          <w:lang w:val="en-US" w:eastAsia="zh-CN"/>
        </w:rPr>
        <w:t>11</w:t>
      </w:r>
      <w:r>
        <w:rPr>
          <w:highlight w:val="none"/>
          <w:u w:val="none"/>
        </w:rPr>
        <w:t>月</w:t>
      </w:r>
      <w:r>
        <w:rPr>
          <w:rFonts w:hint="eastAsia"/>
          <w:highlight w:val="none"/>
          <w:u w:val="single"/>
          <w:lang w:val="en-US" w:eastAsia="zh-CN"/>
        </w:rPr>
        <w:t>9</w:t>
      </w:r>
      <w:r>
        <w:rPr>
          <w:highlight w:val="none"/>
          <w:u w:val="none"/>
        </w:rPr>
        <w:t>日</w:t>
      </w:r>
      <w:r>
        <w:rPr>
          <w:rFonts w:hint="eastAsia"/>
          <w:highlight w:val="none"/>
          <w:u w:val="none"/>
        </w:rPr>
        <w:t>14：00～14：30。</w:t>
      </w:r>
    </w:p>
    <w:p>
      <w:pPr>
        <w:tabs>
          <w:tab w:val="clear" w:pos="426"/>
        </w:tabs>
        <w:spacing w:line="240" w:lineRule="auto"/>
        <w:ind w:firstLine="424" w:firstLineChars="202"/>
        <w:rPr>
          <w:highlight w:val="none"/>
          <w:u w:val="none"/>
        </w:rPr>
      </w:pPr>
      <w:r>
        <w:rPr>
          <w:highlight w:val="none"/>
          <w:u w:val="none"/>
        </w:rPr>
        <w:t>2</w:t>
      </w:r>
      <w:r>
        <w:rPr>
          <w:rFonts w:hint="eastAsia"/>
          <w:highlight w:val="none"/>
          <w:u w:val="none"/>
        </w:rPr>
        <w:t>.投标截止及开标时间：</w:t>
      </w:r>
      <w:r>
        <w:rPr>
          <w:highlight w:val="none"/>
          <w:u w:val="single"/>
        </w:rPr>
        <w:t>2021</w:t>
      </w:r>
      <w:r>
        <w:rPr>
          <w:highlight w:val="none"/>
          <w:u w:val="none"/>
        </w:rPr>
        <w:t>年</w:t>
      </w:r>
      <w:r>
        <w:rPr>
          <w:rFonts w:hint="eastAsia"/>
          <w:highlight w:val="none"/>
          <w:u w:val="single"/>
          <w:lang w:val="en-US" w:eastAsia="zh-CN"/>
        </w:rPr>
        <w:t>11</w:t>
      </w:r>
      <w:r>
        <w:rPr>
          <w:highlight w:val="none"/>
          <w:u w:val="none"/>
        </w:rPr>
        <w:t>月</w:t>
      </w:r>
      <w:r>
        <w:rPr>
          <w:rFonts w:hint="eastAsia"/>
          <w:highlight w:val="none"/>
          <w:u w:val="single"/>
          <w:lang w:val="en-US" w:eastAsia="zh-CN"/>
        </w:rPr>
        <w:t>9</w:t>
      </w:r>
      <w:r>
        <w:rPr>
          <w:highlight w:val="none"/>
          <w:u w:val="none"/>
        </w:rPr>
        <w:t>日</w:t>
      </w:r>
      <w:r>
        <w:rPr>
          <w:rFonts w:hint="eastAsia"/>
          <w:highlight w:val="none"/>
          <w:u w:val="single"/>
          <w:lang w:val="en-US" w:eastAsia="zh-CN"/>
        </w:rPr>
        <w:t>14</w:t>
      </w:r>
      <w:r>
        <w:rPr>
          <w:highlight w:val="none"/>
          <w:u w:val="none"/>
        </w:rPr>
        <w:t>点</w:t>
      </w:r>
      <w:r>
        <w:rPr>
          <w:rFonts w:hint="eastAsia"/>
          <w:highlight w:val="none"/>
          <w:u w:val="single"/>
          <w:lang w:val="en-US" w:eastAsia="zh-CN"/>
        </w:rPr>
        <w:t>30</w:t>
      </w:r>
      <w:r>
        <w:rPr>
          <w:highlight w:val="none"/>
        </w:rPr>
        <w:t>分</w:t>
      </w:r>
      <w:r>
        <w:rPr>
          <w:rFonts w:hint="eastAsia"/>
          <w:highlight w:val="none"/>
          <w:u w:val="none"/>
        </w:rPr>
        <w:t>。</w:t>
      </w:r>
    </w:p>
    <w:p>
      <w:pPr>
        <w:tabs>
          <w:tab w:val="clear" w:pos="426"/>
        </w:tabs>
        <w:spacing w:line="240" w:lineRule="auto"/>
        <w:ind w:firstLine="424" w:firstLineChars="202"/>
        <w:rPr>
          <w:highlight w:val="none"/>
        </w:rPr>
      </w:pPr>
      <w:r>
        <w:rPr>
          <w:highlight w:val="none"/>
        </w:rPr>
        <w:t>3.开标地点：</w:t>
      </w:r>
      <w:r>
        <w:rPr>
          <w:rFonts w:hint="eastAsia"/>
          <w:highlight w:val="none"/>
        </w:rPr>
        <w:t>深圳市罗湖区清水河一路116号罗湖投资控股大厦A座4层</w:t>
      </w:r>
      <w:r>
        <w:rPr>
          <w:rFonts w:hint="eastAsia"/>
          <w:highlight w:val="none"/>
          <w:lang w:val="en-US" w:eastAsia="zh-CN"/>
        </w:rPr>
        <w:t>评标室</w:t>
      </w:r>
      <w:r>
        <w:rPr>
          <w:rFonts w:hint="eastAsia"/>
          <w:highlight w:val="none"/>
        </w:rPr>
        <w:t>。</w:t>
      </w:r>
    </w:p>
    <w:p>
      <w:pPr>
        <w:widowControl w:val="0"/>
        <w:shd w:val="clear" w:color="auto" w:fill="auto"/>
        <w:tabs>
          <w:tab w:val="clear" w:pos="426"/>
        </w:tabs>
        <w:spacing w:line="240" w:lineRule="auto"/>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五、公告期限</w:t>
      </w:r>
    </w:p>
    <w:p>
      <w:pPr>
        <w:tabs>
          <w:tab w:val="clear" w:pos="426"/>
        </w:tabs>
        <w:spacing w:line="240" w:lineRule="auto"/>
        <w:ind w:firstLine="424" w:firstLineChars="202"/>
        <w:rPr>
          <w:szCs w:val="21"/>
          <w:highlight w:val="none"/>
        </w:rPr>
      </w:pPr>
      <w:r>
        <w:rPr>
          <w:rFonts w:hint="eastAsia"/>
          <w:szCs w:val="21"/>
          <w:highlight w:val="none"/>
        </w:rPr>
        <w:t>自本公告发布之日起</w:t>
      </w:r>
      <w:r>
        <w:rPr>
          <w:szCs w:val="21"/>
          <w:highlight w:val="none"/>
        </w:rPr>
        <w:t>5个工作日。</w:t>
      </w:r>
    </w:p>
    <w:p>
      <w:pPr>
        <w:widowControl w:val="0"/>
        <w:shd w:val="clear" w:color="auto" w:fill="auto"/>
        <w:tabs>
          <w:tab w:val="clear" w:pos="426"/>
        </w:tabs>
        <w:spacing w:line="240" w:lineRule="auto"/>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六、其他补充事宜</w:t>
      </w:r>
    </w:p>
    <w:p>
      <w:pPr>
        <w:tabs>
          <w:tab w:val="clear" w:pos="426"/>
        </w:tabs>
        <w:spacing w:line="240" w:lineRule="auto"/>
        <w:ind w:firstLine="424" w:firstLineChars="202"/>
        <w:rPr>
          <w:szCs w:val="21"/>
          <w:highlight w:val="none"/>
        </w:rPr>
      </w:pPr>
      <w:r>
        <w:rPr>
          <w:szCs w:val="21"/>
          <w:highlight w:val="none"/>
        </w:rPr>
        <w:t>1.本项目实行网下纸质答疑，凡对招标文件有任何疑问的（包括认为招标文件的技术指标或参数存在排他性或歧视性条款），请投标人于</w:t>
      </w:r>
      <w:r>
        <w:rPr>
          <w:rFonts w:hint="eastAsia"/>
          <w:szCs w:val="21"/>
          <w:highlight w:val="none"/>
          <w:u w:val="single"/>
          <w:lang w:val="en-US" w:eastAsia="zh-CN"/>
        </w:rPr>
        <w:t>2021</w:t>
      </w:r>
      <w:r>
        <w:rPr>
          <w:szCs w:val="21"/>
          <w:highlight w:val="none"/>
          <w:u w:val="none"/>
        </w:rPr>
        <w:t>年</w:t>
      </w:r>
      <w:r>
        <w:rPr>
          <w:rFonts w:hint="eastAsia"/>
          <w:szCs w:val="21"/>
          <w:highlight w:val="none"/>
          <w:u w:val="single"/>
          <w:lang w:val="en-US" w:eastAsia="zh-CN"/>
        </w:rPr>
        <w:t>11</w:t>
      </w:r>
      <w:r>
        <w:rPr>
          <w:szCs w:val="21"/>
          <w:highlight w:val="none"/>
          <w:u w:val="none"/>
        </w:rPr>
        <w:t>月</w:t>
      </w:r>
      <w:r>
        <w:rPr>
          <w:rFonts w:hint="eastAsia"/>
          <w:szCs w:val="21"/>
          <w:highlight w:val="none"/>
          <w:u w:val="single"/>
          <w:lang w:val="en-US" w:eastAsia="zh-CN"/>
        </w:rPr>
        <w:t>8</w:t>
      </w:r>
      <w:r>
        <w:rPr>
          <w:szCs w:val="21"/>
          <w:highlight w:val="none"/>
          <w:u w:val="none"/>
        </w:rPr>
        <w:t>日</w:t>
      </w:r>
      <w:bookmarkStart w:id="33" w:name="_Hlk65416315"/>
      <w:r>
        <w:rPr>
          <w:rFonts w:hint="eastAsia"/>
          <w:szCs w:val="21"/>
          <w:highlight w:val="none"/>
        </w:rPr>
        <w:t>（招标文件发布之日（当日不计）起第</w:t>
      </w:r>
      <w:r>
        <w:rPr>
          <w:szCs w:val="21"/>
          <w:highlight w:val="none"/>
        </w:rPr>
        <w:t>7个工作日）</w:t>
      </w:r>
      <w:bookmarkEnd w:id="33"/>
      <w:r>
        <w:rPr>
          <w:szCs w:val="21"/>
          <w:highlight w:val="none"/>
        </w:rPr>
        <w:t>17:30前，根据《深圳经济特区政府采购条例》第六章、《深圳市经济特区政府采购条例实施细则》第六章及深圳交易集团有限公司政府采购业务分公司网页http://www.szggzy.com/fwdh/fwdhzfcg/bszn1/content_53118.html所发布的有关质疑的指引及要求填写质疑函件，并将质疑函件以及相关质疑内容的证明材料原件送达深圳市深水水务咨询有限公司，逾期不受理。</w:t>
      </w:r>
    </w:p>
    <w:p>
      <w:pPr>
        <w:tabs>
          <w:tab w:val="clear" w:pos="426"/>
        </w:tabs>
        <w:spacing w:line="240" w:lineRule="auto"/>
        <w:ind w:firstLine="424" w:firstLineChars="202"/>
        <w:rPr>
          <w:szCs w:val="21"/>
          <w:highlight w:val="none"/>
        </w:rPr>
      </w:pPr>
      <w:r>
        <w:rPr>
          <w:szCs w:val="21"/>
          <w:highlight w:val="none"/>
        </w:rPr>
        <w:t>2.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spacing w:line="240" w:lineRule="auto"/>
        <w:rPr>
          <w:b/>
          <w:highlight w:val="none"/>
        </w:rPr>
      </w:pPr>
      <w:r>
        <w:rPr>
          <w:rFonts w:hint="eastAsia"/>
          <w:b/>
          <w:highlight w:val="none"/>
        </w:rPr>
        <w:t>七、对本次招标提出询问，请按以下方式联系</w:t>
      </w:r>
    </w:p>
    <w:p>
      <w:pPr>
        <w:tabs>
          <w:tab w:val="clear" w:pos="426"/>
        </w:tabs>
        <w:spacing w:line="240" w:lineRule="auto"/>
        <w:ind w:firstLine="424" w:firstLineChars="202"/>
        <w:rPr>
          <w:highlight w:val="none"/>
        </w:rPr>
      </w:pPr>
      <w:r>
        <w:rPr>
          <w:rFonts w:hint="eastAsia"/>
          <w:highlight w:val="none"/>
        </w:rPr>
        <w:t>深圳交易集团有限公司政府采购业务分公司</w:t>
      </w:r>
      <w:r>
        <w:rPr>
          <w:highlight w:val="none"/>
        </w:rPr>
        <w:t xml:space="preserve">  http://www.szggzy.com/fwdh/fwdhzfcg</w:t>
      </w:r>
    </w:p>
    <w:p>
      <w:pPr>
        <w:tabs>
          <w:tab w:val="clear" w:pos="426"/>
        </w:tabs>
        <w:spacing w:line="240" w:lineRule="auto"/>
        <w:ind w:firstLine="424" w:firstLineChars="202"/>
        <w:rPr>
          <w:highlight w:val="none"/>
        </w:rPr>
      </w:pPr>
      <w:r>
        <w:rPr>
          <w:rFonts w:hint="eastAsia"/>
          <w:highlight w:val="none"/>
        </w:rPr>
        <w:t>深圳市深水水务咨询有限公司</w:t>
      </w:r>
      <w:r>
        <w:rPr>
          <w:highlight w:val="none"/>
        </w:rPr>
        <w:t xml:space="preserve">  http://www.szsszx.com/</w:t>
      </w:r>
    </w:p>
    <w:p>
      <w:pPr>
        <w:tabs>
          <w:tab w:val="clear" w:pos="426"/>
        </w:tabs>
        <w:spacing w:line="240" w:lineRule="auto"/>
        <w:ind w:firstLine="424" w:firstLineChars="202"/>
        <w:rPr>
          <w:highlight w:val="none"/>
        </w:rPr>
      </w:pPr>
    </w:p>
    <w:p>
      <w:pPr>
        <w:tabs>
          <w:tab w:val="clear" w:pos="426"/>
        </w:tabs>
        <w:spacing w:line="240" w:lineRule="auto"/>
        <w:ind w:firstLine="424" w:firstLineChars="202"/>
        <w:rPr>
          <w:highlight w:val="none"/>
        </w:rPr>
      </w:pPr>
      <w:r>
        <w:rPr>
          <w:rFonts w:hint="eastAsia"/>
          <w:highlight w:val="none"/>
        </w:rPr>
        <w:t>采购人联系方式</w:t>
      </w:r>
    </w:p>
    <w:p>
      <w:pPr>
        <w:tabs>
          <w:tab w:val="clear" w:pos="426"/>
        </w:tabs>
        <w:spacing w:line="240" w:lineRule="auto"/>
        <w:ind w:firstLine="424" w:firstLineChars="202"/>
        <w:rPr>
          <w:rFonts w:hint="eastAsia" w:eastAsia="宋体"/>
          <w:highlight w:val="none"/>
          <w:lang w:eastAsia="zh-CN"/>
        </w:rPr>
      </w:pPr>
      <w:r>
        <w:rPr>
          <w:highlight w:val="none"/>
        </w:rPr>
        <w:t>单位名称</w:t>
      </w:r>
      <w:r>
        <w:rPr>
          <w:rFonts w:hint="eastAsia"/>
          <w:highlight w:val="none"/>
        </w:rPr>
        <w:t>：</w:t>
      </w:r>
      <w:r>
        <w:rPr>
          <w:rFonts w:hint="eastAsia"/>
          <w:highlight w:val="none"/>
          <w:lang w:eastAsia="zh-CN"/>
        </w:rPr>
        <w:t>深圳市福田区水务局</w:t>
      </w:r>
    </w:p>
    <w:p>
      <w:pPr>
        <w:tabs>
          <w:tab w:val="clear" w:pos="426"/>
        </w:tabs>
        <w:spacing w:line="240" w:lineRule="auto"/>
        <w:ind w:firstLine="424" w:firstLineChars="202"/>
        <w:rPr>
          <w:rFonts w:hint="eastAsia" w:eastAsia="宋体"/>
          <w:highlight w:val="none"/>
          <w:lang w:val="en-US" w:eastAsia="zh-CN"/>
        </w:rPr>
      </w:pPr>
      <w:r>
        <w:rPr>
          <w:rFonts w:hint="eastAsia"/>
          <w:highlight w:val="none"/>
        </w:rPr>
        <w:t>联</w:t>
      </w:r>
      <w:r>
        <w:rPr>
          <w:highlight w:val="none"/>
        </w:rPr>
        <w:t xml:space="preserve"> 系 人：</w:t>
      </w:r>
      <w:r>
        <w:rPr>
          <w:rFonts w:hint="eastAsia"/>
          <w:highlight w:val="none"/>
          <w:lang w:val="en-US" w:eastAsia="zh-CN"/>
        </w:rPr>
        <w:t>林工</w:t>
      </w:r>
    </w:p>
    <w:p>
      <w:pPr>
        <w:tabs>
          <w:tab w:val="clear" w:pos="426"/>
        </w:tabs>
        <w:spacing w:line="240" w:lineRule="auto"/>
        <w:ind w:firstLine="424" w:firstLineChars="202"/>
        <w:rPr>
          <w:rFonts w:hint="default" w:eastAsia="宋体"/>
          <w:highlight w:val="none"/>
          <w:lang w:val="en-US" w:eastAsia="zh-CN"/>
        </w:rPr>
      </w:pPr>
      <w:r>
        <w:rPr>
          <w:rFonts w:hint="eastAsia"/>
          <w:highlight w:val="none"/>
        </w:rPr>
        <w:t>电</w:t>
      </w:r>
      <w:r>
        <w:rPr>
          <w:highlight w:val="none"/>
        </w:rPr>
        <w:t xml:space="preserve">    </w:t>
      </w:r>
      <w:r>
        <w:rPr>
          <w:rFonts w:hint="eastAsia"/>
          <w:highlight w:val="none"/>
        </w:rPr>
        <w:t>话：</w:t>
      </w:r>
      <w:r>
        <w:rPr>
          <w:highlight w:val="none"/>
        </w:rPr>
        <w:t>0755-</w:t>
      </w:r>
      <w:r>
        <w:rPr>
          <w:rFonts w:hint="eastAsia"/>
          <w:highlight w:val="none"/>
          <w:lang w:val="en-US" w:eastAsia="zh-CN"/>
        </w:rPr>
        <w:t>83920669</w:t>
      </w:r>
    </w:p>
    <w:p>
      <w:pPr>
        <w:tabs>
          <w:tab w:val="clear" w:pos="426"/>
        </w:tabs>
        <w:spacing w:line="240" w:lineRule="auto"/>
        <w:ind w:firstLine="424" w:firstLineChars="202"/>
        <w:rPr>
          <w:highlight w:val="none"/>
        </w:rPr>
      </w:pPr>
      <w:r>
        <w:rPr>
          <w:rFonts w:hint="eastAsia"/>
          <w:highlight w:val="none"/>
        </w:rPr>
        <w:t>地</w:t>
      </w:r>
      <w:r>
        <w:rPr>
          <w:highlight w:val="none"/>
        </w:rPr>
        <w:t xml:space="preserve">    址：</w:t>
      </w:r>
      <w:r>
        <w:rPr>
          <w:rFonts w:hint="eastAsia"/>
          <w:highlight w:val="none"/>
          <w:lang w:val="en-US" w:eastAsia="zh-CN"/>
        </w:rPr>
        <w:t>深圳市福田区侨香路福田区环境监控监测大厦</w:t>
      </w:r>
      <w:r>
        <w:rPr>
          <w:highlight w:val="none"/>
        </w:rPr>
        <w:t xml:space="preserve"> </w:t>
      </w:r>
    </w:p>
    <w:p>
      <w:pPr>
        <w:tabs>
          <w:tab w:val="clear" w:pos="426"/>
        </w:tabs>
        <w:spacing w:line="240" w:lineRule="auto"/>
        <w:ind w:firstLine="424" w:firstLineChars="202"/>
        <w:rPr>
          <w:highlight w:val="none"/>
        </w:rPr>
      </w:pPr>
      <w:r>
        <w:rPr>
          <w:rFonts w:hint="eastAsia"/>
          <w:highlight w:val="none"/>
        </w:rPr>
        <w:t>采购代理机构联系方式</w:t>
      </w:r>
    </w:p>
    <w:p>
      <w:pPr>
        <w:tabs>
          <w:tab w:val="clear" w:pos="426"/>
        </w:tabs>
        <w:spacing w:line="240" w:lineRule="auto"/>
        <w:ind w:firstLine="424" w:firstLineChars="202"/>
        <w:rPr>
          <w:highlight w:val="none"/>
        </w:rPr>
      </w:pPr>
      <w:r>
        <w:rPr>
          <w:rFonts w:hint="eastAsia"/>
          <w:highlight w:val="none"/>
        </w:rPr>
        <w:t>单位名称：深圳市深水水务咨询有限公司</w:t>
      </w:r>
    </w:p>
    <w:p>
      <w:pPr>
        <w:tabs>
          <w:tab w:val="clear" w:pos="426"/>
        </w:tabs>
        <w:spacing w:line="240" w:lineRule="auto"/>
        <w:ind w:firstLine="424" w:firstLineChars="202"/>
        <w:rPr>
          <w:rFonts w:hint="eastAsia" w:eastAsia="宋体"/>
          <w:highlight w:val="none"/>
          <w:lang w:val="en-US" w:eastAsia="zh-CN"/>
        </w:rPr>
      </w:pPr>
      <w:r>
        <w:rPr>
          <w:rFonts w:hint="eastAsia"/>
          <w:highlight w:val="none"/>
        </w:rPr>
        <w:t>联 系 人：</w:t>
      </w:r>
      <w:r>
        <w:rPr>
          <w:rFonts w:hint="eastAsia"/>
          <w:highlight w:val="none"/>
          <w:lang w:val="en-US" w:eastAsia="zh-CN"/>
        </w:rPr>
        <w:t>蔡工</w:t>
      </w:r>
    </w:p>
    <w:p>
      <w:pPr>
        <w:tabs>
          <w:tab w:val="clear" w:pos="426"/>
        </w:tabs>
        <w:spacing w:line="240" w:lineRule="auto"/>
        <w:ind w:firstLine="424" w:firstLineChars="202"/>
        <w:rPr>
          <w:rFonts w:hint="eastAsia"/>
          <w:highlight w:val="none"/>
          <w:u w:val="none"/>
          <w:lang w:val="en-US" w:eastAsia="zh-CN"/>
        </w:rPr>
      </w:pPr>
      <w:r>
        <w:rPr>
          <w:rFonts w:hint="eastAsia"/>
          <w:highlight w:val="none"/>
        </w:rPr>
        <w:t>电</w:t>
      </w:r>
      <w:r>
        <w:rPr>
          <w:highlight w:val="none"/>
        </w:rPr>
        <w:t xml:space="preserve">    </w:t>
      </w:r>
      <w:r>
        <w:rPr>
          <w:rFonts w:hint="eastAsia"/>
          <w:highlight w:val="none"/>
        </w:rPr>
        <w:t>话：</w:t>
      </w:r>
      <w:r>
        <w:rPr>
          <w:highlight w:val="none"/>
        </w:rPr>
        <w:t>0755</w:t>
      </w:r>
      <w:r>
        <w:rPr>
          <w:highlight w:val="none"/>
          <w:u w:val="none"/>
        </w:rPr>
        <w:t>-</w:t>
      </w:r>
      <w:r>
        <w:rPr>
          <w:rFonts w:hint="eastAsia"/>
          <w:highlight w:val="none"/>
          <w:u w:val="none"/>
          <w:lang w:val="en-US" w:eastAsia="zh-CN"/>
        </w:rPr>
        <w:t>26168532</w:t>
      </w:r>
    </w:p>
    <w:p>
      <w:pPr>
        <w:tabs>
          <w:tab w:val="clear" w:pos="426"/>
        </w:tabs>
        <w:spacing w:line="240" w:lineRule="auto"/>
        <w:ind w:firstLine="424" w:firstLineChars="202"/>
        <w:rPr>
          <w:highlight w:val="none"/>
          <w:u w:val="none"/>
        </w:rPr>
      </w:pPr>
      <w:r>
        <w:rPr>
          <w:rFonts w:hint="eastAsia"/>
          <w:highlight w:val="none"/>
          <w:u w:val="none"/>
        </w:rPr>
        <w:t>手</w:t>
      </w:r>
      <w:r>
        <w:rPr>
          <w:highlight w:val="none"/>
          <w:u w:val="none"/>
        </w:rPr>
        <w:t xml:space="preserve">  </w:t>
      </w:r>
      <w:r>
        <w:rPr>
          <w:rFonts w:hint="eastAsia"/>
          <w:highlight w:val="none"/>
          <w:u w:val="none"/>
        </w:rPr>
        <w:t>机：</w:t>
      </w:r>
      <w:r>
        <w:rPr>
          <w:rFonts w:hint="eastAsia"/>
          <w:highlight w:val="none"/>
          <w:u w:val="none"/>
          <w:lang w:val="en-US" w:eastAsia="zh-CN"/>
        </w:rPr>
        <w:t>13925205760</w:t>
      </w:r>
      <w:r>
        <w:rPr>
          <w:highlight w:val="none"/>
          <w:u w:val="none"/>
        </w:rPr>
        <w:t xml:space="preserve">   </w:t>
      </w:r>
    </w:p>
    <w:p>
      <w:pPr>
        <w:tabs>
          <w:tab w:val="clear" w:pos="426"/>
        </w:tabs>
        <w:spacing w:line="240" w:lineRule="auto"/>
        <w:ind w:firstLine="424" w:firstLineChars="202"/>
        <w:rPr>
          <w:highlight w:val="none"/>
          <w:u w:val="none"/>
        </w:rPr>
      </w:pPr>
      <w:r>
        <w:rPr>
          <w:highlight w:val="none"/>
          <w:u w:val="none"/>
        </w:rPr>
        <w:t>Email：</w:t>
      </w:r>
      <w:r>
        <w:rPr>
          <w:rFonts w:hint="eastAsia"/>
          <w:highlight w:val="none"/>
          <w:u w:val="none"/>
          <w:lang w:val="en-US" w:eastAsia="zh-CN"/>
        </w:rPr>
        <w:t>1425117100</w:t>
      </w:r>
      <w:r>
        <w:rPr>
          <w:highlight w:val="none"/>
          <w:u w:val="none"/>
        </w:rPr>
        <w:t>@qq.com</w:t>
      </w:r>
    </w:p>
    <w:p>
      <w:pPr>
        <w:tabs>
          <w:tab w:val="clear" w:pos="426"/>
        </w:tabs>
        <w:spacing w:line="240" w:lineRule="auto"/>
        <w:ind w:firstLine="424" w:firstLineChars="202"/>
        <w:rPr>
          <w:rFonts w:hint="eastAsia" w:eastAsia="宋体"/>
          <w:highlight w:val="none"/>
          <w:u w:val="none"/>
          <w:lang w:val="en-US" w:eastAsia="zh-CN"/>
        </w:rPr>
      </w:pPr>
      <w:r>
        <w:rPr>
          <w:rFonts w:hint="eastAsia"/>
          <w:highlight w:val="none"/>
          <w:u w:val="none"/>
        </w:rPr>
        <w:t>联 系 人：</w:t>
      </w:r>
      <w:r>
        <w:rPr>
          <w:rFonts w:hint="eastAsia"/>
          <w:highlight w:val="none"/>
          <w:u w:val="none"/>
          <w:lang w:val="en-US" w:eastAsia="zh-CN"/>
        </w:rPr>
        <w:t>胡工</w:t>
      </w:r>
    </w:p>
    <w:p>
      <w:pPr>
        <w:tabs>
          <w:tab w:val="clear" w:pos="426"/>
        </w:tabs>
        <w:spacing w:line="240" w:lineRule="auto"/>
        <w:ind w:firstLine="424" w:firstLineChars="202"/>
        <w:rPr>
          <w:rFonts w:hint="default" w:eastAsia="宋体"/>
          <w:highlight w:val="none"/>
          <w:u w:val="none"/>
          <w:lang w:val="en-US" w:eastAsia="zh-CN"/>
        </w:rPr>
      </w:pPr>
      <w:r>
        <w:rPr>
          <w:rFonts w:hint="eastAsia"/>
          <w:highlight w:val="none"/>
          <w:u w:val="none"/>
        </w:rPr>
        <w:t>手</w:t>
      </w:r>
      <w:r>
        <w:rPr>
          <w:highlight w:val="none"/>
          <w:u w:val="none"/>
        </w:rPr>
        <w:t xml:space="preserve">  </w:t>
      </w:r>
      <w:r>
        <w:rPr>
          <w:rFonts w:hint="eastAsia"/>
          <w:highlight w:val="none"/>
          <w:u w:val="none"/>
        </w:rPr>
        <w:t>机：</w:t>
      </w:r>
      <w:r>
        <w:rPr>
          <w:rFonts w:hint="eastAsia"/>
          <w:highlight w:val="none"/>
          <w:u w:val="none"/>
          <w:lang w:val="en-US" w:eastAsia="zh-CN"/>
        </w:rPr>
        <w:t>13480604066</w:t>
      </w:r>
    </w:p>
    <w:p>
      <w:pPr>
        <w:tabs>
          <w:tab w:val="clear" w:pos="426"/>
        </w:tabs>
        <w:spacing w:line="240" w:lineRule="auto"/>
        <w:ind w:firstLine="424" w:firstLineChars="202"/>
        <w:rPr>
          <w:highlight w:val="none"/>
        </w:rPr>
      </w:pPr>
      <w:r>
        <w:rPr>
          <w:rFonts w:hint="eastAsia"/>
          <w:highlight w:val="none"/>
        </w:rPr>
        <w:t>地</w:t>
      </w:r>
      <w:r>
        <w:rPr>
          <w:highlight w:val="none"/>
        </w:rPr>
        <w:t xml:space="preserve">    </w:t>
      </w:r>
      <w:r>
        <w:rPr>
          <w:rFonts w:hint="eastAsia"/>
          <w:highlight w:val="none"/>
        </w:rPr>
        <w:t>址：深圳市罗湖区清水河一路116号罗湖投资控股大厦A座4层</w:t>
      </w:r>
    </w:p>
    <w:p>
      <w:pPr>
        <w:widowControl w:val="0"/>
        <w:shd w:val="clear" w:color="auto" w:fill="auto"/>
        <w:tabs>
          <w:tab w:val="clear" w:pos="426"/>
        </w:tabs>
        <w:spacing w:line="240" w:lineRule="auto"/>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八、附件</w:t>
      </w:r>
    </w:p>
    <w:p>
      <w:pPr>
        <w:tabs>
          <w:tab w:val="clear" w:pos="426"/>
        </w:tabs>
        <w:ind w:firstLine="424" w:firstLineChars="202"/>
        <w:rPr>
          <w:rStyle w:val="52"/>
          <w:highlight w:val="none"/>
        </w:rPr>
      </w:pPr>
      <w:r>
        <w:rPr>
          <w:rFonts w:hint="eastAsia"/>
          <w:highlight w:val="none"/>
        </w:rPr>
        <w:t>招标文件：</w:t>
      </w:r>
      <w:bookmarkStart w:id="34" w:name="_Hlk66182219"/>
      <w:r>
        <w:rPr>
          <w:rStyle w:val="52"/>
          <w:rFonts w:hint="eastAsia"/>
          <w:highlight w:val="none"/>
        </w:rPr>
        <w:t>-点此下载-</w:t>
      </w:r>
      <w:bookmarkEnd w:id="34"/>
    </w:p>
    <w:p>
      <w:pPr>
        <w:tabs>
          <w:tab w:val="clear" w:pos="426"/>
        </w:tabs>
        <w:rPr>
          <w:strike/>
          <w:highlight w:val="none"/>
        </w:rPr>
      </w:pPr>
    </w:p>
    <w:p>
      <w:pPr>
        <w:pStyle w:val="33"/>
        <w:tabs>
          <w:tab w:val="clear" w:pos="426"/>
        </w:tabs>
        <w:rPr>
          <w:highlight w:val="none"/>
        </w:rPr>
        <w:sectPr>
          <w:headerReference r:id="rId7" w:type="first"/>
          <w:footerReference r:id="rId9" w:type="first"/>
          <w:headerReference r:id="rId6" w:type="default"/>
          <w:footerReference r:id="rId8" w:type="default"/>
          <w:pgSz w:w="11906" w:h="16838"/>
          <w:pgMar w:top="1440" w:right="1797" w:bottom="1440" w:left="1797" w:header="851" w:footer="992" w:gutter="0"/>
          <w:pgNumType w:start="1"/>
          <w:cols w:space="425" w:num="1"/>
          <w:titlePg/>
          <w:docGrid w:linePitch="462" w:charSpace="0"/>
        </w:sectPr>
      </w:pPr>
      <w:bookmarkStart w:id="35" w:name="_Toc432592814"/>
    </w:p>
    <w:p>
      <w:pPr>
        <w:pStyle w:val="309"/>
        <w:pageBreakBefore/>
        <w:rPr>
          <w:highlight w:val="none"/>
        </w:rPr>
      </w:pPr>
      <w:bookmarkStart w:id="36" w:name="_Toc67387141"/>
      <w:r>
        <w:rPr>
          <w:rFonts w:hint="eastAsia"/>
          <w:highlight w:val="none"/>
        </w:rPr>
        <w:t xml:space="preserve">第二章 </w:t>
      </w:r>
      <w:bookmarkEnd w:id="35"/>
      <w:r>
        <w:rPr>
          <w:rFonts w:hint="eastAsia"/>
          <w:highlight w:val="none"/>
        </w:rPr>
        <w:t>投标须知前附表</w:t>
      </w:r>
      <w:bookmarkEnd w:id="36"/>
    </w:p>
    <w:p>
      <w:pPr>
        <w:tabs>
          <w:tab w:val="clear" w:pos="426"/>
        </w:tabs>
        <w:spacing w:line="240" w:lineRule="auto"/>
        <w:ind w:right="-174" w:rightChars="-83"/>
        <w:rPr>
          <w:highlight w:val="none"/>
        </w:rPr>
      </w:pPr>
      <w:r>
        <w:rPr>
          <w:rFonts w:hint="eastAsia"/>
          <w:highlight w:val="none"/>
        </w:rPr>
        <w:t>说明：本表是对通用条款《投标人须知》条款的补充、修改和完善，如果有矛盾，应以本表为准。</w:t>
      </w:r>
    </w:p>
    <w:tbl>
      <w:tblPr>
        <w:tblStyle w:val="4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43"/>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tabs>
                <w:tab w:val="clear" w:pos="426"/>
              </w:tabs>
              <w:spacing w:line="240" w:lineRule="exact"/>
              <w:jc w:val="center"/>
              <w:rPr>
                <w:highlight w:val="none"/>
              </w:rPr>
            </w:pPr>
            <w:r>
              <w:rPr>
                <w:rFonts w:hint="eastAsia"/>
                <w:highlight w:val="none"/>
              </w:rPr>
              <w:t>序号</w:t>
            </w:r>
          </w:p>
        </w:tc>
        <w:tc>
          <w:tcPr>
            <w:tcW w:w="963" w:type="pct"/>
            <w:vAlign w:val="center"/>
          </w:tcPr>
          <w:p>
            <w:pPr>
              <w:tabs>
                <w:tab w:val="clear" w:pos="426"/>
              </w:tabs>
              <w:spacing w:line="240" w:lineRule="exact"/>
              <w:jc w:val="center"/>
              <w:rPr>
                <w:highlight w:val="none"/>
              </w:rPr>
            </w:pPr>
            <w:r>
              <w:rPr>
                <w:rFonts w:hint="eastAsia"/>
                <w:highlight w:val="none"/>
              </w:rPr>
              <w:t>内容</w:t>
            </w:r>
          </w:p>
        </w:tc>
        <w:tc>
          <w:tcPr>
            <w:tcW w:w="3758" w:type="pct"/>
            <w:vAlign w:val="center"/>
          </w:tcPr>
          <w:p>
            <w:pPr>
              <w:tabs>
                <w:tab w:val="clear" w:pos="426"/>
              </w:tabs>
              <w:spacing w:line="240" w:lineRule="exact"/>
              <w:jc w:val="center"/>
              <w:rPr>
                <w:highlight w:val="none"/>
              </w:rPr>
            </w:pPr>
            <w:r>
              <w:rPr>
                <w:rFonts w:hint="eastAsia"/>
                <w:highlight w:val="none"/>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联合体投标</w:t>
            </w:r>
          </w:p>
        </w:tc>
        <w:tc>
          <w:tcPr>
            <w:tcW w:w="3758" w:type="pct"/>
            <w:vAlign w:val="center"/>
          </w:tcPr>
          <w:p>
            <w:pPr>
              <w:pStyle w:val="307"/>
              <w:rPr>
                <w:highlight w:val="none"/>
              </w:rPr>
            </w:pPr>
            <w:r>
              <w:rPr>
                <w:rFonts w:hint="eastAsia"/>
                <w:highlight w:val="none"/>
              </w:rPr>
              <w:t>■不接受（招标文件中相关联合体规定均不适用）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highlight w:val="none"/>
              </w:rPr>
              <w:t>踏勘现场</w:t>
            </w:r>
          </w:p>
        </w:tc>
        <w:tc>
          <w:tcPr>
            <w:tcW w:w="3758" w:type="pct"/>
            <w:vAlign w:val="center"/>
          </w:tcPr>
          <w:p>
            <w:pPr>
              <w:pStyle w:val="307"/>
              <w:rPr>
                <w:highlight w:val="none"/>
              </w:rPr>
            </w:pPr>
            <w:r>
              <w:rPr>
                <w:rFonts w:hint="eastAsia"/>
                <w:highlight w:val="none"/>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投标人质疑的截止时间</w:t>
            </w:r>
          </w:p>
        </w:tc>
        <w:tc>
          <w:tcPr>
            <w:tcW w:w="3758" w:type="pct"/>
            <w:vAlign w:val="center"/>
          </w:tcPr>
          <w:p>
            <w:pPr>
              <w:pStyle w:val="307"/>
              <w:rPr>
                <w:highlight w:val="none"/>
              </w:rPr>
            </w:pPr>
            <w:r>
              <w:rPr>
                <w:rFonts w:hint="eastAsia"/>
                <w:highlight w:val="none"/>
              </w:rPr>
              <w:t>招标文件发布之日（当日不计）起第</w:t>
            </w:r>
            <w:r>
              <w:rPr>
                <w:highlight w:val="none"/>
              </w:rPr>
              <w:t>7</w:t>
            </w:r>
            <w:r>
              <w:rPr>
                <w:rFonts w:hint="eastAsia"/>
                <w:highlight w:val="none"/>
              </w:rPr>
              <w:t>个工作日</w:t>
            </w:r>
            <w:r>
              <w:rPr>
                <w:rFonts w:hint="eastAsia"/>
                <w:highlight w:val="none"/>
                <w:u w:val="single"/>
              </w:rPr>
              <w:t>17：30</w:t>
            </w:r>
            <w:r>
              <w:rPr>
                <w:rFonts w:hint="eastAsia"/>
                <w:highlight w:val="none"/>
              </w:rPr>
              <w:t>前采购文件发布之日起第</w:t>
            </w:r>
            <w:r>
              <w:rPr>
                <w:highlight w:val="none"/>
              </w:rPr>
              <w:t>7</w:t>
            </w:r>
            <w:r>
              <w:rPr>
                <w:rFonts w:hint="eastAsia"/>
                <w:highlight w:val="none"/>
              </w:rPr>
              <w:t>个工作日</w:t>
            </w:r>
            <w:r>
              <w:rPr>
                <w:rFonts w:hint="eastAsia"/>
                <w:highlight w:val="none"/>
                <w:u w:val="single"/>
              </w:rPr>
              <w:t>17：30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答疑的截止时间</w:t>
            </w:r>
          </w:p>
        </w:tc>
        <w:tc>
          <w:tcPr>
            <w:tcW w:w="3758" w:type="pct"/>
            <w:vAlign w:val="center"/>
          </w:tcPr>
          <w:p>
            <w:pPr>
              <w:pStyle w:val="307"/>
              <w:rPr>
                <w:highlight w:val="none"/>
              </w:rPr>
            </w:pPr>
            <w:r>
              <w:rPr>
                <w:rFonts w:hint="eastAsia"/>
                <w:highlight w:val="none"/>
              </w:rPr>
              <w:t>质疑文件受理之日（当日不计）起</w:t>
            </w:r>
            <w:r>
              <w:rPr>
                <w:highlight w:val="none"/>
              </w:rPr>
              <w:t>7</w:t>
            </w:r>
            <w:r>
              <w:rPr>
                <w:rFonts w:hint="eastAsia"/>
                <w:highlight w:val="none"/>
              </w:rPr>
              <w:t>个工作日内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招标文件澄清或修补的截止时间</w:t>
            </w:r>
          </w:p>
        </w:tc>
        <w:tc>
          <w:tcPr>
            <w:tcW w:w="3758" w:type="pct"/>
            <w:vAlign w:val="center"/>
          </w:tcPr>
          <w:p>
            <w:pPr>
              <w:pStyle w:val="307"/>
              <w:rPr>
                <w:highlight w:val="none"/>
              </w:rPr>
            </w:pPr>
            <w:r>
              <w:rPr>
                <w:rFonts w:hint="eastAsia"/>
                <w:highlight w:val="none"/>
              </w:rPr>
              <w:t>截标之日（当日不计）3</w:t>
            </w:r>
            <w:r>
              <w:rPr>
                <w:highlight w:val="none"/>
              </w:rPr>
              <w:t>日</w:t>
            </w:r>
            <w:r>
              <w:rPr>
                <w:rFonts w:hint="eastAsia"/>
                <w:highlight w:val="none"/>
              </w:rPr>
              <w:t>前</w:t>
            </w:r>
            <w:r>
              <w:rPr>
                <w:rFonts w:hint="eastAsia"/>
                <w:highlight w:val="none"/>
                <w:u w:val="single"/>
              </w:rPr>
              <w:t>17：30</w:t>
            </w:r>
            <w:r>
              <w:rPr>
                <w:rFonts w:hint="eastAsia"/>
                <w:highlight w:val="none"/>
              </w:rPr>
              <w:t>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招标代理</w:t>
            </w:r>
            <w:r>
              <w:rPr>
                <w:highlight w:val="none"/>
              </w:rPr>
              <w:t>服务费</w:t>
            </w:r>
          </w:p>
        </w:tc>
        <w:tc>
          <w:tcPr>
            <w:tcW w:w="3758" w:type="pct"/>
            <w:vAlign w:val="center"/>
          </w:tcPr>
          <w:p>
            <w:pPr>
              <w:tabs>
                <w:tab w:val="clear" w:pos="426"/>
              </w:tabs>
              <w:spacing w:line="240" w:lineRule="exact"/>
              <w:rPr>
                <w:highlight w:val="none"/>
              </w:rPr>
            </w:pPr>
            <w:r>
              <w:rPr>
                <w:rFonts w:hint="eastAsia"/>
                <w:highlight w:val="none"/>
              </w:rPr>
              <w:t>（1）计算基数：中标金额。计算方法：采购代理机构以招标文件规定的计算基数，依据《福田区财政局关于规范福田区社会采购代理机构管理有关事项的通知》（福财〔2018〕154号）</w:t>
            </w:r>
            <w:r>
              <w:rPr>
                <w:highlight w:val="none"/>
              </w:rPr>
              <w:t>规定的招标代理服务费收费办法，按差额定率累进法计算</w:t>
            </w:r>
            <w:r>
              <w:rPr>
                <w:rFonts w:hint="eastAsia"/>
                <w:highlight w:val="none"/>
              </w:rPr>
              <w:t>,低</w:t>
            </w:r>
            <w:r>
              <w:rPr>
                <w:rFonts w:hint="eastAsia"/>
                <w:highlight w:val="none"/>
                <w:lang w:val="en-US" w:eastAsia="zh-CN"/>
              </w:rPr>
              <w:t>于</w:t>
            </w:r>
            <w:r>
              <w:rPr>
                <w:rFonts w:hint="eastAsia"/>
                <w:highlight w:val="none"/>
                <w:u w:val="single"/>
                <w:lang w:val="en-US" w:eastAsia="zh-CN"/>
              </w:rPr>
              <w:t>5000</w:t>
            </w:r>
            <w:r>
              <w:rPr>
                <w:rFonts w:hint="eastAsia"/>
                <w:highlight w:val="none"/>
                <w:u w:val="none"/>
              </w:rPr>
              <w:t>元的，按照</w:t>
            </w:r>
            <w:r>
              <w:rPr>
                <w:rFonts w:hint="eastAsia"/>
                <w:highlight w:val="none"/>
                <w:u w:val="single"/>
                <w:lang w:val="en-US" w:eastAsia="zh-CN"/>
              </w:rPr>
              <w:t>5000</w:t>
            </w:r>
            <w:r>
              <w:rPr>
                <w:rFonts w:hint="eastAsia"/>
                <w:highlight w:val="none"/>
              </w:rPr>
              <w:t>元计取。</w:t>
            </w:r>
          </w:p>
          <w:p>
            <w:pPr>
              <w:tabs>
                <w:tab w:val="clear" w:pos="426"/>
              </w:tabs>
              <w:spacing w:line="240" w:lineRule="exact"/>
              <w:rPr>
                <w:highlight w:val="none"/>
              </w:rPr>
            </w:pPr>
            <w:r>
              <w:rPr>
                <w:rFonts w:hint="eastAsia"/>
                <w:highlight w:val="none"/>
              </w:rPr>
              <w:t>（2）支付人：</w:t>
            </w:r>
            <w:r>
              <w:rPr>
                <w:highlight w:val="none"/>
              </w:rPr>
              <w:t>■</w:t>
            </w:r>
            <w:r>
              <w:rPr>
                <w:rFonts w:hint="eastAsia"/>
                <w:highlight w:val="none"/>
              </w:rPr>
              <w:t>中标人。</w:t>
            </w:r>
          </w:p>
          <w:p>
            <w:pPr>
              <w:tabs>
                <w:tab w:val="clear" w:pos="426"/>
              </w:tabs>
              <w:spacing w:line="240" w:lineRule="exact"/>
              <w:rPr>
                <w:highlight w:val="none"/>
              </w:rPr>
            </w:pPr>
            <w:r>
              <w:rPr>
                <w:rFonts w:hint="eastAsia"/>
                <w:highlight w:val="none"/>
              </w:rPr>
              <w:t>（3）支付方式：银行转账。</w:t>
            </w:r>
          </w:p>
          <w:p>
            <w:pPr>
              <w:tabs>
                <w:tab w:val="clear" w:pos="426"/>
              </w:tabs>
              <w:spacing w:line="240" w:lineRule="exact"/>
              <w:rPr>
                <w:highlight w:val="none"/>
              </w:rPr>
            </w:pPr>
            <w:r>
              <w:rPr>
                <w:rFonts w:hint="eastAsia"/>
                <w:highlight w:val="none"/>
              </w:rPr>
              <w:t>（4）收款账户信息如下：</w:t>
            </w:r>
          </w:p>
          <w:p>
            <w:pPr>
              <w:tabs>
                <w:tab w:val="clear" w:pos="426"/>
              </w:tabs>
              <w:spacing w:line="240" w:lineRule="exact"/>
              <w:rPr>
                <w:highlight w:val="none"/>
              </w:rPr>
            </w:pPr>
            <w:r>
              <w:rPr>
                <w:rFonts w:hint="eastAsia"/>
                <w:highlight w:val="none"/>
              </w:rPr>
              <w:t>户名：深圳市深水水务咨询有限公司</w:t>
            </w:r>
          </w:p>
          <w:p>
            <w:pPr>
              <w:tabs>
                <w:tab w:val="clear" w:pos="426"/>
              </w:tabs>
              <w:spacing w:line="240" w:lineRule="exact"/>
              <w:rPr>
                <w:highlight w:val="none"/>
              </w:rPr>
            </w:pPr>
            <w:r>
              <w:rPr>
                <w:rFonts w:hint="eastAsia"/>
                <w:highlight w:val="none"/>
              </w:rPr>
              <w:t>账号：</w:t>
            </w:r>
            <w:r>
              <w:rPr>
                <w:highlight w:val="none"/>
              </w:rPr>
              <w:t>443899991010003343618</w:t>
            </w:r>
          </w:p>
          <w:p>
            <w:pPr>
              <w:tabs>
                <w:tab w:val="clear" w:pos="426"/>
              </w:tabs>
              <w:spacing w:line="240" w:lineRule="exact"/>
              <w:rPr>
                <w:highlight w:val="none"/>
              </w:rPr>
            </w:pPr>
            <w:r>
              <w:rPr>
                <w:rFonts w:hint="eastAsia"/>
                <w:highlight w:val="none"/>
              </w:rPr>
              <w:t>开户行：交通银行深圳金叶支行</w:t>
            </w:r>
          </w:p>
          <w:p>
            <w:pPr>
              <w:tabs>
                <w:tab w:val="clear" w:pos="426"/>
              </w:tabs>
              <w:spacing w:line="240" w:lineRule="exact"/>
              <w:rPr>
                <w:highlight w:val="none"/>
              </w:rPr>
            </w:pPr>
            <w:r>
              <w:rPr>
                <w:rFonts w:hint="eastAsia"/>
                <w:highlight w:val="none"/>
              </w:rPr>
              <w:t>（5）发票联系人：</w:t>
            </w:r>
            <w:r>
              <w:rPr>
                <w:rFonts w:hint="eastAsia"/>
                <w:highlight w:val="none"/>
                <w:lang w:val="en-US" w:eastAsia="zh-CN"/>
              </w:rPr>
              <w:t>刘</w:t>
            </w:r>
            <w:r>
              <w:rPr>
                <w:rFonts w:hint="eastAsia"/>
                <w:highlight w:val="none"/>
              </w:rPr>
              <w:t>工0755-25163491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highlight w:val="none"/>
              </w:rPr>
              <w:t>投标</w:t>
            </w:r>
            <w:r>
              <w:rPr>
                <w:rFonts w:hint="eastAsia"/>
                <w:highlight w:val="none"/>
              </w:rPr>
              <w:t>担保</w:t>
            </w:r>
          </w:p>
        </w:tc>
        <w:tc>
          <w:tcPr>
            <w:tcW w:w="3758" w:type="pct"/>
            <w:vAlign w:val="center"/>
          </w:tcPr>
          <w:p>
            <w:pPr>
              <w:tabs>
                <w:tab w:val="clear" w:pos="426"/>
              </w:tabs>
              <w:spacing w:line="240" w:lineRule="exact"/>
              <w:jc w:val="left"/>
              <w:rPr>
                <w:highlight w:val="none"/>
              </w:rPr>
            </w:pPr>
            <w:r>
              <w:rPr>
                <w:rFonts w:hint="eastAsia"/>
                <w:szCs w:val="21"/>
                <w:highlight w:val="none"/>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highlight w:val="none"/>
              </w:rPr>
              <w:t>投标有效期</w:t>
            </w:r>
          </w:p>
        </w:tc>
        <w:tc>
          <w:tcPr>
            <w:tcW w:w="3758" w:type="pct"/>
            <w:vAlign w:val="center"/>
          </w:tcPr>
          <w:p>
            <w:pPr>
              <w:pStyle w:val="307"/>
              <w:rPr>
                <w:highlight w:val="none"/>
              </w:rPr>
            </w:pPr>
            <w:r>
              <w:rPr>
                <w:highlight w:val="none"/>
              </w:rPr>
              <w:t>120日历天（</w:t>
            </w:r>
            <w:r>
              <w:rPr>
                <w:rFonts w:hint="eastAsia"/>
                <w:highlight w:val="none"/>
              </w:rPr>
              <w:t>从投标截止之日算起</w:t>
            </w:r>
            <w:r>
              <w:rPr>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替代方案</w:t>
            </w:r>
          </w:p>
        </w:tc>
        <w:tc>
          <w:tcPr>
            <w:tcW w:w="3758" w:type="pct"/>
            <w:vAlign w:val="center"/>
          </w:tcPr>
          <w:p>
            <w:pPr>
              <w:pStyle w:val="307"/>
              <w:rPr>
                <w:highlight w:val="none"/>
              </w:rPr>
            </w:pPr>
            <w:r>
              <w:rPr>
                <w:highlight w:val="none"/>
              </w:rPr>
              <w:t>■</w:t>
            </w:r>
            <w:r>
              <w:rPr>
                <w:rFonts w:hint="eastAsia"/>
                <w:highlight w:val="none"/>
                <w:lang w:val="en-US" w:eastAsia="zh-CN"/>
              </w:rPr>
              <w:t>不</w:t>
            </w:r>
            <w:r>
              <w:rPr>
                <w:rFonts w:hint="eastAsia"/>
                <w:highlight w:val="none"/>
              </w:rPr>
              <w:t>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评定分离</w:t>
            </w:r>
          </w:p>
        </w:tc>
        <w:tc>
          <w:tcPr>
            <w:tcW w:w="3758" w:type="pct"/>
            <w:vAlign w:val="center"/>
          </w:tcPr>
          <w:p>
            <w:pPr>
              <w:pStyle w:val="307"/>
              <w:rPr>
                <w:highlight w:val="none"/>
              </w:rPr>
            </w:pPr>
            <w:r>
              <w:rPr>
                <w:highlight w:val="none"/>
              </w:rPr>
              <w:t>■</w:t>
            </w:r>
            <w:r>
              <w:rPr>
                <w:rFonts w:hint="eastAsia"/>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highlight w:val="none"/>
              </w:rPr>
              <w:t>评标</w:t>
            </w:r>
            <w:r>
              <w:rPr>
                <w:rFonts w:hint="eastAsia"/>
                <w:highlight w:val="none"/>
              </w:rPr>
              <w:t>方</w:t>
            </w:r>
            <w:r>
              <w:rPr>
                <w:highlight w:val="none"/>
              </w:rPr>
              <w:t>法</w:t>
            </w:r>
          </w:p>
        </w:tc>
        <w:tc>
          <w:tcPr>
            <w:tcW w:w="3758" w:type="pct"/>
            <w:vAlign w:val="center"/>
          </w:tcPr>
          <w:p>
            <w:pPr>
              <w:pStyle w:val="307"/>
              <w:rPr>
                <w:color w:val="000000"/>
                <w:highlight w:val="none"/>
              </w:rPr>
            </w:pPr>
            <w:r>
              <w:rPr>
                <w:highlight w:val="none"/>
              </w:rPr>
              <w:t>■</w:t>
            </w:r>
            <w:r>
              <w:rPr>
                <w:rFonts w:hint="eastAsia"/>
                <w:color w:val="000000"/>
                <w:highlight w:val="none"/>
              </w:rPr>
              <w:t xml:space="preserve">综合评分法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定</w:t>
            </w:r>
            <w:r>
              <w:rPr>
                <w:highlight w:val="none"/>
              </w:rPr>
              <w:t>标</w:t>
            </w:r>
            <w:r>
              <w:rPr>
                <w:rFonts w:hint="eastAsia"/>
                <w:highlight w:val="none"/>
              </w:rPr>
              <w:t>方</w:t>
            </w:r>
            <w:r>
              <w:rPr>
                <w:highlight w:val="none"/>
              </w:rPr>
              <w:t>法</w:t>
            </w:r>
          </w:p>
        </w:tc>
        <w:tc>
          <w:tcPr>
            <w:tcW w:w="3758" w:type="pct"/>
            <w:vAlign w:val="center"/>
          </w:tcPr>
          <w:p>
            <w:pPr>
              <w:pStyle w:val="307"/>
              <w:rPr>
                <w:color w:val="000000"/>
                <w:highlight w:val="none"/>
              </w:rPr>
            </w:pPr>
            <w:r>
              <w:rPr>
                <w:highlight w:val="none"/>
              </w:rPr>
              <w:t>■</w:t>
            </w:r>
            <w:r>
              <w:rPr>
                <w:rFonts w:hint="eastAsia"/>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highlight w:val="none"/>
              </w:rPr>
              <w:t>履约保证金</w:t>
            </w:r>
          </w:p>
        </w:tc>
        <w:tc>
          <w:tcPr>
            <w:tcW w:w="3758" w:type="pct"/>
            <w:vAlign w:val="center"/>
          </w:tcPr>
          <w:p>
            <w:pPr>
              <w:tabs>
                <w:tab w:val="clear" w:pos="426"/>
              </w:tabs>
              <w:spacing w:line="240" w:lineRule="exact"/>
              <w:rPr>
                <w:highlight w:val="none"/>
              </w:rPr>
            </w:pPr>
            <w:r>
              <w:rPr>
                <w:rFonts w:hint="eastAsia"/>
                <w:szCs w:val="21"/>
                <w:highlight w:val="none"/>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highlight w:val="none"/>
              </w:rPr>
              <w:t>投标文件份数</w:t>
            </w:r>
          </w:p>
        </w:tc>
        <w:tc>
          <w:tcPr>
            <w:tcW w:w="3758" w:type="pct"/>
            <w:vAlign w:val="center"/>
          </w:tcPr>
          <w:p>
            <w:pPr>
              <w:pStyle w:val="307"/>
              <w:rPr>
                <w:highlight w:val="none"/>
              </w:rPr>
            </w:pPr>
            <w:r>
              <w:rPr>
                <w:rFonts w:hint="eastAsia"/>
                <w:highlight w:val="none"/>
              </w:rPr>
              <w:t>（1）开标信封一份；</w:t>
            </w:r>
          </w:p>
          <w:p>
            <w:pPr>
              <w:pStyle w:val="307"/>
              <w:rPr>
                <w:highlight w:val="none"/>
              </w:rPr>
            </w:pPr>
            <w:r>
              <w:rPr>
                <w:rFonts w:hint="eastAsia"/>
                <w:highlight w:val="none"/>
              </w:rPr>
              <w:t>（2）纸质投标文件</w:t>
            </w:r>
            <w:r>
              <w:rPr>
                <w:highlight w:val="none"/>
                <w:u w:val="single"/>
              </w:rPr>
              <w:t>一</w:t>
            </w:r>
            <w:r>
              <w:rPr>
                <w:highlight w:val="none"/>
              </w:rPr>
              <w:t>正本，</w:t>
            </w:r>
            <w:r>
              <w:rPr>
                <w:highlight w:val="none"/>
                <w:u w:val="single"/>
              </w:rPr>
              <w:t>四</w:t>
            </w:r>
            <w:r>
              <w:rPr>
                <w:highlight w:val="none"/>
              </w:rPr>
              <w:t>副本</w:t>
            </w:r>
            <w:r>
              <w:rPr>
                <w:rFonts w:hint="eastAsia"/>
                <w:highlight w:val="none"/>
              </w:rPr>
              <w:t>，副本可用正本复印件，建议胶装，统一密封在一个外密封包里。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投标文件电子版</w:t>
            </w:r>
          </w:p>
        </w:tc>
        <w:tc>
          <w:tcPr>
            <w:tcW w:w="3758" w:type="pct"/>
            <w:vAlign w:val="center"/>
          </w:tcPr>
          <w:p>
            <w:pPr>
              <w:pStyle w:val="307"/>
              <w:rPr>
                <w:highlight w:val="none"/>
              </w:rPr>
            </w:pPr>
            <w:r>
              <w:rPr>
                <w:rFonts w:hint="eastAsia"/>
                <w:highlight w:val="none"/>
              </w:rPr>
              <w:t>光盘/</w:t>
            </w:r>
            <w:r>
              <w:rPr>
                <w:highlight w:val="none"/>
              </w:rPr>
              <w:t>U</w:t>
            </w:r>
            <w:r>
              <w:rPr>
                <w:rFonts w:hint="eastAsia"/>
                <w:highlight w:val="none"/>
              </w:rPr>
              <w:t>盘（投标文件正本盖章后的彩色扫描件，</w:t>
            </w:r>
            <w:r>
              <w:rPr>
                <w:highlight w:val="none"/>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预算金额</w:t>
            </w:r>
          </w:p>
        </w:tc>
        <w:tc>
          <w:tcPr>
            <w:tcW w:w="3758" w:type="pct"/>
            <w:vAlign w:val="center"/>
          </w:tcPr>
          <w:p>
            <w:pPr>
              <w:pStyle w:val="307"/>
              <w:rPr>
                <w:color w:val="FF0000"/>
                <w:highlight w:val="none"/>
              </w:rPr>
            </w:pPr>
            <w:r>
              <w:rPr>
                <w:rFonts w:hint="eastAsia"/>
                <w:b/>
                <w:highlight w:val="none"/>
              </w:rPr>
              <w:t>金额：</w:t>
            </w:r>
            <w:r>
              <w:rPr>
                <w:rFonts w:hint="eastAsia"/>
                <w:b/>
                <w:highlight w:val="none"/>
                <w:u w:val="single"/>
              </w:rPr>
              <w:t>人民币</w:t>
            </w:r>
            <w:r>
              <w:rPr>
                <w:rFonts w:hint="eastAsia"/>
                <w:b/>
                <w:highlight w:val="none"/>
                <w:u w:val="single"/>
                <w:lang w:val="en-US" w:eastAsia="zh-CN"/>
              </w:rPr>
              <w:t xml:space="preserve"> 壹佰柒拾叁万</w:t>
            </w:r>
            <w:r>
              <w:rPr>
                <w:rFonts w:hint="eastAsia"/>
                <w:b/>
                <w:highlight w:val="none"/>
                <w:u w:val="single"/>
              </w:rPr>
              <w:t>整</w:t>
            </w:r>
            <w:r>
              <w:rPr>
                <w:b/>
                <w:highlight w:val="none"/>
                <w:u w:val="single"/>
              </w:rPr>
              <w:t>（</w:t>
            </w:r>
            <w:r>
              <w:rPr>
                <w:rFonts w:hint="eastAsia" w:eastAsia="微软雅黑"/>
                <w:b/>
                <w:highlight w:val="none"/>
                <w:u w:val="single"/>
              </w:rPr>
              <w:t>¥</w:t>
            </w:r>
            <w:r>
              <w:rPr>
                <w:rFonts w:hint="eastAsia"/>
                <w:b/>
                <w:highlight w:val="none"/>
                <w:u w:val="single"/>
                <w:lang w:val="en-US" w:eastAsia="zh-CN"/>
              </w:rPr>
              <w:t>1730000.00</w:t>
            </w:r>
            <w:r>
              <w:rPr>
                <w:rFonts w:hint="eastAsia"/>
                <w:b/>
                <w:highlight w:val="none"/>
                <w:u w:val="single"/>
              </w:rPr>
              <w:t>元</w:t>
            </w:r>
            <w:r>
              <w:rPr>
                <w:b/>
                <w:highlight w:val="none"/>
                <w:u w:val="single"/>
              </w:rPr>
              <w:t>）</w:t>
            </w:r>
            <w:r>
              <w:rPr>
                <w:rFonts w:hint="eastAsia"/>
                <w:b/>
                <w:highlight w:val="none"/>
                <w:u w:val="single"/>
              </w:rPr>
              <w:t>，</w:t>
            </w:r>
            <w:r>
              <w:rPr>
                <w:rFonts w:hint="eastAsia"/>
                <w:highlight w:val="none"/>
              </w:rPr>
              <w:t>分项预算限额详见服务清单一览表，超出预算金额或分项预算限额的投标文件将导致投标无效。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79" w:type="pct"/>
            <w:vAlign w:val="center"/>
          </w:tcPr>
          <w:p>
            <w:pPr>
              <w:pStyle w:val="280"/>
              <w:numPr>
                <w:ilvl w:val="0"/>
                <w:numId w:val="30"/>
              </w:numPr>
              <w:adjustRightInd w:val="0"/>
              <w:snapToGrid w:val="0"/>
              <w:spacing w:line="240" w:lineRule="exact"/>
              <w:ind w:firstLineChars="0"/>
              <w:jc w:val="center"/>
              <w:rPr>
                <w:szCs w:val="21"/>
                <w:highlight w:val="none"/>
              </w:rPr>
            </w:pPr>
          </w:p>
        </w:tc>
        <w:tc>
          <w:tcPr>
            <w:tcW w:w="963" w:type="pct"/>
            <w:vAlign w:val="center"/>
          </w:tcPr>
          <w:p>
            <w:pPr>
              <w:tabs>
                <w:tab w:val="clear" w:pos="426"/>
              </w:tabs>
              <w:spacing w:line="240" w:lineRule="exact"/>
              <w:rPr>
                <w:highlight w:val="none"/>
              </w:rPr>
            </w:pPr>
            <w:r>
              <w:rPr>
                <w:rFonts w:hint="eastAsia"/>
                <w:highlight w:val="none"/>
              </w:rPr>
              <w:t>最高投标限价</w:t>
            </w:r>
          </w:p>
        </w:tc>
        <w:tc>
          <w:tcPr>
            <w:tcW w:w="3758" w:type="pct"/>
            <w:vAlign w:val="center"/>
          </w:tcPr>
          <w:p>
            <w:pPr>
              <w:pStyle w:val="307"/>
              <w:rPr>
                <w:b/>
                <w:highlight w:val="none"/>
              </w:rPr>
            </w:pPr>
            <w:r>
              <w:rPr>
                <w:rFonts w:hint="eastAsia"/>
                <w:b/>
                <w:highlight w:val="none"/>
              </w:rPr>
              <w:t>金额：</w:t>
            </w:r>
            <w:r>
              <w:rPr>
                <w:rFonts w:hint="eastAsia"/>
                <w:b/>
                <w:highlight w:val="none"/>
                <w:u w:val="single"/>
              </w:rPr>
              <w:t>人民币</w:t>
            </w:r>
            <w:r>
              <w:rPr>
                <w:rFonts w:hint="eastAsia"/>
                <w:b/>
                <w:highlight w:val="none"/>
                <w:u w:val="single"/>
                <w:lang w:val="en-US" w:eastAsia="zh-CN"/>
              </w:rPr>
              <w:t xml:space="preserve"> 壹佰柒拾叁万</w:t>
            </w:r>
            <w:r>
              <w:rPr>
                <w:rFonts w:hint="eastAsia"/>
                <w:b/>
                <w:highlight w:val="none"/>
                <w:u w:val="single"/>
              </w:rPr>
              <w:t>整</w:t>
            </w:r>
            <w:r>
              <w:rPr>
                <w:b/>
                <w:highlight w:val="none"/>
                <w:u w:val="single"/>
              </w:rPr>
              <w:t>（</w:t>
            </w:r>
            <w:r>
              <w:rPr>
                <w:rFonts w:hint="eastAsia" w:eastAsia="微软雅黑"/>
                <w:b/>
                <w:highlight w:val="none"/>
                <w:u w:val="single"/>
              </w:rPr>
              <w:t>¥</w:t>
            </w:r>
            <w:r>
              <w:rPr>
                <w:rFonts w:hint="eastAsia" w:eastAsia="微软雅黑"/>
                <w:b/>
                <w:highlight w:val="none"/>
                <w:u w:val="single"/>
                <w:lang w:val="en-US" w:eastAsia="zh-CN"/>
              </w:rPr>
              <w:t>1730000.00</w:t>
            </w:r>
            <w:r>
              <w:rPr>
                <w:rFonts w:hint="eastAsia"/>
                <w:b/>
                <w:highlight w:val="none"/>
                <w:u w:val="single"/>
              </w:rPr>
              <w:t>元</w:t>
            </w:r>
            <w:r>
              <w:rPr>
                <w:b/>
                <w:highlight w:val="none"/>
                <w:u w:val="single"/>
              </w:rPr>
              <w:t>）</w:t>
            </w:r>
            <w:r>
              <w:rPr>
                <w:rFonts w:hint="eastAsia"/>
                <w:b/>
                <w:highlight w:val="none"/>
                <w:u w:val="single"/>
              </w:rPr>
              <w:t>，</w:t>
            </w:r>
            <w:r>
              <w:rPr>
                <w:rFonts w:hint="eastAsia"/>
                <w:highlight w:val="none"/>
              </w:rPr>
              <w:t>分项最高投标限价详见服务清单一览表，超出最高投标限价或分项最高投标限价的投标文件将导致投标无效。</w:t>
            </w:r>
          </w:p>
        </w:tc>
      </w:tr>
    </w:tbl>
    <w:p>
      <w:pPr>
        <w:pStyle w:val="309"/>
        <w:pageBreakBefore/>
        <w:rPr>
          <w:highlight w:val="none"/>
        </w:rPr>
      </w:pPr>
      <w:bookmarkStart w:id="37" w:name="_Toc67387142"/>
      <w:bookmarkStart w:id="38" w:name="_Hlk73714305"/>
      <w:bookmarkStart w:id="39" w:name="_Toc398220525"/>
      <w:bookmarkStart w:id="40" w:name="_Toc432592816"/>
      <w:r>
        <w:rPr>
          <w:rFonts w:hint="eastAsia"/>
          <w:highlight w:val="none"/>
        </w:rPr>
        <w:t xml:space="preserve">第三章 </w:t>
      </w:r>
      <w:r>
        <w:rPr>
          <w:highlight w:val="none"/>
        </w:rPr>
        <w:t>项目</w:t>
      </w:r>
      <w:r>
        <w:rPr>
          <w:rFonts w:hint="eastAsia"/>
          <w:highlight w:val="none"/>
        </w:rPr>
        <w:t>需求</w:t>
      </w:r>
      <w:bookmarkEnd w:id="37"/>
    </w:p>
    <w:p>
      <w:pPr>
        <w:pStyle w:val="319"/>
        <w:rPr>
          <w:highlight w:val="none"/>
        </w:rPr>
      </w:pPr>
      <w:r>
        <w:rPr>
          <w:rFonts w:hint="eastAsia"/>
          <w:highlight w:val="none"/>
        </w:rPr>
        <w:t>服务</w:t>
      </w:r>
      <w:r>
        <w:rPr>
          <w:highlight w:val="none"/>
        </w:rPr>
        <w:t>清单</w:t>
      </w:r>
      <w:r>
        <w:rPr>
          <w:rFonts w:hint="eastAsia"/>
          <w:highlight w:val="none"/>
        </w:rPr>
        <w:t>一览表</w:t>
      </w:r>
    </w:p>
    <w:bookmarkEnd w:id="38"/>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77"/>
        <w:gridCol w:w="3235"/>
        <w:gridCol w:w="863"/>
        <w:gridCol w:w="693"/>
        <w:gridCol w:w="88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43" w:type="pct"/>
            <w:shd w:val="clear" w:color="auto" w:fill="C6D9F1"/>
            <w:vAlign w:val="center"/>
          </w:tcPr>
          <w:p>
            <w:pPr>
              <w:widowControl w:val="0"/>
              <w:shd w:val="clear" w:color="auto" w:fill="auto"/>
              <w:tabs>
                <w:tab w:val="clear" w:pos="426"/>
              </w:tabs>
              <w:wordWrap w:val="0"/>
              <w:spacing w:line="240" w:lineRule="auto"/>
              <w:jc w:val="center"/>
              <w:rPr>
                <w:rFonts w:cs="Times New Roman"/>
                <w:b/>
                <w:bCs/>
                <w:szCs w:val="21"/>
                <w:highlight w:val="none"/>
              </w:rPr>
            </w:pPr>
            <w:r>
              <w:rPr>
                <w:rFonts w:cs="Times New Roman"/>
                <w:b/>
                <w:bCs/>
                <w:szCs w:val="21"/>
                <w:highlight w:val="none"/>
              </w:rPr>
              <w:t>序号</w:t>
            </w:r>
          </w:p>
        </w:tc>
        <w:tc>
          <w:tcPr>
            <w:tcW w:w="824" w:type="pct"/>
            <w:shd w:val="clear" w:color="auto" w:fill="C6D9F1"/>
            <w:vAlign w:val="center"/>
          </w:tcPr>
          <w:p>
            <w:pPr>
              <w:widowControl w:val="0"/>
              <w:shd w:val="clear" w:color="auto" w:fill="auto"/>
              <w:tabs>
                <w:tab w:val="clear" w:pos="426"/>
              </w:tabs>
              <w:wordWrap w:val="0"/>
              <w:spacing w:line="240" w:lineRule="auto"/>
              <w:jc w:val="center"/>
              <w:rPr>
                <w:rFonts w:cs="Times New Roman"/>
                <w:b/>
                <w:bCs/>
                <w:szCs w:val="21"/>
                <w:highlight w:val="none"/>
              </w:rPr>
            </w:pPr>
            <w:r>
              <w:rPr>
                <w:rFonts w:cs="Times New Roman"/>
                <w:b/>
                <w:bCs/>
                <w:szCs w:val="21"/>
                <w:highlight w:val="none"/>
              </w:rPr>
              <w:t>采购计划编号</w:t>
            </w:r>
          </w:p>
        </w:tc>
        <w:tc>
          <w:tcPr>
            <w:tcW w:w="1690" w:type="pct"/>
            <w:shd w:val="clear" w:color="auto" w:fill="C6D9F1"/>
            <w:vAlign w:val="center"/>
          </w:tcPr>
          <w:p>
            <w:pPr>
              <w:widowControl w:val="0"/>
              <w:shd w:val="clear" w:color="auto" w:fill="auto"/>
              <w:tabs>
                <w:tab w:val="clear" w:pos="426"/>
              </w:tabs>
              <w:wordWrap w:val="0"/>
              <w:spacing w:line="240" w:lineRule="auto"/>
              <w:jc w:val="center"/>
              <w:rPr>
                <w:rFonts w:cs="Times New Roman"/>
                <w:b/>
                <w:bCs/>
                <w:szCs w:val="21"/>
                <w:highlight w:val="none"/>
              </w:rPr>
            </w:pPr>
            <w:r>
              <w:rPr>
                <w:rFonts w:hint="eastAsia" w:cs="Times New Roman"/>
                <w:b/>
                <w:bCs/>
                <w:szCs w:val="21"/>
                <w:highlight w:val="none"/>
              </w:rPr>
              <w:t>服务</w:t>
            </w:r>
            <w:r>
              <w:rPr>
                <w:rFonts w:cs="Times New Roman"/>
                <w:b/>
                <w:bCs/>
                <w:szCs w:val="21"/>
                <w:highlight w:val="none"/>
              </w:rPr>
              <w:t>名称</w:t>
            </w:r>
          </w:p>
        </w:tc>
        <w:tc>
          <w:tcPr>
            <w:tcW w:w="451" w:type="pct"/>
            <w:shd w:val="clear" w:color="auto" w:fill="C6D9F1"/>
            <w:vAlign w:val="center"/>
          </w:tcPr>
          <w:p>
            <w:pPr>
              <w:widowControl w:val="0"/>
              <w:shd w:val="clear" w:color="auto" w:fill="auto"/>
              <w:tabs>
                <w:tab w:val="clear" w:pos="426"/>
              </w:tabs>
              <w:wordWrap w:val="0"/>
              <w:spacing w:line="240" w:lineRule="auto"/>
              <w:jc w:val="center"/>
              <w:rPr>
                <w:rFonts w:cs="Times New Roman"/>
                <w:b/>
                <w:bCs/>
                <w:szCs w:val="21"/>
                <w:highlight w:val="none"/>
              </w:rPr>
            </w:pPr>
            <w:r>
              <w:rPr>
                <w:rFonts w:cs="Times New Roman"/>
                <w:b/>
                <w:bCs/>
                <w:szCs w:val="21"/>
                <w:highlight w:val="none"/>
              </w:rPr>
              <w:t>数量</w:t>
            </w:r>
          </w:p>
        </w:tc>
        <w:tc>
          <w:tcPr>
            <w:tcW w:w="362" w:type="pct"/>
            <w:shd w:val="clear" w:color="auto" w:fill="C6D9F1"/>
            <w:vAlign w:val="center"/>
          </w:tcPr>
          <w:p>
            <w:pPr>
              <w:widowControl w:val="0"/>
              <w:shd w:val="clear" w:color="auto" w:fill="auto"/>
              <w:tabs>
                <w:tab w:val="clear" w:pos="426"/>
              </w:tabs>
              <w:wordWrap w:val="0"/>
              <w:spacing w:line="240" w:lineRule="auto"/>
              <w:jc w:val="center"/>
              <w:rPr>
                <w:rFonts w:cs="Times New Roman"/>
                <w:b/>
                <w:bCs/>
                <w:szCs w:val="21"/>
                <w:highlight w:val="none"/>
              </w:rPr>
            </w:pPr>
            <w:r>
              <w:rPr>
                <w:rFonts w:cs="Times New Roman"/>
                <w:b/>
                <w:bCs/>
                <w:szCs w:val="21"/>
                <w:highlight w:val="none"/>
              </w:rPr>
              <w:t>单位</w:t>
            </w:r>
          </w:p>
        </w:tc>
        <w:tc>
          <w:tcPr>
            <w:tcW w:w="461" w:type="pct"/>
            <w:shd w:val="clear" w:color="auto" w:fill="C6D9F1"/>
            <w:vAlign w:val="center"/>
          </w:tcPr>
          <w:p>
            <w:pPr>
              <w:widowControl w:val="0"/>
              <w:shd w:val="clear" w:color="auto" w:fill="auto"/>
              <w:tabs>
                <w:tab w:val="clear" w:pos="426"/>
              </w:tabs>
              <w:wordWrap w:val="0"/>
              <w:spacing w:line="240" w:lineRule="auto"/>
              <w:jc w:val="center"/>
              <w:rPr>
                <w:rFonts w:cs="Times New Roman"/>
                <w:b/>
                <w:bCs/>
                <w:szCs w:val="21"/>
                <w:highlight w:val="none"/>
              </w:rPr>
            </w:pPr>
            <w:r>
              <w:rPr>
                <w:rFonts w:cs="Times New Roman"/>
                <w:b/>
                <w:bCs/>
                <w:szCs w:val="21"/>
                <w:highlight w:val="none"/>
              </w:rPr>
              <w:t>备注</w:t>
            </w:r>
          </w:p>
        </w:tc>
        <w:tc>
          <w:tcPr>
            <w:tcW w:w="869" w:type="pct"/>
            <w:shd w:val="clear" w:color="auto" w:fill="C6D9F1"/>
            <w:vAlign w:val="center"/>
          </w:tcPr>
          <w:p>
            <w:pPr>
              <w:widowControl w:val="0"/>
              <w:shd w:val="clear" w:color="auto" w:fill="auto"/>
              <w:tabs>
                <w:tab w:val="clear" w:pos="426"/>
              </w:tabs>
              <w:wordWrap w:val="0"/>
              <w:spacing w:line="240" w:lineRule="auto"/>
              <w:jc w:val="center"/>
              <w:rPr>
                <w:rFonts w:cs="Times New Roman"/>
                <w:b/>
                <w:bCs/>
                <w:szCs w:val="21"/>
                <w:highlight w:val="none"/>
              </w:rPr>
            </w:pPr>
            <w:r>
              <w:rPr>
                <w:rFonts w:hint="eastAsia" w:cs="Times New Roman"/>
                <w:b/>
                <w:bCs/>
                <w:szCs w:val="21"/>
                <w:highlight w:val="none"/>
              </w:rPr>
              <w:t>最高投标限价</w:t>
            </w:r>
            <w:r>
              <w:rPr>
                <w:rFonts w:cs="Times New Roman"/>
                <w:b/>
                <w:bCs/>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43" w:type="pct"/>
            <w:vAlign w:val="center"/>
          </w:tcPr>
          <w:p>
            <w:pPr>
              <w:wordWrap w:val="0"/>
              <w:spacing w:line="240" w:lineRule="auto"/>
              <w:jc w:val="center"/>
              <w:rPr>
                <w:bCs/>
                <w:szCs w:val="21"/>
                <w:highlight w:val="none"/>
              </w:rPr>
            </w:pPr>
            <w:r>
              <w:rPr>
                <w:rFonts w:hint="eastAsia"/>
                <w:bCs/>
                <w:szCs w:val="21"/>
                <w:highlight w:val="none"/>
              </w:rPr>
              <w:t>1</w:t>
            </w:r>
          </w:p>
        </w:tc>
        <w:tc>
          <w:tcPr>
            <w:tcW w:w="824" w:type="pct"/>
            <w:vAlign w:val="center"/>
          </w:tcPr>
          <w:p>
            <w:pPr>
              <w:wordWrap w:val="0"/>
              <w:spacing w:line="240" w:lineRule="auto"/>
              <w:jc w:val="center"/>
              <w:rPr>
                <w:rFonts w:hint="eastAsia"/>
                <w:highlight w:val="none"/>
                <w:lang w:val="en-US" w:eastAsia="zh-CN"/>
              </w:rPr>
            </w:pPr>
            <w:r>
              <w:rPr>
                <w:rFonts w:hint="eastAsia"/>
                <w:highlight w:val="none"/>
                <w:lang w:val="en-US" w:eastAsia="zh-CN"/>
              </w:rPr>
              <w:t>PLAN2021-440304-0402130001-01030</w:t>
            </w:r>
          </w:p>
          <w:p>
            <w:pPr>
              <w:wordWrap w:val="0"/>
              <w:spacing w:line="240" w:lineRule="auto"/>
              <w:jc w:val="center"/>
              <w:rPr>
                <w:rFonts w:hint="default"/>
                <w:bCs/>
                <w:szCs w:val="21"/>
                <w:highlight w:val="none"/>
                <w:lang w:val="en-US"/>
              </w:rPr>
            </w:pPr>
            <w:r>
              <w:rPr>
                <w:rFonts w:hint="eastAsia"/>
                <w:highlight w:val="none"/>
                <w:lang w:val="en-US" w:eastAsia="zh-CN"/>
              </w:rPr>
              <w:t>PLAN2021-440304-0402130001-01031</w:t>
            </w:r>
          </w:p>
        </w:tc>
        <w:tc>
          <w:tcPr>
            <w:tcW w:w="1690" w:type="pct"/>
            <w:vAlign w:val="center"/>
          </w:tcPr>
          <w:p>
            <w:pPr>
              <w:wordWrap w:val="0"/>
              <w:spacing w:line="240" w:lineRule="auto"/>
              <w:jc w:val="center"/>
              <w:rPr>
                <w:rFonts w:hint="eastAsia" w:eastAsia="宋体"/>
                <w:bCs/>
                <w:szCs w:val="21"/>
                <w:highlight w:val="none"/>
                <w:lang w:eastAsia="zh-CN"/>
              </w:rPr>
            </w:pPr>
            <w:r>
              <w:rPr>
                <w:rFonts w:hint="eastAsia"/>
                <w:bCs/>
                <w:szCs w:val="21"/>
                <w:highlight w:val="none"/>
                <w:lang w:eastAsia="zh-CN"/>
              </w:rPr>
              <w:t>福田区水务工程第三方安全检查与检测技术服务</w:t>
            </w:r>
          </w:p>
        </w:tc>
        <w:tc>
          <w:tcPr>
            <w:tcW w:w="451" w:type="pct"/>
            <w:vAlign w:val="center"/>
          </w:tcPr>
          <w:p>
            <w:pPr>
              <w:wordWrap w:val="0"/>
              <w:spacing w:line="240" w:lineRule="auto"/>
              <w:jc w:val="center"/>
              <w:rPr>
                <w:bCs/>
                <w:szCs w:val="21"/>
                <w:highlight w:val="none"/>
              </w:rPr>
            </w:pPr>
            <w:r>
              <w:rPr>
                <w:rFonts w:hint="eastAsia"/>
                <w:bCs/>
                <w:szCs w:val="21"/>
                <w:highlight w:val="none"/>
              </w:rPr>
              <w:t>1</w:t>
            </w:r>
          </w:p>
        </w:tc>
        <w:tc>
          <w:tcPr>
            <w:tcW w:w="362" w:type="pct"/>
            <w:vAlign w:val="center"/>
          </w:tcPr>
          <w:p>
            <w:pPr>
              <w:wordWrap w:val="0"/>
              <w:spacing w:line="240" w:lineRule="auto"/>
              <w:jc w:val="center"/>
              <w:rPr>
                <w:bCs/>
                <w:szCs w:val="21"/>
                <w:highlight w:val="none"/>
              </w:rPr>
            </w:pPr>
            <w:r>
              <w:rPr>
                <w:rFonts w:hint="eastAsia"/>
                <w:szCs w:val="21"/>
                <w:highlight w:val="none"/>
              </w:rPr>
              <w:t>项</w:t>
            </w:r>
          </w:p>
        </w:tc>
        <w:tc>
          <w:tcPr>
            <w:tcW w:w="461" w:type="pct"/>
            <w:vAlign w:val="center"/>
          </w:tcPr>
          <w:p>
            <w:pPr>
              <w:wordWrap w:val="0"/>
              <w:spacing w:line="240" w:lineRule="auto"/>
              <w:jc w:val="center"/>
              <w:rPr>
                <w:bCs/>
                <w:szCs w:val="21"/>
                <w:highlight w:val="none"/>
              </w:rPr>
            </w:pPr>
            <w:r>
              <w:rPr>
                <w:rFonts w:hint="eastAsia"/>
                <w:bCs/>
                <w:szCs w:val="21"/>
                <w:highlight w:val="none"/>
              </w:rPr>
              <w:t>无</w:t>
            </w:r>
          </w:p>
        </w:tc>
        <w:tc>
          <w:tcPr>
            <w:tcW w:w="869" w:type="pct"/>
            <w:vAlign w:val="center"/>
          </w:tcPr>
          <w:p>
            <w:pPr>
              <w:widowControl w:val="0"/>
              <w:shd w:val="clear" w:color="auto" w:fill="auto"/>
              <w:tabs>
                <w:tab w:val="clear" w:pos="426"/>
              </w:tabs>
              <w:wordWrap w:val="0"/>
              <w:spacing w:line="240" w:lineRule="auto"/>
              <w:jc w:val="center"/>
              <w:rPr>
                <w:rFonts w:cs="Times New Roman"/>
                <w:szCs w:val="21"/>
                <w:highlight w:val="none"/>
              </w:rPr>
            </w:pPr>
            <w:r>
              <w:rPr>
                <w:rFonts w:hint="eastAsia" w:cs="Times New Roman"/>
                <w:szCs w:val="21"/>
                <w:highlight w:val="none"/>
                <w:lang w:val="en-US" w:eastAsia="zh-CN"/>
              </w:rPr>
              <w:t>1730000.00</w:t>
            </w:r>
          </w:p>
        </w:tc>
      </w:tr>
    </w:tbl>
    <w:p>
      <w:pPr>
        <w:pStyle w:val="305"/>
        <w:rPr>
          <w:highlight w:val="none"/>
        </w:rPr>
      </w:pPr>
    </w:p>
    <w:p>
      <w:pPr>
        <w:pStyle w:val="319"/>
        <w:rPr>
          <w:highlight w:val="none"/>
        </w:rPr>
      </w:pPr>
      <w:r>
        <w:rPr>
          <w:rFonts w:hint="eastAsia"/>
          <w:highlight w:val="none"/>
        </w:rPr>
        <w:t>实质性响应条款</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pct"/>
            <w:shd w:val="clear" w:color="auto" w:fill="C6D9F1"/>
            <w:vAlign w:val="center"/>
          </w:tcPr>
          <w:p>
            <w:pPr>
              <w:widowControl w:val="0"/>
              <w:shd w:val="clear" w:color="auto" w:fill="auto"/>
              <w:tabs>
                <w:tab w:val="clear" w:pos="426"/>
              </w:tabs>
              <w:spacing w:line="240" w:lineRule="auto"/>
              <w:jc w:val="center"/>
              <w:rPr>
                <w:rFonts w:cs="Times New Roman"/>
                <w:b/>
                <w:bCs/>
                <w:szCs w:val="21"/>
                <w:highlight w:val="none"/>
              </w:rPr>
            </w:pPr>
            <w:r>
              <w:rPr>
                <w:rFonts w:hint="eastAsia" w:cs="Times New Roman"/>
                <w:b/>
                <w:bCs/>
                <w:szCs w:val="21"/>
                <w:highlight w:val="none"/>
              </w:rPr>
              <w:t>序号</w:t>
            </w:r>
          </w:p>
        </w:tc>
        <w:tc>
          <w:tcPr>
            <w:tcW w:w="4472" w:type="pct"/>
            <w:shd w:val="solid" w:color="C6D9F1" w:fill="C6D9F1"/>
            <w:vAlign w:val="center"/>
          </w:tcPr>
          <w:p>
            <w:pPr>
              <w:widowControl w:val="0"/>
              <w:shd w:val="clear" w:color="C6D9F1" w:fill="C6D9F1"/>
              <w:spacing w:line="240" w:lineRule="auto"/>
              <w:jc w:val="center"/>
              <w:rPr>
                <w:rFonts w:cs="Times New Roman"/>
                <w:b/>
                <w:bCs/>
                <w:szCs w:val="21"/>
                <w:highlight w:val="none"/>
              </w:rPr>
            </w:pPr>
            <w:r>
              <w:rPr>
                <w:rFonts w:hint="eastAsia" w:cs="Times New Roman"/>
                <w:b/>
                <w:bCs/>
                <w:szCs w:val="21"/>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pct"/>
            <w:vAlign w:val="center"/>
          </w:tcPr>
          <w:p>
            <w:pPr>
              <w:widowControl w:val="0"/>
              <w:shd w:val="clear" w:color="auto" w:fill="auto"/>
              <w:tabs>
                <w:tab w:val="clear" w:pos="426"/>
              </w:tabs>
              <w:spacing w:line="240" w:lineRule="auto"/>
              <w:jc w:val="center"/>
              <w:rPr>
                <w:rFonts w:cs="Times New Roman"/>
                <w:szCs w:val="21"/>
                <w:highlight w:val="none"/>
              </w:rPr>
            </w:pPr>
            <w:r>
              <w:rPr>
                <w:rFonts w:hint="eastAsia"/>
                <w:highlight w:val="none"/>
              </w:rPr>
              <w:t>1</w:t>
            </w:r>
          </w:p>
        </w:tc>
        <w:tc>
          <w:tcPr>
            <w:tcW w:w="4472" w:type="pct"/>
            <w:vAlign w:val="center"/>
          </w:tcPr>
          <w:p>
            <w:pPr>
              <w:pStyle w:val="307"/>
              <w:rPr>
                <w:rFonts w:ascii="Times New Roman" w:cs="Times New Roman"/>
                <w:highlight w:val="none"/>
              </w:rPr>
            </w:pPr>
            <w:r>
              <w:rPr>
                <w:rFonts w:hint="eastAsia" w:ascii="Times New Roman"/>
                <w:highlight w:val="none"/>
              </w:rPr>
              <w:t>凡出现《资格性审查表》及《符合性审查表》中情形之一的，将导致投标无效。以评审现场结论为准。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pct"/>
            <w:vAlign w:val="center"/>
          </w:tcPr>
          <w:p>
            <w:pPr>
              <w:widowControl w:val="0"/>
              <w:shd w:val="clear" w:color="auto" w:fill="auto"/>
              <w:tabs>
                <w:tab w:val="clear" w:pos="426"/>
              </w:tabs>
              <w:spacing w:line="240" w:lineRule="auto"/>
              <w:jc w:val="center"/>
              <w:rPr>
                <w:rFonts w:cs="Times New Roman"/>
                <w:szCs w:val="21"/>
                <w:highlight w:val="none"/>
              </w:rPr>
            </w:pPr>
            <w:r>
              <w:rPr>
                <w:rFonts w:hint="eastAsia"/>
                <w:highlight w:val="none"/>
              </w:rPr>
              <w:t>2</w:t>
            </w:r>
          </w:p>
        </w:tc>
        <w:tc>
          <w:tcPr>
            <w:tcW w:w="4472" w:type="pct"/>
            <w:vAlign w:val="center"/>
          </w:tcPr>
          <w:p>
            <w:pPr>
              <w:pStyle w:val="307"/>
              <w:rPr>
                <w:rFonts w:ascii="Times New Roman" w:cs="Times New Roman"/>
                <w:highlight w:val="none"/>
              </w:rPr>
            </w:pPr>
            <w:r>
              <w:rPr>
                <w:rFonts w:hint="eastAsia" w:ascii="Times New Roman"/>
                <w:highlight w:val="none"/>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pct"/>
            <w:vAlign w:val="center"/>
          </w:tcPr>
          <w:p>
            <w:pPr>
              <w:widowControl w:val="0"/>
              <w:shd w:val="clear" w:color="auto" w:fill="auto"/>
              <w:tabs>
                <w:tab w:val="clear" w:pos="426"/>
              </w:tabs>
              <w:spacing w:line="240" w:lineRule="auto"/>
              <w:jc w:val="center"/>
              <w:rPr>
                <w:rFonts w:cs="Times New Roman"/>
                <w:szCs w:val="21"/>
                <w:highlight w:val="none"/>
              </w:rPr>
            </w:pPr>
            <w:r>
              <w:rPr>
                <w:rFonts w:hint="eastAsia"/>
                <w:highlight w:val="none"/>
              </w:rPr>
              <w:t>3</w:t>
            </w:r>
          </w:p>
        </w:tc>
        <w:tc>
          <w:tcPr>
            <w:tcW w:w="4472" w:type="pct"/>
            <w:vAlign w:val="center"/>
          </w:tcPr>
          <w:p>
            <w:pPr>
              <w:pStyle w:val="307"/>
              <w:rPr>
                <w:rFonts w:ascii="Times New Roman" w:cs="Times New Roman"/>
                <w:highlight w:val="none"/>
              </w:rPr>
            </w:pPr>
            <w:r>
              <w:rPr>
                <w:rFonts w:hint="eastAsia" w:ascii="Times New Roman"/>
                <w:highlight w:val="none"/>
              </w:rPr>
              <w:t>实质性技术要求（以“★”标注）若出现不响应或任何的负偏离，将导致投标无效。以《实质性条款响应情况表》和《项目需求响应情况表（实质性条款除外）》为准。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spacing w:line="240" w:lineRule="auto"/>
              <w:jc w:val="center"/>
              <w:rPr>
                <w:rFonts w:cs="Times New Roman"/>
                <w:szCs w:val="21"/>
                <w:highlight w:val="none"/>
              </w:rPr>
            </w:pPr>
            <w:r>
              <w:rPr>
                <w:rFonts w:hint="eastAsia"/>
              </w:rPr>
              <w:t>3</w:t>
            </w:r>
            <w:r>
              <w:t>.1</w:t>
            </w:r>
          </w:p>
        </w:tc>
        <w:tc>
          <w:tcPr>
            <w:tcW w:w="8053" w:type="dxa"/>
            <w:vAlign w:val="center"/>
          </w:tcPr>
          <w:p>
            <w:pPr>
              <w:spacing w:line="240" w:lineRule="auto"/>
              <w:jc w:val="left"/>
              <w:rPr>
                <w:highlight w:val="none"/>
              </w:rPr>
            </w:pPr>
            <w:r>
              <w:rPr>
                <w:rFonts w:hint="eastAsia"/>
              </w:rPr>
              <w:t xml:space="preserve">★第三章 </w:t>
            </w:r>
            <w:r>
              <w:t>项目</w:t>
            </w:r>
            <w:r>
              <w:rPr>
                <w:rFonts w:hint="eastAsia"/>
              </w:rPr>
              <w:t xml:space="preserve">需求 </w:t>
            </w:r>
            <w:r>
              <w:rPr>
                <w:rFonts w:hint="eastAsia" w:ascii="Times New Roman"/>
              </w:rPr>
              <w:t xml:space="preserve">第四项 </w:t>
            </w:r>
            <w:r>
              <w:rPr>
                <w:rFonts w:hint="eastAsia"/>
              </w:rPr>
              <w:t>项目技术要求第2条“</w:t>
            </w:r>
            <w:r>
              <w:rPr>
                <w:rFonts w:hint="eastAsia"/>
                <w:bCs/>
                <w:szCs w:val="21"/>
              </w:rPr>
              <w:t>服务要求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spacing w:line="240" w:lineRule="auto"/>
              <w:jc w:val="center"/>
              <w:rPr>
                <w:rFonts w:cs="Times New Roman"/>
                <w:szCs w:val="21"/>
                <w:highlight w:val="none"/>
              </w:rPr>
            </w:pPr>
            <w:r>
              <w:rPr>
                <w:rFonts w:hint="eastAsia"/>
              </w:rPr>
              <w:t>3</w:t>
            </w:r>
            <w:r>
              <w:t>.2</w:t>
            </w:r>
          </w:p>
        </w:tc>
        <w:tc>
          <w:tcPr>
            <w:tcW w:w="8053" w:type="dxa"/>
            <w:vAlign w:val="center"/>
          </w:tcPr>
          <w:p>
            <w:pPr>
              <w:spacing w:line="240" w:lineRule="auto"/>
              <w:jc w:val="left"/>
              <w:rPr>
                <w:highlight w:val="none"/>
              </w:rPr>
            </w:pPr>
            <w:r>
              <w:rPr>
                <w:rFonts w:hint="eastAsia" w:ascii="Times New Roman"/>
              </w:rPr>
              <w:t>★</w:t>
            </w:r>
            <w:r>
              <w:rPr>
                <w:rFonts w:hint="eastAsia"/>
              </w:rPr>
              <w:t xml:space="preserve">第三章 </w:t>
            </w:r>
            <w:r>
              <w:t>项目</w:t>
            </w:r>
            <w:r>
              <w:rPr>
                <w:rFonts w:hint="eastAsia"/>
              </w:rPr>
              <w:t xml:space="preserve">需求 </w:t>
            </w:r>
            <w:r>
              <w:rPr>
                <w:rFonts w:hint="eastAsia" w:ascii="Times New Roman"/>
              </w:rPr>
              <w:t xml:space="preserve">第四项 </w:t>
            </w:r>
            <w:r>
              <w:rPr>
                <w:rFonts w:hint="eastAsia"/>
              </w:rPr>
              <w:t>项目技术要求第</w:t>
            </w:r>
            <w:r>
              <w:t>3</w:t>
            </w:r>
            <w:r>
              <w:rPr>
                <w:rFonts w:hint="eastAsia"/>
              </w:rPr>
              <w:t>条“</w:t>
            </w:r>
            <w:r>
              <w:rPr>
                <w:rFonts w:hint="eastAsia"/>
                <w:bCs/>
                <w:szCs w:val="21"/>
              </w:rPr>
              <w:t>人员要求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spacing w:line="240" w:lineRule="auto"/>
              <w:jc w:val="center"/>
              <w:rPr>
                <w:rFonts w:cs="Times New Roman"/>
                <w:szCs w:val="21"/>
                <w:highlight w:val="none"/>
              </w:rPr>
            </w:pPr>
            <w:r>
              <w:rPr>
                <w:rFonts w:hint="eastAsia"/>
              </w:rPr>
              <w:t>3</w:t>
            </w:r>
            <w:r>
              <w:t>.3</w:t>
            </w:r>
          </w:p>
        </w:tc>
        <w:tc>
          <w:tcPr>
            <w:tcW w:w="8053" w:type="dxa"/>
            <w:vAlign w:val="center"/>
          </w:tcPr>
          <w:p>
            <w:pPr>
              <w:spacing w:line="240" w:lineRule="auto"/>
              <w:jc w:val="left"/>
              <w:rPr>
                <w:highlight w:val="none"/>
              </w:rPr>
            </w:pPr>
            <w:r>
              <w:rPr>
                <w:rFonts w:hint="eastAsia" w:ascii="Times New Roman"/>
              </w:rPr>
              <w:t>★</w:t>
            </w:r>
            <w:r>
              <w:rPr>
                <w:rFonts w:hint="eastAsia"/>
              </w:rPr>
              <w:t xml:space="preserve">第三章 </w:t>
            </w:r>
            <w:r>
              <w:t>项目</w:t>
            </w:r>
            <w:r>
              <w:rPr>
                <w:rFonts w:hint="eastAsia"/>
              </w:rPr>
              <w:t xml:space="preserve">需求 </w:t>
            </w:r>
            <w:r>
              <w:rPr>
                <w:rFonts w:hint="eastAsia" w:ascii="Times New Roman"/>
              </w:rPr>
              <w:t xml:space="preserve">第四项 </w:t>
            </w:r>
            <w:r>
              <w:rPr>
                <w:rFonts w:hint="eastAsia"/>
              </w:rPr>
              <w:t>项目技术要求第</w:t>
            </w:r>
            <w:r>
              <w:t>4</w:t>
            </w:r>
            <w:r>
              <w:rPr>
                <w:rFonts w:hint="eastAsia"/>
              </w:rPr>
              <w:t>条“</w:t>
            </w:r>
            <w:r>
              <w:rPr>
                <w:rFonts w:hint="eastAsia"/>
                <w:bCs/>
                <w:szCs w:val="21"/>
              </w:rPr>
              <w:t>服务期限</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spacing w:line="240" w:lineRule="auto"/>
              <w:jc w:val="center"/>
              <w:rPr>
                <w:rFonts w:hint="default" w:eastAsia="宋体" w:cs="Times New Roman"/>
                <w:szCs w:val="21"/>
                <w:highlight w:val="none"/>
                <w:lang w:val="en-US" w:eastAsia="zh-CN"/>
              </w:rPr>
            </w:pPr>
            <w:r>
              <w:rPr>
                <w:rFonts w:hint="eastAsia"/>
              </w:rPr>
              <w:t>3</w:t>
            </w:r>
            <w:r>
              <w:t>.4</w:t>
            </w:r>
          </w:p>
        </w:tc>
        <w:tc>
          <w:tcPr>
            <w:tcW w:w="8053" w:type="dxa"/>
            <w:vAlign w:val="center"/>
          </w:tcPr>
          <w:p>
            <w:pPr>
              <w:spacing w:line="240" w:lineRule="auto"/>
              <w:jc w:val="left"/>
              <w:rPr>
                <w:rFonts w:ascii="Times New Roman" w:cs="Times New Roman"/>
                <w:highlight w:val="none"/>
              </w:rPr>
            </w:pPr>
            <w:r>
              <w:rPr>
                <w:rFonts w:hint="eastAsia" w:ascii="Times New Roman"/>
              </w:rPr>
              <w:t>★</w:t>
            </w:r>
            <w:r>
              <w:rPr>
                <w:rFonts w:hint="eastAsia"/>
              </w:rPr>
              <w:t xml:space="preserve">第三章 </w:t>
            </w:r>
            <w:r>
              <w:t>项目</w:t>
            </w:r>
            <w:r>
              <w:rPr>
                <w:rFonts w:hint="eastAsia"/>
              </w:rPr>
              <w:t xml:space="preserve">需求 </w:t>
            </w:r>
            <w:r>
              <w:rPr>
                <w:rFonts w:hint="eastAsia" w:ascii="Times New Roman"/>
              </w:rPr>
              <w:t xml:space="preserve">第四项 </w:t>
            </w:r>
            <w:r>
              <w:rPr>
                <w:rFonts w:hint="eastAsia"/>
              </w:rPr>
              <w:t>项目技术要求第</w:t>
            </w:r>
            <w:r>
              <w:t>5</w:t>
            </w:r>
            <w:r>
              <w:rPr>
                <w:rFonts w:hint="eastAsia"/>
              </w:rPr>
              <w:t>条“</w:t>
            </w:r>
            <w:r>
              <w:rPr>
                <w:rFonts w:hint="eastAsia"/>
                <w:bCs/>
                <w:szCs w:val="21"/>
              </w:rPr>
              <w:t>投入设施要求”第</w:t>
            </w:r>
            <w:r>
              <w:rPr>
                <w:rFonts w:hint="eastAsia"/>
                <w:szCs w:val="21"/>
              </w:rPr>
              <w:t>（2）、（4）款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spacing w:line="240" w:lineRule="auto"/>
              <w:jc w:val="center"/>
              <w:rPr>
                <w:rFonts w:hint="eastAsia"/>
                <w:highlight w:val="none"/>
              </w:rPr>
            </w:pPr>
            <w:r>
              <w:rPr>
                <w:rFonts w:hint="eastAsia"/>
              </w:rPr>
              <w:t>3</w:t>
            </w:r>
            <w:r>
              <w:t>.5</w:t>
            </w:r>
          </w:p>
        </w:tc>
        <w:tc>
          <w:tcPr>
            <w:tcW w:w="8053" w:type="dxa"/>
            <w:vAlign w:val="center"/>
          </w:tcPr>
          <w:p>
            <w:pPr>
              <w:spacing w:line="240" w:lineRule="auto"/>
              <w:jc w:val="left"/>
              <w:rPr>
                <w:rFonts w:ascii="Times New Roman" w:cs="Times New Roman"/>
                <w:highlight w:val="none"/>
              </w:rPr>
            </w:pPr>
            <w:r>
              <w:rPr>
                <w:rFonts w:hint="eastAsia" w:ascii="Times New Roman"/>
              </w:rPr>
              <w:t>★</w:t>
            </w:r>
            <w:r>
              <w:rPr>
                <w:rFonts w:hint="eastAsia"/>
              </w:rPr>
              <w:t xml:space="preserve">第三章 </w:t>
            </w:r>
            <w:r>
              <w:t>项目</w:t>
            </w:r>
            <w:r>
              <w:rPr>
                <w:rFonts w:hint="eastAsia"/>
              </w:rPr>
              <w:t xml:space="preserve">需求 </w:t>
            </w:r>
            <w:r>
              <w:rPr>
                <w:rFonts w:hint="eastAsia" w:ascii="Times New Roman"/>
              </w:rPr>
              <w:t xml:space="preserve">第四项 </w:t>
            </w:r>
            <w:r>
              <w:rPr>
                <w:rFonts w:hint="eastAsia"/>
              </w:rPr>
              <w:t>项目技术要求第</w:t>
            </w:r>
            <w:r>
              <w:t>6</w:t>
            </w:r>
            <w:r>
              <w:rPr>
                <w:rFonts w:hint="eastAsia"/>
              </w:rPr>
              <w:t>条“</w:t>
            </w:r>
            <w:r>
              <w:rPr>
                <w:rFonts w:hint="eastAsia"/>
                <w:bCs/>
                <w:szCs w:val="21"/>
              </w:rPr>
              <w:t>成果要求”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spacing w:line="240" w:lineRule="auto"/>
              <w:jc w:val="center"/>
              <w:rPr>
                <w:rFonts w:hint="eastAsia"/>
                <w:highlight w:val="none"/>
              </w:rPr>
            </w:pPr>
            <w:r>
              <w:rPr>
                <w:rFonts w:hint="eastAsia"/>
              </w:rPr>
              <w:t>3</w:t>
            </w:r>
            <w:r>
              <w:t>.6</w:t>
            </w:r>
          </w:p>
        </w:tc>
        <w:tc>
          <w:tcPr>
            <w:tcW w:w="8053" w:type="dxa"/>
            <w:vAlign w:val="center"/>
          </w:tcPr>
          <w:p>
            <w:pPr>
              <w:spacing w:line="240" w:lineRule="auto"/>
              <w:jc w:val="left"/>
              <w:rPr>
                <w:rFonts w:ascii="Times New Roman" w:cs="Times New Roman"/>
                <w:highlight w:val="none"/>
              </w:rPr>
            </w:pPr>
            <w:r>
              <w:rPr>
                <w:rFonts w:hint="eastAsia" w:ascii="Times New Roman"/>
              </w:rPr>
              <w:t>★</w:t>
            </w:r>
            <w:r>
              <w:rPr>
                <w:rFonts w:hint="eastAsia"/>
              </w:rPr>
              <w:t xml:space="preserve">第三章 </w:t>
            </w:r>
            <w:r>
              <w:t>项目</w:t>
            </w:r>
            <w:r>
              <w:rPr>
                <w:rFonts w:hint="eastAsia"/>
              </w:rPr>
              <w:t xml:space="preserve">需求 </w:t>
            </w:r>
            <w:r>
              <w:rPr>
                <w:rFonts w:hint="eastAsia" w:ascii="Times New Roman"/>
              </w:rPr>
              <w:t xml:space="preserve">第五项 </w:t>
            </w:r>
            <w:r>
              <w:rPr>
                <w:rFonts w:hint="eastAsia"/>
              </w:rPr>
              <w:t>项目商务要求</w:t>
            </w:r>
          </w:p>
        </w:tc>
      </w:tr>
    </w:tbl>
    <w:p>
      <w:pPr>
        <w:pStyle w:val="305"/>
        <w:rPr>
          <w:highlight w:val="none"/>
        </w:rPr>
      </w:pPr>
    </w:p>
    <w:p>
      <w:pPr>
        <w:pStyle w:val="317"/>
        <w:rPr>
          <w:highlight w:val="none"/>
        </w:rPr>
      </w:pPr>
      <w:r>
        <w:rPr>
          <w:rFonts w:hint="eastAsia"/>
          <w:highlight w:val="none"/>
        </w:rPr>
        <w:t>备注：上表所列内容为不可负偏离条款，如投标人该部分内容出现负偏离或未对该部分内容进行响应，将按照符合性检查表作无效标处理。</w:t>
      </w:r>
    </w:p>
    <w:p>
      <w:pPr>
        <w:pStyle w:val="305"/>
        <w:rPr>
          <w:highlight w:val="none"/>
        </w:rPr>
      </w:pPr>
    </w:p>
    <w:p>
      <w:pPr>
        <w:pStyle w:val="319"/>
        <w:rPr>
          <w:highlight w:val="none"/>
        </w:rPr>
      </w:pPr>
      <w:r>
        <w:rPr>
          <w:rFonts w:hint="eastAsia"/>
          <w:highlight w:val="none"/>
        </w:rPr>
        <w:t>项目概况及管理要求</w:t>
      </w:r>
    </w:p>
    <w:p>
      <w:pPr>
        <w:pStyle w:val="305"/>
        <w:rPr>
          <w:highlight w:val="none"/>
        </w:rPr>
      </w:pPr>
      <w:r>
        <w:rPr>
          <w:rFonts w:hint="eastAsia"/>
          <w:highlight w:val="none"/>
        </w:rPr>
        <w:t>（一）项目概况</w:t>
      </w:r>
      <w:r>
        <w:rPr>
          <w:highlight w:val="none"/>
        </w:rPr>
        <w:t xml:space="preserve">： </w:t>
      </w:r>
      <w:r>
        <w:rPr>
          <w:rFonts w:hint="eastAsia"/>
          <w:highlight w:val="none"/>
          <w:lang w:eastAsia="zh-CN"/>
        </w:rPr>
        <w:t>依据《水利工程质量管理规定》（1997年12月21日水利部令第7号发布   根据2017年12月22日《水利部关于废止和修改部分规章的决定》修正）第十四条、《水利工程质量监督管理规定》（1997年8月25日水利部水建[1997]339号）第二十六条、《深圳市水务工程质量安全监督管理办法》(深水质监〔2015〕155号)第十三条第四款，福田区水务局下属事业单位福田区水务工程质量安全监督站承担辖区在建水务工程安全监督工作，</w:t>
      </w:r>
      <w:r>
        <w:rPr>
          <w:rFonts w:hint="eastAsia"/>
          <w:highlight w:val="none"/>
          <w:lang w:val="en-US" w:eastAsia="zh-CN"/>
        </w:rPr>
        <w:t>需</w:t>
      </w:r>
      <w:r>
        <w:rPr>
          <w:rFonts w:hint="eastAsia"/>
          <w:highlight w:val="none"/>
          <w:lang w:eastAsia="zh-CN"/>
        </w:rPr>
        <w:t>第三方专业机构协助开展福田区水务工程第三方安全检查与检测工作，针对性提出改进及提升建议，保障区水务工程施工安全。</w:t>
      </w:r>
    </w:p>
    <w:p>
      <w:pPr>
        <w:pStyle w:val="305"/>
        <w:rPr>
          <w:highlight w:val="none"/>
        </w:rPr>
      </w:pPr>
      <w:r>
        <w:rPr>
          <w:highlight w:val="none"/>
        </w:rPr>
        <w:t>（二）预算金额</w:t>
      </w:r>
      <w:r>
        <w:rPr>
          <w:rFonts w:hint="eastAsia" w:cs="Times New Roman"/>
          <w:highlight w:val="none"/>
          <w:u w:val="single"/>
          <w:lang w:val="en-US" w:eastAsia="zh-CN"/>
        </w:rPr>
        <w:t>1730000.00</w:t>
      </w:r>
      <w:r>
        <w:rPr>
          <w:rFonts w:hint="eastAsia"/>
          <w:highlight w:val="none"/>
          <w:lang w:val="en-US" w:eastAsia="zh-CN"/>
        </w:rPr>
        <w:t>元</w:t>
      </w:r>
      <w:r>
        <w:rPr>
          <w:highlight w:val="none"/>
          <w:u w:val="none"/>
        </w:rPr>
        <w:t xml:space="preserve">，最高投标限价： </w:t>
      </w:r>
      <w:r>
        <w:rPr>
          <w:rFonts w:hint="eastAsia"/>
          <w:highlight w:val="none"/>
          <w:u w:val="single"/>
          <w:lang w:val="en-US" w:eastAsia="zh-CN"/>
        </w:rPr>
        <w:t>1730000.00</w:t>
      </w:r>
      <w:r>
        <w:rPr>
          <w:rFonts w:hint="eastAsia"/>
          <w:highlight w:val="none"/>
          <w:u w:val="none"/>
          <w:lang w:val="en-US" w:eastAsia="zh-CN"/>
        </w:rPr>
        <w:t>元</w:t>
      </w:r>
    </w:p>
    <w:p>
      <w:pPr>
        <w:pStyle w:val="319"/>
        <w:rPr>
          <w:highlight w:val="none"/>
        </w:rPr>
      </w:pPr>
      <w:r>
        <w:rPr>
          <w:rFonts w:hint="eastAsia"/>
          <w:highlight w:val="none"/>
        </w:rPr>
        <w:t>项目技术要求</w:t>
      </w:r>
    </w:p>
    <w:tbl>
      <w:tblPr>
        <w:tblStyle w:val="44"/>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2033"/>
        <w:gridCol w:w="5330"/>
        <w:gridCol w:w="87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名称</w:t>
            </w:r>
          </w:p>
        </w:tc>
        <w:tc>
          <w:tcPr>
            <w:tcW w:w="5330"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具体内容</w:t>
            </w:r>
          </w:p>
        </w:tc>
        <w:tc>
          <w:tcPr>
            <w:tcW w:w="875"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标注</w:t>
            </w:r>
          </w:p>
        </w:tc>
        <w:tc>
          <w:tcPr>
            <w:tcW w:w="1191"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项目概况</w:t>
            </w:r>
          </w:p>
        </w:tc>
        <w:tc>
          <w:tcPr>
            <w:tcW w:w="5330" w:type="dxa"/>
            <w:vAlign w:val="center"/>
          </w:tcPr>
          <w:p>
            <w:pPr>
              <w:numPr>
                <w:ilvl w:val="0"/>
                <w:numId w:val="31"/>
              </w:numPr>
              <w:tabs>
                <w:tab w:val="clear" w:pos="426"/>
              </w:tabs>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项目名称：</w:t>
            </w:r>
            <w:r>
              <w:rPr>
                <w:rFonts w:hint="eastAsia" w:cs="宋体"/>
                <w:sz w:val="21"/>
                <w:szCs w:val="21"/>
                <w:highlight w:val="none"/>
                <w:lang w:eastAsia="zh-CN"/>
              </w:rPr>
              <w:t>福田区水务工程第三方安全检查与检测技术服务</w:t>
            </w:r>
          </w:p>
          <w:p>
            <w:pPr>
              <w:numPr>
                <w:ilvl w:val="0"/>
                <w:numId w:val="31"/>
              </w:numPr>
              <w:tabs>
                <w:tab w:val="clear" w:pos="426"/>
              </w:tabs>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预算金额：人民币</w:t>
            </w:r>
            <w:r>
              <w:rPr>
                <w:rFonts w:hint="eastAsia" w:cs="宋体"/>
                <w:bCs/>
                <w:sz w:val="21"/>
                <w:szCs w:val="21"/>
                <w:highlight w:val="none"/>
                <w:lang w:val="en-US" w:eastAsia="zh-CN"/>
              </w:rPr>
              <w:t>壹佰柒拾叁万</w:t>
            </w:r>
            <w:r>
              <w:rPr>
                <w:rFonts w:hint="eastAsia" w:ascii="宋体" w:hAnsi="宋体" w:eastAsia="宋体" w:cs="宋体"/>
                <w:bCs/>
                <w:sz w:val="21"/>
                <w:szCs w:val="21"/>
                <w:highlight w:val="none"/>
                <w:lang w:val="en-US" w:eastAsia="zh-CN"/>
              </w:rPr>
              <w:t>（¥</w:t>
            </w:r>
            <w:r>
              <w:rPr>
                <w:rFonts w:hint="eastAsia" w:cs="宋体"/>
                <w:bCs/>
                <w:sz w:val="21"/>
                <w:szCs w:val="21"/>
                <w:highlight w:val="none"/>
                <w:lang w:val="en-US" w:eastAsia="zh-CN"/>
              </w:rPr>
              <w:t>173</w:t>
            </w:r>
            <w:r>
              <w:rPr>
                <w:rFonts w:hint="eastAsia" w:ascii="宋体" w:hAnsi="宋体" w:eastAsia="宋体" w:cs="宋体"/>
                <w:bCs/>
                <w:sz w:val="21"/>
                <w:szCs w:val="21"/>
                <w:highlight w:val="none"/>
                <w:lang w:val="en-US" w:eastAsia="zh-CN"/>
              </w:rPr>
              <w:t>0000.00）</w:t>
            </w:r>
          </w:p>
          <w:p>
            <w:pPr>
              <w:numPr>
                <w:ilvl w:val="0"/>
                <w:numId w:val="31"/>
              </w:numPr>
              <w:tabs>
                <w:tab w:val="clear" w:pos="426"/>
              </w:tabs>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目主要内容包括福田区所有的在监在建水务工程项目的安全检查综合管理服务、特种设备（含高空作业）安全检查和安全综合评比技术服务，计划通过公开招标方式确定第三方专业机构，协助开展水务工程安全监督工作。</w:t>
            </w:r>
          </w:p>
        </w:tc>
        <w:tc>
          <w:tcPr>
            <w:tcW w:w="875" w:type="dxa"/>
            <w:vAlign w:val="center"/>
          </w:tcPr>
          <w:p>
            <w:pPr>
              <w:rPr>
                <w:rFonts w:hint="eastAsia" w:ascii="宋体" w:hAnsi="宋体" w:eastAsia="宋体" w:cs="宋体"/>
                <w:bCs/>
                <w:sz w:val="21"/>
                <w:szCs w:val="21"/>
                <w:highlight w:val="none"/>
              </w:rPr>
            </w:pPr>
          </w:p>
        </w:tc>
        <w:tc>
          <w:tcPr>
            <w:tcW w:w="1191" w:type="dxa"/>
            <w:vAlign w:val="center"/>
          </w:tcPr>
          <w:p>
            <w:pP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服务要求</w:t>
            </w:r>
          </w:p>
        </w:tc>
        <w:tc>
          <w:tcPr>
            <w:tcW w:w="5330" w:type="dxa"/>
            <w:vAlign w:val="center"/>
          </w:tcPr>
          <w:p>
            <w:pPr>
              <w:numPr>
                <w:ilvl w:val="0"/>
                <w:numId w:val="32"/>
              </w:num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安全检查综合管理服务</w:t>
            </w:r>
          </w:p>
          <w:p>
            <w:pPr>
              <w:numPr>
                <w:ilvl w:val="0"/>
                <w:numId w:val="0"/>
              </w:num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协助监督站定期或不定期对辖区在监在建工程的建设安全情况进行监督检查，强化对参建单位安全管理体系执行、安全管理行为、工程项目重点部位及工序的巡检检查；对监督站指定的工程项目提供加强巡检以及安全专项检查的技术服务，以提高巡查频次、发现问题为工作导向，集中技术力量对重点工程进行高频次、有针对性的检查。</w:t>
            </w:r>
          </w:p>
          <w:p>
            <w:pPr>
              <w:numPr>
                <w:ilvl w:val="0"/>
                <w:numId w:val="0"/>
              </w:num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服务内容包括但不限于：制定安全检查工作实施方案，协助制定安全监督计划，为项目划分核备、监督期内安全监督检查及整改核查、安全评定核备、工程验收及工程资料核查等工作提供书面技术意见，为监督工作通报、监督档案整理等工作提供技术协助。</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定期（周、月、季）开展水务工程施工安全风险评估。对日常、周末及节假日监督检查服务、专项检查及检测成果进行整理分析及风险评估，按周、月、季编制监督检查、检测服务报告，发布安全通报，进行报告印刷等。</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2.特种设备（含高空作业）安全检查</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（1）特种设备、高空作业车、高处作业吊篮年计划检查50台次；特种设备、高空作业车、高处作业吊篮检测10台次。</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中标人需编制辖区在监项目安全监督检测工作实施方案，经监督站审批通过后实施；需组织安全检测服务团队成员进行现场踏勘，根据现场实际情况，依照设计文件及相关规范要求，编制完成每周安全监督检测计划，经监督站核准后实施。</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（3）中标人须随时配合监督站做好工程安全监督检测的统计分析方面的管理工作，按照监督站要求的内容及时间，及时提供监督站要求的各种统计报表或情况分析报表。</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（4）中标人应具备服务项目内容的专业检测检验资质。</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3.安全综合评比技术服务</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服务内容：每季度开展一轮辖区在监水务工程项目的安全综合评比技术服务工作，评估前需提供评估计划方案经监督站审批。暂按评估项目25个计算，每季度进行一次评比，评比完成后抽取50%项目复查整改落实情况，累计完成评比服务150次。（项目评比及整改落实复查团队每次检查不少于2人，至少</w:t>
            </w:r>
            <w:r>
              <w:rPr>
                <w:rFonts w:hint="eastAsia" w:cs="宋体"/>
                <w:bCs/>
                <w:sz w:val="21"/>
                <w:szCs w:val="21"/>
                <w:highlight w:val="none"/>
                <w:lang w:val="en-US" w:eastAsia="zh-CN"/>
              </w:rPr>
              <w:t>1</w:t>
            </w:r>
            <w:r>
              <w:rPr>
                <w:rFonts w:hint="eastAsia" w:ascii="宋体" w:hAnsi="宋体" w:eastAsia="宋体" w:cs="宋体"/>
                <w:bCs/>
                <w:sz w:val="21"/>
                <w:szCs w:val="21"/>
                <w:highlight w:val="none"/>
                <w:lang w:val="en-US" w:eastAsia="zh-CN"/>
              </w:rPr>
              <w:t>名高级工程师</w:t>
            </w:r>
            <w:r>
              <w:rPr>
                <w:rFonts w:hint="eastAsia" w:cs="宋体"/>
                <w:bCs/>
                <w:sz w:val="21"/>
                <w:szCs w:val="21"/>
                <w:highlight w:val="none"/>
                <w:lang w:val="en-US" w:eastAsia="zh-CN"/>
              </w:rPr>
              <w:t>与1名中级工程师</w:t>
            </w:r>
            <w:r>
              <w:rPr>
                <w:rFonts w:hint="eastAsia" w:ascii="宋体" w:hAnsi="宋体" w:eastAsia="宋体" w:cs="宋体"/>
                <w:bCs/>
                <w:sz w:val="21"/>
                <w:szCs w:val="21"/>
                <w:highlight w:val="none"/>
                <w:lang w:val="en-US" w:eastAsia="zh-CN"/>
              </w:rPr>
              <w:t>组成）。</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（2）需制定安全综合评比工作实施方案，对每个工程项目的资质及人员管理、工程安全管理、进度管理等情况，实施评分排名，分析当前监管形势，提出后续监管重点。</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（3）每完成一个工程项目的评估工作，需出具评估报告；每完成一个抽取项目的复查整改落实工作，需出具核查验收评估意见。</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4.安全管理培训</w:t>
            </w:r>
          </w:p>
          <w:p>
            <w:pPr>
              <w:numPr>
                <w:ilvl w:val="0"/>
                <w:numId w:val="0"/>
              </w:num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（1）安全管理培训对象全覆盖，主要对象包括参建单位管理人员、工人、监督员，需提交培训计划，原则上要求每年开展6次培训。</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（2）培训专家要求具有工程类（水利水电类或市政工程类或建筑工程类）高级工程师职称，且具有工程建设领域1</w:t>
            </w:r>
            <w:r>
              <w:rPr>
                <w:rFonts w:hint="default" w:ascii="宋体" w:hAnsi="宋体" w:eastAsia="宋体" w:cs="宋体"/>
                <w:bCs/>
                <w:sz w:val="21"/>
                <w:szCs w:val="21"/>
                <w:highlight w:val="none"/>
                <w:lang w:val="en-US" w:eastAsia="zh-CN"/>
              </w:rPr>
              <w:t>5</w:t>
            </w:r>
            <w:r>
              <w:rPr>
                <w:rFonts w:hint="eastAsia" w:ascii="宋体" w:hAnsi="宋体" w:eastAsia="宋体" w:cs="宋体"/>
                <w:bCs/>
                <w:sz w:val="21"/>
                <w:szCs w:val="21"/>
                <w:highlight w:val="none"/>
                <w:lang w:val="en-US" w:eastAsia="zh-CN"/>
              </w:rPr>
              <w:t>年以上工作经验，专业符合监督站要求，实施前培训专家须经监督站确认。</w:t>
            </w:r>
          </w:p>
        </w:tc>
        <w:tc>
          <w:tcPr>
            <w:tcW w:w="875"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
                <w:bCs/>
                <w:color w:val="auto"/>
                <w:kern w:val="0"/>
                <w:sz w:val="21"/>
                <w:szCs w:val="21"/>
                <w:highlight w:val="none"/>
              </w:rPr>
              <w:t>★</w:t>
            </w:r>
          </w:p>
        </w:tc>
        <w:tc>
          <w:tcPr>
            <w:tcW w:w="1191" w:type="dxa"/>
            <w:vAlign w:val="center"/>
          </w:tcPr>
          <w:p>
            <w:pP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人员要求</w:t>
            </w:r>
          </w:p>
        </w:tc>
        <w:tc>
          <w:tcPr>
            <w:tcW w:w="5330" w:type="dxa"/>
            <w:vAlign w:val="center"/>
          </w:tcPr>
          <w:p>
            <w:pPr>
              <w:numPr>
                <w:ilvl w:val="0"/>
                <w:numId w:val="0"/>
              </w:numPr>
              <w:ind w:left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拟委派的人员应能满足检查工作的需要，具有良好的职业道德和专业技术水平、专业结构及职称结构合理（个别经验丰富的技术人员，如身体健康情况良好，经中标人申请并经监督站同意，可适当放宽60周岁以下年龄限制）。具体要求如下：</w:t>
            </w:r>
          </w:p>
          <w:p>
            <w:pPr>
              <w:numPr>
                <w:ilvl w:val="0"/>
                <w:numId w:val="0"/>
              </w:numPr>
              <w:ind w:leftChars="0"/>
              <w:jc w:val="left"/>
              <w:rPr>
                <w:rFonts w:hint="eastAsia"/>
                <w:szCs w:val="21"/>
                <w:highlight w:val="none"/>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w:t>
            </w:r>
            <w:r>
              <w:rPr>
                <w:rFonts w:hint="eastAsia"/>
                <w:szCs w:val="21"/>
                <w:highlight w:val="none"/>
              </w:rPr>
              <w:t>日常、周末及节假日安全检查</w:t>
            </w:r>
          </w:p>
          <w:p>
            <w:pPr>
              <w:numPr>
                <w:ilvl w:val="0"/>
                <w:numId w:val="0"/>
              </w:numPr>
              <w:ind w:leftChars="0"/>
              <w:jc w:val="left"/>
              <w:rPr>
                <w:rFonts w:hint="eastAsia"/>
                <w:szCs w:val="21"/>
                <w:highlight w:val="none"/>
              </w:rPr>
            </w:pPr>
            <w:r>
              <w:rPr>
                <w:rFonts w:hint="eastAsia"/>
                <w:szCs w:val="21"/>
                <w:highlight w:val="none"/>
              </w:rPr>
              <w:t>配备不少于6人团队，设</w:t>
            </w:r>
            <w:r>
              <w:rPr>
                <w:rFonts w:hint="eastAsia"/>
                <w:szCs w:val="21"/>
                <w:highlight w:val="none"/>
                <w:lang w:eastAsia="zh-CN"/>
              </w:rPr>
              <w:t>项目</w:t>
            </w:r>
            <w:r>
              <w:rPr>
                <w:rFonts w:hint="eastAsia"/>
                <w:szCs w:val="21"/>
                <w:highlight w:val="none"/>
              </w:rPr>
              <w:t>负责人1名，下设三个组开展日常安全检查工作，其中驻场</w:t>
            </w:r>
            <w:r>
              <w:rPr>
                <w:rFonts w:hint="eastAsia"/>
                <w:szCs w:val="21"/>
                <w:highlight w:val="none"/>
                <w:lang w:val="en-US" w:eastAsia="zh-CN"/>
              </w:rPr>
              <w:t>5</w:t>
            </w:r>
            <w:r>
              <w:rPr>
                <w:rFonts w:hint="eastAsia"/>
                <w:szCs w:val="21"/>
                <w:highlight w:val="none"/>
              </w:rPr>
              <w:t>人（含负责人）。主要配备水工或土木、给排水或环保、电气、机械、安全等专业人员，项目负责人应具备高级职称，并具备安全评价师或注册安全工程师资格，其他人员须中级以上职称，或具备安全评价师或注册安全工程师资格或建造师，并配备至少两辆必要的供检查人员使用的交通工具、检查采集打印设备等。</w:t>
            </w:r>
          </w:p>
          <w:p>
            <w:pPr>
              <w:numPr>
                <w:ilvl w:val="0"/>
                <w:numId w:val="0"/>
              </w:numPr>
              <w:ind w:leftChars="0"/>
              <w:jc w:val="left"/>
              <w:rPr>
                <w:rFonts w:hint="eastAsia"/>
                <w:szCs w:val="21"/>
                <w:highlight w:val="none"/>
              </w:rPr>
            </w:pP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w:t>
            </w:r>
            <w:r>
              <w:rPr>
                <w:rFonts w:hint="eastAsia"/>
                <w:szCs w:val="21"/>
                <w:highlight w:val="none"/>
              </w:rPr>
              <w:t>安全巡查评比（红黑榜）技术服务</w:t>
            </w:r>
          </w:p>
          <w:p>
            <w:pPr>
              <w:numPr>
                <w:ilvl w:val="0"/>
                <w:numId w:val="0"/>
              </w:numPr>
              <w:ind w:leftChars="0"/>
              <w:jc w:val="left"/>
              <w:rPr>
                <w:rFonts w:hint="eastAsia" w:eastAsia="宋体"/>
                <w:szCs w:val="21"/>
                <w:highlight w:val="none"/>
                <w:lang w:eastAsia="zh-CN"/>
              </w:rPr>
            </w:pPr>
            <w:r>
              <w:rPr>
                <w:rFonts w:hint="eastAsia"/>
                <w:szCs w:val="21"/>
                <w:highlight w:val="none"/>
              </w:rPr>
              <w:t>1名</w:t>
            </w:r>
            <w:r>
              <w:rPr>
                <w:rFonts w:hint="eastAsia"/>
                <w:szCs w:val="21"/>
                <w:highlight w:val="none"/>
                <w:lang w:eastAsia="zh-CN"/>
              </w:rPr>
              <w:t>技术</w:t>
            </w:r>
            <w:r>
              <w:rPr>
                <w:rFonts w:hint="eastAsia"/>
                <w:szCs w:val="21"/>
                <w:highlight w:val="none"/>
              </w:rPr>
              <w:t>负责人（高级）、</w:t>
            </w:r>
            <w:r>
              <w:rPr>
                <w:rFonts w:hint="eastAsia"/>
                <w:szCs w:val="21"/>
                <w:highlight w:val="none"/>
                <w:lang w:val="en-US" w:eastAsia="zh-CN"/>
              </w:rPr>
              <w:t>1</w:t>
            </w:r>
            <w:r>
              <w:rPr>
                <w:rFonts w:hint="eastAsia"/>
                <w:szCs w:val="21"/>
                <w:highlight w:val="none"/>
              </w:rPr>
              <w:t>名技术人员（中级）。主要配备水工或土木、给排水或环保、电气、机械、安全等专业人员</w:t>
            </w:r>
            <w:r>
              <w:rPr>
                <w:rFonts w:hint="eastAsia"/>
                <w:szCs w:val="21"/>
                <w:highlight w:val="none"/>
                <w:lang w:eastAsia="zh-CN"/>
              </w:rPr>
              <w:t>，或</w:t>
            </w:r>
            <w:r>
              <w:rPr>
                <w:rFonts w:hint="eastAsia" w:ascii="宋体" w:hAnsi="宋体" w:eastAsia="宋体" w:cs="宋体"/>
                <w:color w:val="auto"/>
                <w:sz w:val="21"/>
                <w:szCs w:val="21"/>
                <w:highlight w:val="none"/>
                <w:lang w:val="en-US" w:eastAsia="zh-CN"/>
              </w:rPr>
              <w:t>具备安全评价师或注册安全工程师资格</w:t>
            </w:r>
            <w:r>
              <w:rPr>
                <w:rFonts w:hint="eastAsia" w:cs="宋体"/>
                <w:color w:val="auto"/>
                <w:sz w:val="21"/>
                <w:szCs w:val="21"/>
                <w:highlight w:val="none"/>
                <w:lang w:val="en-US" w:eastAsia="zh-CN"/>
              </w:rPr>
              <w:t>。</w:t>
            </w:r>
          </w:p>
          <w:p>
            <w:pPr>
              <w:numPr>
                <w:ilvl w:val="0"/>
                <w:numId w:val="0"/>
              </w:numPr>
              <w:ind w:leftChars="0"/>
              <w:jc w:val="left"/>
              <w:rPr>
                <w:rFonts w:hint="eastAsia"/>
                <w:szCs w:val="21"/>
                <w:highlight w:val="none"/>
              </w:rPr>
            </w:pPr>
            <w:r>
              <w:rPr>
                <w:rFonts w:hint="eastAsia"/>
                <w:szCs w:val="21"/>
                <w:highlight w:val="none"/>
                <w:lang w:eastAsia="zh-CN"/>
              </w:rPr>
              <w:t>（</w:t>
            </w:r>
            <w:r>
              <w:rPr>
                <w:rFonts w:hint="eastAsia"/>
                <w:szCs w:val="21"/>
                <w:highlight w:val="none"/>
                <w:lang w:val="en-US" w:eastAsia="zh-CN"/>
              </w:rPr>
              <w:t>3</w:t>
            </w:r>
            <w:r>
              <w:rPr>
                <w:rFonts w:hint="eastAsia"/>
                <w:szCs w:val="21"/>
                <w:highlight w:val="none"/>
                <w:lang w:eastAsia="zh-CN"/>
              </w:rPr>
              <w:t>）</w:t>
            </w:r>
            <w:r>
              <w:rPr>
                <w:rFonts w:hint="eastAsia"/>
                <w:szCs w:val="21"/>
                <w:highlight w:val="none"/>
              </w:rPr>
              <w:t>安全生产培训服务</w:t>
            </w:r>
          </w:p>
          <w:p>
            <w:pPr>
              <w:numPr>
                <w:ilvl w:val="0"/>
                <w:numId w:val="0"/>
              </w:numPr>
              <w:ind w:leftChars="0"/>
              <w:jc w:val="left"/>
              <w:rPr>
                <w:rFonts w:hint="eastAsia" w:ascii="宋体" w:hAnsi="宋体" w:eastAsia="宋体" w:cs="宋体"/>
                <w:kern w:val="0"/>
                <w:sz w:val="21"/>
                <w:szCs w:val="21"/>
                <w:highlight w:val="none"/>
                <w:lang w:val="en-US" w:eastAsia="zh-CN"/>
              </w:rPr>
            </w:pPr>
            <w:r>
              <w:rPr>
                <w:rFonts w:hint="eastAsia"/>
                <w:szCs w:val="21"/>
                <w:highlight w:val="none"/>
              </w:rPr>
              <w:t>高级工程师1名，培训人应具备高级职称，且具有工程建设领域1</w:t>
            </w:r>
            <w:r>
              <w:rPr>
                <w:rFonts w:hint="eastAsia"/>
                <w:szCs w:val="21"/>
                <w:highlight w:val="none"/>
                <w:lang w:val="en-US" w:eastAsia="zh-CN"/>
              </w:rPr>
              <w:t>5</w:t>
            </w:r>
            <w:r>
              <w:rPr>
                <w:rFonts w:hint="eastAsia"/>
                <w:szCs w:val="21"/>
                <w:highlight w:val="none"/>
              </w:rPr>
              <w:t>年以上工作经验。</w:t>
            </w:r>
          </w:p>
          <w:p>
            <w:pPr>
              <w:numPr>
                <w:ilvl w:val="0"/>
                <w:numId w:val="0"/>
              </w:numPr>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中标人在其投标文件中承诺的项目团队人员必须按要求加入到本项目中，且工作时间必须到招标人处考勤，考勤记录作为最终结算依据。签订合同时，中标人需按投标文件承诺团队名单提供项目团队名单，由项目负责人统一负责。</w:t>
            </w:r>
          </w:p>
          <w:p>
            <w:pPr>
              <w:numPr>
                <w:ilvl w:val="0"/>
                <w:numId w:val="0"/>
              </w:numPr>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3.在项目实施期间，中标人如需更换项目团队人员时，应事先向招标人提出书面申请，未经招标人同意，不得更换人员（调整数量不得超过投标文件中委派人员数量的3名或30%）。</w:t>
            </w:r>
          </w:p>
        </w:tc>
        <w:tc>
          <w:tcPr>
            <w:tcW w:w="875"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
                <w:bCs/>
                <w:color w:val="auto"/>
                <w:kern w:val="0"/>
                <w:sz w:val="21"/>
                <w:szCs w:val="21"/>
                <w:highlight w:val="none"/>
              </w:rPr>
              <w:t>★</w:t>
            </w:r>
          </w:p>
        </w:tc>
        <w:tc>
          <w:tcPr>
            <w:tcW w:w="1191" w:type="dxa"/>
            <w:vAlign w:val="center"/>
          </w:tcPr>
          <w:p>
            <w:pP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服务期限</w:t>
            </w:r>
          </w:p>
        </w:tc>
        <w:tc>
          <w:tcPr>
            <w:tcW w:w="5330" w:type="dxa"/>
            <w:vAlign w:val="center"/>
          </w:tcPr>
          <w:p>
            <w:pPr>
              <w:numPr>
                <w:ilvl w:val="0"/>
                <w:numId w:val="0"/>
              </w:num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1.本次项目合同服务期限为自合同签订之日起</w:t>
            </w:r>
            <w:r>
              <w:rPr>
                <w:rFonts w:hint="eastAsia" w:cs="宋体"/>
                <w:bCs/>
                <w:sz w:val="21"/>
                <w:szCs w:val="21"/>
                <w:highlight w:val="none"/>
                <w:lang w:val="en-US" w:eastAsia="zh-CN"/>
              </w:rPr>
              <w:t>一</w:t>
            </w:r>
            <w:r>
              <w:rPr>
                <w:rFonts w:hint="eastAsia" w:ascii="宋体" w:hAnsi="宋体" w:eastAsia="宋体" w:cs="宋体"/>
                <w:bCs/>
                <w:sz w:val="21"/>
                <w:szCs w:val="21"/>
                <w:highlight w:val="none"/>
                <w:lang w:val="en-US" w:eastAsia="zh-CN"/>
              </w:rPr>
              <w:t>年，</w:t>
            </w:r>
            <w:r>
              <w:rPr>
                <w:rFonts w:hint="eastAsia"/>
                <w:highlight w:val="none"/>
              </w:rPr>
              <w:t>该项目为长期服务项目，合同期限可以延长，但最长不超过</w:t>
            </w:r>
            <w:r>
              <w:rPr>
                <w:highlight w:val="none"/>
              </w:rPr>
              <w:t>3年</w:t>
            </w:r>
            <w:r>
              <w:rPr>
                <w:rFonts w:hint="eastAsia" w:ascii="宋体" w:hAnsi="宋体" w:eastAsia="宋体" w:cs="宋体"/>
                <w:bCs/>
                <w:sz w:val="21"/>
                <w:szCs w:val="21"/>
                <w:highlight w:val="none"/>
                <w:lang w:val="en-US" w:eastAsia="zh-CN"/>
              </w:rPr>
              <w:t>。</w:t>
            </w:r>
          </w:p>
          <w:p>
            <w:pPr>
              <w:numPr>
                <w:ilvl w:val="0"/>
                <w:numId w:val="0"/>
              </w:num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2.服务开始日期以合同签订生效的日期为准，服务终止日期以合同约定为准。</w:t>
            </w:r>
          </w:p>
        </w:tc>
        <w:tc>
          <w:tcPr>
            <w:tcW w:w="875"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
                <w:bCs/>
                <w:color w:val="auto"/>
                <w:kern w:val="0"/>
                <w:sz w:val="21"/>
                <w:szCs w:val="21"/>
                <w:highlight w:val="none"/>
              </w:rPr>
              <w:t>★</w:t>
            </w:r>
          </w:p>
        </w:tc>
        <w:tc>
          <w:tcPr>
            <w:tcW w:w="1191" w:type="dxa"/>
            <w:vAlign w:val="center"/>
          </w:tcPr>
          <w:p>
            <w:pP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投入设施要求</w:t>
            </w:r>
          </w:p>
        </w:tc>
        <w:tc>
          <w:tcPr>
            <w:tcW w:w="5330" w:type="dxa"/>
            <w:vAlign w:val="center"/>
          </w:tcPr>
          <w:p>
            <w:pPr>
              <w:numPr>
                <w:ilvl w:val="0"/>
                <w:numId w:val="0"/>
              </w:numPr>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服务单位须在合同期内提供满足派驻人员工作开展要求相关的电脑、打印设备等办公用品；提供满足检查人员工作开展要求的自身安全防护用品；提供满足安全检查工作要求的车辆；提供满足工作要求的安全检查（日常）基本仪器设备：</w:t>
            </w:r>
          </w:p>
          <w:p>
            <w:pPr>
              <w:numPr>
                <w:ilvl w:val="0"/>
                <w:numId w:val="0"/>
              </w:numPr>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eastAsia="zh-CN"/>
              </w:rPr>
              <w:t>）电脑、打印设备等属于日常办公用品；</w:t>
            </w:r>
          </w:p>
          <w:p>
            <w:pPr>
              <w:numPr>
                <w:ilvl w:val="0"/>
                <w:numId w:val="0"/>
              </w:numPr>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zh-CN"/>
              </w:rPr>
              <w:t>）自身安全防护用品属于施工现场安全必要用品，由服务单位为监督抽检、安全检查、综合评比团队人员提供；</w:t>
            </w:r>
          </w:p>
          <w:p>
            <w:pPr>
              <w:numPr>
                <w:ilvl w:val="0"/>
                <w:numId w:val="0"/>
              </w:numPr>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）提供笔记本电脑和投影仪等满足工作会议、工作汇报要求的设施设备；</w:t>
            </w:r>
          </w:p>
          <w:p>
            <w:pPr>
              <w:numPr>
                <w:ilvl w:val="0"/>
                <w:numId w:val="0"/>
              </w:numPr>
              <w:jc w:val="left"/>
              <w:rPr>
                <w:rFonts w:hint="eastAsia" w:ascii="宋体" w:hAnsi="宋体" w:eastAsia="宋体" w:cs="宋体"/>
                <w:bCs/>
                <w:sz w:val="21"/>
                <w:szCs w:val="21"/>
                <w:highlight w:val="none"/>
                <w:lang w:val="en-US" w:eastAsia="zh-CN"/>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CN"/>
              </w:rPr>
              <w:t>）提供至少</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zh-CN"/>
              </w:rPr>
              <w:t>辆供派驻人员使用车辆（车辆购买年限须</w:t>
            </w:r>
            <w:r>
              <w:rPr>
                <w:rFonts w:hint="eastAsia" w:ascii="宋体" w:hAnsi="宋体" w:eastAsia="宋体" w:cs="宋体"/>
                <w:kern w:val="0"/>
                <w:sz w:val="21"/>
                <w:szCs w:val="21"/>
                <w:highlight w:val="none"/>
                <w:lang w:val="en-US" w:eastAsia="zh-CN"/>
              </w:rPr>
              <w:t>5年之内</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w:t>
            </w:r>
          </w:p>
        </w:tc>
        <w:tc>
          <w:tcPr>
            <w:tcW w:w="875" w:type="dxa"/>
            <w:vAlign w:val="center"/>
          </w:tcPr>
          <w:p>
            <w:pPr>
              <w:rPr>
                <w:rFonts w:hint="eastAsia" w:ascii="宋体" w:hAnsi="宋体" w:eastAsia="宋体" w:cs="宋体"/>
                <w:bCs/>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p>
        </w:tc>
        <w:tc>
          <w:tcPr>
            <w:tcW w:w="1191"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其中第</w:t>
            </w:r>
            <w:r>
              <w:rPr>
                <w:rFonts w:hint="eastAsia" w:ascii="宋体" w:hAnsi="宋体" w:eastAsia="宋体" w:cs="宋体"/>
                <w:bCs/>
                <w:sz w:val="21"/>
                <w:szCs w:val="21"/>
                <w:highlight w:val="none"/>
                <w:lang w:val="en-US" w:eastAsia="zh-CN"/>
              </w:rPr>
              <w:t>1、3项标记为</w:t>
            </w:r>
            <w:r>
              <w:rPr>
                <w:rFonts w:hint="eastAsia" w:ascii="宋体" w:hAnsi="宋体" w:eastAsia="宋体" w:cs="宋体"/>
                <w:b w:val="0"/>
                <w:bCs w:val="0"/>
                <w:color w:val="auto"/>
                <w:kern w:val="0"/>
                <w:sz w:val="21"/>
                <w:szCs w:val="21"/>
                <w:highlight w:val="none"/>
                <w:lang w:eastAsia="zh-CN"/>
              </w:rPr>
              <w:t>重要服务要求</w:t>
            </w:r>
            <w:r>
              <w:rPr>
                <w:rFonts w:hint="eastAsia" w:ascii="宋体" w:hAnsi="宋体" w:eastAsia="宋体" w:cs="宋体"/>
                <w:b/>
                <w:bCs/>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；第</w:t>
            </w:r>
            <w:r>
              <w:rPr>
                <w:rFonts w:hint="eastAsia" w:ascii="宋体" w:hAnsi="宋体" w:eastAsia="宋体" w:cs="宋体"/>
                <w:b w:val="0"/>
                <w:bCs w:val="0"/>
                <w:color w:val="auto"/>
                <w:kern w:val="0"/>
                <w:sz w:val="21"/>
                <w:szCs w:val="21"/>
                <w:highlight w:val="none"/>
                <w:lang w:val="en-US" w:eastAsia="zh-CN"/>
              </w:rPr>
              <w:t>2、4项标记为</w:t>
            </w:r>
            <w:r>
              <w:rPr>
                <w:rFonts w:hint="eastAsia" w:ascii="宋体" w:hAnsi="宋体" w:eastAsia="宋体" w:cs="宋体"/>
                <w:b w:val="0"/>
                <w:bCs w:val="0"/>
                <w:color w:val="auto"/>
                <w:kern w:val="0"/>
                <w:sz w:val="21"/>
                <w:szCs w:val="21"/>
                <w:highlight w:val="none"/>
                <w:lang w:eastAsia="zh-CN"/>
              </w:rPr>
              <w:t>核心服务需求</w:t>
            </w:r>
            <w:r>
              <w:rPr>
                <w:rFonts w:hint="eastAsia" w:ascii="宋体" w:hAnsi="宋体" w:eastAsia="宋体" w:cs="宋体"/>
                <w:b/>
                <w:bCs/>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6</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成果要求</w:t>
            </w:r>
          </w:p>
        </w:tc>
        <w:tc>
          <w:tcPr>
            <w:tcW w:w="5330" w:type="dxa"/>
            <w:vAlign w:val="center"/>
          </w:tcPr>
          <w:p>
            <w:pPr>
              <w:numPr>
                <w:ilvl w:val="0"/>
                <w:numId w:val="0"/>
              </w:num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1.安全检查综合管理服务</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每个项目现场检查完成后2个工作日内，中标人向监督站提交检查报告或记录，内容应当包括：现场检查情况、检查问题分类、整改建议等；涉及监督站要求参建单位整改的安全问题，中标人应在相关责任单位完成问题整改闭合后进行核实，完成核实后3个工作日内出具整改核实书面意见。</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中标人应按照监督站提供的成果报告模板提交成果报告（具体包括月、季度、年度总结报告，报告于每月10日前提交）；成果报告需对检查情况进行全面分析研判，具体内容应当包括：工作开展情况、检查情况数据统计分析、安全隐患分类统计及技术分析、优秀案例、监管建议等。</w:t>
            </w:r>
          </w:p>
          <w:p>
            <w:pP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2.特种设备（含高空作业）安全检查</w:t>
            </w:r>
          </w:p>
          <w:p>
            <w:pPr>
              <w:numPr>
                <w:ilvl w:val="0"/>
                <w:numId w:val="0"/>
              </w:numPr>
              <w:ind w:leftChars="0"/>
              <w:rPr>
                <w:rFonts w:hint="eastAsia" w:ascii="宋体" w:hAnsi="宋体" w:eastAsia="宋体" w:cs="宋体"/>
                <w:bCs/>
                <w:color w:val="auto"/>
                <w:sz w:val="21"/>
                <w:szCs w:val="21"/>
                <w:highlight w:val="none"/>
                <w:lang w:val="en-US" w:eastAsia="zh-CN"/>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eastAsia="zh-CN"/>
              </w:rPr>
              <w:t>）</w:t>
            </w:r>
            <w:r>
              <w:rPr>
                <w:rFonts w:hint="eastAsia" w:ascii="宋体" w:hAnsi="宋体" w:eastAsia="宋体" w:cs="宋体"/>
                <w:bCs/>
                <w:color w:val="auto"/>
                <w:sz w:val="21"/>
                <w:szCs w:val="21"/>
                <w:highlight w:val="none"/>
                <w:lang w:eastAsia="zh-CN"/>
              </w:rPr>
              <w:t>每月</w:t>
            </w:r>
            <w:r>
              <w:rPr>
                <w:rFonts w:hint="eastAsia" w:ascii="宋体" w:hAnsi="宋体" w:eastAsia="宋体" w:cs="宋体"/>
                <w:bCs/>
                <w:color w:val="auto"/>
                <w:sz w:val="21"/>
                <w:szCs w:val="21"/>
                <w:highlight w:val="none"/>
                <w:lang w:val="en-US" w:eastAsia="zh-CN"/>
              </w:rPr>
              <w:t>10日前向监督站提交上月实施的设备安全检测报告（包括各种音像资料和图像等成果性资料）。</w:t>
            </w:r>
          </w:p>
          <w:p>
            <w:p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每月10日前向监督站提交上月安全检测工作月报，内容包括但不限于：工作开展情况、安全检测情况统计分析、主要存在问题、监管建议等；每季度安全检测工作结束后，于10个工作日内向监督站提交上季度安全检测工作季报；服务期结束前10个工作日内，向监督站提交项目安全监督检测工作报告或工作总结等成果文件。</w:t>
            </w:r>
          </w:p>
          <w:p>
            <w:pP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3.安全综合评比技术服务</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每个项目现场评估完成后2个工作日内，中标人向监督站提供被评项目的安全管理情况简报，主要包括现场存在问题、问题分类、整改建议等，同时附带评分表（Excel格式）和检查原始记录（照片方式）。对于存在较为严重及以上的安全问题，中标人应在评估当日向监督站通报安全问题情况。</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（2）评比完成后抽取的整改复查项目，每个项目现场复查整改落实情况，复查完成后在3个工作日内出具整改核实书面意见。</w:t>
            </w:r>
          </w:p>
          <w:p>
            <w:pPr>
              <w:numPr>
                <w:ilvl w:val="0"/>
                <w:numId w:val="0"/>
              </w:numPr>
              <w:ind w:left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评比周期内所有项目评估结束后14个工作日内，中标人向监督站提交季度安全综合评比总结报告（以下简称“总结报告”），总结报告内容包括但不限于以下内容：与以往的评比情况对比、各项目安全评估情况横向对比、安全评估排名情况（含各分项排名）、评比过程中发现的主要问题及对应提升措施、优秀做法推荐汇总、监管建议等，总结报告内容应满足有具体客观数据支撑、多类型数据统计分析报表等要求。</w:t>
            </w:r>
          </w:p>
          <w:p>
            <w:pPr>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lang w:val="en-US" w:eastAsia="zh-CN"/>
              </w:rPr>
              <w:t>（4）总结报告提交后，中标人评估负责人或总体项目负责人按投标文件承诺及时向监督站做季度评比情况汇报。中标人应编制相应汇报演示文稿，并经监督站审核通过。</w:t>
            </w:r>
          </w:p>
        </w:tc>
        <w:tc>
          <w:tcPr>
            <w:tcW w:w="875"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
                <w:bCs/>
                <w:color w:val="auto"/>
                <w:kern w:val="0"/>
                <w:sz w:val="21"/>
                <w:szCs w:val="21"/>
                <w:highlight w:val="none"/>
              </w:rPr>
              <w:t>★</w:t>
            </w:r>
          </w:p>
        </w:tc>
        <w:tc>
          <w:tcPr>
            <w:tcW w:w="1191" w:type="dxa"/>
            <w:vAlign w:val="center"/>
          </w:tcPr>
          <w:p>
            <w:pP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7</w:t>
            </w:r>
          </w:p>
        </w:tc>
        <w:tc>
          <w:tcPr>
            <w:tcW w:w="2033"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其他要求</w:t>
            </w:r>
          </w:p>
        </w:tc>
        <w:tc>
          <w:tcPr>
            <w:tcW w:w="5330" w:type="dxa"/>
            <w:vAlign w:val="center"/>
          </w:tcPr>
          <w:p>
            <w:pPr>
              <w:rPr>
                <w:rFonts w:hint="eastAsia" w:ascii="宋体" w:hAnsi="宋体" w:eastAsia="宋体" w:cs="宋体"/>
                <w:bCs/>
                <w:sz w:val="21"/>
                <w:szCs w:val="21"/>
                <w:highlight w:val="none"/>
              </w:rPr>
            </w:pPr>
            <w:r>
              <w:rPr>
                <w:rFonts w:hint="eastAsia" w:ascii="宋体" w:hAnsi="宋体" w:eastAsia="宋体" w:cs="宋体"/>
                <w:sz w:val="21"/>
                <w:szCs w:val="21"/>
                <w:highlight w:val="none"/>
              </w:rPr>
              <w:t>工作措施、工作方法、工作手段、工作流程、质量保障措施、项目重点难点分析、应对措施及相关的合理化建议、管理制度等</w:t>
            </w:r>
          </w:p>
        </w:tc>
        <w:tc>
          <w:tcPr>
            <w:tcW w:w="875" w:type="dxa"/>
            <w:vAlign w:val="center"/>
          </w:tcPr>
          <w:p>
            <w:pPr>
              <w:rPr>
                <w:rFonts w:hint="eastAsia" w:ascii="宋体" w:hAnsi="宋体" w:eastAsia="宋体" w:cs="宋体"/>
                <w:bCs/>
                <w:sz w:val="21"/>
                <w:szCs w:val="21"/>
                <w:highlight w:val="none"/>
              </w:rPr>
            </w:pPr>
          </w:p>
        </w:tc>
        <w:tc>
          <w:tcPr>
            <w:tcW w:w="1191" w:type="dxa"/>
            <w:vAlign w:val="center"/>
          </w:tcPr>
          <w:p>
            <w:pPr>
              <w:rPr>
                <w:rFonts w:hint="eastAsia" w:ascii="宋体" w:hAnsi="宋体" w:eastAsia="宋体" w:cs="宋体"/>
                <w:bCs/>
                <w:sz w:val="21"/>
                <w:szCs w:val="21"/>
                <w:highlight w:val="none"/>
              </w:rPr>
            </w:pPr>
          </w:p>
        </w:tc>
      </w:tr>
    </w:tbl>
    <w:p>
      <w:pPr>
        <w:rPr>
          <w:highlight w:val="none"/>
        </w:rPr>
      </w:pPr>
      <w:r>
        <w:rPr>
          <w:highlight w:val="none"/>
        </w:rPr>
        <w:br w:type="page"/>
      </w:r>
    </w:p>
    <w:p>
      <w:pPr>
        <w:pStyle w:val="319"/>
        <w:spacing w:line="240" w:lineRule="auto"/>
        <w:rPr>
          <w:highlight w:val="none"/>
        </w:rPr>
      </w:pPr>
      <w:r>
        <w:rPr>
          <w:rFonts w:hint="eastAsia"/>
          <w:highlight w:val="none"/>
        </w:rPr>
        <w:t>项目商务要求</w:t>
      </w:r>
    </w:p>
    <w:p>
      <w:pPr>
        <w:pStyle w:val="321"/>
        <w:shd w:val="clear" w:color="auto" w:fill="auto"/>
        <w:spacing w:line="240"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（一）、项目进度及完成期限</w:t>
      </w:r>
    </w:p>
    <w:p>
      <w:pPr>
        <w:numPr>
          <w:ilvl w:val="0"/>
          <w:numId w:val="0"/>
        </w:numPr>
        <w:spacing w:line="240" w:lineRule="auto"/>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1.本次项目合同服务期限为自合同签订之日起</w:t>
      </w:r>
      <w:r>
        <w:rPr>
          <w:rFonts w:hint="eastAsia" w:cs="宋体"/>
          <w:bCs/>
          <w:sz w:val="21"/>
          <w:szCs w:val="21"/>
          <w:highlight w:val="none"/>
          <w:lang w:val="en-US" w:eastAsia="zh-CN"/>
        </w:rPr>
        <w:t>一</w:t>
      </w:r>
      <w:r>
        <w:rPr>
          <w:rFonts w:hint="eastAsia" w:ascii="宋体" w:hAnsi="宋体" w:eastAsia="宋体" w:cs="宋体"/>
          <w:bCs/>
          <w:sz w:val="21"/>
          <w:szCs w:val="21"/>
          <w:highlight w:val="none"/>
          <w:lang w:val="en-US" w:eastAsia="zh-CN"/>
        </w:rPr>
        <w:t>年，</w:t>
      </w:r>
      <w:r>
        <w:rPr>
          <w:rFonts w:hint="eastAsia"/>
          <w:highlight w:val="none"/>
        </w:rPr>
        <w:t>该项目为长期服务项目，合同期限可以延长，但最长不超过</w:t>
      </w:r>
      <w:r>
        <w:rPr>
          <w:highlight w:val="none"/>
        </w:rPr>
        <w:t>3年</w:t>
      </w:r>
      <w:r>
        <w:rPr>
          <w:rFonts w:hint="eastAsia" w:ascii="宋体" w:hAnsi="宋体" w:eastAsia="宋体" w:cs="宋体"/>
          <w:bCs/>
          <w:sz w:val="21"/>
          <w:szCs w:val="21"/>
          <w:highlight w:val="none"/>
          <w:lang w:val="en-US" w:eastAsia="zh-CN"/>
        </w:rPr>
        <w:t>。</w:t>
      </w:r>
    </w:p>
    <w:p>
      <w:pPr>
        <w:numPr>
          <w:ilvl w:val="0"/>
          <w:numId w:val="0"/>
        </w:numPr>
        <w:jc w:val="both"/>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2.服务开始日期以合同签订生效的日期为准，服务终止日期以合同约定为准。</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594"/>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73" w:type="dxa"/>
            <w:vAlign w:val="center"/>
          </w:tcPr>
          <w:p>
            <w:pPr>
              <w:widowControl/>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594" w:type="dxa"/>
            <w:vAlign w:val="center"/>
          </w:tcPr>
          <w:p>
            <w:pPr>
              <w:widowControl/>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目录</w:t>
            </w:r>
          </w:p>
        </w:tc>
        <w:tc>
          <w:tcPr>
            <w:tcW w:w="7203" w:type="dxa"/>
            <w:vAlign w:val="center"/>
          </w:tcPr>
          <w:p>
            <w:pPr>
              <w:widowControl/>
              <w:jc w:val="center"/>
              <w:rPr>
                <w:rFonts w:hint="eastAsia" w:ascii="宋体" w:hAnsi="宋体" w:eastAsia="宋体" w:cs="宋体"/>
                <w:b/>
                <w:sz w:val="21"/>
                <w:szCs w:val="21"/>
                <w:highlight w:val="none"/>
              </w:rPr>
            </w:pPr>
            <w:r>
              <w:rPr>
                <w:rFonts w:hint="eastAsia" w:ascii="宋体" w:hAnsi="宋体" w:eastAsia="宋体" w:cs="宋体"/>
                <w:sz w:val="21"/>
                <w:szCs w:val="21"/>
                <w:highlight w:val="none"/>
              </w:rPr>
              <w:t>★</w:t>
            </w:r>
            <w:r>
              <w:rPr>
                <w:rFonts w:hint="eastAsia" w:ascii="宋体" w:hAnsi="宋体" w:eastAsia="宋体" w:cs="宋体"/>
                <w:b/>
                <w:sz w:val="21"/>
                <w:szCs w:val="21"/>
                <w:highlight w:val="none"/>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widowControl w:val="0"/>
              <w:jc w:val="center"/>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sz w:val="21"/>
                <w:szCs w:val="21"/>
                <w:highlight w:val="none"/>
              </w:rPr>
              <w:t>※</w:t>
            </w:r>
          </w:p>
        </w:tc>
        <w:tc>
          <w:tcPr>
            <w:tcW w:w="1594" w:type="dxa"/>
            <w:vAlign w:val="center"/>
          </w:tcPr>
          <w:p>
            <w:pPr>
              <w:widowControl w:val="0"/>
              <w:jc w:val="center"/>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服务期要求</w:t>
            </w:r>
          </w:p>
        </w:tc>
        <w:tc>
          <w:tcPr>
            <w:tcW w:w="7203" w:type="dxa"/>
          </w:tcPr>
          <w:p>
            <w:pPr>
              <w:widowControl w:val="0"/>
              <w:numPr>
                <w:ilvl w:val="0"/>
                <w:numId w:val="0"/>
              </w:num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1.本次项目合同服务期限为自合同签订之日起</w:t>
            </w:r>
            <w:r>
              <w:rPr>
                <w:rFonts w:hint="eastAsia" w:cs="宋体"/>
                <w:bCs/>
                <w:sz w:val="21"/>
                <w:szCs w:val="21"/>
                <w:highlight w:val="none"/>
                <w:lang w:val="en-US" w:eastAsia="zh-CN"/>
              </w:rPr>
              <w:t>一</w:t>
            </w:r>
            <w:r>
              <w:rPr>
                <w:rFonts w:hint="eastAsia" w:ascii="宋体" w:hAnsi="宋体" w:eastAsia="宋体" w:cs="宋体"/>
                <w:bCs/>
                <w:sz w:val="21"/>
                <w:szCs w:val="21"/>
                <w:highlight w:val="none"/>
                <w:lang w:val="en-US" w:eastAsia="zh-CN"/>
              </w:rPr>
              <w:t>年，</w:t>
            </w:r>
            <w:r>
              <w:rPr>
                <w:rFonts w:hint="eastAsia"/>
                <w:highlight w:val="none"/>
              </w:rPr>
              <w:t>该项目为长期服务项目，合同期限可以延长，但最长不超过</w:t>
            </w:r>
            <w:r>
              <w:rPr>
                <w:highlight w:val="none"/>
              </w:rPr>
              <w:t>3年</w:t>
            </w:r>
            <w:r>
              <w:rPr>
                <w:rFonts w:hint="eastAsia" w:ascii="宋体" w:hAnsi="宋体" w:eastAsia="宋体" w:cs="宋体"/>
                <w:bCs/>
                <w:sz w:val="21"/>
                <w:szCs w:val="21"/>
                <w:highlight w:val="none"/>
                <w:lang w:val="en-US" w:eastAsia="zh-CN"/>
              </w:rPr>
              <w:t>。</w:t>
            </w:r>
          </w:p>
          <w:p>
            <w:pPr>
              <w:widowControl w:val="0"/>
              <w:numPr>
                <w:ilvl w:val="0"/>
                <w:numId w:val="0"/>
              </w:numPr>
              <w:jc w:val="both"/>
              <w:rPr>
                <w:rFonts w:hint="eastAsia" w:ascii="宋体" w:hAnsi="宋体" w:eastAsia="宋体" w:cs="宋体"/>
                <w:b/>
                <w:sz w:val="21"/>
                <w:szCs w:val="21"/>
                <w:highlight w:val="none"/>
                <w:u w:val="single"/>
                <w:lang w:val="en-US" w:eastAsia="zh-CN"/>
              </w:rPr>
            </w:pPr>
            <w:r>
              <w:rPr>
                <w:rFonts w:hint="eastAsia" w:ascii="宋体" w:hAnsi="宋体" w:eastAsia="宋体" w:cs="宋体"/>
                <w:b w:val="0"/>
                <w:bCs w:val="0"/>
                <w:kern w:val="0"/>
                <w:sz w:val="21"/>
                <w:szCs w:val="21"/>
                <w:highlight w:val="none"/>
                <w:lang w:val="en-US" w:eastAsia="zh-CN" w:bidi="ar-SA"/>
              </w:rPr>
              <w:t>2.服务开始日期以合同签订生效的日期为准，服务终止日期以合同约定为准。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widowControl w:val="0"/>
              <w:jc w:val="center"/>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sz w:val="21"/>
                <w:szCs w:val="21"/>
                <w:highlight w:val="none"/>
              </w:rPr>
              <w:t>※</w:t>
            </w:r>
          </w:p>
        </w:tc>
        <w:tc>
          <w:tcPr>
            <w:tcW w:w="1594" w:type="dxa"/>
            <w:vAlign w:val="center"/>
          </w:tcPr>
          <w:p>
            <w:pPr>
              <w:widowControl w:val="0"/>
              <w:jc w:val="center"/>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服务地点</w:t>
            </w:r>
          </w:p>
        </w:tc>
        <w:tc>
          <w:tcPr>
            <w:tcW w:w="7203" w:type="dxa"/>
          </w:tcPr>
          <w:p>
            <w:pPr>
              <w:widowControl w:val="0"/>
              <w:outlineLvl w:val="0"/>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lang w:eastAsia="zh-CN"/>
              </w:rPr>
              <w:t>深圳市福田区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widowControl w:val="0"/>
              <w:jc w:val="center"/>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r>
              <w:rPr>
                <w:rFonts w:hint="eastAsia" w:ascii="宋体" w:hAnsi="宋体" w:eastAsia="宋体" w:cs="宋体"/>
                <w:b/>
                <w:sz w:val="21"/>
                <w:szCs w:val="21"/>
                <w:highlight w:val="none"/>
              </w:rPr>
              <w:t>※</w:t>
            </w:r>
          </w:p>
        </w:tc>
        <w:tc>
          <w:tcPr>
            <w:tcW w:w="1594" w:type="dxa"/>
            <w:vAlign w:val="center"/>
          </w:tcPr>
          <w:p>
            <w:pPr>
              <w:widowControl w:val="0"/>
              <w:jc w:val="center"/>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付款方式</w:t>
            </w:r>
          </w:p>
        </w:tc>
        <w:tc>
          <w:tcPr>
            <w:tcW w:w="7203" w:type="dxa"/>
          </w:tcPr>
          <w:p>
            <w:pPr>
              <w:widowControl w:val="0"/>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合同签订后 20 日内，甲方向乙方支付合同总价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的款项。</w:t>
            </w:r>
          </w:p>
          <w:p>
            <w:pPr>
              <w:widowControl w:val="0"/>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按乙方提供的成果文件，经验收合格后，甲方分4次支付进度款至合同总价的90%（扣除首付款）</w:t>
            </w:r>
            <w:r>
              <w:rPr>
                <w:rFonts w:hint="eastAsia" w:cs="宋体"/>
                <w:sz w:val="21"/>
                <w:szCs w:val="21"/>
                <w:highlight w:val="none"/>
                <w:lang w:eastAsia="zh-CN"/>
              </w:rPr>
              <w:t>。</w:t>
            </w:r>
          </w:p>
          <w:p>
            <w:pPr>
              <w:widowControl w:val="0"/>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项目验收完毕后，甲方向乙方支付实际完成工程量核定费用。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widowControl w:val="0"/>
              <w:jc w:val="center"/>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w:t>
            </w:r>
            <w:r>
              <w:rPr>
                <w:rFonts w:hint="eastAsia" w:ascii="宋体" w:hAnsi="宋体" w:eastAsia="宋体" w:cs="宋体"/>
                <w:b/>
                <w:sz w:val="21"/>
                <w:szCs w:val="21"/>
                <w:highlight w:val="none"/>
              </w:rPr>
              <w:t>※</w:t>
            </w:r>
          </w:p>
        </w:tc>
        <w:tc>
          <w:tcPr>
            <w:tcW w:w="1594" w:type="dxa"/>
            <w:vAlign w:val="center"/>
          </w:tcPr>
          <w:p>
            <w:pPr>
              <w:widowControl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关于验收</w:t>
            </w:r>
          </w:p>
          <w:p>
            <w:pPr>
              <w:widowControl w:val="0"/>
              <w:jc w:val="center"/>
              <w:outlineLvl w:val="0"/>
              <w:rPr>
                <w:rFonts w:hint="eastAsia" w:ascii="宋体" w:hAnsi="宋体" w:eastAsia="宋体" w:cs="宋体"/>
                <w:b/>
                <w:bCs/>
                <w:sz w:val="21"/>
                <w:szCs w:val="21"/>
                <w:highlight w:val="none"/>
              </w:rPr>
            </w:pPr>
          </w:p>
        </w:tc>
        <w:tc>
          <w:tcPr>
            <w:tcW w:w="7203" w:type="dxa"/>
          </w:tcPr>
          <w:p>
            <w:pPr>
              <w:widowControl w:val="0"/>
              <w:rPr>
                <w:rFonts w:hint="eastAsia" w:ascii="宋体" w:hAnsi="宋体" w:eastAsia="宋体" w:cs="宋体"/>
                <w:b/>
                <w:sz w:val="21"/>
                <w:szCs w:val="21"/>
                <w:highlight w:val="none"/>
              </w:rPr>
            </w:pPr>
            <w:r>
              <w:rPr>
                <w:rFonts w:hint="eastAsia" w:ascii="宋体" w:hAnsi="宋体" w:eastAsia="宋体" w:cs="宋体"/>
                <w:bCs/>
                <w:sz w:val="21"/>
                <w:szCs w:val="21"/>
                <w:highlight w:val="none"/>
              </w:rPr>
              <w:t>1）服务经过双方检验认可后，签署验收报告。</w:t>
            </w:r>
          </w:p>
          <w:p>
            <w:pPr>
              <w:widowControl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2）当满足以下条件时，采购人才向中标人签发验收报告：</w:t>
            </w:r>
          </w:p>
          <w:p>
            <w:pPr>
              <w:widowControl w:val="0"/>
              <w:tabs>
                <w:tab w:val="left" w:pos="1260"/>
                <w:tab w:val="clear" w:pos="426"/>
              </w:tabs>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a、中标人已按照合同规定提供了全部技术资料。</w:t>
            </w:r>
          </w:p>
          <w:p>
            <w:pPr>
              <w:widowControl w:val="0"/>
              <w:tabs>
                <w:tab w:val="left" w:pos="1260"/>
                <w:tab w:val="clear" w:pos="426"/>
              </w:tabs>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b、服务项目符合招标文件的服务要求</w:t>
            </w:r>
          </w:p>
        </w:tc>
      </w:tr>
    </w:tbl>
    <w:p>
      <w:pPr>
        <w:pStyle w:val="305"/>
        <w:ind w:left="0" w:leftChars="0" w:firstLine="0" w:firstLineChars="0"/>
        <w:rPr>
          <w:highlight w:val="none"/>
        </w:rPr>
      </w:pPr>
    </w:p>
    <w:p>
      <w:pPr>
        <w:pStyle w:val="319"/>
        <w:spacing w:line="120" w:lineRule="auto"/>
        <w:rPr>
          <w:highlight w:val="none"/>
        </w:rPr>
      </w:pPr>
      <w:r>
        <w:rPr>
          <w:rFonts w:hint="eastAsia"/>
          <w:highlight w:val="none"/>
        </w:rPr>
        <w:t>报价要求</w:t>
      </w:r>
    </w:p>
    <w:p>
      <w:pPr>
        <w:pStyle w:val="305"/>
        <w:rPr>
          <w:highlight w:val="none"/>
        </w:rPr>
      </w:pPr>
      <w:r>
        <w:rPr>
          <w:highlight w:val="none"/>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pPr>
        <w:pStyle w:val="305"/>
        <w:rPr>
          <w:highlight w:val="none"/>
        </w:rPr>
      </w:pPr>
      <w:r>
        <w:rPr>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05"/>
        <w:rPr>
          <w:highlight w:val="none"/>
        </w:rPr>
      </w:pPr>
      <w:r>
        <w:rPr>
          <w:highlight w:val="none"/>
        </w:rPr>
        <w:t>3.投标人的投标报价，应是本项目招标范围和招标文件及合同条款上所列的各项内容中所述的全部，不得以任何理由予以重复，并以投标人在投标文件中提出的综合单价或总价为依据。</w:t>
      </w:r>
    </w:p>
    <w:p>
      <w:pPr>
        <w:pStyle w:val="305"/>
        <w:rPr>
          <w:highlight w:val="none"/>
        </w:rPr>
      </w:pPr>
      <w:r>
        <w:rPr>
          <w:highlight w:val="none"/>
        </w:rPr>
        <w:t>4.除非招标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pStyle w:val="305"/>
        <w:rPr>
          <w:highlight w:val="none"/>
        </w:rPr>
      </w:pPr>
      <w:r>
        <w:rPr>
          <w:highlight w:val="none"/>
        </w:rPr>
        <w:t>5.投标人应充分了解项目的位置、情况、道路及任何其它足以影响投标报价的情况，任何因忽视或误解项目情况而导致的索赔或服务期限延长申请将不获批准。</w:t>
      </w:r>
    </w:p>
    <w:p>
      <w:pPr>
        <w:pStyle w:val="305"/>
        <w:rPr>
          <w:highlight w:val="none"/>
        </w:rPr>
      </w:pPr>
      <w:r>
        <w:rPr>
          <w:highlight w:val="none"/>
        </w:rPr>
        <w:t>6.投标人不得期望通过索赔等方式获取补偿，否则，除可能遭到拒绝外，还可能将被作为不良行为记录在案，并可能影响其以后参加政府采购的项目投标。各投标人在投标报价时，应充分考虑投标报价的风险。</w:t>
      </w:r>
    </w:p>
    <w:p>
      <w:pPr>
        <w:shd w:val="clear" w:color="auto" w:fill="auto"/>
        <w:tabs>
          <w:tab w:val="clear" w:pos="426"/>
        </w:tabs>
        <w:adjustRightInd/>
        <w:snapToGrid/>
        <w:spacing w:line="240" w:lineRule="auto"/>
        <w:jc w:val="left"/>
        <w:rPr>
          <w:rFonts w:cs="Times New Roman"/>
          <w:kern w:val="2"/>
          <w:szCs w:val="21"/>
          <w:highlight w:val="none"/>
        </w:rPr>
      </w:pPr>
      <w:r>
        <w:rPr>
          <w:highlight w:val="none"/>
        </w:rPr>
        <w:br w:type="page"/>
      </w:r>
    </w:p>
    <w:bookmarkEnd w:id="39"/>
    <w:bookmarkEnd w:id="40"/>
    <w:p>
      <w:pPr>
        <w:pStyle w:val="309"/>
        <w:pageBreakBefore/>
        <w:rPr>
          <w:highlight w:val="none"/>
        </w:rPr>
      </w:pPr>
      <w:bookmarkStart w:id="41" w:name="_Toc67387143"/>
      <w:r>
        <w:rPr>
          <w:rFonts w:hint="eastAsia"/>
          <w:highlight w:val="none"/>
        </w:rPr>
        <w:t>第四章 政府采购合同的签订、履约及验收</w:t>
      </w:r>
      <w:bookmarkEnd w:id="41"/>
    </w:p>
    <w:p>
      <w:pPr>
        <w:pStyle w:val="321"/>
        <w:rPr>
          <w:highlight w:val="none"/>
        </w:rPr>
      </w:pPr>
      <w:r>
        <w:rPr>
          <w:rFonts w:hint="eastAsia"/>
          <w:highlight w:val="none"/>
        </w:rPr>
        <w:t>一、重要提示</w:t>
      </w:r>
    </w:p>
    <w:p>
      <w:pPr>
        <w:pStyle w:val="305"/>
        <w:rPr>
          <w:highlight w:val="none"/>
        </w:rPr>
      </w:pPr>
      <w:bookmarkStart w:id="42" w:name="_Hlk2096823"/>
      <w:r>
        <w:rPr>
          <w:highlight w:val="none"/>
        </w:rPr>
        <w:t>中标人将于中标通知书发出之日起十个工作日内，按照招标文件和投标文件内容与采购单位签订书面合同，合同书</w:t>
      </w:r>
      <w:r>
        <w:rPr>
          <w:rFonts w:hint="eastAsia"/>
          <w:highlight w:val="none"/>
        </w:rPr>
        <w:t>可参考</w:t>
      </w:r>
      <w:r>
        <w:rPr>
          <w:highlight w:val="none"/>
        </w:rPr>
        <w:t>本招标文件规定的合同样本</w:t>
      </w:r>
      <w:r>
        <w:rPr>
          <w:rFonts w:hint="eastAsia"/>
          <w:highlight w:val="none"/>
        </w:rPr>
        <w:t>，有专业类别的格式合同范本请选择相应的合同。</w:t>
      </w:r>
    </w:p>
    <w:p>
      <w:pPr>
        <w:pStyle w:val="305"/>
        <w:rPr>
          <w:highlight w:val="none"/>
        </w:rPr>
      </w:pPr>
      <w:r>
        <w:rPr>
          <w:highlight w:val="none"/>
        </w:rPr>
        <w:t>中标人应当按照合同约定履行义务，完成中标项目，不得将中标项目转让（转包）给他人</w:t>
      </w:r>
      <w:r>
        <w:rPr>
          <w:rFonts w:hint="eastAsia"/>
          <w:highlight w:val="none"/>
        </w:rPr>
        <w:t>。</w:t>
      </w:r>
    </w:p>
    <w:p>
      <w:pPr>
        <w:pStyle w:val="305"/>
        <w:rPr>
          <w:rFonts w:ascii="Times New Roman" w:hAnsi="Times New Roman"/>
          <w:sz w:val="24"/>
          <w:highlight w:val="none"/>
        </w:rPr>
      </w:pPr>
      <w:r>
        <w:rPr>
          <w:highlight w:val="none"/>
        </w:rPr>
        <w:t>采购人与中标人应于合同签订之日起10日内，由采购人或委托中标人将采购合同副本抄送政府集中采购机构备案。</w:t>
      </w:r>
    </w:p>
    <w:p>
      <w:pPr>
        <w:pStyle w:val="305"/>
        <w:rPr>
          <w:highlight w:val="none"/>
        </w:rPr>
      </w:pPr>
      <w:r>
        <w:rPr>
          <w:highlight w:val="none"/>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pStyle w:val="305"/>
        <w:rPr>
          <w:highlight w:val="none"/>
        </w:rPr>
      </w:pPr>
      <w:r>
        <w:rPr>
          <w:highlight w:val="none"/>
        </w:rPr>
        <w:t>1.在采购活动中应当回避而未回避的；</w:t>
      </w:r>
    </w:p>
    <w:p>
      <w:pPr>
        <w:pStyle w:val="305"/>
        <w:ind w:firstLine="422"/>
        <w:rPr>
          <w:b/>
          <w:highlight w:val="none"/>
        </w:rPr>
      </w:pPr>
      <w:r>
        <w:rPr>
          <w:b/>
          <w:highlight w:val="none"/>
        </w:rPr>
        <w:t>2.未按本条例规定签订、履行采购合同，造成严重后果的；</w:t>
      </w:r>
    </w:p>
    <w:p>
      <w:pPr>
        <w:pStyle w:val="305"/>
        <w:rPr>
          <w:highlight w:val="none"/>
        </w:rPr>
      </w:pPr>
      <w:r>
        <w:rPr>
          <w:highlight w:val="none"/>
        </w:rPr>
        <w:t>3.隐瞒真实情况，提供虚假资料的；</w:t>
      </w:r>
    </w:p>
    <w:p>
      <w:pPr>
        <w:pStyle w:val="305"/>
        <w:rPr>
          <w:highlight w:val="none"/>
        </w:rPr>
      </w:pPr>
      <w:r>
        <w:rPr>
          <w:highlight w:val="none"/>
        </w:rPr>
        <w:t>4.以非法手段排斥其他供应商参与竞争的；</w:t>
      </w:r>
    </w:p>
    <w:p>
      <w:pPr>
        <w:pStyle w:val="305"/>
        <w:rPr>
          <w:highlight w:val="none"/>
        </w:rPr>
      </w:pPr>
      <w:r>
        <w:rPr>
          <w:highlight w:val="none"/>
        </w:rPr>
        <w:t>5.与其他采购参加人串通投标的；</w:t>
      </w:r>
    </w:p>
    <w:p>
      <w:pPr>
        <w:pStyle w:val="305"/>
        <w:rPr>
          <w:highlight w:val="none"/>
        </w:rPr>
      </w:pPr>
      <w:r>
        <w:rPr>
          <w:highlight w:val="none"/>
        </w:rPr>
        <w:t>6.恶意投诉的；</w:t>
      </w:r>
    </w:p>
    <w:p>
      <w:pPr>
        <w:pStyle w:val="305"/>
        <w:rPr>
          <w:highlight w:val="none"/>
        </w:rPr>
      </w:pPr>
      <w:r>
        <w:rPr>
          <w:highlight w:val="none"/>
        </w:rPr>
        <w:t>7.向采购项目相关人行贿或者提供其他不当利益的；</w:t>
      </w:r>
    </w:p>
    <w:p>
      <w:pPr>
        <w:pStyle w:val="305"/>
        <w:rPr>
          <w:highlight w:val="none"/>
        </w:rPr>
      </w:pPr>
      <w:r>
        <w:rPr>
          <w:highlight w:val="none"/>
        </w:rPr>
        <w:t>8.阻碍、抗拒主管部门监督检查的；</w:t>
      </w:r>
    </w:p>
    <w:p>
      <w:pPr>
        <w:pStyle w:val="305"/>
        <w:rPr>
          <w:highlight w:val="none"/>
        </w:rPr>
      </w:pPr>
      <w:r>
        <w:rPr>
          <w:highlight w:val="none"/>
        </w:rPr>
        <w:t>9.其他违反本条例规定的行为。</w:t>
      </w:r>
    </w:p>
    <w:p>
      <w:pPr>
        <w:pStyle w:val="305"/>
        <w:rPr>
          <w:rFonts w:cs="Times New Roman"/>
          <w:kern w:val="2"/>
          <w:szCs w:val="21"/>
          <w:highlight w:val="none"/>
        </w:rPr>
      </w:pPr>
      <w:r>
        <w:rPr>
          <w:highlight w:val="none"/>
        </w:rPr>
        <w:t>供应商必须诚信投标，对项目需求进行实质性响应。采购单位（或深圳市深水水务咨询有限公司）将组织聘请第三方专业机构（必要时，邀请参加本项目投标的供应商）实施项目履约验收，如未按合同履约，将按上述规定进行处理。</w:t>
      </w:r>
      <w:bookmarkEnd w:id="42"/>
    </w:p>
    <w:p>
      <w:pPr>
        <w:widowControl w:val="0"/>
        <w:shd w:val="clear" w:color="auto" w:fill="auto"/>
        <w:tabs>
          <w:tab w:val="clear" w:pos="426"/>
        </w:tabs>
        <w:spacing w:line="240" w:lineRule="auto"/>
        <w:ind w:firstLine="420" w:firstLineChars="200"/>
        <w:rPr>
          <w:rFonts w:cs="Times New Roman"/>
          <w:kern w:val="2"/>
          <w:szCs w:val="21"/>
          <w:highlight w:val="none"/>
        </w:rPr>
      </w:pPr>
    </w:p>
    <w:p>
      <w:pPr>
        <w:shd w:val="clear" w:color="auto" w:fill="auto"/>
        <w:tabs>
          <w:tab w:val="clear" w:pos="426"/>
        </w:tabs>
        <w:spacing w:line="240" w:lineRule="auto"/>
        <w:jc w:val="left"/>
        <w:rPr>
          <w:rFonts w:ascii="Arial" w:hAnsi="Arial" w:eastAsia="黑体" w:cs="Times New Roman"/>
          <w:b/>
          <w:bCs/>
          <w:kern w:val="2"/>
          <w:sz w:val="28"/>
          <w:szCs w:val="28"/>
          <w:highlight w:val="none"/>
        </w:rPr>
      </w:pPr>
      <w:r>
        <w:rPr>
          <w:rFonts w:ascii="Arial" w:hAnsi="Arial" w:eastAsia="黑体" w:cs="Times New Roman"/>
          <w:b/>
          <w:bCs/>
          <w:kern w:val="2"/>
          <w:sz w:val="28"/>
          <w:szCs w:val="28"/>
          <w:highlight w:val="none"/>
        </w:rPr>
        <w:br w:type="page"/>
      </w:r>
    </w:p>
    <w:p>
      <w:pPr>
        <w:pStyle w:val="321"/>
        <w:pageBreakBefore/>
        <w:rPr>
          <w:highlight w:val="none"/>
        </w:rPr>
      </w:pPr>
      <w:r>
        <w:rPr>
          <w:rFonts w:hint="eastAsia"/>
          <w:highlight w:val="none"/>
        </w:rPr>
        <w:t>二、合同条款及格式</w:t>
      </w:r>
    </w:p>
    <w:p>
      <w:pPr>
        <w:tabs>
          <w:tab w:val="clear" w:pos="426"/>
        </w:tabs>
        <w:jc w:val="center"/>
        <w:rPr>
          <w:b/>
          <w:sz w:val="24"/>
          <w:highlight w:val="none"/>
        </w:rPr>
      </w:pPr>
      <w:r>
        <w:rPr>
          <w:rFonts w:hint="eastAsia"/>
          <w:b/>
          <w:sz w:val="24"/>
          <w:highlight w:val="none"/>
        </w:rPr>
        <w:t>有专业类别的格式合同范本请选择相应的合同</w:t>
      </w:r>
    </w:p>
    <w:p>
      <w:pPr>
        <w:tabs>
          <w:tab w:val="clear" w:pos="426"/>
        </w:tabs>
        <w:jc w:val="center"/>
        <w:rPr>
          <w:b/>
          <w:sz w:val="24"/>
          <w:highlight w:val="none"/>
        </w:rPr>
      </w:pPr>
      <w:r>
        <w:rPr>
          <w:rFonts w:hint="eastAsia"/>
          <w:b/>
          <w:sz w:val="24"/>
          <w:highlight w:val="none"/>
        </w:rPr>
        <w:t>（仅供参考）</w:t>
      </w:r>
    </w:p>
    <w:p>
      <w:pPr>
        <w:widowControl w:val="0"/>
        <w:shd w:val="clear" w:color="auto" w:fill="auto"/>
        <w:tabs>
          <w:tab w:val="clear" w:pos="426"/>
        </w:tabs>
        <w:spacing w:line="240" w:lineRule="auto"/>
        <w:rPr>
          <w:rFonts w:cs="Times New Roman"/>
          <w:b/>
          <w:bCs/>
          <w:kern w:val="2"/>
          <w:szCs w:val="21"/>
          <w:highlight w:val="none"/>
          <w:u w:val="none"/>
        </w:rPr>
      </w:pPr>
      <w:r>
        <w:rPr>
          <w:rFonts w:hint="eastAsia" w:cs="Times New Roman"/>
          <w:b/>
          <w:bCs/>
          <w:kern w:val="2"/>
          <w:szCs w:val="21"/>
          <w:highlight w:val="none"/>
          <w:u w:val="none"/>
        </w:rPr>
        <w:t>甲方：</w:t>
      </w:r>
      <w:r>
        <w:rPr>
          <w:rFonts w:cs="Times New Roman"/>
          <w:b/>
          <w:bCs/>
          <w:kern w:val="2"/>
          <w:szCs w:val="21"/>
          <w:highlight w:val="none"/>
          <w:u w:val="none"/>
        </w:rPr>
        <w:t>_</w:t>
      </w:r>
      <w:r>
        <w:rPr>
          <w:rFonts w:hint="eastAsia" w:cs="Times New Roman"/>
          <w:b/>
          <w:bCs/>
          <w:kern w:val="2"/>
          <w:szCs w:val="21"/>
          <w:highlight w:val="none"/>
          <w:u w:val="none"/>
        </w:rPr>
        <w:t>_</w:t>
      </w:r>
      <w:r>
        <w:rPr>
          <w:rFonts w:cs="Times New Roman"/>
          <w:b/>
          <w:bCs/>
          <w:kern w:val="2"/>
          <w:szCs w:val="21"/>
          <w:highlight w:val="none"/>
          <w:u w:val="none"/>
        </w:rPr>
        <w:t>______</w:t>
      </w:r>
    </w:p>
    <w:p>
      <w:pPr>
        <w:widowControl w:val="0"/>
        <w:shd w:val="clear" w:color="auto" w:fill="auto"/>
        <w:tabs>
          <w:tab w:val="clear" w:pos="426"/>
        </w:tabs>
        <w:spacing w:line="240" w:lineRule="auto"/>
        <w:rPr>
          <w:rFonts w:cs="Times New Roman"/>
          <w:b/>
          <w:bCs/>
          <w:kern w:val="2"/>
          <w:szCs w:val="21"/>
          <w:highlight w:val="none"/>
          <w:u w:val="none"/>
        </w:rPr>
      </w:pPr>
      <w:r>
        <w:rPr>
          <w:rFonts w:hint="eastAsia" w:cs="Times New Roman"/>
          <w:b/>
          <w:bCs/>
          <w:kern w:val="2"/>
          <w:szCs w:val="21"/>
          <w:highlight w:val="none"/>
          <w:u w:val="none"/>
        </w:rPr>
        <w:t>乙方：</w:t>
      </w:r>
      <w:r>
        <w:rPr>
          <w:rFonts w:cs="Times New Roman"/>
          <w:b/>
          <w:bCs/>
          <w:kern w:val="2"/>
          <w:szCs w:val="21"/>
          <w:highlight w:val="none"/>
          <w:u w:val="none"/>
        </w:rPr>
        <w:t>________</w:t>
      </w:r>
    </w:p>
    <w:p>
      <w:pPr>
        <w:widowControl w:val="0"/>
        <w:shd w:val="clear" w:color="auto" w:fill="auto"/>
        <w:tabs>
          <w:tab w:val="clear" w:pos="426"/>
        </w:tabs>
        <w:spacing w:line="240" w:lineRule="auto"/>
        <w:rPr>
          <w:rFonts w:cs="Times New Roman"/>
          <w:kern w:val="2"/>
          <w:szCs w:val="21"/>
          <w:highlight w:val="none"/>
          <w:u w:val="none"/>
        </w:rPr>
      </w:pPr>
    </w:p>
    <w:p>
      <w:pPr>
        <w:widowControl w:val="0"/>
        <w:shd w:val="clear" w:color="auto" w:fill="auto"/>
        <w:tabs>
          <w:tab w:val="clear" w:pos="426"/>
        </w:tabs>
        <w:spacing w:line="240" w:lineRule="auto"/>
        <w:rPr>
          <w:rFonts w:cs="Times New Roman"/>
          <w:kern w:val="2"/>
          <w:szCs w:val="21"/>
          <w:highlight w:val="none"/>
          <w:u w:val="none"/>
        </w:rPr>
      </w:pP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根据深圳市深水水务咨询有限公司__________号招标项目的投标结果，由_____________单位为中标方。按照《中华人民共和国民法典》《深圳经济特区政府采购条例》《深圳经济特区政府采购条例实施细则》，经_________（以下简称甲方）和____________（以下简称乙方）协商，就甲方委托乙方承担</w:t>
      </w:r>
      <w:r>
        <w:rPr>
          <w:rFonts w:hint="eastAsia" w:cs="Times New Roman"/>
          <w:b/>
          <w:bCs/>
          <w:snapToGrid w:val="0"/>
          <w:szCs w:val="21"/>
          <w:highlight w:val="none"/>
          <w:u w:val="none"/>
          <w:lang w:val="zh-CN"/>
        </w:rPr>
        <w:t>______________________服务项目</w:t>
      </w:r>
      <w:r>
        <w:rPr>
          <w:rFonts w:hint="eastAsia" w:cs="Times New Roman"/>
          <w:kern w:val="2"/>
          <w:szCs w:val="21"/>
          <w:highlight w:val="none"/>
          <w:u w:val="none"/>
        </w:rPr>
        <w:t>，达成以下合同条款：</w:t>
      </w:r>
    </w:p>
    <w:p>
      <w:pPr>
        <w:pStyle w:val="332"/>
        <w:rPr>
          <w:highlight w:val="none"/>
          <w:u w:val="none"/>
        </w:rPr>
      </w:pPr>
      <w:r>
        <w:rPr>
          <w:rFonts w:hint="eastAsia"/>
          <w:highlight w:val="none"/>
          <w:u w:val="none"/>
        </w:rPr>
        <w:t>项目概况</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w:t>
      </w:r>
      <w:r>
        <w:rPr>
          <w:rFonts w:cs="Times New Roman"/>
          <w:kern w:val="2"/>
          <w:szCs w:val="21"/>
          <w:highlight w:val="none"/>
          <w:u w:val="none"/>
        </w:rPr>
        <w:t>.</w:t>
      </w:r>
      <w:r>
        <w:rPr>
          <w:rFonts w:hint="eastAsia" w:cs="Times New Roman"/>
          <w:kern w:val="2"/>
          <w:szCs w:val="21"/>
          <w:highlight w:val="none"/>
          <w:u w:val="none"/>
        </w:rPr>
        <w:t xml:space="preserve">项目名称： </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w:t>
      </w:r>
      <w:r>
        <w:rPr>
          <w:rFonts w:cs="Times New Roman"/>
          <w:kern w:val="2"/>
          <w:szCs w:val="21"/>
          <w:highlight w:val="none"/>
          <w:u w:val="none"/>
        </w:rPr>
        <w:t>.</w:t>
      </w:r>
      <w:r>
        <w:rPr>
          <w:rFonts w:hint="eastAsia" w:cs="Times New Roman"/>
          <w:kern w:val="2"/>
          <w:szCs w:val="21"/>
          <w:highlight w:val="none"/>
          <w:u w:val="none"/>
        </w:rPr>
        <w:t xml:space="preserve">项目内容： </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w:t>
      </w:r>
      <w:r>
        <w:rPr>
          <w:rFonts w:cs="Times New Roman"/>
          <w:kern w:val="2"/>
          <w:szCs w:val="21"/>
          <w:highlight w:val="none"/>
          <w:u w:val="none"/>
        </w:rPr>
        <w:t>.</w:t>
      </w:r>
      <w:r>
        <w:rPr>
          <w:rFonts w:hint="eastAsia" w:cs="Times New Roman"/>
          <w:kern w:val="2"/>
          <w:szCs w:val="21"/>
          <w:highlight w:val="none"/>
          <w:u w:val="none"/>
        </w:rPr>
        <w:t>履约时间：</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w:t>
      </w:r>
      <w:r>
        <w:rPr>
          <w:rFonts w:cs="Times New Roman"/>
          <w:kern w:val="2"/>
          <w:szCs w:val="21"/>
          <w:highlight w:val="none"/>
          <w:u w:val="none"/>
        </w:rPr>
        <w:t>.</w:t>
      </w:r>
      <w:r>
        <w:rPr>
          <w:rFonts w:hint="eastAsia" w:cs="Times New Roman"/>
          <w:kern w:val="2"/>
          <w:szCs w:val="21"/>
          <w:highlight w:val="none"/>
          <w:u w:val="none"/>
        </w:rPr>
        <w:t xml:space="preserve">履约地点： </w:t>
      </w:r>
    </w:p>
    <w:p>
      <w:pPr>
        <w:widowControl w:val="0"/>
        <w:shd w:val="clear" w:color="auto" w:fill="auto"/>
        <w:tabs>
          <w:tab w:val="clear" w:pos="426"/>
        </w:tabs>
        <w:spacing w:line="240" w:lineRule="auto"/>
        <w:ind w:firstLine="420" w:firstLineChars="200"/>
        <w:rPr>
          <w:rFonts w:ascii="Times New Roman" w:hAnsi="Times New Roman" w:cs="Times New Roman"/>
          <w:kern w:val="2"/>
          <w:highlight w:val="none"/>
          <w:u w:val="none"/>
        </w:rPr>
      </w:pPr>
      <w:r>
        <w:rPr>
          <w:rFonts w:hint="eastAsia" w:cs="Times New Roman"/>
          <w:kern w:val="2"/>
          <w:szCs w:val="21"/>
          <w:highlight w:val="none"/>
          <w:u w:val="none"/>
        </w:rPr>
        <w:t>5</w:t>
      </w:r>
      <w:r>
        <w:rPr>
          <w:rFonts w:cs="Times New Roman"/>
          <w:kern w:val="2"/>
          <w:szCs w:val="21"/>
          <w:highlight w:val="none"/>
          <w:u w:val="none"/>
        </w:rPr>
        <w:t>.</w:t>
      </w:r>
      <w:r>
        <w:rPr>
          <w:rFonts w:hint="eastAsia" w:cs="Times New Roman"/>
          <w:kern w:val="2"/>
          <w:szCs w:val="21"/>
          <w:highlight w:val="none"/>
          <w:u w:val="none"/>
        </w:rPr>
        <w:t>合同价款：合同总价为_________元，含一切税、费。</w:t>
      </w:r>
      <w:r>
        <w:rPr>
          <w:rFonts w:ascii="Times New Roman" w:hAnsi="Times New Roman" w:cs="Times New Roman"/>
          <w:kern w:val="2"/>
          <w:highlight w:val="none"/>
          <w:u w:val="none"/>
        </w:rPr>
        <w:t>本合同总价包括</w:t>
      </w:r>
      <w:r>
        <w:rPr>
          <w:rFonts w:hint="eastAsia" w:cs="Times New Roman"/>
          <w:kern w:val="2"/>
          <w:szCs w:val="21"/>
          <w:highlight w:val="none"/>
          <w:u w:val="none"/>
        </w:rPr>
        <w:t>乙方为实施本项目实施所需的设备仪器费、车辆租赁费、</w:t>
      </w:r>
      <w:r>
        <w:rPr>
          <w:rFonts w:ascii="Times New Roman" w:hAnsi="Times New Roman" w:cs="Times New Roman"/>
          <w:kern w:val="2"/>
          <w:highlight w:val="none"/>
          <w:u w:val="none"/>
        </w:rPr>
        <w:t>服务</w:t>
      </w:r>
      <w:r>
        <w:rPr>
          <w:rFonts w:hint="eastAsia" w:ascii="Times New Roman" w:hAnsi="Times New Roman" w:cs="Times New Roman"/>
          <w:kern w:val="2"/>
          <w:highlight w:val="none"/>
          <w:u w:val="none"/>
        </w:rPr>
        <w:t>和</w:t>
      </w:r>
      <w:r>
        <w:rPr>
          <w:rFonts w:ascii="Times New Roman" w:hAnsi="Times New Roman" w:cs="Times New Roman"/>
          <w:kern w:val="2"/>
          <w:highlight w:val="none"/>
          <w:u w:val="none"/>
        </w:rPr>
        <w:t>技术费用</w:t>
      </w:r>
      <w:r>
        <w:rPr>
          <w:rFonts w:hint="eastAsia" w:ascii="Times New Roman" w:hAnsi="Times New Roman" w:cs="Times New Roman"/>
          <w:kern w:val="2"/>
          <w:highlight w:val="none"/>
          <w:u w:val="none"/>
        </w:rPr>
        <w:t>等</w:t>
      </w:r>
      <w:r>
        <w:rPr>
          <w:rFonts w:ascii="Times New Roman" w:hAnsi="Times New Roman" w:cs="Times New Roman"/>
          <w:kern w:val="2"/>
          <w:highlight w:val="none"/>
          <w:u w:val="none"/>
        </w:rPr>
        <w:t>，为固定不变价格，且不随通货膨胀的影响而波动。合同总价包括</w:t>
      </w:r>
      <w:r>
        <w:rPr>
          <w:rFonts w:hint="eastAsia" w:cs="Times New Roman"/>
          <w:kern w:val="2"/>
          <w:szCs w:val="21"/>
          <w:highlight w:val="none"/>
          <w:u w:val="none"/>
        </w:rPr>
        <w:t>乙方</w:t>
      </w:r>
      <w:r>
        <w:rPr>
          <w:rFonts w:ascii="Times New Roman" w:hAnsi="Times New Roman" w:cs="Times New Roman"/>
          <w:kern w:val="2"/>
          <w:highlight w:val="none"/>
          <w:u w:val="none"/>
        </w:rPr>
        <w:t>履行本合同义务所发生的一切费用和支出和以各种方式寄送技术资料到</w:t>
      </w:r>
      <w:r>
        <w:rPr>
          <w:rFonts w:hint="eastAsia" w:ascii="Times New Roman" w:hAnsi="Times New Roman" w:cs="Times New Roman"/>
          <w:kern w:val="2"/>
          <w:highlight w:val="none"/>
          <w:u w:val="none"/>
        </w:rPr>
        <w:t>甲</w:t>
      </w:r>
      <w:r>
        <w:rPr>
          <w:rFonts w:ascii="Times New Roman" w:hAnsi="Times New Roman" w:cs="Times New Roman"/>
          <w:kern w:val="2"/>
          <w:highlight w:val="none"/>
          <w:u w:val="none"/>
        </w:rPr>
        <w:t>方办公室所发生的费用。如发生本合同规定的不可抗力，合同总价可经双方友好协商予以调整。</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ascii="Times New Roman" w:hAnsi="Times New Roman" w:cs="Times New Roman"/>
          <w:kern w:val="2"/>
          <w:highlight w:val="none"/>
          <w:u w:val="none"/>
        </w:rPr>
        <w:t>6</w:t>
      </w:r>
      <w:r>
        <w:rPr>
          <w:rFonts w:ascii="Times New Roman" w:hAnsi="Times New Roman" w:cs="Times New Roman"/>
          <w:kern w:val="2"/>
          <w:highlight w:val="none"/>
          <w:u w:val="none"/>
        </w:rPr>
        <w:t>.</w:t>
      </w:r>
      <w:r>
        <w:rPr>
          <w:rFonts w:hint="eastAsia" w:ascii="Times New Roman" w:hAnsi="Times New Roman" w:cs="Times New Roman"/>
          <w:kern w:val="2"/>
          <w:highlight w:val="none"/>
          <w:u w:val="none"/>
        </w:rPr>
        <w:t>……</w:t>
      </w:r>
    </w:p>
    <w:p>
      <w:pPr>
        <w:pStyle w:val="332"/>
        <w:rPr>
          <w:highlight w:val="none"/>
          <w:u w:val="none"/>
        </w:rPr>
      </w:pPr>
      <w:r>
        <w:rPr>
          <w:rFonts w:hint="eastAsia"/>
          <w:highlight w:val="none"/>
          <w:u w:val="none"/>
        </w:rPr>
        <w:t>服务范围</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 xml:space="preserve">1.  </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 xml:space="preserve">2.  </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 xml:space="preserve">3.  </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4.其他合同未明示的相关工作。</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5</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服务要求</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 xml:space="preserve">1. </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 xml:space="preserve">2. </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5</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甲方的义务</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1.负责与本项目服务项目有关的第三方的协调，提供开展服务工作的外部条件。</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2.向乙方提供与本项目服务工作有关的资料。</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3.负责组织有关专家对项目成果评估报告的评审。</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乙方的义务</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w:t>
      </w:r>
      <w:r>
        <w:rPr>
          <w:rFonts w:cs="Times New Roman"/>
          <w:kern w:val="2"/>
          <w:szCs w:val="21"/>
          <w:highlight w:val="none"/>
          <w:u w:val="none"/>
        </w:rPr>
        <w:t>.</w:t>
      </w:r>
      <w:r>
        <w:rPr>
          <w:rFonts w:hint="eastAsia" w:cs="Times New Roman"/>
          <w:kern w:val="2"/>
          <w:szCs w:val="21"/>
          <w:highlight w:val="none"/>
          <w:u w:val="none"/>
        </w:rPr>
        <w:t>应按照__________项目招标文件、乙方投标文件要求按期完成本项目服务工作。</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2.负责组织项目的实施，保证项目进度和成果质量，并满足验收相关标准。</w:t>
      </w:r>
    </w:p>
    <w:p>
      <w:pPr>
        <w:widowControl w:val="0"/>
        <w:shd w:val="clear" w:color="auto" w:fill="auto"/>
        <w:tabs>
          <w:tab w:val="clear" w:pos="426"/>
        </w:tabs>
        <w:spacing w:line="240" w:lineRule="auto"/>
        <w:ind w:firstLine="420" w:firstLineChars="200"/>
        <w:rPr>
          <w:rFonts w:cs="Times New Roman"/>
          <w:color w:val="FF0000"/>
          <w:kern w:val="2"/>
          <w:szCs w:val="21"/>
          <w:highlight w:val="none"/>
          <w:u w:val="none"/>
        </w:rPr>
      </w:pPr>
      <w:r>
        <w:rPr>
          <w:rFonts w:hint="eastAsia" w:cs="Times New Roman"/>
          <w:kern w:val="2"/>
          <w:szCs w:val="21"/>
          <w:highlight w:val="none"/>
          <w:u w:val="none"/>
        </w:rPr>
        <w:t>3.</w:t>
      </w:r>
      <w:r>
        <w:rPr>
          <w:rFonts w:hint="eastAsia" w:cs="Times New Roman"/>
          <w:kern w:val="2"/>
          <w:highlight w:val="none"/>
          <w:u w:val="none"/>
        </w:rPr>
        <w:t>向甲方提交_</w:t>
      </w:r>
      <w:r>
        <w:rPr>
          <w:rFonts w:cs="Times New Roman"/>
          <w:kern w:val="2"/>
          <w:highlight w:val="none"/>
          <w:u w:val="none"/>
        </w:rPr>
        <w:t>____________</w:t>
      </w:r>
      <w:r>
        <w:rPr>
          <w:rFonts w:hint="eastAsia" w:cs="Times New Roman"/>
          <w:kern w:val="2"/>
          <w:highlight w:val="none"/>
          <w:u w:val="none"/>
        </w:rPr>
        <w:t>各______套，一套电子版文件。</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4.在履行合同期间或合同规定期限内，不得泄露与本合同规定业务活动有关的保密资料。</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5</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甲方的权利</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1.</w:t>
      </w:r>
      <w:r>
        <w:rPr>
          <w:rFonts w:hint="eastAsia" w:cs="Times New Roman"/>
          <w:kern w:val="2"/>
          <w:szCs w:val="21"/>
          <w:highlight w:val="none"/>
          <w:u w:val="none"/>
        </w:rPr>
        <w:t>有权向乙方询问工作进展情况及相关的内容。</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2.</w:t>
      </w:r>
      <w:r>
        <w:rPr>
          <w:rFonts w:hint="eastAsia" w:cs="Times New Roman"/>
          <w:kern w:val="2"/>
          <w:szCs w:val="21"/>
          <w:highlight w:val="none"/>
          <w:u w:val="none"/>
        </w:rPr>
        <w:t>有权阐述对具体问题的意见和建议。</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3.</w:t>
      </w:r>
      <w:r>
        <w:rPr>
          <w:rFonts w:hint="eastAsia" w:cs="Times New Roman"/>
          <w:kern w:val="2"/>
          <w:szCs w:val="21"/>
          <w:highlight w:val="none"/>
          <w:u w:val="none"/>
        </w:rPr>
        <w:t>当甲方认定乙方人员不按合同履行其职责，或与第三人串通给甲方造成经济损失的，甲方有权要求更换人员，直至终止合同并要求乙方承担相应的赔偿责任。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乙方的权利</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1.</w:t>
      </w:r>
      <w:r>
        <w:rPr>
          <w:rFonts w:hint="eastAsia" w:cs="Times New Roman"/>
          <w:kern w:val="2"/>
          <w:szCs w:val="21"/>
          <w:highlight w:val="none"/>
          <w:u w:val="none"/>
        </w:rPr>
        <w:t>乙方在本项目服务过程中，如甲方提供的资料不明确时可向甲方提出书面报告。</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2.</w:t>
      </w:r>
      <w:r>
        <w:rPr>
          <w:rFonts w:hint="eastAsia" w:cs="Times New Roman"/>
          <w:kern w:val="2"/>
          <w:szCs w:val="21"/>
          <w:highlight w:val="none"/>
          <w:u w:val="none"/>
        </w:rPr>
        <w:t>乙方在本项目服务过程中，有权对第三方提出与本项目有关的问题进行核对或查问。</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3.</w:t>
      </w:r>
      <w:r>
        <w:rPr>
          <w:rFonts w:hint="eastAsia" w:cs="Times New Roman"/>
          <w:kern w:val="2"/>
          <w:szCs w:val="21"/>
          <w:highlight w:val="none"/>
          <w:u w:val="none"/>
        </w:rPr>
        <w:t>乙方在本项目服务过程中，有到项目现场勘察的权利。</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甲方的责任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1.应当履行本合同约定的义务，如有违反则应当承担违约责任，赔偿给乙方造成的损失。</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2.甲方向乙方提出赔偿要求不能成立时，则应补偿由于该赔偿或其他要求所导致乙方的各种费用的支出。</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乙方的责任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1.乙方的责任期即本合同有效期。如因非乙方的责任造成进度的推迟或延误而超过约定的日期，双方应进一步约定相应延长合同有效期。</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2.乙方的责任期内，应当履行本合同中约定的义务，因乙方的单方过失造成的经济损失，应当向甲方进行赔偿。</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3.乙方对甲方或第三方所提出的问题不能及时核对或答复，导致合同不能全部或部分履行，乙方应承担责任。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4.乙方向甲方提出赔偿要求不能成立时，则应补偿由于该赔偿或其他要求所导致甲方的各种费用的支出。</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5</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保密要求</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w:t>
      </w:r>
      <w:r>
        <w:rPr>
          <w:rFonts w:cs="Times New Roman"/>
          <w:kern w:val="2"/>
          <w:szCs w:val="21"/>
          <w:highlight w:val="none"/>
          <w:u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2.乙方在履行合同过程中所获得或接触到的任何</w:t>
      </w:r>
      <w:r>
        <w:rPr>
          <w:rFonts w:hint="eastAsia" w:cs="Times New Roman"/>
          <w:kern w:val="2"/>
          <w:szCs w:val="21"/>
          <w:highlight w:val="none"/>
          <w:u w:val="none"/>
        </w:rPr>
        <w:t>内部数据资料，未经甲方同意，不得向第三方透露。</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3.乙方</w:t>
      </w:r>
      <w:r>
        <w:rPr>
          <w:rFonts w:hint="eastAsia" w:cs="Times New Roman"/>
          <w:kern w:val="2"/>
          <w:szCs w:val="21"/>
          <w:highlight w:val="none"/>
          <w:u w:val="none"/>
        </w:rPr>
        <w:t>实施项目的一切程序都应符合国家安全、保密的有关规定和标准。</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4.乙方</w:t>
      </w:r>
      <w:r>
        <w:rPr>
          <w:rFonts w:hint="eastAsia" w:cs="Times New Roman"/>
          <w:kern w:val="2"/>
          <w:szCs w:val="21"/>
          <w:highlight w:val="none"/>
          <w:u w:val="none"/>
        </w:rPr>
        <w:t>参加项目的有关人员均需同甲方签订保密协议。</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5</w:t>
      </w:r>
      <w:r>
        <w:rPr>
          <w:rFonts w:cs="Times New Roman"/>
          <w:kern w:val="2"/>
          <w:szCs w:val="21"/>
          <w:highlight w:val="none"/>
          <w:u w:val="none"/>
        </w:rPr>
        <w:t>.</w:t>
      </w:r>
      <w:r>
        <w:rPr>
          <w:rFonts w:hint="eastAsia" w:cs="Times New Roman"/>
          <w:kern w:val="2"/>
          <w:szCs w:val="21"/>
          <w:highlight w:val="none"/>
          <w:u w:val="none"/>
        </w:rPr>
        <w:t>……</w:t>
      </w:r>
    </w:p>
    <w:p>
      <w:pPr>
        <w:pStyle w:val="332"/>
        <w:rPr>
          <w:b w:val="0"/>
          <w:bCs w:val="0"/>
          <w:highlight w:val="none"/>
          <w:u w:val="none"/>
        </w:rPr>
      </w:pPr>
      <w:r>
        <w:rPr>
          <w:rFonts w:hint="eastAsia"/>
          <w:highlight w:val="none"/>
          <w:u w:val="none"/>
        </w:rPr>
        <w:t>验收条件</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1.</w:t>
      </w:r>
      <w:r>
        <w:rPr>
          <w:rFonts w:hint="eastAsia" w:cs="Times New Roman"/>
          <w:kern w:val="2"/>
          <w:szCs w:val="21"/>
          <w:highlight w:val="none"/>
          <w:u w:val="none"/>
        </w:rPr>
        <w:t>下列文件的验收分为</w:t>
      </w:r>
      <w:r>
        <w:rPr>
          <w:rFonts w:cs="Times New Roman"/>
          <w:kern w:val="2"/>
          <w:szCs w:val="21"/>
          <w:highlight w:val="none"/>
          <w:u w:val="none"/>
        </w:rPr>
        <w:t>__________</w:t>
      </w:r>
      <w:r>
        <w:rPr>
          <w:rFonts w:hint="eastAsia" w:cs="Times New Roman"/>
          <w:kern w:val="2"/>
          <w:szCs w:val="21"/>
          <w:highlight w:val="none"/>
          <w:u w:val="none"/>
        </w:rPr>
        <w:t>共</w:t>
      </w:r>
      <w:r>
        <w:rPr>
          <w:rFonts w:cs="Times New Roman"/>
          <w:kern w:val="2"/>
          <w:szCs w:val="21"/>
          <w:highlight w:val="none"/>
          <w:u w:val="none"/>
        </w:rPr>
        <w:t>____</w:t>
      </w:r>
      <w:r>
        <w:rPr>
          <w:rFonts w:hint="eastAsia" w:cs="Times New Roman"/>
          <w:kern w:val="2"/>
          <w:szCs w:val="21"/>
          <w:highlight w:val="none"/>
          <w:u w:val="none"/>
        </w:rPr>
        <w:t>个阶段</w:t>
      </w:r>
      <w:r>
        <w:rPr>
          <w:rFonts w:cs="Times New Roman"/>
          <w:kern w:val="2"/>
          <w:szCs w:val="21"/>
          <w:highlight w:val="none"/>
          <w:u w:val="none"/>
        </w:rPr>
        <w:t>：</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2.</w:t>
      </w:r>
      <w:r>
        <w:rPr>
          <w:rFonts w:hint="eastAsia" w:cs="Times New Roman"/>
          <w:kern w:val="2"/>
          <w:szCs w:val="21"/>
          <w:highlight w:val="none"/>
          <w:u w:val="none"/>
        </w:rPr>
        <w:t>其余文件和工作由用户组织有关技术人员根据国家和行业有关规范、规程、标准和用户需求直接验收。</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3.</w:t>
      </w:r>
      <w:r>
        <w:rPr>
          <w:rFonts w:hint="eastAsia" w:cs="Times New Roman"/>
          <w:kern w:val="2"/>
          <w:szCs w:val="21"/>
          <w:highlight w:val="none"/>
          <w:u w:val="none"/>
        </w:rPr>
        <w:t>验收依据为</w:t>
      </w:r>
      <w:r>
        <w:rPr>
          <w:rFonts w:cs="Times New Roman"/>
          <w:kern w:val="2"/>
          <w:szCs w:val="21"/>
          <w:highlight w:val="none"/>
          <w:u w:val="none"/>
        </w:rPr>
        <w:t>______</w:t>
      </w:r>
      <w:r>
        <w:rPr>
          <w:rFonts w:hint="eastAsia" w:cs="Times New Roman"/>
          <w:kern w:val="2"/>
          <w:szCs w:val="21"/>
          <w:highlight w:val="none"/>
          <w:u w:val="none"/>
        </w:rPr>
        <w:t>项目招标文件、乙方投标文件，国家和行业有关规范、规程和标准。</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w:t>
      </w:r>
      <w:r>
        <w:rPr>
          <w:rFonts w:cs="Times New Roman"/>
          <w:kern w:val="2"/>
          <w:szCs w:val="21"/>
          <w:highlight w:val="none"/>
          <w:u w:val="none"/>
        </w:rPr>
        <w:t>.</w:t>
      </w:r>
      <w:r>
        <w:rPr>
          <w:rFonts w:hint="eastAsia" w:cs="Times New Roman"/>
          <w:kern w:val="2"/>
          <w:szCs w:val="21"/>
          <w:highlight w:val="none"/>
          <w:u w:val="none"/>
        </w:rPr>
        <w:t>……</w:t>
      </w:r>
    </w:p>
    <w:p>
      <w:pPr>
        <w:pStyle w:val="332"/>
        <w:rPr>
          <w:b w:val="0"/>
          <w:bCs w:val="0"/>
          <w:highlight w:val="none"/>
          <w:u w:val="none"/>
        </w:rPr>
      </w:pPr>
      <w:r>
        <w:rPr>
          <w:rFonts w:hint="eastAsia"/>
          <w:highlight w:val="none"/>
          <w:u w:val="none"/>
        </w:rPr>
        <w:t>付款期限、方式</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1.</w:t>
      </w:r>
      <w:r>
        <w:rPr>
          <w:rFonts w:hint="eastAsia" w:cs="Times New Roman"/>
          <w:kern w:val="2"/>
          <w:szCs w:val="21"/>
          <w:highlight w:val="none"/>
          <w:u w:val="none"/>
        </w:rPr>
        <w:t>合同签订后</w:t>
      </w:r>
      <w:r>
        <w:rPr>
          <w:rFonts w:cs="Times New Roman"/>
          <w:kern w:val="2"/>
          <w:szCs w:val="21"/>
          <w:highlight w:val="none"/>
          <w:u w:val="none"/>
        </w:rPr>
        <w:t>_____</w:t>
      </w:r>
      <w:r>
        <w:rPr>
          <w:rFonts w:hint="eastAsia" w:cs="Times New Roman"/>
          <w:kern w:val="2"/>
          <w:szCs w:val="21"/>
          <w:highlight w:val="none"/>
          <w:u w:val="none"/>
        </w:rPr>
        <w:t>天内，甲方向乙方支付合同总价</w:t>
      </w:r>
      <w:r>
        <w:rPr>
          <w:rFonts w:cs="Times New Roman"/>
          <w:kern w:val="2"/>
          <w:szCs w:val="21"/>
          <w:highlight w:val="none"/>
          <w:u w:val="none"/>
        </w:rPr>
        <w:t>____%的款项。</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2.</w:t>
      </w:r>
      <w:r>
        <w:rPr>
          <w:rFonts w:hint="eastAsia" w:cs="Times New Roman"/>
          <w:kern w:val="2"/>
          <w:szCs w:val="21"/>
          <w:highlight w:val="none"/>
          <w:u w:val="none"/>
        </w:rPr>
        <w:t>完成_</w:t>
      </w:r>
      <w:r>
        <w:rPr>
          <w:rFonts w:cs="Times New Roman"/>
          <w:kern w:val="2"/>
          <w:szCs w:val="21"/>
          <w:highlight w:val="none"/>
          <w:u w:val="none"/>
        </w:rPr>
        <w:t>___</w:t>
      </w:r>
      <w:r>
        <w:rPr>
          <w:rFonts w:hint="eastAsia" w:cs="Times New Roman"/>
          <w:kern w:val="2"/>
          <w:szCs w:val="21"/>
          <w:highlight w:val="none"/>
          <w:u w:val="none"/>
        </w:rPr>
        <w:t>并提交</w:t>
      </w:r>
      <w:r>
        <w:rPr>
          <w:rFonts w:cs="Times New Roman"/>
          <w:kern w:val="2"/>
          <w:szCs w:val="21"/>
          <w:highlight w:val="none"/>
          <w:u w:val="none"/>
        </w:rPr>
        <w:t>____</w:t>
      </w:r>
      <w:r>
        <w:rPr>
          <w:rFonts w:hint="eastAsia" w:cs="Times New Roman"/>
          <w:kern w:val="2"/>
          <w:szCs w:val="21"/>
          <w:highlight w:val="none"/>
          <w:u w:val="none"/>
        </w:rPr>
        <w:t>后，甲方向乙方支付合同总价</w:t>
      </w:r>
      <w:r>
        <w:rPr>
          <w:rFonts w:cs="Times New Roman"/>
          <w:kern w:val="2"/>
          <w:szCs w:val="21"/>
          <w:highlight w:val="none"/>
          <w:u w:val="none"/>
        </w:rPr>
        <w:t>____%的款项。</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3.</w:t>
      </w:r>
      <w:r>
        <w:rPr>
          <w:rFonts w:hint="eastAsia" w:cs="Times New Roman"/>
          <w:kern w:val="2"/>
          <w:szCs w:val="21"/>
          <w:highlight w:val="none"/>
          <w:u w:val="none"/>
        </w:rPr>
        <w:t>_</w:t>
      </w:r>
      <w:r>
        <w:rPr>
          <w:rFonts w:cs="Times New Roman"/>
          <w:kern w:val="2"/>
          <w:szCs w:val="21"/>
          <w:highlight w:val="none"/>
          <w:u w:val="none"/>
        </w:rPr>
        <w:t>___</w:t>
      </w:r>
      <w:r>
        <w:rPr>
          <w:rFonts w:hint="eastAsia" w:cs="Times New Roman"/>
          <w:kern w:val="2"/>
          <w:szCs w:val="21"/>
          <w:highlight w:val="none"/>
          <w:u w:val="none"/>
        </w:rPr>
        <w:t>通过专家评审后，甲方向乙方支付合同总价</w:t>
      </w:r>
      <w:r>
        <w:rPr>
          <w:rFonts w:cs="Times New Roman"/>
          <w:kern w:val="2"/>
          <w:szCs w:val="21"/>
          <w:highlight w:val="none"/>
          <w:u w:val="none"/>
        </w:rPr>
        <w:t>____%的款项。</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4</w:t>
      </w:r>
      <w:r>
        <w:rPr>
          <w:rFonts w:cs="Times New Roman"/>
          <w:kern w:val="2"/>
          <w:szCs w:val="21"/>
          <w:highlight w:val="none"/>
          <w:u w:val="none"/>
        </w:rPr>
        <w:t>.</w:t>
      </w:r>
      <w:r>
        <w:rPr>
          <w:rFonts w:hint="eastAsia" w:cs="Times New Roman"/>
          <w:kern w:val="2"/>
          <w:szCs w:val="21"/>
          <w:highlight w:val="none"/>
          <w:u w:val="none"/>
        </w:rPr>
        <w:t>……</w:t>
      </w:r>
    </w:p>
    <w:p>
      <w:pPr>
        <w:pStyle w:val="332"/>
        <w:rPr>
          <w:b w:val="0"/>
          <w:bCs w:val="0"/>
          <w:highlight w:val="none"/>
          <w:u w:val="none"/>
        </w:rPr>
      </w:pPr>
      <w:r>
        <w:rPr>
          <w:rFonts w:hint="eastAsia"/>
          <w:highlight w:val="none"/>
          <w:u w:val="none"/>
        </w:rPr>
        <w:t>争议解决办法</w:t>
      </w:r>
    </w:p>
    <w:p>
      <w:pPr>
        <w:widowControl w:val="0"/>
        <w:shd w:val="clear" w:color="auto" w:fill="auto"/>
        <w:tabs>
          <w:tab w:val="clear" w:pos="426"/>
        </w:tabs>
        <w:spacing w:line="240" w:lineRule="auto"/>
        <w:ind w:firstLine="420" w:firstLineChars="200"/>
        <w:rPr>
          <w:rFonts w:cs="Times New Roman"/>
          <w:kern w:val="2"/>
          <w:szCs w:val="21"/>
          <w:highlight w:val="none"/>
          <w:u w:val="none"/>
        </w:rPr>
      </w:pPr>
      <w:bookmarkStart w:id="43" w:name="_Hlk57737700"/>
      <w:r>
        <w:rPr>
          <w:rFonts w:hint="eastAsia" w:cs="Times New Roman"/>
          <w:kern w:val="2"/>
          <w:szCs w:val="21"/>
          <w:highlight w:val="none"/>
          <w:u w:val="none"/>
        </w:rPr>
        <w:t>1</w:t>
      </w:r>
      <w:r>
        <w:rPr>
          <w:rFonts w:cs="Times New Roman"/>
          <w:kern w:val="2"/>
          <w:szCs w:val="21"/>
          <w:highlight w:val="none"/>
          <w:u w:val="none"/>
        </w:rPr>
        <w:t>.</w:t>
      </w:r>
      <w:r>
        <w:rPr>
          <w:rFonts w:hint="eastAsia" w:cs="Times New Roman"/>
          <w:kern w:val="2"/>
          <w:szCs w:val="21"/>
          <w:highlight w:val="none"/>
          <w:u w:val="none"/>
        </w:rPr>
        <w:t>在执行本合同中所发生的或与本合同有关的一切争执，首先应由甲方和乙方友好协商解决。</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w:t>
      </w:r>
      <w:r>
        <w:rPr>
          <w:rFonts w:cs="Times New Roman"/>
          <w:kern w:val="2"/>
          <w:szCs w:val="21"/>
          <w:highlight w:val="none"/>
          <w:u w:val="none"/>
        </w:rPr>
        <w:t>.</w:t>
      </w:r>
      <w:r>
        <w:rPr>
          <w:rFonts w:hint="eastAsia" w:cs="Times New Roman"/>
          <w:kern w:val="2"/>
          <w:szCs w:val="21"/>
          <w:highlight w:val="none"/>
          <w:u w:val="none"/>
        </w:rPr>
        <w:t>如协商不成，双方均有权向</w:t>
      </w:r>
      <w:r>
        <w:rPr>
          <w:rFonts w:cs="Times New Roman"/>
          <w:kern w:val="2"/>
          <w:szCs w:val="21"/>
          <w:highlight w:val="none"/>
          <w:u w:val="none"/>
        </w:rPr>
        <w:t>甲方所在地人民法院进行诉讼</w:t>
      </w:r>
      <w:r>
        <w:rPr>
          <w:rFonts w:hint="eastAsia" w:cs="Times New Roman"/>
          <w:kern w:val="2"/>
          <w:szCs w:val="21"/>
          <w:highlight w:val="none"/>
          <w:u w:val="none"/>
        </w:rPr>
        <w:t>。</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w:t>
      </w:r>
      <w:r>
        <w:rPr>
          <w:rFonts w:cs="Times New Roman"/>
          <w:kern w:val="2"/>
          <w:szCs w:val="21"/>
          <w:highlight w:val="none"/>
          <w:u w:val="none"/>
        </w:rPr>
        <w:t>.</w:t>
      </w:r>
      <w:r>
        <w:rPr>
          <w:rFonts w:hint="eastAsia" w:cs="Times New Roman"/>
          <w:kern w:val="2"/>
          <w:szCs w:val="21"/>
          <w:highlight w:val="none"/>
          <w:u w:val="none"/>
        </w:rPr>
        <w:t>……</w:t>
      </w:r>
    </w:p>
    <w:bookmarkEnd w:id="43"/>
    <w:p>
      <w:pPr>
        <w:pStyle w:val="332"/>
        <w:rPr>
          <w:b w:val="0"/>
          <w:bCs w:val="0"/>
          <w:highlight w:val="none"/>
          <w:u w:val="none"/>
        </w:rPr>
      </w:pPr>
      <w:r>
        <w:rPr>
          <w:rFonts w:hint="eastAsia"/>
          <w:highlight w:val="none"/>
          <w:u w:val="none"/>
        </w:rPr>
        <w:t>风险责任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1.</w:t>
      </w:r>
      <w:r>
        <w:rPr>
          <w:rFonts w:hint="eastAsia" w:cs="Times New Roman"/>
          <w:kern w:val="2"/>
          <w:szCs w:val="21"/>
          <w:highlight w:val="none"/>
          <w:u w:val="none"/>
        </w:rPr>
        <w:t>乙方应完全地按照</w:t>
      </w:r>
      <w:r>
        <w:rPr>
          <w:rFonts w:cs="Times New Roman"/>
          <w:kern w:val="2"/>
          <w:szCs w:val="21"/>
          <w:highlight w:val="none"/>
          <w:u w:val="none"/>
        </w:rPr>
        <w:t>______</w:t>
      </w:r>
      <w:r>
        <w:rPr>
          <w:rFonts w:hint="eastAsia" w:cs="Times New Roman"/>
          <w:kern w:val="2"/>
          <w:szCs w:val="21"/>
          <w:highlight w:val="none"/>
          <w:u w:val="none"/>
        </w:rPr>
        <w:t>项目招标文件的要求和乙方投标文件的承诺完成本项目，出于自身财务、技术、人力等原因导致项目失败的，应承担全部责任。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2.</w:t>
      </w:r>
      <w:r>
        <w:rPr>
          <w:rFonts w:hint="eastAsia" w:cs="Times New Roman"/>
          <w:kern w:val="2"/>
          <w:szCs w:val="21"/>
          <w:highlight w:val="none"/>
          <w:u w:val="none"/>
        </w:rPr>
        <w:t>乙方在本项目服务履约过程中应对自身的安全生产负责，若由乙方原因发生的各种事故甲方不承担任何责任。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w:t>
      </w:r>
      <w:r>
        <w:rPr>
          <w:rFonts w:cs="Times New Roman"/>
          <w:kern w:val="2"/>
          <w:szCs w:val="21"/>
          <w:highlight w:val="none"/>
          <w:u w:val="none"/>
        </w:rPr>
        <w:t>.</w:t>
      </w:r>
      <w:r>
        <w:rPr>
          <w:rFonts w:hint="eastAsia" w:cs="Times New Roman"/>
          <w:kern w:val="2"/>
          <w:szCs w:val="21"/>
          <w:highlight w:val="none"/>
          <w:u w:val="none"/>
        </w:rPr>
        <w:t>……</w:t>
      </w:r>
    </w:p>
    <w:p>
      <w:pPr>
        <w:pStyle w:val="332"/>
        <w:rPr>
          <w:b w:val="0"/>
          <w:bCs w:val="0"/>
          <w:highlight w:val="none"/>
          <w:u w:val="none"/>
        </w:rPr>
      </w:pPr>
      <w:r>
        <w:rPr>
          <w:rFonts w:hint="eastAsia"/>
          <w:highlight w:val="none"/>
          <w:u w:val="none"/>
        </w:rPr>
        <w:t>违约责任</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1.</w:t>
      </w:r>
      <w:r>
        <w:rPr>
          <w:rFonts w:hint="eastAsia" w:cs="Times New Roman"/>
          <w:kern w:val="2"/>
          <w:szCs w:val="21"/>
          <w:highlight w:val="none"/>
          <w:u w:val="none"/>
        </w:rPr>
        <w:t>因乙方原因，未能按规定时间完成有关工作的，每延误一天，甲方可在支付合同余款中扣除合同价款千分之</w:t>
      </w:r>
      <w:r>
        <w:rPr>
          <w:rFonts w:cs="Times New Roman"/>
          <w:kern w:val="2"/>
          <w:szCs w:val="21"/>
          <w:highlight w:val="none"/>
          <w:u w:val="none"/>
        </w:rPr>
        <w:t>____</w:t>
      </w:r>
      <w:r>
        <w:rPr>
          <w:rFonts w:hint="eastAsia" w:cs="Times New Roman"/>
          <w:kern w:val="2"/>
          <w:szCs w:val="21"/>
          <w:highlight w:val="none"/>
          <w:u w:val="none"/>
        </w:rPr>
        <w:t>。</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2.</w:t>
      </w:r>
      <w:r>
        <w:rPr>
          <w:rFonts w:hint="eastAsia" w:cs="Times New Roman"/>
          <w:kern w:val="2"/>
          <w:szCs w:val="21"/>
          <w:highlight w:val="none"/>
          <w:u w:val="none"/>
        </w:rPr>
        <w:t>由于乙方原因造成服务效果质量低劣，不能满足要求时，应继续完善服务成果，其费用由乙方承担。</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3.</w:t>
      </w:r>
      <w:r>
        <w:rPr>
          <w:rFonts w:hint="eastAsia" w:cs="Times New Roman"/>
          <w:kern w:val="2"/>
          <w:szCs w:val="21"/>
          <w:highlight w:val="none"/>
          <w:u w:val="none"/>
        </w:rPr>
        <w:t>如乙方提供的服务成果文件不符合质量要求，必须在甲方提出要求后</w:t>
      </w:r>
      <w:r>
        <w:rPr>
          <w:rFonts w:cs="Times New Roman"/>
          <w:kern w:val="2"/>
          <w:szCs w:val="21"/>
          <w:highlight w:val="none"/>
          <w:u w:val="none"/>
        </w:rPr>
        <w:t>7天内无条件修改，其费用由乙方承担。</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cs="Times New Roman"/>
          <w:kern w:val="2"/>
          <w:szCs w:val="21"/>
          <w:highlight w:val="none"/>
          <w:u w:val="none"/>
        </w:rPr>
        <w:t>4.</w:t>
      </w:r>
      <w:r>
        <w:rPr>
          <w:rFonts w:hint="eastAsia" w:cs="Times New Roman"/>
          <w:kern w:val="2"/>
          <w:szCs w:val="21"/>
          <w:highlight w:val="none"/>
          <w:u w:val="none"/>
        </w:rPr>
        <w:t>若甲方发现乙方派出的服务人员或提供的设备不符合合同要求，乙方应在</w:t>
      </w:r>
      <w:r>
        <w:rPr>
          <w:rFonts w:cs="Times New Roman"/>
          <w:kern w:val="2"/>
          <w:szCs w:val="21"/>
          <w:highlight w:val="none"/>
          <w:u w:val="none"/>
        </w:rPr>
        <w:t>3天之内按要求派出人员或提供满足投标文件承诺的仪器设备，否则甲方有权终止合同，并保留追</w:t>
      </w:r>
      <w:r>
        <w:rPr>
          <w:rFonts w:hint="eastAsia" w:cs="Times New Roman"/>
          <w:kern w:val="2"/>
          <w:szCs w:val="21"/>
          <w:highlight w:val="none"/>
          <w:u w:val="none"/>
        </w:rPr>
        <w:t>究乙方责任及要求赔偿损失的权利。</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5</w:t>
      </w:r>
      <w:r>
        <w:rPr>
          <w:rFonts w:cs="Times New Roman"/>
          <w:kern w:val="2"/>
          <w:szCs w:val="21"/>
          <w:highlight w:val="none"/>
          <w:u w:val="none"/>
        </w:rPr>
        <w:t>.</w:t>
      </w:r>
      <w:r>
        <w:rPr>
          <w:rFonts w:hint="eastAsia" w:cs="Times New Roman"/>
          <w:kern w:val="2"/>
          <w:szCs w:val="21"/>
          <w:highlight w:val="none"/>
          <w:u w:val="none"/>
        </w:rPr>
        <w:t>……</w:t>
      </w:r>
    </w:p>
    <w:p>
      <w:pPr>
        <w:pStyle w:val="332"/>
        <w:rPr>
          <w:highlight w:val="none"/>
          <w:u w:val="none"/>
        </w:rPr>
      </w:pPr>
      <w:r>
        <w:rPr>
          <w:rFonts w:hint="eastAsia"/>
          <w:highlight w:val="none"/>
          <w:u w:val="none"/>
        </w:rPr>
        <w:t>其他</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1.本合同与________项目招标文件、乙方投标文件如有抵触之处，以本合同条款为准。</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2.下列文件均为本合同的组成部分：</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（1）_________项目招标文件、答疑及补充通知；</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（2）投标文件；</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（3）本合同执行中共同签署的补充与修正文件。</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本合同一式_____份，甲、乙方双方各执_____份，具有同等法律效力。本合同自双方法人代表签字（盖章）认可之日起生效。</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本合同未尽事宜，双方友好协商，达成解决方案，经双方签字后，可作为本合同的有效附件。</w:t>
      </w:r>
    </w:p>
    <w:p>
      <w:pPr>
        <w:widowControl w:val="0"/>
        <w:shd w:val="clear" w:color="auto" w:fill="auto"/>
        <w:tabs>
          <w:tab w:val="clear" w:pos="426"/>
        </w:tabs>
        <w:spacing w:line="240" w:lineRule="auto"/>
        <w:ind w:firstLine="420" w:firstLineChars="200"/>
        <w:rPr>
          <w:rFonts w:cs="Times New Roman"/>
          <w:kern w:val="2"/>
          <w:szCs w:val="21"/>
          <w:highlight w:val="none"/>
          <w:u w:val="none"/>
        </w:rPr>
      </w:pPr>
      <w:r>
        <w:rPr>
          <w:rFonts w:hint="eastAsia" w:cs="Times New Roman"/>
          <w:kern w:val="2"/>
          <w:szCs w:val="21"/>
          <w:highlight w:val="none"/>
          <w:u w:val="none"/>
        </w:rPr>
        <w:t>3</w:t>
      </w:r>
      <w:r>
        <w:rPr>
          <w:rFonts w:cs="Times New Roman"/>
          <w:kern w:val="2"/>
          <w:szCs w:val="21"/>
          <w:highlight w:val="none"/>
          <w:u w:val="none"/>
        </w:rPr>
        <w:t>.</w:t>
      </w:r>
      <w:r>
        <w:rPr>
          <w:rFonts w:hint="eastAsia" w:cs="Times New Roman"/>
          <w:kern w:val="2"/>
          <w:szCs w:val="21"/>
          <w:highlight w:val="none"/>
          <w:u w:val="none"/>
        </w:rPr>
        <w:t>……</w:t>
      </w:r>
    </w:p>
    <w:p>
      <w:pPr>
        <w:widowControl w:val="0"/>
        <w:shd w:val="clear" w:color="auto" w:fill="auto"/>
        <w:tabs>
          <w:tab w:val="clear" w:pos="426"/>
        </w:tabs>
        <w:spacing w:line="240" w:lineRule="auto"/>
        <w:ind w:firstLine="420" w:firstLineChars="200"/>
        <w:rPr>
          <w:rFonts w:cs="Times New Roman"/>
          <w:kern w:val="2"/>
          <w:szCs w:val="21"/>
          <w:highlight w:val="none"/>
          <w:u w:val="none"/>
        </w:rPr>
      </w:pPr>
    </w:p>
    <w:p>
      <w:pPr>
        <w:widowControl w:val="0"/>
        <w:shd w:val="clear" w:color="auto" w:fill="auto"/>
        <w:tabs>
          <w:tab w:val="clear" w:pos="426"/>
        </w:tabs>
        <w:spacing w:line="240" w:lineRule="auto"/>
        <w:ind w:firstLine="420" w:firstLineChars="200"/>
        <w:rPr>
          <w:rFonts w:cs="Times New Roman"/>
          <w:kern w:val="2"/>
          <w:szCs w:val="21"/>
          <w:highlight w:val="none"/>
          <w:u w:val="none"/>
        </w:rPr>
      </w:pPr>
    </w:p>
    <w:p>
      <w:pPr>
        <w:widowControl w:val="0"/>
        <w:shd w:val="clear" w:color="auto" w:fill="auto"/>
        <w:tabs>
          <w:tab w:val="clear" w:pos="426"/>
        </w:tabs>
        <w:spacing w:line="240" w:lineRule="auto"/>
        <w:ind w:firstLine="420" w:firstLineChars="200"/>
        <w:rPr>
          <w:rFonts w:cs="Times New Roman"/>
          <w:kern w:val="2"/>
          <w:szCs w:val="21"/>
          <w:highlight w:val="none"/>
          <w:u w:val="none"/>
        </w:rPr>
      </w:pPr>
    </w:p>
    <w:p>
      <w:pPr>
        <w:widowControl w:val="0"/>
        <w:shd w:val="clear" w:color="auto" w:fill="auto"/>
        <w:tabs>
          <w:tab w:val="clear" w:pos="426"/>
        </w:tabs>
        <w:spacing w:line="240" w:lineRule="auto"/>
        <w:ind w:firstLine="420" w:firstLineChars="200"/>
        <w:rPr>
          <w:rFonts w:cs="Times New Roman"/>
          <w:kern w:val="2"/>
          <w:szCs w:val="21"/>
          <w:highlight w:val="none"/>
          <w:u w:val="none"/>
        </w:rPr>
      </w:pPr>
    </w:p>
    <w:p>
      <w:pPr>
        <w:widowControl w:val="0"/>
        <w:shd w:val="clear" w:color="auto" w:fill="auto"/>
        <w:tabs>
          <w:tab w:val="clear" w:pos="426"/>
        </w:tabs>
        <w:spacing w:line="240" w:lineRule="auto"/>
        <w:ind w:left="424" w:leftChars="202"/>
        <w:rPr>
          <w:rFonts w:cs="Times New Roman"/>
          <w:kern w:val="2"/>
          <w:szCs w:val="21"/>
          <w:highlight w:val="none"/>
          <w:u w:val="none"/>
        </w:rPr>
      </w:pPr>
      <w:r>
        <w:rPr>
          <w:rFonts w:hint="eastAsia" w:cs="Times New Roman"/>
          <w:kern w:val="2"/>
          <w:szCs w:val="21"/>
          <w:highlight w:val="none"/>
          <w:u w:val="none"/>
        </w:rPr>
        <w:t>甲方：________________________________    乙方：____________________________</w:t>
      </w:r>
    </w:p>
    <w:p>
      <w:pPr>
        <w:widowControl w:val="0"/>
        <w:shd w:val="clear" w:color="auto" w:fill="auto"/>
        <w:tabs>
          <w:tab w:val="clear" w:pos="426"/>
        </w:tabs>
        <w:spacing w:line="240" w:lineRule="auto"/>
        <w:ind w:left="424" w:leftChars="202" w:firstLine="1890" w:firstLineChars="900"/>
        <w:rPr>
          <w:rFonts w:cs="Times New Roman"/>
          <w:kern w:val="2"/>
          <w:szCs w:val="21"/>
          <w:highlight w:val="none"/>
          <w:u w:val="none"/>
        </w:rPr>
      </w:pPr>
      <w:r>
        <w:rPr>
          <w:rFonts w:hint="eastAsia" w:cs="Times New Roman"/>
          <w:kern w:val="2"/>
          <w:szCs w:val="21"/>
          <w:highlight w:val="none"/>
          <w:u w:val="none"/>
        </w:rPr>
        <w:t xml:space="preserve">（签章）                 </w:t>
      </w:r>
      <w:r>
        <w:rPr>
          <w:rFonts w:cs="Times New Roman"/>
          <w:kern w:val="2"/>
          <w:szCs w:val="21"/>
          <w:highlight w:val="none"/>
          <w:u w:val="none"/>
        </w:rPr>
        <w:t xml:space="preserve">        </w:t>
      </w:r>
      <w:r>
        <w:rPr>
          <w:rFonts w:hint="eastAsia" w:cs="Times New Roman"/>
          <w:kern w:val="2"/>
          <w:szCs w:val="21"/>
          <w:highlight w:val="none"/>
          <w:u w:val="none"/>
        </w:rPr>
        <w:t xml:space="preserve">        （签章）</w:t>
      </w:r>
    </w:p>
    <w:p>
      <w:pPr>
        <w:widowControl w:val="0"/>
        <w:shd w:val="clear" w:color="auto" w:fill="auto"/>
        <w:tabs>
          <w:tab w:val="clear" w:pos="426"/>
        </w:tabs>
        <w:spacing w:line="240" w:lineRule="auto"/>
        <w:ind w:left="424" w:leftChars="202" w:firstLine="2730" w:firstLineChars="1300"/>
        <w:rPr>
          <w:rFonts w:cs="Times New Roman"/>
          <w:kern w:val="2"/>
          <w:szCs w:val="21"/>
          <w:highlight w:val="none"/>
          <w:u w:val="none"/>
        </w:rPr>
      </w:pPr>
      <w:r>
        <w:rPr>
          <w:rFonts w:hint="eastAsia" w:cs="Times New Roman"/>
          <w:kern w:val="2"/>
          <w:szCs w:val="21"/>
          <w:highlight w:val="none"/>
          <w:u w:val="none"/>
        </w:rPr>
        <w:t xml:space="preserve">              </w:t>
      </w:r>
      <w:r>
        <w:rPr>
          <w:rFonts w:cs="Times New Roman"/>
          <w:kern w:val="2"/>
          <w:szCs w:val="21"/>
          <w:highlight w:val="none"/>
          <w:u w:val="none"/>
        </w:rPr>
        <w:t xml:space="preserve"> </w:t>
      </w:r>
    </w:p>
    <w:p>
      <w:pPr>
        <w:widowControl w:val="0"/>
        <w:shd w:val="clear" w:color="auto" w:fill="auto"/>
        <w:tabs>
          <w:tab w:val="clear" w:pos="426"/>
        </w:tabs>
        <w:spacing w:line="240" w:lineRule="auto"/>
        <w:ind w:left="424" w:leftChars="202" w:firstLine="2"/>
        <w:rPr>
          <w:rFonts w:cs="Times New Roman"/>
          <w:kern w:val="2"/>
          <w:szCs w:val="21"/>
          <w:highlight w:val="none"/>
          <w:u w:val="none"/>
        </w:rPr>
      </w:pPr>
      <w:r>
        <w:rPr>
          <w:rFonts w:hint="eastAsia" w:cs="Times New Roman"/>
          <w:kern w:val="2"/>
          <w:szCs w:val="21"/>
          <w:highlight w:val="none"/>
          <w:u w:val="none"/>
        </w:rPr>
        <w:t>地址：________________________</w:t>
      </w:r>
      <w:r>
        <w:rPr>
          <w:rFonts w:cs="Times New Roman"/>
          <w:kern w:val="2"/>
          <w:szCs w:val="21"/>
          <w:highlight w:val="none"/>
          <w:u w:val="none"/>
        </w:rPr>
        <w:t xml:space="preserve">______  </w:t>
      </w:r>
      <w:r>
        <w:rPr>
          <w:rFonts w:hint="eastAsia" w:cs="Times New Roman"/>
          <w:kern w:val="2"/>
          <w:szCs w:val="21"/>
          <w:highlight w:val="none"/>
          <w:u w:val="none"/>
        </w:rPr>
        <w:t>地址：________________________</w:t>
      </w:r>
      <w:r>
        <w:rPr>
          <w:rFonts w:cs="Times New Roman"/>
          <w:kern w:val="2"/>
          <w:szCs w:val="21"/>
          <w:highlight w:val="none"/>
          <w:u w:val="none"/>
        </w:rPr>
        <w:t>______</w:t>
      </w:r>
    </w:p>
    <w:p>
      <w:pPr>
        <w:widowControl w:val="0"/>
        <w:shd w:val="clear" w:color="auto" w:fill="auto"/>
        <w:tabs>
          <w:tab w:val="clear" w:pos="426"/>
        </w:tabs>
        <w:spacing w:line="240" w:lineRule="auto"/>
        <w:ind w:left="424" w:leftChars="202" w:firstLine="2"/>
        <w:rPr>
          <w:rFonts w:cs="Times New Roman"/>
          <w:kern w:val="2"/>
          <w:szCs w:val="21"/>
          <w:highlight w:val="none"/>
          <w:u w:val="none"/>
        </w:rPr>
      </w:pPr>
      <w:r>
        <w:rPr>
          <w:rFonts w:hint="eastAsia" w:cs="Times New Roman"/>
          <w:kern w:val="2"/>
          <w:szCs w:val="21"/>
          <w:highlight w:val="none"/>
          <w:u w:val="none"/>
        </w:rPr>
        <w:t>法定代表人：（签章）</w:t>
      </w:r>
      <w:r>
        <w:rPr>
          <w:rFonts w:cs="Times New Roman"/>
          <w:kern w:val="2"/>
          <w:szCs w:val="21"/>
          <w:highlight w:val="none"/>
          <w:u w:val="none"/>
        </w:rPr>
        <w:t>________</w:t>
      </w:r>
      <w:r>
        <w:rPr>
          <w:rFonts w:hint="eastAsia" w:cs="Times New Roman"/>
          <w:kern w:val="2"/>
          <w:szCs w:val="21"/>
          <w:highlight w:val="none"/>
          <w:u w:val="none"/>
        </w:rPr>
        <w:t>_________  法定代表人：（签章）</w:t>
      </w:r>
      <w:r>
        <w:rPr>
          <w:rFonts w:cs="Times New Roman"/>
          <w:kern w:val="2"/>
          <w:szCs w:val="21"/>
          <w:highlight w:val="none"/>
          <w:u w:val="none"/>
        </w:rPr>
        <w:t>________</w:t>
      </w:r>
      <w:r>
        <w:rPr>
          <w:rFonts w:hint="eastAsia" w:cs="Times New Roman"/>
          <w:kern w:val="2"/>
          <w:szCs w:val="21"/>
          <w:highlight w:val="none"/>
          <w:u w:val="none"/>
        </w:rPr>
        <w:t>_________</w:t>
      </w:r>
    </w:p>
    <w:p>
      <w:pPr>
        <w:widowControl w:val="0"/>
        <w:shd w:val="clear" w:color="auto" w:fill="auto"/>
        <w:tabs>
          <w:tab w:val="clear" w:pos="426"/>
        </w:tabs>
        <w:spacing w:line="240" w:lineRule="auto"/>
        <w:ind w:left="424" w:leftChars="202" w:firstLine="2"/>
        <w:rPr>
          <w:rFonts w:cs="Times New Roman"/>
          <w:kern w:val="2"/>
          <w:szCs w:val="21"/>
          <w:highlight w:val="none"/>
          <w:u w:val="none"/>
        </w:rPr>
      </w:pPr>
      <w:r>
        <w:rPr>
          <w:rFonts w:hint="eastAsia" w:cs="Times New Roman"/>
          <w:kern w:val="2"/>
          <w:szCs w:val="21"/>
          <w:highlight w:val="none"/>
          <w:u w:val="none"/>
        </w:rPr>
        <w:t>开户行：___________________</w:t>
      </w:r>
      <w:r>
        <w:rPr>
          <w:rFonts w:cs="Times New Roman"/>
          <w:kern w:val="2"/>
          <w:szCs w:val="21"/>
          <w:highlight w:val="none"/>
          <w:u w:val="none"/>
        </w:rPr>
        <w:t>________</w:t>
      </w:r>
      <w:r>
        <w:rPr>
          <w:rFonts w:hint="eastAsia" w:cs="Times New Roman"/>
          <w:kern w:val="2"/>
          <w:szCs w:val="21"/>
          <w:highlight w:val="none"/>
          <w:u w:val="none"/>
        </w:rPr>
        <w:t>_  开户行：___________________</w:t>
      </w:r>
      <w:r>
        <w:rPr>
          <w:rFonts w:cs="Times New Roman"/>
          <w:kern w:val="2"/>
          <w:szCs w:val="21"/>
          <w:highlight w:val="none"/>
          <w:u w:val="none"/>
        </w:rPr>
        <w:t>________</w:t>
      </w:r>
      <w:r>
        <w:rPr>
          <w:rFonts w:hint="eastAsia" w:cs="Times New Roman"/>
          <w:kern w:val="2"/>
          <w:szCs w:val="21"/>
          <w:highlight w:val="none"/>
          <w:u w:val="none"/>
        </w:rPr>
        <w:t>_</w:t>
      </w:r>
    </w:p>
    <w:p>
      <w:pPr>
        <w:widowControl w:val="0"/>
        <w:shd w:val="clear" w:color="auto" w:fill="auto"/>
        <w:tabs>
          <w:tab w:val="clear" w:pos="426"/>
        </w:tabs>
        <w:spacing w:line="240" w:lineRule="auto"/>
        <w:ind w:left="424" w:leftChars="202" w:firstLine="2"/>
        <w:rPr>
          <w:rFonts w:cs="Times New Roman"/>
          <w:kern w:val="2"/>
          <w:szCs w:val="21"/>
          <w:highlight w:val="none"/>
          <w:u w:val="none"/>
        </w:rPr>
      </w:pPr>
      <w:r>
        <w:rPr>
          <w:rFonts w:hint="eastAsia" w:cs="Times New Roman"/>
          <w:kern w:val="2"/>
          <w:szCs w:val="21"/>
          <w:highlight w:val="none"/>
          <w:u w:val="none"/>
        </w:rPr>
        <w:t>人民币帐号：</w:t>
      </w:r>
      <w:r>
        <w:rPr>
          <w:rFonts w:cs="Times New Roman"/>
          <w:kern w:val="2"/>
          <w:szCs w:val="21"/>
          <w:highlight w:val="none"/>
          <w:u w:val="none"/>
        </w:rPr>
        <w:t>________</w:t>
      </w:r>
      <w:r>
        <w:rPr>
          <w:rFonts w:hint="eastAsia" w:cs="Times New Roman"/>
          <w:kern w:val="2"/>
          <w:szCs w:val="21"/>
          <w:highlight w:val="none"/>
          <w:u w:val="none"/>
        </w:rPr>
        <w:t>________________  人民币帐号：</w:t>
      </w:r>
      <w:r>
        <w:rPr>
          <w:rFonts w:cs="Times New Roman"/>
          <w:kern w:val="2"/>
          <w:szCs w:val="21"/>
          <w:highlight w:val="none"/>
          <w:u w:val="none"/>
        </w:rPr>
        <w:t>________</w:t>
      </w:r>
      <w:r>
        <w:rPr>
          <w:rFonts w:hint="eastAsia" w:cs="Times New Roman"/>
          <w:kern w:val="2"/>
          <w:szCs w:val="21"/>
          <w:highlight w:val="none"/>
          <w:u w:val="none"/>
        </w:rPr>
        <w:t>________________</w:t>
      </w:r>
    </w:p>
    <w:p>
      <w:pPr>
        <w:widowControl w:val="0"/>
        <w:shd w:val="clear" w:color="auto" w:fill="auto"/>
        <w:tabs>
          <w:tab w:val="clear" w:pos="426"/>
        </w:tabs>
        <w:spacing w:line="240" w:lineRule="auto"/>
        <w:ind w:left="424" w:leftChars="202" w:firstLine="2"/>
        <w:rPr>
          <w:rFonts w:cs="Times New Roman"/>
          <w:kern w:val="2"/>
          <w:szCs w:val="21"/>
          <w:highlight w:val="none"/>
          <w:u w:val="none"/>
        </w:rPr>
      </w:pPr>
      <w:r>
        <w:rPr>
          <w:rFonts w:hint="eastAsia" w:cs="Times New Roman"/>
          <w:kern w:val="2"/>
          <w:szCs w:val="21"/>
          <w:highlight w:val="none"/>
          <w:u w:val="none"/>
        </w:rPr>
        <w:t>联系人：____________</w:t>
      </w:r>
      <w:r>
        <w:rPr>
          <w:rFonts w:cs="Times New Roman"/>
          <w:kern w:val="2"/>
          <w:szCs w:val="21"/>
          <w:highlight w:val="none"/>
          <w:u w:val="none"/>
        </w:rPr>
        <w:t>________</w:t>
      </w:r>
      <w:r>
        <w:rPr>
          <w:rFonts w:hint="eastAsia" w:cs="Times New Roman"/>
          <w:kern w:val="2"/>
          <w:szCs w:val="21"/>
          <w:highlight w:val="none"/>
          <w:u w:val="none"/>
        </w:rPr>
        <w:t>________  联系人：____________</w:t>
      </w:r>
      <w:r>
        <w:rPr>
          <w:rFonts w:cs="Times New Roman"/>
          <w:kern w:val="2"/>
          <w:szCs w:val="21"/>
          <w:highlight w:val="none"/>
          <w:u w:val="none"/>
        </w:rPr>
        <w:t>________</w:t>
      </w:r>
      <w:r>
        <w:rPr>
          <w:rFonts w:hint="eastAsia" w:cs="Times New Roman"/>
          <w:kern w:val="2"/>
          <w:szCs w:val="21"/>
          <w:highlight w:val="none"/>
          <w:u w:val="none"/>
        </w:rPr>
        <w:t>________</w:t>
      </w:r>
    </w:p>
    <w:p>
      <w:pPr>
        <w:widowControl w:val="0"/>
        <w:shd w:val="clear" w:color="auto" w:fill="auto"/>
        <w:tabs>
          <w:tab w:val="clear" w:pos="426"/>
        </w:tabs>
        <w:spacing w:line="240" w:lineRule="auto"/>
        <w:ind w:left="424" w:leftChars="202" w:firstLine="2"/>
        <w:rPr>
          <w:rFonts w:cs="Times New Roman"/>
          <w:kern w:val="2"/>
          <w:szCs w:val="21"/>
          <w:highlight w:val="none"/>
          <w:u w:val="none"/>
        </w:rPr>
      </w:pPr>
      <w:r>
        <w:rPr>
          <w:rFonts w:hint="eastAsia" w:cs="Times New Roman"/>
          <w:kern w:val="2"/>
          <w:szCs w:val="21"/>
          <w:highlight w:val="none"/>
          <w:u w:val="none"/>
        </w:rPr>
        <w:t>电话：______________________</w:t>
      </w:r>
      <w:r>
        <w:rPr>
          <w:rFonts w:cs="Times New Roman"/>
          <w:kern w:val="2"/>
          <w:szCs w:val="21"/>
          <w:highlight w:val="none"/>
          <w:u w:val="none"/>
        </w:rPr>
        <w:t>________</w:t>
      </w:r>
      <w:r>
        <w:rPr>
          <w:rFonts w:hint="eastAsia" w:cs="Times New Roman"/>
          <w:kern w:val="2"/>
          <w:szCs w:val="21"/>
          <w:highlight w:val="none"/>
          <w:u w:val="none"/>
        </w:rPr>
        <w:t xml:space="preserve">  电话：______________________</w:t>
      </w:r>
      <w:r>
        <w:rPr>
          <w:rFonts w:cs="Times New Roman"/>
          <w:kern w:val="2"/>
          <w:szCs w:val="21"/>
          <w:highlight w:val="none"/>
          <w:u w:val="none"/>
        </w:rPr>
        <w:t>________</w:t>
      </w:r>
    </w:p>
    <w:p>
      <w:pPr>
        <w:widowControl w:val="0"/>
        <w:shd w:val="clear" w:color="auto" w:fill="auto"/>
        <w:tabs>
          <w:tab w:val="clear" w:pos="426"/>
        </w:tabs>
        <w:spacing w:line="240" w:lineRule="auto"/>
        <w:ind w:left="424" w:leftChars="202" w:firstLine="2"/>
        <w:rPr>
          <w:rFonts w:cs="Times New Roman"/>
          <w:kern w:val="2"/>
          <w:szCs w:val="21"/>
          <w:highlight w:val="none"/>
          <w:u w:val="none"/>
        </w:rPr>
      </w:pPr>
      <w:r>
        <w:rPr>
          <w:rFonts w:hint="eastAsia" w:cs="Times New Roman"/>
          <w:kern w:val="2"/>
          <w:szCs w:val="21"/>
          <w:highlight w:val="none"/>
          <w:u w:val="none"/>
        </w:rPr>
        <w:t>日期：___________</w:t>
      </w:r>
      <w:r>
        <w:rPr>
          <w:rFonts w:cs="Times New Roman"/>
          <w:kern w:val="2"/>
          <w:szCs w:val="21"/>
          <w:highlight w:val="none"/>
          <w:u w:val="none"/>
        </w:rPr>
        <w:t>________</w:t>
      </w:r>
      <w:r>
        <w:rPr>
          <w:rFonts w:hint="eastAsia" w:cs="Times New Roman"/>
          <w:kern w:val="2"/>
          <w:szCs w:val="21"/>
          <w:highlight w:val="none"/>
          <w:u w:val="none"/>
        </w:rPr>
        <w:t>___________  日期：___________</w:t>
      </w:r>
      <w:r>
        <w:rPr>
          <w:rFonts w:cs="Times New Roman"/>
          <w:kern w:val="2"/>
          <w:szCs w:val="21"/>
          <w:highlight w:val="none"/>
          <w:u w:val="none"/>
        </w:rPr>
        <w:t>________</w:t>
      </w:r>
      <w:r>
        <w:rPr>
          <w:rFonts w:hint="eastAsia" w:cs="Times New Roman"/>
          <w:kern w:val="2"/>
          <w:szCs w:val="21"/>
          <w:highlight w:val="none"/>
          <w:u w:val="none"/>
        </w:rPr>
        <w:t>___________</w:t>
      </w:r>
    </w:p>
    <w:p>
      <w:pPr>
        <w:widowControl w:val="0"/>
        <w:shd w:val="clear" w:color="auto" w:fill="auto"/>
        <w:tabs>
          <w:tab w:val="clear" w:pos="426"/>
        </w:tabs>
        <w:spacing w:line="240" w:lineRule="auto"/>
        <w:ind w:left="424" w:leftChars="202" w:firstLine="2"/>
        <w:rPr>
          <w:rFonts w:cs="Times New Roman"/>
          <w:kern w:val="2"/>
          <w:szCs w:val="21"/>
          <w:highlight w:val="none"/>
        </w:rPr>
      </w:pPr>
    </w:p>
    <w:p>
      <w:pPr>
        <w:widowControl w:val="0"/>
        <w:shd w:val="clear" w:color="auto" w:fill="auto"/>
        <w:tabs>
          <w:tab w:val="clear" w:pos="426"/>
        </w:tabs>
        <w:spacing w:line="240" w:lineRule="auto"/>
        <w:ind w:left="424" w:leftChars="202" w:firstLine="2"/>
        <w:rPr>
          <w:rFonts w:cs="Times New Roman"/>
          <w:kern w:val="2"/>
          <w:szCs w:val="21"/>
          <w:highlight w:val="none"/>
        </w:rPr>
      </w:pPr>
    </w:p>
    <w:p>
      <w:pPr>
        <w:widowControl w:val="0"/>
        <w:shd w:val="clear" w:color="auto" w:fill="auto"/>
        <w:tabs>
          <w:tab w:val="clear" w:pos="426"/>
        </w:tabs>
        <w:spacing w:line="240" w:lineRule="auto"/>
        <w:ind w:left="424" w:leftChars="202" w:firstLine="2"/>
        <w:rPr>
          <w:rFonts w:cs="Times New Roman"/>
          <w:kern w:val="2"/>
          <w:szCs w:val="21"/>
          <w:highlight w:val="none"/>
        </w:rPr>
      </w:pPr>
    </w:p>
    <w:p>
      <w:pPr>
        <w:shd w:val="clear" w:color="auto" w:fill="auto"/>
        <w:tabs>
          <w:tab w:val="clear" w:pos="426"/>
        </w:tabs>
        <w:adjustRightInd/>
        <w:snapToGrid/>
        <w:spacing w:line="240" w:lineRule="auto"/>
        <w:jc w:val="left"/>
        <w:rPr>
          <w:rFonts w:cs="Times New Roman"/>
          <w:kern w:val="2"/>
          <w:szCs w:val="21"/>
          <w:highlight w:val="none"/>
        </w:rPr>
      </w:pPr>
      <w:r>
        <w:rPr>
          <w:rFonts w:cs="Times New Roman"/>
          <w:kern w:val="2"/>
          <w:szCs w:val="21"/>
          <w:highlight w:val="none"/>
        </w:rPr>
        <w:br w:type="page"/>
      </w:r>
    </w:p>
    <w:p>
      <w:pPr>
        <w:pStyle w:val="321"/>
        <w:pageBreakBefore/>
        <w:rPr>
          <w:highlight w:val="none"/>
          <w:u w:val="none"/>
        </w:rPr>
      </w:pPr>
      <w:r>
        <w:rPr>
          <w:rFonts w:hint="eastAsia"/>
          <w:highlight w:val="none"/>
          <w:u w:val="none"/>
        </w:rPr>
        <w:t>三、履约担保</w:t>
      </w:r>
    </w:p>
    <w:p>
      <w:pPr>
        <w:tabs>
          <w:tab w:val="clear" w:pos="426"/>
        </w:tabs>
        <w:ind w:left="6094" w:leftChars="2902"/>
        <w:rPr>
          <w:highlight w:val="none"/>
          <w:u w:val="none"/>
        </w:rPr>
      </w:pPr>
      <w:r>
        <w:rPr>
          <w:rFonts w:hint="eastAsia"/>
          <w:sz w:val="22"/>
          <w:szCs w:val="22"/>
          <w:highlight w:val="none"/>
          <w:u w:val="none"/>
        </w:rPr>
        <w:t>保函编号：_______________</w:t>
      </w:r>
    </w:p>
    <w:p>
      <w:pPr>
        <w:tabs>
          <w:tab w:val="clear" w:pos="426"/>
        </w:tabs>
        <w:rPr>
          <w:sz w:val="22"/>
          <w:szCs w:val="22"/>
          <w:highlight w:val="none"/>
          <w:u w:val="none"/>
        </w:rPr>
      </w:pPr>
      <w:r>
        <w:rPr>
          <w:rFonts w:hint="eastAsia"/>
          <w:sz w:val="22"/>
          <w:szCs w:val="22"/>
          <w:highlight w:val="none"/>
          <w:u w:val="none"/>
        </w:rPr>
        <w:t>致：__</w:t>
      </w:r>
      <w:r>
        <w:rPr>
          <w:rFonts w:hint="eastAsia"/>
          <w:highlight w:val="none"/>
          <w:u w:val="none"/>
        </w:rPr>
        <w:t>_______________</w:t>
      </w:r>
      <w:r>
        <w:rPr>
          <w:rFonts w:hint="eastAsia"/>
          <w:sz w:val="22"/>
          <w:szCs w:val="22"/>
          <w:highlight w:val="none"/>
          <w:u w:val="none"/>
        </w:rPr>
        <w:t xml:space="preserve">_： </w:t>
      </w:r>
    </w:p>
    <w:p>
      <w:pPr>
        <w:tabs>
          <w:tab w:val="clear" w:pos="426"/>
        </w:tabs>
        <w:rPr>
          <w:highlight w:val="none"/>
          <w:u w:val="none"/>
        </w:rPr>
      </w:pPr>
      <w:r>
        <w:rPr>
          <w:rFonts w:hint="eastAsia"/>
          <w:highlight w:val="none"/>
          <w:u w:val="none"/>
        </w:rPr>
        <w:t>鉴于 _____（被保护人)_______已于贵方签订了__（项目名称）（采购项目编号：______）__的__（采购合同名称）__采购合同（下称合同)，工期自_______年___月___日至_______年___月___日。我方接受被保证人的委托，在此向受益人提供不可撤销的履约保函：</w:t>
      </w:r>
    </w:p>
    <w:p>
      <w:pPr>
        <w:tabs>
          <w:tab w:val="clear" w:pos="426"/>
        </w:tabs>
        <w:rPr>
          <w:highlight w:val="none"/>
          <w:u w:val="none"/>
        </w:rPr>
      </w:pPr>
      <w:r>
        <w:rPr>
          <w:rFonts w:hint="eastAsia"/>
          <w:highlight w:val="none"/>
          <w:u w:val="none"/>
        </w:rPr>
        <w:t>1．本保证担保的最高担保金额为人民币___（小写)____元（___（大写)_____元）。</w:t>
      </w:r>
    </w:p>
    <w:p>
      <w:pPr>
        <w:tabs>
          <w:tab w:val="clear" w:pos="426"/>
        </w:tabs>
        <w:rPr>
          <w:highlight w:val="none"/>
          <w:u w:val="none"/>
        </w:rPr>
      </w:pPr>
      <w:r>
        <w:rPr>
          <w:rFonts w:hint="eastAsia"/>
          <w:highlight w:val="none"/>
          <w:u w:val="none"/>
        </w:rPr>
        <w:t>2．本保证担保的保证期间自________年____月___日至________年___月___日。</w:t>
      </w:r>
    </w:p>
    <w:p>
      <w:pPr>
        <w:tabs>
          <w:tab w:val="clear" w:pos="426"/>
        </w:tabs>
        <w:rPr>
          <w:highlight w:val="none"/>
          <w:u w:val="none"/>
        </w:rPr>
      </w:pPr>
      <w:r>
        <w:rPr>
          <w:rFonts w:hint="eastAsia"/>
          <w:highlight w:val="none"/>
          <w:u w:val="none"/>
        </w:rPr>
        <w:t>3．在本保证担保的保证期间内，我方将在收到______（受益人）_____法定代表人或其授权委托代理人签字确认并加盖公章的书面索赔通知后_____个工作日内，不争辩、不挑剔、不可撤销地向受益人支付索赔款，直至本保证的最高担保金额。</w:t>
      </w:r>
    </w:p>
    <w:p>
      <w:pPr>
        <w:tabs>
          <w:tab w:val="clear" w:pos="426"/>
        </w:tabs>
        <w:rPr>
          <w:highlight w:val="none"/>
          <w:u w:val="none"/>
        </w:rPr>
      </w:pPr>
      <w:r>
        <w:rPr>
          <w:rFonts w:hint="eastAsia"/>
          <w:highlight w:val="none"/>
          <w:u w:val="none"/>
        </w:rPr>
        <w:t>4．索赔通知应当说明索赔理由、索赔款额的计算方法，并必须在本保证担保的保证期间内送达我方。</w:t>
      </w:r>
    </w:p>
    <w:p>
      <w:pPr>
        <w:tabs>
          <w:tab w:val="clear" w:pos="426"/>
        </w:tabs>
        <w:rPr>
          <w:highlight w:val="none"/>
          <w:u w:val="none"/>
        </w:rPr>
      </w:pPr>
      <w:r>
        <w:rPr>
          <w:rFonts w:hint="eastAsia"/>
          <w:highlight w:val="none"/>
          <w:u w:val="none"/>
        </w:rPr>
        <w:t>5．本保证担保项下的权利不得转让。</w:t>
      </w:r>
    </w:p>
    <w:p>
      <w:pPr>
        <w:tabs>
          <w:tab w:val="clear" w:pos="426"/>
        </w:tabs>
        <w:rPr>
          <w:highlight w:val="none"/>
          <w:u w:val="none"/>
        </w:rPr>
      </w:pPr>
      <w:r>
        <w:rPr>
          <w:rFonts w:hint="eastAsia"/>
          <w:highlight w:val="none"/>
          <w:u w:val="none"/>
        </w:rPr>
        <w:t>6．我方提供本保证担保后，受益人与被保证人对合同进行修订的，应当将修订后的合同原件送我方备案。</w:t>
      </w:r>
    </w:p>
    <w:p>
      <w:pPr>
        <w:tabs>
          <w:tab w:val="clear" w:pos="426"/>
        </w:tabs>
        <w:rPr>
          <w:highlight w:val="none"/>
          <w:u w:val="none"/>
        </w:rPr>
      </w:pPr>
      <w:r>
        <w:rPr>
          <w:rFonts w:hint="eastAsia"/>
          <w:highlight w:val="none"/>
          <w:u w:val="none"/>
        </w:rPr>
        <w:t>7．本保证担保的保证期间届满，或我方向受益人支付的索赔款已达本保证担保的最高担保金额，我方的保证责任免除。</w:t>
      </w:r>
    </w:p>
    <w:p>
      <w:pPr>
        <w:tabs>
          <w:tab w:val="clear" w:pos="426"/>
        </w:tabs>
        <w:rPr>
          <w:highlight w:val="none"/>
          <w:u w:val="none"/>
        </w:rPr>
      </w:pPr>
      <w:r>
        <w:rPr>
          <w:rFonts w:hint="eastAsia"/>
          <w:highlight w:val="none"/>
          <w:u w:val="none"/>
        </w:rPr>
        <w:t>8．本保证担保适用中华人民共和国法律。</w:t>
      </w:r>
    </w:p>
    <w:p>
      <w:pPr>
        <w:tabs>
          <w:tab w:val="clear" w:pos="426"/>
        </w:tabs>
        <w:rPr>
          <w:highlight w:val="none"/>
          <w:u w:val="none"/>
        </w:rPr>
      </w:pPr>
      <w:r>
        <w:rPr>
          <w:rFonts w:hint="eastAsia"/>
          <w:highlight w:val="none"/>
          <w:u w:val="none"/>
        </w:rPr>
        <w:t>9．本保证担保以中文文本为准，涂改无效。</w:t>
      </w:r>
    </w:p>
    <w:p>
      <w:pPr>
        <w:tabs>
          <w:tab w:val="clear" w:pos="426"/>
        </w:tabs>
        <w:rPr>
          <w:highlight w:val="none"/>
          <w:u w:val="none"/>
        </w:rPr>
      </w:pPr>
    </w:p>
    <w:p>
      <w:pPr>
        <w:tabs>
          <w:tab w:val="clear" w:pos="426"/>
        </w:tabs>
        <w:rPr>
          <w:highlight w:val="none"/>
          <w:u w:val="none"/>
        </w:rPr>
      </w:pPr>
      <w:r>
        <w:rPr>
          <w:rFonts w:hint="eastAsia"/>
          <w:highlight w:val="none"/>
          <w:u w:val="none"/>
        </w:rPr>
        <w:t>（本保函失效后，请将原件退回我方注销)</w:t>
      </w:r>
    </w:p>
    <w:p>
      <w:pPr>
        <w:tabs>
          <w:tab w:val="clear" w:pos="426"/>
        </w:tabs>
        <w:rPr>
          <w:highlight w:val="none"/>
          <w:u w:val="none"/>
        </w:rPr>
      </w:pPr>
    </w:p>
    <w:p>
      <w:pPr>
        <w:tabs>
          <w:tab w:val="clear" w:pos="426"/>
        </w:tabs>
        <w:rPr>
          <w:highlight w:val="none"/>
          <w:u w:val="none"/>
        </w:rPr>
      </w:pPr>
      <w:r>
        <w:rPr>
          <w:rFonts w:hint="eastAsia"/>
          <w:highlight w:val="none"/>
          <w:u w:val="none"/>
        </w:rPr>
        <w:t>保证人名称（公章)：____________________________________</w:t>
      </w:r>
    </w:p>
    <w:p>
      <w:pPr>
        <w:tabs>
          <w:tab w:val="clear" w:pos="426"/>
        </w:tabs>
        <w:rPr>
          <w:highlight w:val="none"/>
          <w:u w:val="none"/>
        </w:rPr>
      </w:pPr>
      <w:r>
        <w:rPr>
          <w:rFonts w:hint="eastAsia"/>
          <w:highlight w:val="none"/>
          <w:u w:val="none"/>
        </w:rPr>
        <w:t>法定代表人或委托代理人（签字)：________________________</w:t>
      </w:r>
    </w:p>
    <w:p>
      <w:pPr>
        <w:tabs>
          <w:tab w:val="clear" w:pos="426"/>
        </w:tabs>
        <w:rPr>
          <w:highlight w:val="none"/>
          <w:u w:val="none"/>
        </w:rPr>
      </w:pPr>
      <w:r>
        <w:rPr>
          <w:rFonts w:hint="eastAsia"/>
          <w:highlight w:val="none"/>
          <w:u w:val="none"/>
        </w:rPr>
        <w:t>单位地址：_____________________________________________</w:t>
      </w:r>
    </w:p>
    <w:p>
      <w:pPr>
        <w:tabs>
          <w:tab w:val="clear" w:pos="426"/>
        </w:tabs>
        <w:rPr>
          <w:highlight w:val="none"/>
          <w:u w:val="none"/>
        </w:rPr>
      </w:pPr>
      <w:r>
        <w:rPr>
          <w:rFonts w:hint="eastAsia"/>
          <w:highlight w:val="none"/>
          <w:u w:val="none"/>
        </w:rPr>
        <w:t>电话：_______________________传真：____________________</w:t>
      </w:r>
    </w:p>
    <w:p>
      <w:pPr>
        <w:tabs>
          <w:tab w:val="clear" w:pos="426"/>
        </w:tabs>
        <w:rPr>
          <w:highlight w:val="none"/>
          <w:u w:val="none"/>
        </w:rPr>
      </w:pPr>
      <w:r>
        <w:rPr>
          <w:rFonts w:hint="eastAsia"/>
          <w:highlight w:val="none"/>
          <w:u w:val="none"/>
        </w:rPr>
        <w:t>日期：</w:t>
      </w:r>
      <w:r>
        <w:rPr>
          <w:rFonts w:hint="eastAsia" w:ascii="仿宋_GB2312" w:eastAsia="仿宋_GB2312"/>
          <w:szCs w:val="21"/>
          <w:highlight w:val="none"/>
          <w:u w:val="none"/>
        </w:rPr>
        <w:t>_________________________________________________</w:t>
      </w:r>
    </w:p>
    <w:p>
      <w:pPr>
        <w:tabs>
          <w:tab w:val="clear" w:pos="426"/>
        </w:tabs>
        <w:rPr>
          <w:highlight w:val="none"/>
        </w:rPr>
      </w:pPr>
    </w:p>
    <w:p>
      <w:pPr>
        <w:tabs>
          <w:tab w:val="clear" w:pos="426"/>
        </w:tabs>
        <w:rPr>
          <w:highlight w:val="none"/>
        </w:rPr>
      </w:pPr>
      <w:r>
        <w:rPr>
          <w:rFonts w:hint="eastAsia"/>
          <w:highlight w:val="none"/>
        </w:rPr>
        <w:t>说明：《履约担保》为中标后提交履约保函时所用，投标文件中无需提供《履约担保》。</w:t>
      </w:r>
    </w:p>
    <w:p>
      <w:pPr>
        <w:widowControl w:val="0"/>
        <w:shd w:val="clear" w:color="auto" w:fill="auto"/>
        <w:tabs>
          <w:tab w:val="clear" w:pos="426"/>
        </w:tabs>
        <w:spacing w:line="240" w:lineRule="auto"/>
        <w:ind w:left="424" w:leftChars="202" w:firstLine="2"/>
        <w:rPr>
          <w:rFonts w:cs="Times New Roman"/>
          <w:kern w:val="2"/>
          <w:szCs w:val="21"/>
          <w:highlight w:val="none"/>
        </w:rPr>
      </w:pPr>
    </w:p>
    <w:p>
      <w:pPr>
        <w:shd w:val="clear" w:color="auto" w:fill="auto"/>
        <w:tabs>
          <w:tab w:val="clear" w:pos="426"/>
        </w:tabs>
        <w:spacing w:line="240" w:lineRule="auto"/>
        <w:jc w:val="left"/>
        <w:rPr>
          <w:rFonts w:cs="Times New Roman"/>
          <w:kern w:val="2"/>
          <w:szCs w:val="21"/>
          <w:highlight w:val="none"/>
        </w:rPr>
      </w:pPr>
      <w:r>
        <w:rPr>
          <w:rFonts w:cs="Times New Roman"/>
          <w:kern w:val="2"/>
          <w:szCs w:val="21"/>
          <w:highlight w:val="none"/>
        </w:rPr>
        <w:br w:type="page"/>
      </w:r>
    </w:p>
    <w:p>
      <w:pPr>
        <w:pStyle w:val="321"/>
        <w:pageBreakBefore/>
        <w:rPr>
          <w:highlight w:val="none"/>
        </w:rPr>
      </w:pPr>
      <w:r>
        <w:rPr>
          <w:rFonts w:hint="eastAsia"/>
          <w:highlight w:val="none"/>
        </w:rPr>
        <w:t>四、政府采购履约情况反馈表</w:t>
      </w:r>
    </w:p>
    <w:p>
      <w:pPr>
        <w:tabs>
          <w:tab w:val="clear" w:pos="426"/>
        </w:tabs>
        <w:rPr>
          <w:highlight w:val="none"/>
          <w:u w:val="single"/>
        </w:rPr>
      </w:pPr>
      <w:r>
        <w:rPr>
          <w:rFonts w:hint="eastAsia"/>
          <w:highlight w:val="none"/>
        </w:rPr>
        <w:t>采购单位名称</w:t>
      </w:r>
      <w:r>
        <w:rPr>
          <w:rFonts w:hint="eastAsia"/>
          <w:highlight w:val="none"/>
          <w:u w:val="none"/>
        </w:rPr>
        <w:t>：_______________________________联系人及电话：_________________________</w:t>
      </w:r>
    </w:p>
    <w:tbl>
      <w:tblPr>
        <w:tblStyle w:val="4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03"/>
        <w:gridCol w:w="773"/>
        <w:gridCol w:w="773"/>
        <w:gridCol w:w="2704"/>
        <w:gridCol w:w="2125"/>
        <w:gridCol w:w="22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280" w:type="pct"/>
            <w:gridSpan w:val="3"/>
            <w:vAlign w:val="center"/>
          </w:tcPr>
          <w:p>
            <w:pPr>
              <w:tabs>
                <w:tab w:val="clear" w:pos="426"/>
              </w:tabs>
              <w:spacing w:line="240" w:lineRule="auto"/>
              <w:jc w:val="left"/>
              <w:rPr>
                <w:highlight w:val="none"/>
              </w:rPr>
            </w:pPr>
            <w:r>
              <w:rPr>
                <w:rFonts w:hint="eastAsia"/>
                <w:highlight w:val="none"/>
              </w:rPr>
              <w:t>采购项目名称</w:t>
            </w:r>
          </w:p>
        </w:tc>
        <w:tc>
          <w:tcPr>
            <w:tcW w:w="1413" w:type="pct"/>
            <w:vAlign w:val="center"/>
          </w:tcPr>
          <w:p>
            <w:pPr>
              <w:tabs>
                <w:tab w:val="clear" w:pos="426"/>
              </w:tabs>
              <w:spacing w:line="240" w:lineRule="auto"/>
              <w:jc w:val="left"/>
              <w:rPr>
                <w:highlight w:val="none"/>
              </w:rPr>
            </w:pPr>
          </w:p>
        </w:tc>
        <w:tc>
          <w:tcPr>
            <w:tcW w:w="1110" w:type="pct"/>
            <w:vAlign w:val="center"/>
          </w:tcPr>
          <w:p>
            <w:pPr>
              <w:tabs>
                <w:tab w:val="clear" w:pos="426"/>
              </w:tabs>
              <w:spacing w:line="240" w:lineRule="auto"/>
              <w:jc w:val="left"/>
              <w:rPr>
                <w:highlight w:val="none"/>
              </w:rPr>
            </w:pPr>
            <w:r>
              <w:rPr>
                <w:rFonts w:hint="eastAsia"/>
                <w:highlight w:val="none"/>
              </w:rPr>
              <w:t>采购项目编号</w:t>
            </w:r>
          </w:p>
        </w:tc>
        <w:tc>
          <w:tcPr>
            <w:tcW w:w="1197" w:type="pct"/>
            <w:vAlign w:val="center"/>
          </w:tcPr>
          <w:p>
            <w:pPr>
              <w:pStyle w:val="7"/>
              <w:tabs>
                <w:tab w:val="clear" w:pos="426"/>
              </w:tabs>
              <w:spacing w:line="240" w:lineRule="auto"/>
              <w:jc w:val="left"/>
              <w:rPr>
                <w:rFonts w:ascii="宋体" w:hAnsi="宋体" w:cs="宋体"/>
                <w:kern w:val="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280" w:type="pct"/>
            <w:gridSpan w:val="3"/>
            <w:vAlign w:val="center"/>
          </w:tcPr>
          <w:p>
            <w:pPr>
              <w:tabs>
                <w:tab w:val="clear" w:pos="426"/>
              </w:tabs>
              <w:spacing w:line="240" w:lineRule="auto"/>
              <w:jc w:val="left"/>
              <w:rPr>
                <w:highlight w:val="none"/>
              </w:rPr>
            </w:pPr>
            <w:r>
              <w:rPr>
                <w:rFonts w:hint="eastAsia"/>
                <w:highlight w:val="none"/>
              </w:rPr>
              <w:t>中标人名称</w:t>
            </w:r>
          </w:p>
        </w:tc>
        <w:tc>
          <w:tcPr>
            <w:tcW w:w="1413" w:type="pct"/>
            <w:vAlign w:val="center"/>
          </w:tcPr>
          <w:p>
            <w:pPr>
              <w:tabs>
                <w:tab w:val="clear" w:pos="426"/>
              </w:tabs>
              <w:spacing w:line="240" w:lineRule="auto"/>
              <w:jc w:val="left"/>
              <w:rPr>
                <w:highlight w:val="none"/>
              </w:rPr>
            </w:pPr>
          </w:p>
        </w:tc>
        <w:tc>
          <w:tcPr>
            <w:tcW w:w="1110" w:type="pct"/>
            <w:vAlign w:val="center"/>
          </w:tcPr>
          <w:p>
            <w:pPr>
              <w:tabs>
                <w:tab w:val="clear" w:pos="426"/>
              </w:tabs>
              <w:spacing w:line="240" w:lineRule="auto"/>
              <w:jc w:val="left"/>
              <w:rPr>
                <w:highlight w:val="none"/>
              </w:rPr>
            </w:pPr>
            <w:r>
              <w:rPr>
                <w:rFonts w:hint="eastAsia"/>
                <w:highlight w:val="none"/>
              </w:rPr>
              <w:t>供应商</w:t>
            </w:r>
          </w:p>
          <w:p>
            <w:pPr>
              <w:tabs>
                <w:tab w:val="clear" w:pos="426"/>
              </w:tabs>
              <w:spacing w:line="240" w:lineRule="auto"/>
              <w:jc w:val="left"/>
              <w:rPr>
                <w:highlight w:val="none"/>
              </w:rPr>
            </w:pPr>
            <w:r>
              <w:rPr>
                <w:rFonts w:hint="eastAsia"/>
                <w:highlight w:val="none"/>
              </w:rPr>
              <w:t>联系人及电话</w:t>
            </w:r>
          </w:p>
        </w:tc>
        <w:tc>
          <w:tcPr>
            <w:tcW w:w="1197" w:type="pct"/>
            <w:vAlign w:val="center"/>
          </w:tcPr>
          <w:p>
            <w:pPr>
              <w:tabs>
                <w:tab w:val="clear" w:pos="426"/>
              </w:tabs>
              <w:spacing w:line="240" w:lineRule="auto"/>
              <w:jc w:val="left"/>
              <w:rPr>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280" w:type="pct"/>
            <w:gridSpan w:val="3"/>
            <w:vAlign w:val="center"/>
          </w:tcPr>
          <w:p>
            <w:pPr>
              <w:tabs>
                <w:tab w:val="clear" w:pos="426"/>
              </w:tabs>
              <w:spacing w:line="240" w:lineRule="auto"/>
              <w:jc w:val="left"/>
              <w:rPr>
                <w:highlight w:val="none"/>
              </w:rPr>
            </w:pPr>
            <w:r>
              <w:rPr>
                <w:rFonts w:hint="eastAsia"/>
                <w:highlight w:val="none"/>
              </w:rPr>
              <w:t>中标金额</w:t>
            </w:r>
          </w:p>
        </w:tc>
        <w:tc>
          <w:tcPr>
            <w:tcW w:w="1413" w:type="pct"/>
            <w:vAlign w:val="center"/>
          </w:tcPr>
          <w:p>
            <w:pPr>
              <w:tabs>
                <w:tab w:val="clear" w:pos="426"/>
              </w:tabs>
              <w:spacing w:line="240" w:lineRule="auto"/>
              <w:jc w:val="left"/>
              <w:rPr>
                <w:highlight w:val="none"/>
              </w:rPr>
            </w:pPr>
          </w:p>
        </w:tc>
        <w:tc>
          <w:tcPr>
            <w:tcW w:w="1110" w:type="pct"/>
            <w:vAlign w:val="center"/>
          </w:tcPr>
          <w:p>
            <w:pPr>
              <w:tabs>
                <w:tab w:val="clear" w:pos="426"/>
              </w:tabs>
              <w:spacing w:line="240" w:lineRule="auto"/>
              <w:jc w:val="left"/>
              <w:rPr>
                <w:highlight w:val="none"/>
              </w:rPr>
            </w:pPr>
            <w:r>
              <w:rPr>
                <w:rFonts w:hint="eastAsia"/>
                <w:highlight w:val="none"/>
              </w:rPr>
              <w:t>合同履约时间</w:t>
            </w:r>
          </w:p>
        </w:tc>
        <w:tc>
          <w:tcPr>
            <w:tcW w:w="1197" w:type="pct"/>
            <w:vAlign w:val="center"/>
          </w:tcPr>
          <w:p>
            <w:pPr>
              <w:tabs>
                <w:tab w:val="clear" w:pos="426"/>
              </w:tabs>
              <w:spacing w:line="240" w:lineRule="auto"/>
              <w:jc w:val="left"/>
              <w:rPr>
                <w:highlight w:val="none"/>
              </w:rPr>
            </w:pPr>
            <w:r>
              <w:rPr>
                <w:rFonts w:hint="eastAsia"/>
                <w:highlight w:val="none"/>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472" w:type="pct"/>
            <w:vMerge w:val="restart"/>
            <w:vAlign w:val="center"/>
          </w:tcPr>
          <w:p>
            <w:pPr>
              <w:tabs>
                <w:tab w:val="clear" w:pos="426"/>
              </w:tabs>
              <w:spacing w:line="240" w:lineRule="auto"/>
              <w:jc w:val="center"/>
              <w:rPr>
                <w:highlight w:val="none"/>
              </w:rPr>
            </w:pPr>
            <w:r>
              <w:rPr>
                <w:rFonts w:hint="eastAsia"/>
                <w:highlight w:val="none"/>
              </w:rPr>
              <w:t>履约情况评价</w:t>
            </w:r>
          </w:p>
        </w:tc>
        <w:tc>
          <w:tcPr>
            <w:tcW w:w="807" w:type="pct"/>
            <w:gridSpan w:val="2"/>
            <w:tcBorders>
              <w:right w:val="single" w:color="auto" w:sz="4" w:space="0"/>
            </w:tcBorders>
            <w:vAlign w:val="center"/>
          </w:tcPr>
          <w:p>
            <w:pPr>
              <w:tabs>
                <w:tab w:val="clear" w:pos="426"/>
              </w:tabs>
              <w:spacing w:line="240" w:lineRule="auto"/>
              <w:jc w:val="center"/>
              <w:rPr>
                <w:highlight w:val="none"/>
              </w:rPr>
            </w:pPr>
            <w:r>
              <w:rPr>
                <w:rFonts w:hint="eastAsia"/>
                <w:highlight w:val="none"/>
              </w:rPr>
              <w:t>总体评价</w:t>
            </w:r>
          </w:p>
        </w:tc>
        <w:tc>
          <w:tcPr>
            <w:tcW w:w="3720" w:type="pct"/>
            <w:gridSpan w:val="3"/>
            <w:tcBorders>
              <w:left w:val="single" w:color="auto" w:sz="4" w:space="0"/>
            </w:tcBorders>
            <w:vAlign w:val="center"/>
          </w:tcPr>
          <w:p>
            <w:pPr>
              <w:tabs>
                <w:tab w:val="clear" w:pos="426"/>
              </w:tabs>
              <w:spacing w:line="240" w:lineRule="auto"/>
              <w:ind w:firstLine="105" w:firstLineChars="50"/>
              <w:rPr>
                <w:highlight w:val="none"/>
              </w:rPr>
            </w:pPr>
            <w:r>
              <w:rPr>
                <w:rFonts w:hint="eastAsia"/>
                <w:highlight w:val="none"/>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rPr>
                <w:highlight w:val="none"/>
              </w:rPr>
            </w:pPr>
          </w:p>
        </w:tc>
        <w:tc>
          <w:tcPr>
            <w:tcW w:w="404" w:type="pct"/>
            <w:vMerge w:val="restart"/>
            <w:tcBorders>
              <w:right w:val="single" w:color="auto" w:sz="4" w:space="0"/>
            </w:tcBorders>
            <w:vAlign w:val="center"/>
          </w:tcPr>
          <w:p>
            <w:pPr>
              <w:tabs>
                <w:tab w:val="clear" w:pos="426"/>
              </w:tabs>
              <w:spacing w:line="240" w:lineRule="auto"/>
              <w:jc w:val="center"/>
              <w:rPr>
                <w:highlight w:val="none"/>
              </w:rPr>
            </w:pPr>
            <w:r>
              <w:rPr>
                <w:rFonts w:hint="eastAsia"/>
                <w:highlight w:val="none"/>
              </w:rPr>
              <w:t>分项评价</w:t>
            </w:r>
          </w:p>
        </w:tc>
        <w:tc>
          <w:tcPr>
            <w:tcW w:w="404" w:type="pct"/>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质量方面</w:t>
            </w:r>
          </w:p>
        </w:tc>
        <w:tc>
          <w:tcPr>
            <w:tcW w:w="3720" w:type="pct"/>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rPr>
                <w:highlight w:val="none"/>
              </w:rPr>
            </w:pPr>
          </w:p>
        </w:tc>
        <w:tc>
          <w:tcPr>
            <w:tcW w:w="404" w:type="pct"/>
            <w:vMerge w:val="continue"/>
            <w:tcBorders>
              <w:right w:val="single" w:color="auto" w:sz="4" w:space="0"/>
            </w:tcBorders>
            <w:vAlign w:val="center"/>
          </w:tcPr>
          <w:p>
            <w:pPr>
              <w:tabs>
                <w:tab w:val="clear" w:pos="426"/>
              </w:tabs>
              <w:spacing w:line="240" w:lineRule="auto"/>
              <w:rPr>
                <w:highlight w:val="none"/>
              </w:rPr>
            </w:pPr>
          </w:p>
        </w:tc>
        <w:tc>
          <w:tcPr>
            <w:tcW w:w="404" w:type="pct"/>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价格方面</w:t>
            </w:r>
          </w:p>
        </w:tc>
        <w:tc>
          <w:tcPr>
            <w:tcW w:w="3720" w:type="pct"/>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58" w:hRule="atLeast"/>
          <w:jc w:val="center"/>
        </w:trPr>
        <w:tc>
          <w:tcPr>
            <w:tcW w:w="472" w:type="pct"/>
            <w:vMerge w:val="continue"/>
            <w:vAlign w:val="center"/>
          </w:tcPr>
          <w:p>
            <w:pPr>
              <w:tabs>
                <w:tab w:val="clear" w:pos="426"/>
              </w:tabs>
              <w:spacing w:line="240" w:lineRule="auto"/>
              <w:rPr>
                <w:highlight w:val="none"/>
              </w:rPr>
            </w:pPr>
          </w:p>
        </w:tc>
        <w:tc>
          <w:tcPr>
            <w:tcW w:w="404" w:type="pct"/>
            <w:vMerge w:val="continue"/>
            <w:tcBorders>
              <w:right w:val="single" w:color="auto" w:sz="4" w:space="0"/>
            </w:tcBorders>
            <w:vAlign w:val="center"/>
          </w:tcPr>
          <w:p>
            <w:pPr>
              <w:tabs>
                <w:tab w:val="clear" w:pos="426"/>
              </w:tabs>
              <w:spacing w:line="240" w:lineRule="auto"/>
              <w:rPr>
                <w:highlight w:val="none"/>
              </w:rPr>
            </w:pPr>
          </w:p>
        </w:tc>
        <w:tc>
          <w:tcPr>
            <w:tcW w:w="404" w:type="pct"/>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服务方面</w:t>
            </w:r>
          </w:p>
        </w:tc>
        <w:tc>
          <w:tcPr>
            <w:tcW w:w="3720" w:type="pct"/>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rPr>
                <w:highlight w:val="none"/>
              </w:rPr>
            </w:pPr>
          </w:p>
        </w:tc>
        <w:tc>
          <w:tcPr>
            <w:tcW w:w="404" w:type="pct"/>
            <w:vMerge w:val="continue"/>
            <w:tcBorders>
              <w:right w:val="single" w:color="auto" w:sz="4" w:space="0"/>
            </w:tcBorders>
            <w:vAlign w:val="center"/>
          </w:tcPr>
          <w:p>
            <w:pPr>
              <w:tabs>
                <w:tab w:val="clear" w:pos="426"/>
              </w:tabs>
              <w:spacing w:line="240" w:lineRule="auto"/>
              <w:rPr>
                <w:highlight w:val="none"/>
              </w:rPr>
            </w:pPr>
          </w:p>
        </w:tc>
        <w:tc>
          <w:tcPr>
            <w:tcW w:w="404" w:type="pct"/>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时间方面</w:t>
            </w:r>
          </w:p>
        </w:tc>
        <w:tc>
          <w:tcPr>
            <w:tcW w:w="3720" w:type="pct"/>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rPr>
                <w:highlight w:val="none"/>
              </w:rPr>
            </w:pPr>
          </w:p>
        </w:tc>
        <w:tc>
          <w:tcPr>
            <w:tcW w:w="404" w:type="pct"/>
            <w:vMerge w:val="continue"/>
            <w:tcBorders>
              <w:right w:val="single" w:color="auto" w:sz="4" w:space="0"/>
            </w:tcBorders>
            <w:vAlign w:val="center"/>
          </w:tcPr>
          <w:p>
            <w:pPr>
              <w:tabs>
                <w:tab w:val="clear" w:pos="426"/>
              </w:tabs>
              <w:spacing w:line="240" w:lineRule="auto"/>
              <w:rPr>
                <w:highlight w:val="none"/>
              </w:rPr>
            </w:pPr>
          </w:p>
        </w:tc>
        <w:tc>
          <w:tcPr>
            <w:tcW w:w="404" w:type="pct"/>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环境保护</w:t>
            </w:r>
          </w:p>
        </w:tc>
        <w:tc>
          <w:tcPr>
            <w:tcW w:w="3720" w:type="pct"/>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rPr>
                <w:highlight w:val="none"/>
              </w:rPr>
            </w:pPr>
          </w:p>
        </w:tc>
        <w:tc>
          <w:tcPr>
            <w:tcW w:w="404" w:type="pct"/>
            <w:vMerge w:val="continue"/>
            <w:tcBorders>
              <w:right w:val="single" w:color="auto" w:sz="4" w:space="0"/>
            </w:tcBorders>
            <w:vAlign w:val="center"/>
          </w:tcPr>
          <w:p>
            <w:pPr>
              <w:tabs>
                <w:tab w:val="clear" w:pos="426"/>
              </w:tabs>
              <w:spacing w:line="240" w:lineRule="auto"/>
              <w:rPr>
                <w:highlight w:val="none"/>
              </w:rPr>
            </w:pPr>
          </w:p>
        </w:tc>
        <w:tc>
          <w:tcPr>
            <w:tcW w:w="404" w:type="pct"/>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其他</w:t>
            </w:r>
          </w:p>
        </w:tc>
        <w:tc>
          <w:tcPr>
            <w:tcW w:w="3720" w:type="pct"/>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评价内容为：                    </w:t>
            </w:r>
          </w:p>
          <w:p>
            <w:pPr>
              <w:tabs>
                <w:tab w:val="clear" w:pos="426"/>
              </w:tabs>
              <w:spacing w:line="240" w:lineRule="auto"/>
              <w:rPr>
                <w:highlight w:val="none"/>
              </w:rPr>
            </w:pPr>
            <w:r>
              <w:rPr>
                <w:rFonts w:hint="eastAsia"/>
                <w:highlight w:val="none"/>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876" w:type="pct"/>
            <w:gridSpan w:val="2"/>
            <w:vAlign w:val="center"/>
          </w:tcPr>
          <w:p>
            <w:pPr>
              <w:tabs>
                <w:tab w:val="clear" w:pos="426"/>
              </w:tabs>
              <w:spacing w:line="240" w:lineRule="auto"/>
              <w:rPr>
                <w:highlight w:val="none"/>
              </w:rPr>
            </w:pPr>
            <w:r>
              <w:rPr>
                <w:rFonts w:hint="eastAsia"/>
                <w:highlight w:val="none"/>
              </w:rPr>
              <w:t>具体情况说明</w:t>
            </w:r>
          </w:p>
        </w:tc>
        <w:tc>
          <w:tcPr>
            <w:tcW w:w="4124" w:type="pct"/>
            <w:gridSpan w:val="4"/>
            <w:vAlign w:val="center"/>
          </w:tcPr>
          <w:p>
            <w:pPr>
              <w:tabs>
                <w:tab w:val="clear" w:pos="426"/>
              </w:tabs>
              <w:spacing w:line="240" w:lineRule="auto"/>
              <w:rPr>
                <w:highlight w:val="none"/>
              </w:rPr>
            </w:pPr>
          </w:p>
          <w:p>
            <w:pPr>
              <w:tabs>
                <w:tab w:val="clear" w:pos="426"/>
              </w:tabs>
              <w:spacing w:line="240" w:lineRule="auto"/>
              <w:rPr>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876" w:type="pct"/>
            <w:gridSpan w:val="2"/>
            <w:vAlign w:val="center"/>
          </w:tcPr>
          <w:p>
            <w:pPr>
              <w:tabs>
                <w:tab w:val="clear" w:pos="426"/>
              </w:tabs>
              <w:spacing w:line="240" w:lineRule="auto"/>
              <w:rPr>
                <w:highlight w:val="none"/>
              </w:rPr>
            </w:pPr>
            <w:r>
              <w:rPr>
                <w:rFonts w:hint="eastAsia"/>
                <w:highlight w:val="none"/>
              </w:rPr>
              <w:t>采购单位意见</w:t>
            </w:r>
          </w:p>
          <w:p>
            <w:pPr>
              <w:tabs>
                <w:tab w:val="clear" w:pos="426"/>
              </w:tabs>
              <w:spacing w:line="240" w:lineRule="auto"/>
              <w:rPr>
                <w:highlight w:val="none"/>
              </w:rPr>
            </w:pPr>
            <w:r>
              <w:rPr>
                <w:rFonts w:hint="eastAsia"/>
                <w:highlight w:val="none"/>
              </w:rPr>
              <w:t>（公章）</w:t>
            </w:r>
          </w:p>
        </w:tc>
        <w:tc>
          <w:tcPr>
            <w:tcW w:w="4124" w:type="pct"/>
            <w:gridSpan w:val="4"/>
            <w:vAlign w:val="center"/>
          </w:tcPr>
          <w:p>
            <w:pPr>
              <w:tabs>
                <w:tab w:val="clear" w:pos="426"/>
              </w:tabs>
              <w:spacing w:line="240" w:lineRule="auto"/>
              <w:rPr>
                <w:highlight w:val="none"/>
              </w:rPr>
            </w:pPr>
          </w:p>
          <w:p>
            <w:pPr>
              <w:tabs>
                <w:tab w:val="clear" w:pos="426"/>
              </w:tabs>
              <w:spacing w:line="240" w:lineRule="auto"/>
              <w:rPr>
                <w:highlight w:val="none"/>
              </w:rPr>
            </w:pPr>
          </w:p>
          <w:p>
            <w:pPr>
              <w:tabs>
                <w:tab w:val="clear" w:pos="426"/>
              </w:tabs>
              <w:spacing w:line="240" w:lineRule="auto"/>
              <w:rPr>
                <w:highlight w:val="none"/>
              </w:rPr>
            </w:pPr>
          </w:p>
          <w:p>
            <w:pPr>
              <w:tabs>
                <w:tab w:val="clear" w:pos="426"/>
              </w:tabs>
              <w:spacing w:line="240" w:lineRule="auto"/>
              <w:rPr>
                <w:highlight w:val="none"/>
              </w:rPr>
            </w:pPr>
            <w:r>
              <w:rPr>
                <w:rFonts w:hint="eastAsia"/>
                <w:highlight w:val="none"/>
              </w:rPr>
              <w:t>日期：   年   月   日</w:t>
            </w:r>
          </w:p>
        </w:tc>
      </w:tr>
    </w:tbl>
    <w:p>
      <w:pPr>
        <w:tabs>
          <w:tab w:val="clear" w:pos="426"/>
        </w:tabs>
        <w:rPr>
          <w:highlight w:val="none"/>
        </w:rPr>
      </w:pPr>
      <w:r>
        <w:rPr>
          <w:rFonts w:hint="eastAsia"/>
          <w:highlight w:val="none"/>
        </w:rPr>
        <w:t>说明：</w:t>
      </w:r>
    </w:p>
    <w:p>
      <w:pPr>
        <w:tabs>
          <w:tab w:val="clear" w:pos="426"/>
        </w:tabs>
        <w:rPr>
          <w:highlight w:val="none"/>
        </w:rPr>
      </w:pPr>
      <w:r>
        <w:rPr>
          <w:rFonts w:hint="eastAsia"/>
          <w:highlight w:val="none"/>
        </w:rPr>
        <w:t>1.本表为采购单位向深圳交易集团有限公司政府采购业务分公司反映政府采购项目履约情况时所用，投标文件中无需提供；</w:t>
      </w:r>
    </w:p>
    <w:p>
      <w:pPr>
        <w:tabs>
          <w:tab w:val="clear" w:pos="426"/>
        </w:tabs>
        <w:rPr>
          <w:highlight w:val="none"/>
        </w:rPr>
      </w:pPr>
      <w:r>
        <w:rPr>
          <w:rFonts w:hint="eastAsia"/>
          <w:highlight w:val="none"/>
        </w:rPr>
        <w:t>2.履约情况评价分为优、良、中、差四个等级，请在对应的框前打“√”，然后在“具体情况说明”一栏详细说明有关情况。</w:t>
      </w:r>
    </w:p>
    <w:p>
      <w:pPr>
        <w:tabs>
          <w:tab w:val="clear" w:pos="426"/>
        </w:tabs>
        <w:rPr>
          <w:highlight w:val="none"/>
        </w:rPr>
      </w:pPr>
    </w:p>
    <w:p>
      <w:pPr>
        <w:shd w:val="clear" w:color="auto" w:fill="auto"/>
        <w:tabs>
          <w:tab w:val="clear" w:pos="426"/>
        </w:tabs>
        <w:adjustRightInd/>
        <w:snapToGrid/>
        <w:spacing w:line="240" w:lineRule="auto"/>
        <w:jc w:val="left"/>
        <w:rPr>
          <w:highlight w:val="none"/>
        </w:rPr>
      </w:pPr>
      <w:r>
        <w:rPr>
          <w:highlight w:val="none"/>
        </w:rPr>
        <w:br w:type="page"/>
      </w:r>
    </w:p>
    <w:p>
      <w:pPr>
        <w:pStyle w:val="309"/>
        <w:pageBreakBefore/>
        <w:rPr>
          <w:highlight w:val="none"/>
        </w:rPr>
      </w:pPr>
      <w:bookmarkStart w:id="44" w:name="_Toc67387144"/>
      <w:r>
        <w:rPr>
          <w:rFonts w:hint="eastAsia"/>
          <w:highlight w:val="none"/>
        </w:rPr>
        <w:t>第五章 投标文件格式、附件</w:t>
      </w:r>
      <w:bookmarkEnd w:id="44"/>
      <w:r>
        <w:rPr>
          <w:rFonts w:hint="eastAsia"/>
          <w:highlight w:val="none"/>
        </w:rPr>
        <w:t>（服务类）</w:t>
      </w:r>
    </w:p>
    <w:p>
      <w:pPr>
        <w:tabs>
          <w:tab w:val="clear" w:pos="426"/>
        </w:tabs>
        <w:rPr>
          <w:rStyle w:val="59"/>
          <w:rFonts w:ascii="宋体" w:eastAsia="宋体"/>
          <w:sz w:val="24"/>
          <w:highlight w:val="none"/>
        </w:rPr>
      </w:pPr>
    </w:p>
    <w:p>
      <w:pPr>
        <w:tabs>
          <w:tab w:val="clear" w:pos="426"/>
        </w:tabs>
        <w:rPr>
          <w:highlight w:val="none"/>
        </w:rPr>
      </w:pPr>
      <w:r>
        <w:rPr>
          <w:rStyle w:val="59"/>
          <w:rFonts w:hint="eastAsia" w:ascii="宋体" w:eastAsia="宋体"/>
          <w:sz w:val="24"/>
          <w:highlight w:val="none"/>
        </w:rPr>
        <w:t>特别提醒：</w:t>
      </w:r>
      <w:r>
        <w:rPr>
          <w:rFonts w:hint="eastAsia"/>
          <w:highlight w:val="none"/>
        </w:rPr>
        <w:t>投标人在编辑投标文件时，应严格按照招标文件提供的格式进行编写，因未按要求编写导致投标文件不予受理、无效标的，一切后果由供应商自行承担。</w:t>
      </w:r>
    </w:p>
    <w:p>
      <w:pPr>
        <w:tabs>
          <w:tab w:val="clear" w:pos="426"/>
        </w:tabs>
        <w:rPr>
          <w:highlight w:val="none"/>
        </w:rPr>
      </w:pPr>
    </w:p>
    <w:p>
      <w:pPr>
        <w:tabs>
          <w:tab w:val="clear" w:pos="426"/>
        </w:tabs>
        <w:rPr>
          <w:highlight w:val="none"/>
        </w:rPr>
      </w:pPr>
    </w:p>
    <w:p>
      <w:pPr>
        <w:tabs>
          <w:tab w:val="clear" w:pos="426"/>
        </w:tabs>
        <w:rPr>
          <w:highlight w:val="none"/>
        </w:rPr>
      </w:pPr>
      <w:r>
        <w:rPr>
          <w:rFonts w:hint="eastAsia"/>
          <w:highlight w:val="none"/>
        </w:rPr>
        <w:t>投标文件组成：</w:t>
      </w:r>
    </w:p>
    <w:p>
      <w:pPr>
        <w:tabs>
          <w:tab w:val="clear" w:pos="426"/>
        </w:tabs>
        <w:rPr>
          <w:highlight w:val="none"/>
        </w:rPr>
      </w:pPr>
    </w:p>
    <w:p>
      <w:pPr>
        <w:tabs>
          <w:tab w:val="clear" w:pos="426"/>
        </w:tabs>
        <w:rPr>
          <w:highlight w:val="none"/>
        </w:rPr>
      </w:pPr>
      <w:r>
        <w:rPr>
          <w:rFonts w:hint="eastAsia"/>
          <w:highlight w:val="none"/>
        </w:rPr>
        <w:t>密封袋封条格式</w:t>
      </w:r>
    </w:p>
    <w:p>
      <w:pPr>
        <w:tabs>
          <w:tab w:val="clear" w:pos="426"/>
        </w:tabs>
        <w:rPr>
          <w:highlight w:val="none"/>
        </w:rPr>
      </w:pPr>
      <w:r>
        <w:rPr>
          <w:rFonts w:hint="eastAsia"/>
          <w:highlight w:val="none"/>
        </w:rPr>
        <w:t>投标文件封面格式</w:t>
      </w:r>
    </w:p>
    <w:p>
      <w:pPr>
        <w:tabs>
          <w:tab w:val="clear" w:pos="426"/>
        </w:tabs>
        <w:rPr>
          <w:highlight w:val="none"/>
        </w:rPr>
      </w:pPr>
      <w:r>
        <w:rPr>
          <w:rFonts w:hint="eastAsia"/>
          <w:highlight w:val="none"/>
        </w:rPr>
        <w:t>目录（目录格式自定）</w:t>
      </w:r>
    </w:p>
    <w:p>
      <w:pPr>
        <w:tabs>
          <w:tab w:val="clear" w:pos="426"/>
        </w:tabs>
        <w:rPr>
          <w:highlight w:val="none"/>
        </w:rPr>
      </w:pPr>
      <w:r>
        <w:rPr>
          <w:rFonts w:hint="eastAsia"/>
          <w:highlight w:val="none"/>
        </w:rPr>
        <w:t>评标指引表</w:t>
      </w:r>
    </w:p>
    <w:p>
      <w:pPr>
        <w:numPr>
          <w:ilvl w:val="1"/>
          <w:numId w:val="33"/>
        </w:numPr>
        <w:tabs>
          <w:tab w:val="clear" w:pos="426"/>
        </w:tabs>
        <w:spacing w:line="276" w:lineRule="auto"/>
        <w:rPr>
          <w:highlight w:val="none"/>
        </w:rPr>
      </w:pPr>
      <w:r>
        <w:rPr>
          <w:rFonts w:hint="eastAsia"/>
          <w:highlight w:val="none"/>
        </w:rPr>
        <w:t>投标函</w:t>
      </w:r>
    </w:p>
    <w:p>
      <w:pPr>
        <w:numPr>
          <w:ilvl w:val="1"/>
          <w:numId w:val="33"/>
        </w:numPr>
        <w:tabs>
          <w:tab w:val="clear" w:pos="426"/>
        </w:tabs>
        <w:spacing w:line="276" w:lineRule="auto"/>
        <w:rPr>
          <w:highlight w:val="none"/>
        </w:rPr>
      </w:pPr>
      <w:r>
        <w:rPr>
          <w:rFonts w:hint="eastAsia"/>
          <w:highlight w:val="none"/>
        </w:rPr>
        <w:t>政府采购投标及履约承诺函</w:t>
      </w:r>
    </w:p>
    <w:p>
      <w:pPr>
        <w:numPr>
          <w:ilvl w:val="1"/>
          <w:numId w:val="33"/>
        </w:numPr>
        <w:tabs>
          <w:tab w:val="clear" w:pos="426"/>
        </w:tabs>
        <w:spacing w:line="276" w:lineRule="auto"/>
        <w:rPr>
          <w:highlight w:val="none"/>
        </w:rPr>
      </w:pPr>
      <w:r>
        <w:rPr>
          <w:rFonts w:hint="eastAsia"/>
          <w:highlight w:val="none"/>
        </w:rPr>
        <w:t>法定代表人授权委托书、法定代表人证明书</w:t>
      </w:r>
    </w:p>
    <w:p>
      <w:pPr>
        <w:numPr>
          <w:ilvl w:val="1"/>
          <w:numId w:val="33"/>
        </w:numPr>
        <w:tabs>
          <w:tab w:val="clear" w:pos="426"/>
        </w:tabs>
        <w:spacing w:line="276" w:lineRule="auto"/>
        <w:rPr>
          <w:highlight w:val="none"/>
        </w:rPr>
      </w:pPr>
      <w:r>
        <w:rPr>
          <w:rFonts w:hint="eastAsia"/>
          <w:highlight w:val="none"/>
        </w:rPr>
        <w:t>投标人基本情况表</w:t>
      </w:r>
    </w:p>
    <w:p>
      <w:pPr>
        <w:numPr>
          <w:ilvl w:val="1"/>
          <w:numId w:val="33"/>
        </w:numPr>
        <w:tabs>
          <w:tab w:val="clear" w:pos="426"/>
        </w:tabs>
        <w:spacing w:line="276" w:lineRule="auto"/>
        <w:rPr>
          <w:highlight w:val="none"/>
        </w:rPr>
      </w:pPr>
      <w:r>
        <w:rPr>
          <w:rFonts w:hint="eastAsia"/>
          <w:highlight w:val="none"/>
        </w:rPr>
        <w:t>开标一览表（报价表）</w:t>
      </w:r>
    </w:p>
    <w:p>
      <w:pPr>
        <w:numPr>
          <w:ilvl w:val="1"/>
          <w:numId w:val="33"/>
        </w:numPr>
        <w:tabs>
          <w:tab w:val="clear" w:pos="426"/>
        </w:tabs>
        <w:spacing w:line="276" w:lineRule="auto"/>
        <w:rPr>
          <w:highlight w:val="none"/>
        </w:rPr>
      </w:pPr>
      <w:r>
        <w:rPr>
          <w:rFonts w:hint="eastAsia"/>
          <w:highlight w:val="none"/>
        </w:rPr>
        <w:t>投标分项报价表</w:t>
      </w:r>
    </w:p>
    <w:p>
      <w:pPr>
        <w:numPr>
          <w:ilvl w:val="1"/>
          <w:numId w:val="33"/>
        </w:numPr>
        <w:tabs>
          <w:tab w:val="clear" w:pos="426"/>
        </w:tabs>
        <w:spacing w:line="276" w:lineRule="auto"/>
        <w:rPr>
          <w:highlight w:val="none"/>
        </w:rPr>
      </w:pPr>
      <w:r>
        <w:rPr>
          <w:rFonts w:hint="eastAsia"/>
          <w:highlight w:val="none"/>
        </w:rPr>
        <w:t>实质性条款响应情况表</w:t>
      </w:r>
    </w:p>
    <w:p>
      <w:pPr>
        <w:numPr>
          <w:ilvl w:val="1"/>
          <w:numId w:val="33"/>
        </w:numPr>
        <w:tabs>
          <w:tab w:val="clear" w:pos="426"/>
        </w:tabs>
        <w:spacing w:line="276" w:lineRule="auto"/>
        <w:rPr>
          <w:highlight w:val="none"/>
        </w:rPr>
      </w:pPr>
      <w:bookmarkStart w:id="45" w:name="_Hlk2110363"/>
      <w:r>
        <w:rPr>
          <w:rFonts w:hint="eastAsia"/>
          <w:bCs/>
          <w:highlight w:val="none"/>
        </w:rPr>
        <w:t>项目需求响应情况表（实质性条款除外）</w:t>
      </w:r>
    </w:p>
    <w:bookmarkEnd w:id="45"/>
    <w:p>
      <w:pPr>
        <w:numPr>
          <w:ilvl w:val="1"/>
          <w:numId w:val="33"/>
        </w:numPr>
        <w:tabs>
          <w:tab w:val="clear" w:pos="426"/>
        </w:tabs>
        <w:spacing w:line="276" w:lineRule="auto"/>
        <w:rPr>
          <w:rFonts w:hint="eastAsia"/>
          <w:highlight w:val="none"/>
        </w:rPr>
      </w:pPr>
      <w:r>
        <w:rPr>
          <w:rFonts w:hint="eastAsia"/>
          <w:highlight w:val="none"/>
        </w:rPr>
        <w:t>实施方案（工作措施、工作方法、工作手段、工作流程）</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质量保障措施</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项目重点难点分析、应对措施及相关的合理化建议</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服务承诺</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投入服务配套的设施情况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服务要求响应</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拟派项目负责人</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拟安排的项目主要团队成员（主要技术人员）情况（项目负责人除外）</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投标人同类项目业绩情况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rFonts w:hint="eastAsia"/>
          <w:highlight w:val="none"/>
        </w:rPr>
      </w:pPr>
      <w:r>
        <w:rPr>
          <w:rFonts w:hint="eastAsia"/>
          <w:highlight w:val="none"/>
        </w:rPr>
        <w:t>履约评价情况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highlight w:val="none"/>
        </w:rPr>
      </w:pPr>
      <w:r>
        <w:rPr>
          <w:rFonts w:hint="eastAsia"/>
          <w:highlight w:val="none"/>
        </w:rPr>
        <w:t>投标人自主知识产权、认证情况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numPr>
          <w:ilvl w:val="1"/>
          <w:numId w:val="33"/>
        </w:numPr>
        <w:tabs>
          <w:tab w:val="clear" w:pos="426"/>
        </w:tabs>
        <w:spacing w:line="276" w:lineRule="auto"/>
        <w:rPr>
          <w:highlight w:val="none"/>
        </w:rPr>
      </w:pPr>
      <w:r>
        <w:rPr>
          <w:rFonts w:hint="eastAsia"/>
          <w:highlight w:val="none"/>
        </w:rPr>
        <w:t>优惠政策声明函等证明文件（可选）</w:t>
      </w:r>
    </w:p>
    <w:p>
      <w:pPr>
        <w:numPr>
          <w:ilvl w:val="1"/>
          <w:numId w:val="33"/>
        </w:numPr>
        <w:tabs>
          <w:tab w:val="clear" w:pos="426"/>
        </w:tabs>
        <w:spacing w:line="276" w:lineRule="auto"/>
        <w:rPr>
          <w:highlight w:val="none"/>
        </w:rPr>
      </w:pPr>
      <w:r>
        <w:rPr>
          <w:rFonts w:hint="eastAsia"/>
          <w:highlight w:val="none"/>
        </w:rPr>
        <w:t>招标代理服务费承诺书</w:t>
      </w:r>
    </w:p>
    <w:p>
      <w:pPr>
        <w:numPr>
          <w:ilvl w:val="1"/>
          <w:numId w:val="33"/>
        </w:numPr>
        <w:tabs>
          <w:tab w:val="clear" w:pos="426"/>
        </w:tabs>
        <w:spacing w:line="276" w:lineRule="auto"/>
        <w:rPr>
          <w:b/>
          <w:bCs/>
          <w:highlight w:val="none"/>
        </w:rPr>
      </w:pPr>
      <w:r>
        <w:rPr>
          <w:rFonts w:hint="eastAsia"/>
          <w:highlight w:val="none"/>
        </w:rPr>
        <w:t>招标文件要求的其他内容及投标人认为需要加以说明的其他内容</w:t>
      </w:r>
    </w:p>
    <w:p>
      <w:pPr>
        <w:shd w:val="clear" w:color="auto" w:fill="auto"/>
        <w:tabs>
          <w:tab w:val="clear" w:pos="426"/>
        </w:tabs>
        <w:adjustRightInd/>
        <w:snapToGrid/>
        <w:spacing w:line="240" w:lineRule="auto"/>
        <w:jc w:val="left"/>
        <w:rPr>
          <w:b/>
          <w:bCs/>
          <w:highlight w:val="none"/>
        </w:rPr>
      </w:pPr>
      <w:r>
        <w:rPr>
          <w:b/>
          <w:bCs/>
          <w:highlight w:val="none"/>
        </w:rPr>
        <w:br w:type="page"/>
      </w:r>
    </w:p>
    <w:p>
      <w:pPr>
        <w:pStyle w:val="321"/>
        <w:pageBreakBefore/>
        <w:rPr>
          <w:highlight w:val="none"/>
        </w:rPr>
      </w:pPr>
      <w:r>
        <w:rPr>
          <w:rFonts w:hint="eastAsia"/>
          <w:highlight w:val="none"/>
        </w:rPr>
        <w:t>密封袋封条格式</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lang w:eastAsia="zh-CN"/>
        </w:rPr>
        <w:t>福田区水务工程第三方安全检查与检测技术服务</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jc w:val="center"/>
        <w:rPr>
          <w:sz w:val="52"/>
          <w:szCs w:val="52"/>
          <w:highlight w:val="none"/>
        </w:rPr>
      </w:pPr>
      <w:r>
        <w:rPr>
          <w:rFonts w:hint="eastAsia"/>
          <w:sz w:val="52"/>
          <w:szCs w:val="52"/>
          <w:highlight w:val="none"/>
        </w:rPr>
        <w:t>□开标信封</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708" w:leftChars="337" w:right="706" w:rightChars="336"/>
        <w:rPr>
          <w:sz w:val="28"/>
          <w:szCs w:val="28"/>
          <w:highlight w:val="none"/>
          <w:u w:val="none"/>
        </w:rPr>
      </w:pPr>
      <w:r>
        <w:rPr>
          <w:rFonts w:hint="eastAsia"/>
          <w:sz w:val="28"/>
          <w:szCs w:val="28"/>
          <w:highlight w:val="none"/>
        </w:rPr>
        <w:t>采购项目编号</w:t>
      </w:r>
      <w:r>
        <w:rPr>
          <w:rFonts w:hint="eastAsia"/>
          <w:sz w:val="28"/>
          <w:szCs w:val="28"/>
          <w:highlight w:val="none"/>
          <w:u w:val="none"/>
        </w:rPr>
        <w:t>：_______________________________________</w:t>
      </w:r>
    </w:p>
    <w:p>
      <w:pPr>
        <w:tabs>
          <w:tab w:val="clear" w:pos="426"/>
        </w:tabs>
        <w:ind w:left="708" w:leftChars="337"/>
        <w:rPr>
          <w:sz w:val="28"/>
          <w:szCs w:val="28"/>
          <w:highlight w:val="none"/>
          <w:u w:val="none"/>
        </w:rPr>
      </w:pPr>
      <w:r>
        <w:rPr>
          <w:rFonts w:hint="eastAsia"/>
          <w:sz w:val="28"/>
          <w:szCs w:val="28"/>
          <w:highlight w:val="none"/>
          <w:u w:val="none"/>
        </w:rPr>
        <w:t>投标人名称（公章)：__________________________________</w:t>
      </w:r>
    </w:p>
    <w:p>
      <w:pPr>
        <w:tabs>
          <w:tab w:val="clear" w:pos="426"/>
        </w:tabs>
        <w:ind w:left="708" w:leftChars="337"/>
        <w:rPr>
          <w:sz w:val="28"/>
          <w:szCs w:val="28"/>
          <w:highlight w:val="none"/>
          <w:u w:val="none"/>
        </w:rPr>
      </w:pPr>
      <w:r>
        <w:rPr>
          <w:rFonts w:hint="eastAsia"/>
          <w:sz w:val="28"/>
          <w:szCs w:val="28"/>
          <w:highlight w:val="none"/>
          <w:u w:val="none"/>
        </w:rPr>
        <w:t>投标人代表（签名）：_________________________________</w:t>
      </w:r>
    </w:p>
    <w:p>
      <w:pPr>
        <w:tabs>
          <w:tab w:val="clear" w:pos="426"/>
        </w:tabs>
        <w:ind w:left="708" w:leftChars="337"/>
        <w:rPr>
          <w:sz w:val="28"/>
          <w:szCs w:val="28"/>
          <w:highlight w:val="none"/>
          <w:u w:val="none"/>
        </w:rPr>
      </w:pPr>
      <w:r>
        <w:rPr>
          <w:rFonts w:hint="eastAsia"/>
          <w:sz w:val="28"/>
          <w:szCs w:val="28"/>
          <w:highlight w:val="none"/>
          <w:u w:val="none"/>
        </w:rPr>
        <w:t>投标截止日期：______年___月___日</w:t>
      </w:r>
      <w:r>
        <w:rPr>
          <w:sz w:val="28"/>
          <w:szCs w:val="28"/>
          <w:highlight w:val="none"/>
          <w:u w:val="none"/>
        </w:rPr>
        <w:t>_</w:t>
      </w:r>
      <w:r>
        <w:rPr>
          <w:rFonts w:hint="eastAsia"/>
          <w:sz w:val="28"/>
          <w:szCs w:val="28"/>
          <w:highlight w:val="none"/>
          <w:u w:val="none"/>
        </w:rPr>
        <w:t>_</w:t>
      </w:r>
      <w:r>
        <w:rPr>
          <w:sz w:val="28"/>
          <w:szCs w:val="28"/>
          <w:highlight w:val="none"/>
          <w:u w:val="none"/>
        </w:rPr>
        <w:t>_时_</w:t>
      </w:r>
      <w:r>
        <w:rPr>
          <w:rFonts w:hint="eastAsia"/>
          <w:sz w:val="28"/>
          <w:szCs w:val="28"/>
          <w:highlight w:val="none"/>
          <w:u w:val="none"/>
        </w:rPr>
        <w:t>_</w:t>
      </w:r>
      <w:r>
        <w:rPr>
          <w:sz w:val="28"/>
          <w:szCs w:val="28"/>
          <w:highlight w:val="none"/>
          <w:u w:val="none"/>
        </w:rPr>
        <w:t>_分</w:t>
      </w:r>
      <w:r>
        <w:rPr>
          <w:rFonts w:hint="eastAsia"/>
          <w:sz w:val="28"/>
          <w:szCs w:val="28"/>
          <w:highlight w:val="none"/>
          <w:u w:val="none"/>
        </w:rPr>
        <w:t>（</w:t>
      </w:r>
      <w:r>
        <w:rPr>
          <w:sz w:val="28"/>
          <w:szCs w:val="28"/>
          <w:highlight w:val="none"/>
          <w:u w:val="none"/>
        </w:rPr>
        <w:t>前不得开封</w:t>
      </w:r>
      <w:r>
        <w:rPr>
          <w:rFonts w:hint="eastAsia"/>
          <w:sz w:val="28"/>
          <w:szCs w:val="28"/>
          <w:highlight w:val="none"/>
          <w:u w:val="none"/>
        </w:rPr>
        <w:t>）</w:t>
      </w:r>
    </w:p>
    <w:p>
      <w:pPr>
        <w:shd w:val="clear" w:color="auto" w:fill="auto"/>
        <w:tabs>
          <w:tab w:val="clear" w:pos="426"/>
        </w:tabs>
        <w:adjustRightInd/>
        <w:snapToGrid/>
        <w:spacing w:line="240" w:lineRule="auto"/>
        <w:jc w:val="left"/>
        <w:rPr>
          <w:sz w:val="28"/>
          <w:szCs w:val="28"/>
          <w:highlight w:val="none"/>
          <w:u w:val="single"/>
        </w:rPr>
      </w:pPr>
      <w:r>
        <w:rPr>
          <w:sz w:val="28"/>
          <w:szCs w:val="28"/>
          <w:highlight w:val="none"/>
          <w:u w:val="single"/>
        </w:rPr>
        <w:br w:type="page"/>
      </w:r>
    </w:p>
    <w:p>
      <w:pPr>
        <w:pStyle w:val="321"/>
        <w:pageBreakBefore/>
        <w:rPr>
          <w:highlight w:val="none"/>
        </w:rPr>
      </w:pPr>
      <w:r>
        <w:rPr>
          <w:rFonts w:hint="eastAsia"/>
          <w:highlight w:val="none"/>
        </w:rPr>
        <w:t>投标文件封面格式</w:t>
      </w:r>
    </w:p>
    <w:p>
      <w:pPr>
        <w:tabs>
          <w:tab w:val="clear" w:pos="426"/>
        </w:tabs>
        <w:jc w:val="right"/>
        <w:rPr>
          <w:sz w:val="44"/>
          <w:szCs w:val="44"/>
          <w:highlight w:val="none"/>
          <w:u w:val="single"/>
        </w:rPr>
      </w:pPr>
      <w:r>
        <w:rPr>
          <w:rFonts w:hint="eastAsia"/>
          <w:sz w:val="44"/>
          <w:szCs w:val="44"/>
          <w:highlight w:val="none"/>
          <w:u w:val="single"/>
        </w:rPr>
        <w:t>正/副本</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lang w:eastAsia="zh-CN"/>
        </w:rPr>
        <w:t>福田区水务工程第三方安全检查与检测技术服务</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pStyle w:val="305"/>
        <w:rPr>
          <w:highlight w:val="none"/>
        </w:rPr>
      </w:pPr>
    </w:p>
    <w:p>
      <w:pPr>
        <w:pStyle w:val="305"/>
        <w:rPr>
          <w:highlight w:val="none"/>
        </w:rPr>
      </w:pPr>
    </w:p>
    <w:p>
      <w:pPr>
        <w:pStyle w:val="305"/>
        <w:rPr>
          <w:highlight w:val="none"/>
        </w:rPr>
      </w:pPr>
    </w:p>
    <w:p>
      <w:pPr>
        <w:pStyle w:val="305"/>
        <w:rPr>
          <w:highlight w:val="none"/>
        </w:rPr>
      </w:pPr>
    </w:p>
    <w:p>
      <w:pPr>
        <w:pStyle w:val="305"/>
        <w:rPr>
          <w:highlight w:val="none"/>
        </w:rPr>
      </w:pPr>
    </w:p>
    <w:p>
      <w:pPr>
        <w:pStyle w:val="305"/>
        <w:rPr>
          <w:highlight w:val="none"/>
        </w:rPr>
      </w:pPr>
    </w:p>
    <w:p>
      <w:pPr>
        <w:pStyle w:val="305"/>
        <w:rPr>
          <w:highlight w:val="none"/>
        </w:rPr>
      </w:pPr>
    </w:p>
    <w:p>
      <w:pPr>
        <w:pStyle w:val="305"/>
        <w:rPr>
          <w:highlight w:val="none"/>
        </w:rPr>
      </w:pPr>
    </w:p>
    <w:p>
      <w:pPr>
        <w:tabs>
          <w:tab w:val="clear" w:pos="426"/>
        </w:tabs>
        <w:ind w:left="1275" w:leftChars="607"/>
        <w:rPr>
          <w:sz w:val="28"/>
          <w:szCs w:val="28"/>
          <w:highlight w:val="none"/>
          <w:u w:val="none"/>
        </w:rPr>
      </w:pPr>
      <w:r>
        <w:rPr>
          <w:rFonts w:hint="eastAsia"/>
          <w:sz w:val="28"/>
          <w:szCs w:val="28"/>
          <w:highlight w:val="none"/>
        </w:rPr>
        <w:t>采购项目编号：</w:t>
      </w:r>
      <w:r>
        <w:rPr>
          <w:rFonts w:hint="eastAsia"/>
          <w:sz w:val="28"/>
          <w:szCs w:val="28"/>
          <w:highlight w:val="none"/>
          <w:u w:val="none"/>
        </w:rPr>
        <w:t>_______________________________</w:t>
      </w:r>
    </w:p>
    <w:p>
      <w:pPr>
        <w:tabs>
          <w:tab w:val="clear" w:pos="426"/>
        </w:tabs>
        <w:ind w:left="1275" w:leftChars="607"/>
        <w:rPr>
          <w:sz w:val="28"/>
          <w:szCs w:val="28"/>
          <w:highlight w:val="none"/>
          <w:u w:val="none"/>
        </w:rPr>
      </w:pPr>
      <w:r>
        <w:rPr>
          <w:rFonts w:hint="eastAsia"/>
          <w:sz w:val="28"/>
          <w:szCs w:val="28"/>
          <w:highlight w:val="none"/>
          <w:u w:val="none"/>
        </w:rPr>
        <w:t>投标人名称（公章)：__________________________</w:t>
      </w:r>
    </w:p>
    <w:p>
      <w:pPr>
        <w:tabs>
          <w:tab w:val="clear" w:pos="426"/>
        </w:tabs>
        <w:ind w:left="1275" w:leftChars="607"/>
        <w:rPr>
          <w:sz w:val="28"/>
          <w:szCs w:val="28"/>
          <w:highlight w:val="none"/>
          <w:u w:val="none"/>
        </w:rPr>
      </w:pPr>
      <w:r>
        <w:rPr>
          <w:rFonts w:hint="eastAsia"/>
          <w:sz w:val="28"/>
          <w:szCs w:val="28"/>
          <w:highlight w:val="none"/>
          <w:u w:val="none"/>
        </w:rPr>
        <w:t>投标人代表（签名）：_________________________</w:t>
      </w:r>
    </w:p>
    <w:p>
      <w:pPr>
        <w:tabs>
          <w:tab w:val="clear" w:pos="426"/>
        </w:tabs>
        <w:ind w:left="1275" w:leftChars="607"/>
        <w:rPr>
          <w:sz w:val="28"/>
          <w:szCs w:val="28"/>
          <w:highlight w:val="none"/>
          <w:u w:val="none"/>
        </w:rPr>
      </w:pPr>
      <w:r>
        <w:rPr>
          <w:rFonts w:hint="eastAsia"/>
          <w:sz w:val="28"/>
          <w:szCs w:val="28"/>
          <w:highlight w:val="none"/>
          <w:u w:val="none"/>
        </w:rPr>
        <w:t>投标日期：__________________年_____月______日</w:t>
      </w:r>
    </w:p>
    <w:p>
      <w:pPr>
        <w:tabs>
          <w:tab w:val="clear" w:pos="426"/>
        </w:tabs>
        <w:rPr>
          <w:highlight w:val="none"/>
        </w:rPr>
      </w:pPr>
    </w:p>
    <w:p>
      <w:pPr>
        <w:shd w:val="clear" w:color="auto" w:fill="auto"/>
        <w:tabs>
          <w:tab w:val="clear" w:pos="426"/>
        </w:tabs>
        <w:adjustRightInd/>
        <w:snapToGrid/>
        <w:spacing w:line="240" w:lineRule="auto"/>
        <w:jc w:val="left"/>
        <w:rPr>
          <w:highlight w:val="none"/>
        </w:rPr>
      </w:pPr>
      <w:r>
        <w:rPr>
          <w:highlight w:val="none"/>
        </w:rPr>
        <w:br w:type="page"/>
      </w:r>
    </w:p>
    <w:p>
      <w:pPr>
        <w:pStyle w:val="321"/>
        <w:pageBreakBefore/>
        <w:rPr>
          <w:highlight w:val="none"/>
        </w:rPr>
      </w:pPr>
      <w:r>
        <w:rPr>
          <w:rFonts w:hint="eastAsia"/>
          <w:highlight w:val="none"/>
        </w:rPr>
        <w:t>投标文件目录（目录格式自定）</w:t>
      </w:r>
    </w:p>
    <w:p>
      <w:pPr>
        <w:tabs>
          <w:tab w:val="clear" w:pos="426"/>
        </w:tabs>
        <w:rPr>
          <w:highlight w:val="none"/>
        </w:rPr>
      </w:pPr>
      <w:r>
        <w:rPr>
          <w:rFonts w:hint="eastAsia"/>
          <w:highlight w:val="none"/>
        </w:rPr>
        <w:t>按照招标文件的要求编制投标文件相应内容，请标明各部分内容的页码。</w:t>
      </w:r>
    </w:p>
    <w:p>
      <w:pPr>
        <w:tabs>
          <w:tab w:val="clear" w:pos="426"/>
        </w:tabs>
        <w:rPr>
          <w:highlight w:val="none"/>
        </w:rPr>
      </w:pPr>
    </w:p>
    <w:p>
      <w:pPr>
        <w:shd w:val="clear" w:color="auto" w:fill="auto"/>
        <w:tabs>
          <w:tab w:val="clear" w:pos="426"/>
        </w:tabs>
        <w:adjustRightInd/>
        <w:snapToGrid/>
        <w:spacing w:line="240" w:lineRule="auto"/>
        <w:jc w:val="left"/>
        <w:rPr>
          <w:highlight w:val="none"/>
        </w:rPr>
      </w:pPr>
      <w:r>
        <w:rPr>
          <w:highlight w:val="none"/>
        </w:rPr>
        <w:br w:type="page"/>
      </w:r>
    </w:p>
    <w:p>
      <w:pPr>
        <w:pStyle w:val="321"/>
        <w:pageBreakBefore/>
        <w:rPr>
          <w:highlight w:val="none"/>
        </w:rPr>
      </w:pPr>
      <w:r>
        <w:rPr>
          <w:rFonts w:hint="eastAsia"/>
          <w:highlight w:val="none"/>
        </w:rPr>
        <w:t>评标指引表</w:t>
      </w:r>
    </w:p>
    <w:p>
      <w:pPr>
        <w:tabs>
          <w:tab w:val="clear" w:pos="426"/>
        </w:tabs>
        <w:jc w:val="center"/>
        <w:rPr>
          <w:b/>
          <w:highlight w:val="none"/>
        </w:rPr>
      </w:pPr>
      <w:r>
        <w:rPr>
          <w:rFonts w:hint="eastAsia"/>
          <w:b/>
          <w:highlight w:val="none"/>
        </w:rPr>
        <w:t>（置于投标文件的首页）</w:t>
      </w:r>
    </w:p>
    <w:p>
      <w:pPr>
        <w:pStyle w:val="305"/>
        <w:rPr>
          <w:highlight w:val="none"/>
        </w:rPr>
      </w:pPr>
      <w:r>
        <w:rPr>
          <w:rFonts w:hint="eastAsia"/>
          <w:highlight w:val="none"/>
        </w:rPr>
        <w:t>为方便参与该项目的评委专家的评标，快速找到评标事项与该项目投标文件所对应的位置，请投标人参照下表格式，编制本项目评标指引表。</w:t>
      </w:r>
    </w:p>
    <w:p>
      <w:pPr>
        <w:pStyle w:val="305"/>
        <w:rPr>
          <w:highlight w:val="none"/>
        </w:rPr>
      </w:pPr>
      <w:r>
        <w:rPr>
          <w:rFonts w:hint="eastAsia"/>
          <w:highlight w:val="none"/>
        </w:rPr>
        <w:t>项目名称：</w:t>
      </w:r>
    </w:p>
    <w:p>
      <w:pPr>
        <w:pStyle w:val="305"/>
        <w:rPr>
          <w:highlight w:val="none"/>
        </w:rPr>
      </w:pPr>
      <w:r>
        <w:rPr>
          <w:rFonts w:hint="eastAsia"/>
          <w:highlight w:val="none"/>
        </w:rPr>
        <w:t>采购项目编号：</w:t>
      </w:r>
    </w:p>
    <w:p>
      <w:pPr>
        <w:tabs>
          <w:tab w:val="clear" w:pos="426"/>
        </w:tabs>
        <w:jc w:val="center"/>
        <w:rPr>
          <w:b/>
          <w:highlight w:val="none"/>
        </w:rPr>
      </w:pPr>
      <w:r>
        <w:rPr>
          <w:rFonts w:hint="eastAsia"/>
          <w:b/>
          <w:highlight w:val="none"/>
        </w:rPr>
        <w:t>项目评标指引表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346"/>
        <w:gridCol w:w="3857"/>
        <w:gridCol w:w="1642"/>
        <w:gridCol w:w="1391"/>
        <w:gridCol w:w="71"/>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tabs>
                <w:tab w:val="clear" w:pos="426"/>
              </w:tabs>
              <w:spacing w:line="240" w:lineRule="auto"/>
              <w:jc w:val="center"/>
              <w:rPr>
                <w:b/>
                <w:highlight w:val="none"/>
              </w:rPr>
            </w:pPr>
            <w:r>
              <w:rPr>
                <w:rFonts w:hint="eastAsia"/>
                <w:b/>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tabs>
                <w:tab w:val="clear" w:pos="426"/>
              </w:tabs>
              <w:spacing w:line="240" w:lineRule="auto"/>
              <w:jc w:val="center"/>
              <w:rPr>
                <w:b/>
                <w:highlight w:val="none"/>
              </w:rPr>
            </w:pPr>
            <w:r>
              <w:rPr>
                <w:rFonts w:hint="eastAsia"/>
                <w:b/>
                <w:highlight w:val="none"/>
              </w:rPr>
              <w:t>序号</w:t>
            </w:r>
          </w:p>
        </w:tc>
        <w:tc>
          <w:tcPr>
            <w:tcW w:w="2196" w:type="pct"/>
            <w:gridSpan w:val="2"/>
            <w:vAlign w:val="center"/>
          </w:tcPr>
          <w:p>
            <w:pPr>
              <w:tabs>
                <w:tab w:val="clear" w:pos="426"/>
              </w:tabs>
              <w:spacing w:line="240" w:lineRule="auto"/>
              <w:jc w:val="center"/>
              <w:rPr>
                <w:b/>
                <w:highlight w:val="none"/>
              </w:rPr>
            </w:pPr>
            <w:r>
              <w:rPr>
                <w:rFonts w:hint="eastAsia"/>
                <w:b/>
                <w:highlight w:val="none"/>
              </w:rPr>
              <w:t>资格性审查项目</w:t>
            </w:r>
          </w:p>
        </w:tc>
        <w:tc>
          <w:tcPr>
            <w:tcW w:w="1622" w:type="pct"/>
            <w:gridSpan w:val="3"/>
            <w:vAlign w:val="center"/>
          </w:tcPr>
          <w:p>
            <w:pPr>
              <w:tabs>
                <w:tab w:val="clear" w:pos="426"/>
              </w:tabs>
              <w:spacing w:line="240" w:lineRule="auto"/>
              <w:jc w:val="center"/>
              <w:rPr>
                <w:b/>
                <w:highlight w:val="none"/>
              </w:rPr>
            </w:pPr>
            <w:r>
              <w:rPr>
                <w:rFonts w:hint="eastAsia"/>
                <w:b/>
                <w:highlight w:val="none"/>
              </w:rPr>
              <w:t>证明文件</w:t>
            </w:r>
          </w:p>
        </w:tc>
        <w:tc>
          <w:tcPr>
            <w:tcW w:w="730" w:type="pct"/>
            <w:vAlign w:val="center"/>
          </w:tcPr>
          <w:p>
            <w:pPr>
              <w:tabs>
                <w:tab w:val="clear" w:pos="426"/>
              </w:tabs>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restart"/>
            <w:vAlign w:val="center"/>
          </w:tcPr>
          <w:p>
            <w:pPr>
              <w:tabs>
                <w:tab w:val="clear" w:pos="426"/>
              </w:tabs>
              <w:spacing w:line="240" w:lineRule="auto"/>
              <w:jc w:val="center"/>
              <w:rPr>
                <w:b/>
                <w:highlight w:val="none"/>
              </w:rPr>
            </w:pPr>
            <w:r>
              <w:rPr>
                <w:rFonts w:hint="eastAsia"/>
                <w:b/>
                <w:highlight w:val="none"/>
              </w:rPr>
              <w:t>1</w:t>
            </w:r>
          </w:p>
        </w:tc>
        <w:tc>
          <w:tcPr>
            <w:tcW w:w="2196" w:type="pct"/>
            <w:gridSpan w:val="2"/>
            <w:vMerge w:val="restart"/>
            <w:vAlign w:val="center"/>
          </w:tcPr>
          <w:p>
            <w:pPr>
              <w:tabs>
                <w:tab w:val="clear" w:pos="426"/>
              </w:tabs>
              <w:spacing w:line="240" w:lineRule="auto"/>
              <w:jc w:val="center"/>
              <w:rPr>
                <w:b/>
                <w:highlight w:val="none"/>
              </w:rPr>
            </w:pPr>
            <w:r>
              <w:rPr>
                <w:rFonts w:hint="eastAsia"/>
                <w:color w:val="000000"/>
                <w:highlight w:val="none"/>
              </w:rPr>
              <w:t>投标人资质要求</w:t>
            </w:r>
          </w:p>
        </w:tc>
        <w:tc>
          <w:tcPr>
            <w:tcW w:w="1622" w:type="pct"/>
            <w:gridSpan w:val="3"/>
            <w:vAlign w:val="center"/>
          </w:tcPr>
          <w:p>
            <w:pPr>
              <w:tabs>
                <w:tab w:val="clear" w:pos="426"/>
              </w:tabs>
              <w:spacing w:line="240" w:lineRule="auto"/>
              <w:jc w:val="center"/>
              <w:rPr>
                <w:highlight w:val="none"/>
              </w:rPr>
            </w:pPr>
          </w:p>
        </w:tc>
        <w:tc>
          <w:tcPr>
            <w:tcW w:w="730" w:type="pct"/>
            <w:shd w:val="clear" w:color="auto" w:fill="auto"/>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tabs>
                <w:tab w:val="clear" w:pos="426"/>
              </w:tabs>
              <w:spacing w:line="240" w:lineRule="auto"/>
              <w:jc w:val="center"/>
              <w:rPr>
                <w:b/>
                <w:highlight w:val="none"/>
              </w:rPr>
            </w:pPr>
          </w:p>
        </w:tc>
        <w:tc>
          <w:tcPr>
            <w:tcW w:w="2196" w:type="pct"/>
            <w:gridSpan w:val="2"/>
            <w:vMerge w:val="continue"/>
            <w:vAlign w:val="center"/>
          </w:tcPr>
          <w:p>
            <w:pPr>
              <w:tabs>
                <w:tab w:val="clear" w:pos="426"/>
              </w:tabs>
              <w:spacing w:line="240" w:lineRule="auto"/>
              <w:jc w:val="center"/>
              <w:rPr>
                <w:color w:val="000000"/>
                <w:highlight w:val="none"/>
              </w:rPr>
            </w:pPr>
          </w:p>
        </w:tc>
        <w:tc>
          <w:tcPr>
            <w:tcW w:w="1622" w:type="pct"/>
            <w:gridSpan w:val="3"/>
            <w:vAlign w:val="center"/>
          </w:tcPr>
          <w:p>
            <w:pPr>
              <w:tabs>
                <w:tab w:val="clear" w:pos="426"/>
              </w:tabs>
              <w:spacing w:line="240" w:lineRule="auto"/>
              <w:jc w:val="center"/>
              <w:rPr>
                <w:highlight w:val="none"/>
              </w:rPr>
            </w:pPr>
          </w:p>
        </w:tc>
        <w:tc>
          <w:tcPr>
            <w:tcW w:w="730" w:type="pct"/>
            <w:shd w:val="clear" w:color="auto" w:fill="auto"/>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tabs>
                <w:tab w:val="clear" w:pos="426"/>
              </w:tabs>
              <w:spacing w:line="240" w:lineRule="auto"/>
              <w:jc w:val="center"/>
              <w:rPr>
                <w:b/>
                <w:highlight w:val="none"/>
              </w:rPr>
            </w:pPr>
          </w:p>
        </w:tc>
        <w:tc>
          <w:tcPr>
            <w:tcW w:w="2196" w:type="pct"/>
            <w:gridSpan w:val="2"/>
            <w:vMerge w:val="continue"/>
            <w:vAlign w:val="center"/>
          </w:tcPr>
          <w:p>
            <w:pPr>
              <w:tabs>
                <w:tab w:val="clear" w:pos="426"/>
              </w:tabs>
              <w:spacing w:line="240" w:lineRule="auto"/>
              <w:jc w:val="center"/>
              <w:rPr>
                <w:color w:val="000000"/>
                <w:highlight w:val="none"/>
              </w:rPr>
            </w:pPr>
          </w:p>
        </w:tc>
        <w:tc>
          <w:tcPr>
            <w:tcW w:w="1622" w:type="pct"/>
            <w:gridSpan w:val="3"/>
            <w:vAlign w:val="center"/>
          </w:tcPr>
          <w:p>
            <w:pPr>
              <w:tabs>
                <w:tab w:val="clear" w:pos="426"/>
              </w:tabs>
              <w:spacing w:line="240" w:lineRule="auto"/>
              <w:jc w:val="center"/>
              <w:rPr>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tabs>
                <w:tab w:val="clear" w:pos="426"/>
              </w:tabs>
              <w:spacing w:line="240" w:lineRule="auto"/>
              <w:jc w:val="center"/>
              <w:rPr>
                <w:b/>
                <w:highlight w:val="none"/>
              </w:rPr>
            </w:pPr>
          </w:p>
        </w:tc>
        <w:tc>
          <w:tcPr>
            <w:tcW w:w="2196" w:type="pct"/>
            <w:gridSpan w:val="2"/>
            <w:vMerge w:val="continue"/>
            <w:vAlign w:val="center"/>
          </w:tcPr>
          <w:p>
            <w:pPr>
              <w:tabs>
                <w:tab w:val="clear" w:pos="426"/>
              </w:tabs>
              <w:spacing w:line="240" w:lineRule="auto"/>
              <w:jc w:val="center"/>
              <w:rPr>
                <w:color w:val="000000"/>
                <w:highlight w:val="none"/>
              </w:rPr>
            </w:pPr>
          </w:p>
        </w:tc>
        <w:tc>
          <w:tcPr>
            <w:tcW w:w="1622" w:type="pct"/>
            <w:gridSpan w:val="3"/>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tabs>
                <w:tab w:val="clear" w:pos="426"/>
              </w:tabs>
              <w:spacing w:line="240" w:lineRule="auto"/>
              <w:jc w:val="center"/>
              <w:rPr>
                <w:b/>
                <w:highlight w:val="none"/>
              </w:rPr>
            </w:pPr>
          </w:p>
        </w:tc>
        <w:tc>
          <w:tcPr>
            <w:tcW w:w="2196" w:type="pct"/>
            <w:gridSpan w:val="2"/>
            <w:vMerge w:val="continue"/>
            <w:vAlign w:val="center"/>
          </w:tcPr>
          <w:p>
            <w:pPr>
              <w:tabs>
                <w:tab w:val="clear" w:pos="426"/>
              </w:tabs>
              <w:spacing w:line="240" w:lineRule="auto"/>
              <w:jc w:val="center"/>
              <w:rPr>
                <w:color w:val="000000"/>
                <w:highlight w:val="none"/>
              </w:rPr>
            </w:pPr>
          </w:p>
        </w:tc>
        <w:tc>
          <w:tcPr>
            <w:tcW w:w="1622" w:type="pct"/>
            <w:gridSpan w:val="3"/>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tabs>
                <w:tab w:val="clear" w:pos="426"/>
              </w:tabs>
              <w:spacing w:line="240" w:lineRule="auto"/>
              <w:jc w:val="center"/>
              <w:rPr>
                <w:b/>
                <w:highlight w:val="none"/>
              </w:rPr>
            </w:pPr>
          </w:p>
        </w:tc>
        <w:tc>
          <w:tcPr>
            <w:tcW w:w="2196" w:type="pct"/>
            <w:gridSpan w:val="2"/>
            <w:vMerge w:val="continue"/>
            <w:vAlign w:val="center"/>
          </w:tcPr>
          <w:p>
            <w:pPr>
              <w:tabs>
                <w:tab w:val="clear" w:pos="426"/>
              </w:tabs>
              <w:spacing w:line="240" w:lineRule="auto"/>
              <w:jc w:val="center"/>
              <w:rPr>
                <w:color w:val="000000"/>
                <w:highlight w:val="none"/>
              </w:rPr>
            </w:pPr>
          </w:p>
        </w:tc>
        <w:tc>
          <w:tcPr>
            <w:tcW w:w="1622" w:type="pct"/>
            <w:gridSpan w:val="3"/>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tabs>
                <w:tab w:val="clear" w:pos="426"/>
              </w:tabs>
              <w:spacing w:line="240" w:lineRule="auto"/>
              <w:jc w:val="center"/>
              <w:rPr>
                <w:b/>
                <w:highlight w:val="none"/>
              </w:rPr>
            </w:pPr>
            <w:r>
              <w:rPr>
                <w:rFonts w:hint="eastAsia"/>
                <w:b/>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tabs>
                <w:tab w:val="clear" w:pos="426"/>
              </w:tabs>
              <w:spacing w:line="240" w:lineRule="auto"/>
              <w:jc w:val="center"/>
              <w:rPr>
                <w:b/>
                <w:highlight w:val="none"/>
              </w:rPr>
            </w:pPr>
            <w:r>
              <w:rPr>
                <w:rFonts w:hint="eastAsia"/>
                <w:b/>
                <w:highlight w:val="none"/>
              </w:rPr>
              <w:t>序号</w:t>
            </w:r>
          </w:p>
        </w:tc>
        <w:tc>
          <w:tcPr>
            <w:tcW w:w="3781" w:type="pct"/>
            <w:gridSpan w:val="4"/>
            <w:vAlign w:val="center"/>
          </w:tcPr>
          <w:p>
            <w:pPr>
              <w:tabs>
                <w:tab w:val="clear" w:pos="426"/>
              </w:tabs>
              <w:spacing w:line="240" w:lineRule="auto"/>
              <w:jc w:val="center"/>
              <w:rPr>
                <w:b/>
                <w:highlight w:val="none"/>
              </w:rPr>
            </w:pPr>
            <w:r>
              <w:rPr>
                <w:rFonts w:hint="eastAsia"/>
                <w:b/>
                <w:highlight w:val="none"/>
              </w:rPr>
              <w:t>符合性审查项目</w:t>
            </w:r>
          </w:p>
        </w:tc>
        <w:tc>
          <w:tcPr>
            <w:tcW w:w="768" w:type="pct"/>
            <w:gridSpan w:val="2"/>
            <w:vAlign w:val="center"/>
          </w:tcPr>
          <w:p>
            <w:pPr>
              <w:tabs>
                <w:tab w:val="clear" w:pos="426"/>
              </w:tabs>
              <w:spacing w:line="240" w:lineRule="auto"/>
              <w:jc w:val="center"/>
              <w:rPr>
                <w:b/>
                <w:highlight w:val="none"/>
              </w:rPr>
            </w:pPr>
            <w:r>
              <w:rPr>
                <w:rFonts w:hint="eastAsia"/>
                <w:b/>
                <w:highlight w:val="none"/>
              </w:rPr>
              <w:t>说明（符合</w:t>
            </w:r>
            <w:r>
              <w:rPr>
                <w:b/>
                <w:highlight w:val="none"/>
              </w:rPr>
              <w:t>/不符合</w:t>
            </w: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1</w:t>
            </w:r>
          </w:p>
        </w:tc>
        <w:tc>
          <w:tcPr>
            <w:tcW w:w="3781" w:type="pct"/>
            <w:gridSpan w:val="4"/>
            <w:vAlign w:val="center"/>
          </w:tcPr>
          <w:p>
            <w:pPr>
              <w:pStyle w:val="307"/>
              <w:rPr>
                <w:highlight w:val="none"/>
              </w:rPr>
            </w:pPr>
            <w:r>
              <w:rPr>
                <w:rFonts w:hint="eastAsia"/>
                <w:highlight w:val="none"/>
              </w:rPr>
              <w:t>未出现将一个包或一个标段的内容拆开投标；</w:t>
            </w:r>
          </w:p>
        </w:tc>
        <w:tc>
          <w:tcPr>
            <w:tcW w:w="768" w:type="pct"/>
            <w:gridSpan w:val="2"/>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2</w:t>
            </w:r>
          </w:p>
        </w:tc>
        <w:tc>
          <w:tcPr>
            <w:tcW w:w="3781" w:type="pct"/>
            <w:gridSpan w:val="4"/>
            <w:vAlign w:val="center"/>
          </w:tcPr>
          <w:p>
            <w:pPr>
              <w:pStyle w:val="307"/>
              <w:rPr>
                <w:highlight w:val="none"/>
              </w:rPr>
            </w:pPr>
            <w:r>
              <w:rPr>
                <w:rFonts w:hint="eastAsia"/>
                <w:highlight w:val="none"/>
              </w:rPr>
              <w:t>投标文件及开标一览表按规定密封、签字、盖章</w:t>
            </w:r>
          </w:p>
        </w:tc>
        <w:tc>
          <w:tcPr>
            <w:tcW w:w="768" w:type="pct"/>
            <w:gridSpan w:val="2"/>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3</w:t>
            </w:r>
          </w:p>
        </w:tc>
        <w:tc>
          <w:tcPr>
            <w:tcW w:w="3781" w:type="pct"/>
            <w:gridSpan w:val="4"/>
            <w:vAlign w:val="center"/>
          </w:tcPr>
          <w:p>
            <w:pPr>
              <w:pStyle w:val="307"/>
              <w:rPr>
                <w:highlight w:val="none"/>
              </w:rPr>
            </w:pPr>
            <w:r>
              <w:rPr>
                <w:rFonts w:hint="eastAsia"/>
                <w:highlight w:val="none"/>
              </w:rPr>
              <w:t>除招标文件规定允许有替代方案外，对同一项目投标时，未提供两套或两套以上的投标方案；</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4</w:t>
            </w:r>
          </w:p>
        </w:tc>
        <w:tc>
          <w:tcPr>
            <w:tcW w:w="3781" w:type="pct"/>
            <w:gridSpan w:val="4"/>
            <w:vAlign w:val="center"/>
          </w:tcPr>
          <w:p>
            <w:pPr>
              <w:pStyle w:val="307"/>
              <w:rPr>
                <w:highlight w:val="none"/>
              </w:rPr>
            </w:pPr>
            <w:r>
              <w:rPr>
                <w:rFonts w:hint="eastAsia"/>
                <w:highlight w:val="none"/>
              </w:rPr>
              <w:t>按招标文件所提供的样式填写</w:t>
            </w:r>
            <w:r>
              <w:rPr>
                <w:highlight w:val="none"/>
              </w:rPr>
              <w:t>《</w:t>
            </w:r>
            <w:r>
              <w:rPr>
                <w:rFonts w:hint="eastAsia"/>
                <w:highlight w:val="none"/>
              </w:rPr>
              <w:t>投标函》；按招标文件所提供的《政府采购投标及履约承诺函》进行承诺；</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5</w:t>
            </w:r>
          </w:p>
        </w:tc>
        <w:tc>
          <w:tcPr>
            <w:tcW w:w="3781" w:type="pct"/>
            <w:gridSpan w:val="4"/>
            <w:vAlign w:val="center"/>
          </w:tcPr>
          <w:p>
            <w:pPr>
              <w:pStyle w:val="307"/>
              <w:rPr>
                <w:highlight w:val="none"/>
              </w:rPr>
            </w:pPr>
            <w:r>
              <w:rPr>
                <w:rFonts w:hint="eastAsia"/>
                <w:highlight w:val="none"/>
              </w:rPr>
              <w:t>按照招标文件规定要求签署、盖章；投标文件有法定代表人签字、投标文件签字人有法定代表人有效授权书的；</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6</w:t>
            </w:r>
          </w:p>
        </w:tc>
        <w:tc>
          <w:tcPr>
            <w:tcW w:w="3781" w:type="pct"/>
            <w:gridSpan w:val="4"/>
            <w:vAlign w:val="center"/>
          </w:tcPr>
          <w:p>
            <w:pPr>
              <w:pStyle w:val="307"/>
              <w:rPr>
                <w:highlight w:val="none"/>
              </w:rPr>
            </w:pPr>
            <w:r>
              <w:rPr>
                <w:rFonts w:hint="eastAsia"/>
                <w:highlight w:val="none"/>
              </w:rPr>
              <w:t>投标总价或分项报价不高于预算金额</w:t>
            </w:r>
            <w:r>
              <w:rPr>
                <w:highlight w:val="none"/>
              </w:rPr>
              <w:t>（最高投标限价）</w:t>
            </w:r>
            <w:r>
              <w:rPr>
                <w:rFonts w:hint="eastAsia"/>
                <w:highlight w:val="none"/>
              </w:rPr>
              <w:t>；</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7</w:t>
            </w:r>
          </w:p>
        </w:tc>
        <w:tc>
          <w:tcPr>
            <w:tcW w:w="3781" w:type="pct"/>
            <w:gridSpan w:val="4"/>
            <w:vAlign w:val="center"/>
          </w:tcPr>
          <w:p>
            <w:pPr>
              <w:pStyle w:val="307"/>
              <w:rPr>
                <w:highlight w:val="none"/>
              </w:rPr>
            </w:pPr>
            <w:r>
              <w:rPr>
                <w:rFonts w:hint="eastAsia"/>
                <w:highlight w:val="none"/>
              </w:rPr>
              <w:t>不存在以下情形：</w:t>
            </w:r>
            <w:r>
              <w:rPr>
                <w:highlight w:val="none"/>
              </w:rPr>
              <w:t>同一项目出现两个及以上报价，且按规定无法确定哪个是有效报价；</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8</w:t>
            </w:r>
          </w:p>
        </w:tc>
        <w:tc>
          <w:tcPr>
            <w:tcW w:w="3781" w:type="pct"/>
            <w:gridSpan w:val="4"/>
            <w:vAlign w:val="center"/>
          </w:tcPr>
          <w:p>
            <w:pPr>
              <w:pStyle w:val="307"/>
              <w:rPr>
                <w:highlight w:val="none"/>
              </w:rPr>
            </w:pPr>
            <w:r>
              <w:rPr>
                <w:rFonts w:hint="eastAsia"/>
                <w:highlight w:val="none"/>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9</w:t>
            </w:r>
          </w:p>
        </w:tc>
        <w:tc>
          <w:tcPr>
            <w:tcW w:w="3781" w:type="pct"/>
            <w:gridSpan w:val="4"/>
            <w:vAlign w:val="center"/>
          </w:tcPr>
          <w:p>
            <w:pPr>
              <w:pStyle w:val="307"/>
              <w:rPr>
                <w:highlight w:val="none"/>
              </w:rPr>
            </w:pPr>
            <w:r>
              <w:rPr>
                <w:rFonts w:hint="eastAsia"/>
                <w:highlight w:val="none"/>
              </w:rPr>
              <w:t>所投产品、工程、服务在商务、技术等方面实质性满足招标文件要求的（是否实质性满足招标文件要求，由评标委员会根据《实质性条款响应情况表》做出评判）；</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10</w:t>
            </w:r>
          </w:p>
        </w:tc>
        <w:tc>
          <w:tcPr>
            <w:tcW w:w="3781" w:type="pct"/>
            <w:gridSpan w:val="4"/>
            <w:vAlign w:val="center"/>
          </w:tcPr>
          <w:p>
            <w:pPr>
              <w:pStyle w:val="307"/>
              <w:rPr>
                <w:highlight w:val="none"/>
              </w:rPr>
            </w:pPr>
            <w:r>
              <w:rPr>
                <w:rFonts w:hint="eastAsia"/>
                <w:highlight w:val="none"/>
              </w:rPr>
              <w:t>投标报价没有严重缺漏项目；投标报价没有对招标文件规定的服务清单项目及数量进行修改；</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11</w:t>
            </w:r>
          </w:p>
        </w:tc>
        <w:tc>
          <w:tcPr>
            <w:tcW w:w="3781" w:type="pct"/>
            <w:gridSpan w:val="4"/>
            <w:vAlign w:val="center"/>
          </w:tcPr>
          <w:p>
            <w:pPr>
              <w:pStyle w:val="307"/>
              <w:rPr>
                <w:highlight w:val="none"/>
              </w:rPr>
            </w:pPr>
            <w:r>
              <w:rPr>
                <w:rFonts w:hint="eastAsia"/>
                <w:highlight w:val="none"/>
              </w:rPr>
              <w:t>投标文件不存在招标文件中规定的其它投标无效条款的；</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highlight w:val="none"/>
              </w:rPr>
            </w:pPr>
            <w:r>
              <w:rPr>
                <w:rFonts w:hint="eastAsia"/>
                <w:highlight w:val="none"/>
              </w:rPr>
              <w:t>12</w:t>
            </w:r>
          </w:p>
        </w:tc>
        <w:tc>
          <w:tcPr>
            <w:tcW w:w="3781" w:type="pct"/>
            <w:gridSpan w:val="4"/>
            <w:vAlign w:val="center"/>
          </w:tcPr>
          <w:p>
            <w:pPr>
              <w:pStyle w:val="307"/>
              <w:rPr>
                <w:highlight w:val="none"/>
              </w:rPr>
            </w:pPr>
            <w:r>
              <w:rPr>
                <w:rFonts w:hint="eastAsia"/>
                <w:highlight w:val="none"/>
              </w:rPr>
              <w:t>不属于法律、法规规定的投标无效的其他情形。</w:t>
            </w:r>
          </w:p>
        </w:tc>
        <w:tc>
          <w:tcPr>
            <w:tcW w:w="768" w:type="pct"/>
            <w:gridSpan w:val="2"/>
            <w:vAlign w:val="center"/>
          </w:tcPr>
          <w:p>
            <w:pPr>
              <w:tabs>
                <w:tab w:val="clear" w:pos="426"/>
              </w:tabs>
              <w:spacing w:line="240" w:lineRule="auto"/>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tabs>
                <w:tab w:val="clear" w:pos="426"/>
              </w:tabs>
              <w:spacing w:line="240" w:lineRule="auto"/>
              <w:jc w:val="center"/>
              <w:rPr>
                <w:b/>
                <w:highlight w:val="none"/>
              </w:rPr>
            </w:pPr>
            <w:r>
              <w:rPr>
                <w:rFonts w:hint="eastAsia"/>
                <w:b/>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Align w:val="center"/>
          </w:tcPr>
          <w:p>
            <w:pPr>
              <w:tabs>
                <w:tab w:val="clear" w:pos="426"/>
              </w:tabs>
              <w:spacing w:line="240" w:lineRule="auto"/>
              <w:jc w:val="center"/>
              <w:rPr>
                <w:b/>
                <w:highlight w:val="none"/>
              </w:rPr>
            </w:pPr>
            <w:r>
              <w:rPr>
                <w:rFonts w:hint="eastAsia"/>
                <w:b/>
                <w:highlight w:val="none"/>
              </w:rPr>
              <w:t>评分类别</w:t>
            </w:r>
          </w:p>
        </w:tc>
        <w:tc>
          <w:tcPr>
            <w:tcW w:w="2873" w:type="pct"/>
            <w:gridSpan w:val="2"/>
            <w:vAlign w:val="center"/>
          </w:tcPr>
          <w:p>
            <w:pPr>
              <w:tabs>
                <w:tab w:val="clear" w:pos="426"/>
              </w:tabs>
              <w:spacing w:line="240" w:lineRule="auto"/>
              <w:jc w:val="center"/>
              <w:rPr>
                <w:b/>
                <w:highlight w:val="none"/>
              </w:rPr>
            </w:pPr>
            <w:r>
              <w:rPr>
                <w:rFonts w:hint="eastAsia"/>
                <w:b/>
                <w:highlight w:val="none"/>
              </w:rPr>
              <w:t>评分项目</w:t>
            </w:r>
          </w:p>
        </w:tc>
        <w:tc>
          <w:tcPr>
            <w:tcW w:w="764" w:type="pct"/>
            <w:gridSpan w:val="2"/>
            <w:vAlign w:val="center"/>
          </w:tcPr>
          <w:p>
            <w:pPr>
              <w:tabs>
                <w:tab w:val="clear" w:pos="426"/>
              </w:tabs>
              <w:spacing w:line="240" w:lineRule="auto"/>
              <w:jc w:val="center"/>
              <w:rPr>
                <w:b/>
                <w:highlight w:val="none"/>
              </w:rPr>
            </w:pPr>
            <w:r>
              <w:rPr>
                <w:rFonts w:hint="eastAsia"/>
                <w:b/>
                <w:highlight w:val="none"/>
              </w:rPr>
              <w:t>对应章节</w:t>
            </w:r>
          </w:p>
        </w:tc>
        <w:tc>
          <w:tcPr>
            <w:tcW w:w="730" w:type="pct"/>
            <w:vAlign w:val="center"/>
          </w:tcPr>
          <w:p>
            <w:pPr>
              <w:tabs>
                <w:tab w:val="clear" w:pos="426"/>
              </w:tabs>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Align w:val="center"/>
          </w:tcPr>
          <w:p>
            <w:pPr>
              <w:tabs>
                <w:tab w:val="clear" w:pos="426"/>
              </w:tabs>
              <w:spacing w:line="240" w:lineRule="auto"/>
              <w:jc w:val="center"/>
              <w:rPr>
                <w:b/>
                <w:highlight w:val="none"/>
              </w:rPr>
            </w:pPr>
            <w:r>
              <w:rPr>
                <w:rFonts w:hint="eastAsia"/>
                <w:b/>
                <w:highlight w:val="none"/>
              </w:rPr>
              <w:t>价格部分</w:t>
            </w:r>
          </w:p>
        </w:tc>
        <w:tc>
          <w:tcPr>
            <w:tcW w:w="2873" w:type="pct"/>
            <w:gridSpan w:val="2"/>
            <w:vAlign w:val="center"/>
          </w:tcPr>
          <w:p>
            <w:pPr>
              <w:tabs>
                <w:tab w:val="clear" w:pos="426"/>
              </w:tabs>
              <w:spacing w:line="240" w:lineRule="auto"/>
              <w:jc w:val="center"/>
              <w:rPr>
                <w:b/>
                <w:highlight w:val="none"/>
              </w:rPr>
            </w:pPr>
          </w:p>
        </w:tc>
        <w:tc>
          <w:tcPr>
            <w:tcW w:w="764" w:type="pct"/>
            <w:gridSpan w:val="2"/>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restart"/>
            <w:vAlign w:val="center"/>
          </w:tcPr>
          <w:p>
            <w:pPr>
              <w:tabs>
                <w:tab w:val="clear" w:pos="426"/>
              </w:tabs>
              <w:spacing w:line="240" w:lineRule="auto"/>
              <w:jc w:val="center"/>
              <w:rPr>
                <w:b/>
                <w:highlight w:val="none"/>
              </w:rPr>
            </w:pPr>
            <w:r>
              <w:rPr>
                <w:rFonts w:hint="eastAsia"/>
                <w:b/>
                <w:highlight w:val="none"/>
              </w:rPr>
              <w:t>技术部分</w:t>
            </w:r>
          </w:p>
        </w:tc>
        <w:tc>
          <w:tcPr>
            <w:tcW w:w="2873" w:type="pct"/>
            <w:gridSpan w:val="2"/>
            <w:shd w:val="clear" w:color="auto" w:fill="auto"/>
            <w:vAlign w:val="center"/>
          </w:tcPr>
          <w:p>
            <w:pPr>
              <w:tabs>
                <w:tab w:val="clear" w:pos="426"/>
              </w:tabs>
              <w:spacing w:line="240" w:lineRule="auto"/>
              <w:jc w:val="center"/>
              <w:rPr>
                <w:highlight w:val="none"/>
              </w:rPr>
            </w:pPr>
          </w:p>
        </w:tc>
        <w:tc>
          <w:tcPr>
            <w:tcW w:w="764" w:type="pct"/>
            <w:gridSpan w:val="2"/>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continue"/>
            <w:vAlign w:val="center"/>
          </w:tcPr>
          <w:p>
            <w:pPr>
              <w:tabs>
                <w:tab w:val="clear" w:pos="426"/>
              </w:tabs>
              <w:spacing w:line="240" w:lineRule="auto"/>
              <w:jc w:val="center"/>
              <w:rPr>
                <w:b/>
                <w:highlight w:val="none"/>
              </w:rPr>
            </w:pPr>
          </w:p>
        </w:tc>
        <w:tc>
          <w:tcPr>
            <w:tcW w:w="2873" w:type="pct"/>
            <w:gridSpan w:val="2"/>
            <w:shd w:val="clear" w:color="auto" w:fill="auto"/>
            <w:vAlign w:val="center"/>
          </w:tcPr>
          <w:p>
            <w:pPr>
              <w:tabs>
                <w:tab w:val="clear" w:pos="426"/>
              </w:tabs>
              <w:spacing w:line="240" w:lineRule="auto"/>
              <w:jc w:val="center"/>
              <w:rPr>
                <w:b/>
                <w:highlight w:val="none"/>
              </w:rPr>
            </w:pPr>
          </w:p>
        </w:tc>
        <w:tc>
          <w:tcPr>
            <w:tcW w:w="764" w:type="pct"/>
            <w:gridSpan w:val="2"/>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restart"/>
            <w:vAlign w:val="center"/>
          </w:tcPr>
          <w:p>
            <w:pPr>
              <w:tabs>
                <w:tab w:val="clear" w:pos="426"/>
              </w:tabs>
              <w:spacing w:line="240" w:lineRule="auto"/>
              <w:jc w:val="center"/>
              <w:rPr>
                <w:b/>
                <w:highlight w:val="none"/>
              </w:rPr>
            </w:pPr>
            <w:r>
              <w:rPr>
                <w:rFonts w:hint="eastAsia"/>
                <w:b/>
                <w:highlight w:val="none"/>
              </w:rPr>
              <w:t>综合实力部分</w:t>
            </w:r>
          </w:p>
        </w:tc>
        <w:tc>
          <w:tcPr>
            <w:tcW w:w="2873" w:type="pct"/>
            <w:gridSpan w:val="2"/>
            <w:shd w:val="clear" w:color="auto" w:fill="auto"/>
            <w:vAlign w:val="center"/>
          </w:tcPr>
          <w:p>
            <w:pPr>
              <w:tabs>
                <w:tab w:val="clear" w:pos="426"/>
              </w:tabs>
              <w:spacing w:line="240" w:lineRule="auto"/>
              <w:jc w:val="center"/>
              <w:rPr>
                <w:b/>
                <w:highlight w:val="none"/>
              </w:rPr>
            </w:pPr>
          </w:p>
        </w:tc>
        <w:tc>
          <w:tcPr>
            <w:tcW w:w="764" w:type="pct"/>
            <w:gridSpan w:val="2"/>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continue"/>
            <w:vAlign w:val="center"/>
          </w:tcPr>
          <w:p>
            <w:pPr>
              <w:tabs>
                <w:tab w:val="clear" w:pos="426"/>
              </w:tabs>
              <w:spacing w:line="240" w:lineRule="auto"/>
              <w:jc w:val="center"/>
              <w:rPr>
                <w:b/>
                <w:highlight w:val="none"/>
              </w:rPr>
            </w:pPr>
          </w:p>
        </w:tc>
        <w:tc>
          <w:tcPr>
            <w:tcW w:w="2873" w:type="pct"/>
            <w:gridSpan w:val="2"/>
            <w:shd w:val="clear" w:color="auto" w:fill="auto"/>
            <w:vAlign w:val="center"/>
          </w:tcPr>
          <w:p>
            <w:pPr>
              <w:tabs>
                <w:tab w:val="clear" w:pos="426"/>
              </w:tabs>
              <w:spacing w:line="240" w:lineRule="auto"/>
              <w:jc w:val="center"/>
              <w:rPr>
                <w:b/>
                <w:highlight w:val="none"/>
              </w:rPr>
            </w:pPr>
          </w:p>
        </w:tc>
        <w:tc>
          <w:tcPr>
            <w:tcW w:w="764" w:type="pct"/>
            <w:gridSpan w:val="2"/>
            <w:vAlign w:val="center"/>
          </w:tcPr>
          <w:p>
            <w:pPr>
              <w:tabs>
                <w:tab w:val="clear" w:pos="426"/>
              </w:tabs>
              <w:spacing w:line="240" w:lineRule="auto"/>
              <w:jc w:val="center"/>
              <w:rPr>
                <w:b/>
                <w:highlight w:val="none"/>
              </w:rPr>
            </w:pPr>
          </w:p>
        </w:tc>
        <w:tc>
          <w:tcPr>
            <w:tcW w:w="730" w:type="pct"/>
            <w:vAlign w:val="center"/>
          </w:tcPr>
          <w:p>
            <w:pPr>
              <w:tabs>
                <w:tab w:val="clear" w:pos="426"/>
              </w:tabs>
              <w:spacing w:line="240" w:lineRule="auto"/>
              <w:jc w:val="center"/>
              <w:rPr>
                <w:b/>
                <w:highlight w:val="none"/>
              </w:rPr>
            </w:pPr>
          </w:p>
        </w:tc>
      </w:tr>
    </w:tbl>
    <w:p>
      <w:pPr>
        <w:tabs>
          <w:tab w:val="clear" w:pos="426"/>
        </w:tabs>
        <w:rPr>
          <w:szCs w:val="21"/>
          <w:highlight w:val="none"/>
        </w:rPr>
      </w:pPr>
      <w:r>
        <w:rPr>
          <w:rFonts w:hint="eastAsia"/>
          <w:szCs w:val="21"/>
          <w:highlight w:val="none"/>
        </w:rPr>
        <w:t>备注：对于“</w:t>
      </w:r>
      <w:r>
        <w:rPr>
          <w:rFonts w:hint="eastAsia"/>
          <w:b/>
          <w:highlight w:val="none"/>
        </w:rPr>
        <w:t>综合评分指引”</w:t>
      </w:r>
      <w:r>
        <w:rPr>
          <w:rFonts w:hint="eastAsia"/>
          <w:szCs w:val="21"/>
          <w:highlight w:val="none"/>
        </w:rPr>
        <w:t>请投标人按照</w:t>
      </w:r>
      <w:r>
        <w:rPr>
          <w:rFonts w:hint="eastAsia"/>
          <w:b/>
          <w:szCs w:val="21"/>
          <w:highlight w:val="none"/>
        </w:rPr>
        <w:t>评分细则表</w:t>
      </w:r>
      <w:r>
        <w:rPr>
          <w:rFonts w:hint="eastAsia"/>
          <w:szCs w:val="21"/>
          <w:highlight w:val="none"/>
        </w:rPr>
        <w:t>的评分要求，根据各评分项目以</w:t>
      </w:r>
      <w:r>
        <w:rPr>
          <w:rFonts w:hint="eastAsia"/>
          <w:b/>
          <w:szCs w:val="21"/>
          <w:highlight w:val="none"/>
        </w:rPr>
        <w:t>自上而下</w:t>
      </w:r>
      <w:r>
        <w:rPr>
          <w:rFonts w:hint="eastAsia"/>
          <w:szCs w:val="21"/>
          <w:highlight w:val="none"/>
        </w:rPr>
        <w:t>的顺序编制</w:t>
      </w:r>
      <w:r>
        <w:rPr>
          <w:rFonts w:hint="eastAsia"/>
          <w:highlight w:val="none"/>
        </w:rPr>
        <w:t>。因项目次序混乱而影响评标效率及评标结果者，投标人自负其责。</w:t>
      </w:r>
    </w:p>
    <w:p>
      <w:pPr>
        <w:shd w:val="clear" w:color="auto" w:fill="auto"/>
        <w:tabs>
          <w:tab w:val="clear" w:pos="426"/>
        </w:tabs>
        <w:adjustRightInd/>
        <w:snapToGrid/>
        <w:spacing w:line="240" w:lineRule="auto"/>
        <w:jc w:val="left"/>
        <w:rPr>
          <w:highlight w:val="none"/>
        </w:rPr>
      </w:pPr>
      <w:r>
        <w:rPr>
          <w:highlight w:val="none"/>
        </w:rPr>
        <w:br w:type="page"/>
      </w:r>
    </w:p>
    <w:p>
      <w:pPr>
        <w:pStyle w:val="319"/>
        <w:numPr>
          <w:ilvl w:val="0"/>
          <w:numId w:val="34"/>
        </w:numPr>
        <w:rPr>
          <w:highlight w:val="none"/>
        </w:rPr>
      </w:pPr>
      <w:r>
        <w:rPr>
          <w:rFonts w:hint="eastAsia"/>
          <w:highlight w:val="none"/>
        </w:rPr>
        <w:t>投标函</w:t>
      </w:r>
    </w:p>
    <w:p>
      <w:pPr>
        <w:widowControl w:val="0"/>
        <w:shd w:val="clear" w:color="auto" w:fill="auto"/>
        <w:tabs>
          <w:tab w:val="clear" w:pos="426"/>
        </w:tabs>
        <w:spacing w:line="300" w:lineRule="auto"/>
        <w:jc w:val="center"/>
        <w:rPr>
          <w:rFonts w:cs="Times New Roman"/>
          <w:bCs/>
          <w:kern w:val="2"/>
          <w:sz w:val="32"/>
          <w:szCs w:val="32"/>
          <w:highlight w:val="none"/>
        </w:rPr>
      </w:pPr>
      <w:bookmarkStart w:id="46" w:name="_Toc201742865"/>
      <w:bookmarkStart w:id="47" w:name="_Toc201719122"/>
      <w:bookmarkStart w:id="48" w:name="_Toc201743120"/>
      <w:bookmarkStart w:id="49" w:name="_Toc201997950"/>
      <w:r>
        <w:rPr>
          <w:rFonts w:hint="eastAsia" w:cs="Times New Roman"/>
          <w:bCs/>
          <w:kern w:val="2"/>
          <w:sz w:val="32"/>
          <w:szCs w:val="32"/>
          <w:highlight w:val="none"/>
        </w:rPr>
        <w:t>投标函</w:t>
      </w:r>
      <w:bookmarkEnd w:id="46"/>
      <w:bookmarkEnd w:id="47"/>
      <w:bookmarkEnd w:id="48"/>
      <w:bookmarkEnd w:id="49"/>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致：深圳市深水水务咨询有限公司：</w:t>
      </w:r>
    </w:p>
    <w:p>
      <w:pPr>
        <w:pStyle w:val="305"/>
        <w:rPr>
          <w:highlight w:val="none"/>
        </w:rPr>
      </w:pPr>
      <w:r>
        <w:rPr>
          <w:rFonts w:hint="eastAsia"/>
          <w:highlight w:val="none"/>
        </w:rPr>
        <w:t>1.根据已收到贵方的采购项目编号为</w:t>
      </w:r>
      <w:r>
        <w:rPr>
          <w:rFonts w:hint="eastAsia"/>
          <w:highlight w:val="none"/>
          <w:u w:val="none"/>
        </w:rPr>
        <w:t>________的_______________</w:t>
      </w:r>
      <w:r>
        <w:rPr>
          <w:rFonts w:hint="eastAsia"/>
          <w:highlight w:val="none"/>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pStyle w:val="305"/>
        <w:rPr>
          <w:highlight w:val="none"/>
        </w:rPr>
      </w:pPr>
      <w:r>
        <w:rPr>
          <w:highlight w:val="none"/>
        </w:rPr>
        <w:t>2</w:t>
      </w:r>
      <w:r>
        <w:rPr>
          <w:rFonts w:hint="eastAsia"/>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pStyle w:val="305"/>
        <w:rPr>
          <w:highlight w:val="none"/>
        </w:rPr>
      </w:pPr>
      <w:r>
        <w:rPr>
          <w:rFonts w:hint="eastAsia"/>
          <w:highlight w:val="none"/>
        </w:rPr>
        <w:t>3.如果我方中标，我方将按照规定提交上述总价</w:t>
      </w:r>
      <w:r>
        <w:rPr>
          <w:highlight w:val="none"/>
          <w:u w:val="single"/>
        </w:rPr>
        <w:t>/</w:t>
      </w:r>
      <w:r>
        <w:rPr>
          <w:rFonts w:hint="eastAsia"/>
          <w:highlight w:val="none"/>
        </w:rPr>
        <w:t>％（或</w:t>
      </w:r>
      <w:r>
        <w:rPr>
          <w:highlight w:val="none"/>
          <w:u w:val="single"/>
        </w:rPr>
        <w:t>/</w:t>
      </w:r>
      <w:r>
        <w:rPr>
          <w:rFonts w:hint="eastAsia"/>
          <w:highlight w:val="none"/>
        </w:rPr>
        <w:t>万元）作为履约担保（提供保函）。</w:t>
      </w:r>
    </w:p>
    <w:p>
      <w:pPr>
        <w:pStyle w:val="305"/>
        <w:rPr>
          <w:highlight w:val="none"/>
        </w:rPr>
      </w:pPr>
      <w:r>
        <w:rPr>
          <w:rFonts w:hint="eastAsia"/>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pStyle w:val="305"/>
        <w:rPr>
          <w:highlight w:val="none"/>
        </w:rPr>
      </w:pPr>
      <w:r>
        <w:rPr>
          <w:rFonts w:hint="eastAsia"/>
          <w:highlight w:val="none"/>
        </w:rPr>
        <w:t>5.除非另外达成协议并生效，贵方的中标通知书和本投标文件将构成约束我们双方的合同。</w:t>
      </w:r>
    </w:p>
    <w:p>
      <w:pPr>
        <w:pStyle w:val="305"/>
        <w:rPr>
          <w:highlight w:val="none"/>
        </w:rPr>
      </w:pPr>
      <w:r>
        <w:rPr>
          <w:highlight w:val="none"/>
        </w:rPr>
        <w:t>6.</w:t>
      </w:r>
      <w:r>
        <w:rPr>
          <w:rFonts w:hint="eastAsia"/>
          <w:highlight w:val="none"/>
        </w:rPr>
        <w:t>我方理解贵方将不受必须接受你们所收到的最低标价或其它任何投标文件的约束。</w:t>
      </w:r>
    </w:p>
    <w:p>
      <w:pPr>
        <w:pStyle w:val="305"/>
        <w:rPr>
          <w:highlight w:val="none"/>
        </w:rPr>
      </w:pPr>
    </w:p>
    <w:p>
      <w:pPr>
        <w:pStyle w:val="305"/>
        <w:rPr>
          <w:highlight w:val="none"/>
        </w:rPr>
      </w:pPr>
    </w:p>
    <w:p>
      <w:pPr>
        <w:pStyle w:val="305"/>
        <w:rPr>
          <w:highlight w:val="none"/>
          <w:u w:val="none"/>
        </w:rPr>
      </w:pPr>
      <w:r>
        <w:rPr>
          <w:rFonts w:hint="eastAsia"/>
          <w:highlight w:val="none"/>
        </w:rPr>
        <w:t>单位名称：</w:t>
      </w:r>
      <w:r>
        <w:rPr>
          <w:rFonts w:hint="eastAsia"/>
          <w:highlight w:val="none"/>
          <w:u w:val="none"/>
        </w:rPr>
        <w:t>_____________________________________________________________</w:t>
      </w:r>
    </w:p>
    <w:p>
      <w:pPr>
        <w:pStyle w:val="305"/>
        <w:rPr>
          <w:highlight w:val="none"/>
          <w:u w:val="none"/>
        </w:rPr>
      </w:pPr>
      <w:r>
        <w:rPr>
          <w:rFonts w:hint="eastAsia"/>
          <w:highlight w:val="none"/>
          <w:u w:val="none"/>
        </w:rPr>
        <w:t>法定代表人或投标人授权代表（签名或盖章）：_____________________________</w:t>
      </w:r>
    </w:p>
    <w:p>
      <w:pPr>
        <w:pStyle w:val="305"/>
        <w:rPr>
          <w:highlight w:val="none"/>
          <w:u w:val="none"/>
        </w:rPr>
      </w:pPr>
      <w:r>
        <w:rPr>
          <w:rFonts w:hint="eastAsia"/>
          <w:highlight w:val="none"/>
          <w:u w:val="none"/>
        </w:rPr>
        <w:t>单位地址：_____________________________________________________________</w:t>
      </w:r>
    </w:p>
    <w:p>
      <w:pPr>
        <w:pStyle w:val="305"/>
        <w:rPr>
          <w:highlight w:val="none"/>
          <w:u w:val="none"/>
        </w:rPr>
      </w:pPr>
      <w:r>
        <w:rPr>
          <w:rFonts w:hint="eastAsia"/>
          <w:highlight w:val="none"/>
          <w:u w:val="none"/>
        </w:rPr>
        <w:t>单位公章：_____________________________________________________________</w:t>
      </w:r>
    </w:p>
    <w:p>
      <w:pPr>
        <w:pStyle w:val="305"/>
        <w:rPr>
          <w:highlight w:val="none"/>
          <w:u w:val="none"/>
        </w:rPr>
      </w:pPr>
      <w:r>
        <w:rPr>
          <w:rFonts w:hint="eastAsia"/>
          <w:highlight w:val="none"/>
          <w:u w:val="none"/>
        </w:rPr>
        <w:t>邮政编码：_____________________________日期：__________________________</w:t>
      </w:r>
    </w:p>
    <w:p>
      <w:pPr>
        <w:pStyle w:val="305"/>
        <w:rPr>
          <w:highlight w:val="none"/>
          <w:u w:val="none"/>
        </w:rPr>
      </w:pPr>
      <w:r>
        <w:rPr>
          <w:rFonts w:hint="eastAsia"/>
          <w:highlight w:val="none"/>
          <w:u w:val="none"/>
        </w:rPr>
        <w:t>联系电话：_____________________________________________________________</w:t>
      </w:r>
    </w:p>
    <w:p>
      <w:pPr>
        <w:pStyle w:val="305"/>
        <w:rPr>
          <w:highlight w:val="none"/>
          <w:u w:val="single"/>
        </w:rPr>
      </w:pPr>
    </w:p>
    <w:p>
      <w:pPr>
        <w:pStyle w:val="305"/>
        <w:rPr>
          <w:highlight w:val="none"/>
        </w:rPr>
      </w:pPr>
    </w:p>
    <w:p>
      <w:pPr>
        <w:shd w:val="clear" w:color="auto" w:fill="auto"/>
        <w:tabs>
          <w:tab w:val="clear" w:pos="426"/>
        </w:tabs>
        <w:adjustRightInd/>
        <w:snapToGrid/>
        <w:spacing w:line="240" w:lineRule="auto"/>
        <w:jc w:val="left"/>
        <w:rPr>
          <w:rFonts w:cs="Times New Roman"/>
          <w:kern w:val="2"/>
          <w:szCs w:val="21"/>
          <w:highlight w:val="none"/>
        </w:rPr>
      </w:pPr>
      <w:r>
        <w:rPr>
          <w:highlight w:val="none"/>
        </w:rPr>
        <w:br w:type="page"/>
      </w:r>
    </w:p>
    <w:p>
      <w:pPr>
        <w:pStyle w:val="319"/>
        <w:rPr>
          <w:highlight w:val="none"/>
        </w:rPr>
      </w:pPr>
      <w:r>
        <w:rPr>
          <w:rFonts w:hint="eastAsia"/>
          <w:highlight w:val="none"/>
        </w:rPr>
        <w:t>政府采购投标及履约承诺函</w:t>
      </w:r>
    </w:p>
    <w:p>
      <w:pPr>
        <w:widowControl w:val="0"/>
        <w:shd w:val="clear" w:color="auto" w:fill="auto"/>
        <w:tabs>
          <w:tab w:val="clear" w:pos="426"/>
        </w:tabs>
        <w:spacing w:line="300" w:lineRule="auto"/>
        <w:jc w:val="center"/>
        <w:rPr>
          <w:rFonts w:cs="Times New Roman"/>
          <w:bCs/>
          <w:kern w:val="2"/>
          <w:sz w:val="32"/>
          <w:szCs w:val="32"/>
          <w:highlight w:val="none"/>
        </w:rPr>
      </w:pPr>
      <w:r>
        <w:rPr>
          <w:rFonts w:hint="eastAsia" w:cs="Times New Roman"/>
          <w:bCs/>
          <w:kern w:val="2"/>
          <w:sz w:val="32"/>
          <w:szCs w:val="32"/>
          <w:highlight w:val="none"/>
        </w:rPr>
        <w:t>政府采购投标及履约承诺函</w:t>
      </w:r>
    </w:p>
    <w:p>
      <w:pPr>
        <w:tabs>
          <w:tab w:val="clear" w:pos="426"/>
        </w:tabs>
        <w:rPr>
          <w:highlight w:val="none"/>
        </w:rPr>
      </w:pPr>
    </w:p>
    <w:p>
      <w:pPr>
        <w:tabs>
          <w:tab w:val="clear" w:pos="426"/>
        </w:tabs>
        <w:spacing w:line="240" w:lineRule="auto"/>
        <w:rPr>
          <w:highlight w:val="none"/>
        </w:rPr>
      </w:pPr>
      <w:r>
        <w:rPr>
          <w:rFonts w:hint="eastAsia"/>
          <w:highlight w:val="none"/>
        </w:rPr>
        <w:t>致：深圳市深水水务咨询有限公司：</w:t>
      </w:r>
    </w:p>
    <w:p>
      <w:pPr>
        <w:tabs>
          <w:tab w:val="clear" w:pos="426"/>
        </w:tabs>
        <w:spacing w:line="240" w:lineRule="auto"/>
        <w:ind w:firstLine="424" w:firstLineChars="202"/>
        <w:rPr>
          <w:highlight w:val="none"/>
        </w:rPr>
      </w:pPr>
      <w:r>
        <w:rPr>
          <w:rFonts w:hint="eastAsia"/>
          <w:highlight w:val="none"/>
          <w:u w:val="none"/>
        </w:rPr>
        <w:t>关于贵公司______年____月____日发布</w:t>
      </w:r>
      <w:r>
        <w:rPr>
          <w:highlight w:val="none"/>
          <w:u w:val="none"/>
        </w:rPr>
        <w:t>__</w:t>
      </w:r>
      <w:r>
        <w:rPr>
          <w:rFonts w:hint="eastAsia"/>
          <w:szCs w:val="21"/>
          <w:highlight w:val="none"/>
          <w:u w:val="none"/>
        </w:rPr>
        <w:t>（项目名称)_</w:t>
      </w:r>
      <w:r>
        <w:rPr>
          <w:highlight w:val="none"/>
          <w:u w:val="none"/>
        </w:rPr>
        <w:t>_</w:t>
      </w:r>
      <w:r>
        <w:rPr>
          <w:rFonts w:hint="eastAsia"/>
          <w:highlight w:val="none"/>
          <w:u w:val="none"/>
        </w:rPr>
        <w:t>项目（采购项目编号：__（采购项目编号）__）的</w:t>
      </w:r>
      <w:r>
        <w:rPr>
          <w:rFonts w:hint="eastAsia"/>
          <w:highlight w:val="none"/>
        </w:rPr>
        <w:t>采购公告，本公司（企业）愿意参加投标，并声明：</w:t>
      </w:r>
    </w:p>
    <w:p>
      <w:pPr>
        <w:tabs>
          <w:tab w:val="clear" w:pos="426"/>
        </w:tabs>
        <w:spacing w:line="240" w:lineRule="auto"/>
        <w:ind w:firstLine="424" w:firstLineChars="202"/>
        <w:rPr>
          <w:highlight w:val="none"/>
        </w:rPr>
      </w:pPr>
      <w:r>
        <w:rPr>
          <w:highlight w:val="none"/>
        </w:rPr>
        <w:t>1.我公司本招标项目所提供的货物或服务未侵犯知识产权。</w:t>
      </w:r>
    </w:p>
    <w:p>
      <w:pPr>
        <w:tabs>
          <w:tab w:val="clear" w:pos="426"/>
        </w:tabs>
        <w:spacing w:line="240" w:lineRule="auto"/>
        <w:ind w:firstLine="426" w:firstLineChars="202"/>
        <w:rPr>
          <w:b/>
          <w:highlight w:val="none"/>
        </w:rPr>
      </w:pPr>
      <w:r>
        <w:rPr>
          <w:b/>
          <w:highlight w:val="none"/>
        </w:rPr>
        <w:t>2.我公司参与本项目投标前三年内，在经营活动中没有重大违法记录。</w:t>
      </w:r>
    </w:p>
    <w:p>
      <w:pPr>
        <w:tabs>
          <w:tab w:val="clear" w:pos="426"/>
        </w:tabs>
        <w:spacing w:line="240" w:lineRule="auto"/>
        <w:ind w:firstLine="426" w:firstLineChars="202"/>
        <w:rPr>
          <w:b/>
          <w:highlight w:val="none"/>
        </w:rPr>
      </w:pPr>
      <w:r>
        <w:rPr>
          <w:b/>
          <w:highlight w:val="none"/>
        </w:rPr>
        <w:t>3.我公司参与本项目政府采购活动时不存在被有关部门禁止参与政府采购活动且在有效期内的情况。</w:t>
      </w:r>
    </w:p>
    <w:p>
      <w:pPr>
        <w:tabs>
          <w:tab w:val="clear" w:pos="426"/>
        </w:tabs>
        <w:spacing w:line="240" w:lineRule="auto"/>
        <w:ind w:firstLine="426" w:firstLineChars="202"/>
        <w:rPr>
          <w:b/>
          <w:highlight w:val="none"/>
        </w:rPr>
      </w:pPr>
      <w:r>
        <w:rPr>
          <w:b/>
          <w:highlight w:val="none"/>
        </w:rPr>
        <w:t>4.我公司具备《中华人民共和国政府采购法》第二十二条规定的资质。</w:t>
      </w:r>
    </w:p>
    <w:p>
      <w:pPr>
        <w:tabs>
          <w:tab w:val="clear" w:pos="426"/>
        </w:tabs>
        <w:spacing w:line="240" w:lineRule="auto"/>
        <w:ind w:firstLine="426" w:firstLineChars="202"/>
        <w:rPr>
          <w:b/>
          <w:highlight w:val="none"/>
        </w:rPr>
      </w:pPr>
      <w:r>
        <w:rPr>
          <w:b/>
          <w:highlight w:val="none"/>
        </w:rPr>
        <w:t>5.我公司未被列入失信被执行人、重大税收违法案件当事人名单、政府采购严重违法失信行为记录名单</w:t>
      </w:r>
    </w:p>
    <w:p>
      <w:pPr>
        <w:tabs>
          <w:tab w:val="clear" w:pos="426"/>
        </w:tabs>
        <w:spacing w:line="240" w:lineRule="auto"/>
        <w:ind w:firstLine="424" w:firstLineChars="202"/>
        <w:rPr>
          <w:highlight w:val="none"/>
        </w:rPr>
      </w:pPr>
      <w:r>
        <w:rPr>
          <w:highlight w:val="none"/>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highlight w:val="none"/>
        </w:rPr>
      </w:pPr>
      <w:r>
        <w:rPr>
          <w:highlight w:val="none"/>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highlight w:val="none"/>
        </w:rPr>
      </w:pPr>
      <w:r>
        <w:rPr>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highlight w:val="none"/>
        </w:rPr>
        <w:t>作；若我公司未按上述要求履约，我公司愿意接受主管部门的处理处罚。</w:t>
      </w:r>
    </w:p>
    <w:p>
      <w:pPr>
        <w:tabs>
          <w:tab w:val="clear" w:pos="426"/>
        </w:tabs>
        <w:spacing w:line="240" w:lineRule="auto"/>
        <w:ind w:firstLine="424" w:firstLineChars="202"/>
        <w:rPr>
          <w:highlight w:val="none"/>
        </w:rPr>
      </w:pPr>
      <w:r>
        <w:rPr>
          <w:rFonts w:hint="eastAsia"/>
          <w:highlight w:val="none"/>
        </w:rPr>
        <w:t>9.我公司已认真阅读本项目需求，特别是完工期和服务期的要求，我司承诺完全满足本项目的完工期和服务期要求。</w:t>
      </w:r>
    </w:p>
    <w:p>
      <w:pPr>
        <w:tabs>
          <w:tab w:val="clear" w:pos="426"/>
        </w:tabs>
        <w:spacing w:line="240" w:lineRule="auto"/>
        <w:ind w:firstLine="424" w:firstLineChars="202"/>
        <w:rPr>
          <w:highlight w:val="none"/>
        </w:rPr>
      </w:pPr>
      <w:r>
        <w:rPr>
          <w:rFonts w:hint="eastAsia"/>
          <w:highlight w:val="none"/>
        </w:rPr>
        <w:t>10</w:t>
      </w:r>
      <w:r>
        <w:rPr>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highlight w:val="none"/>
        </w:rPr>
      </w:pPr>
      <w:r>
        <w:rPr>
          <w:highlight w:val="none"/>
        </w:rPr>
        <w:t>1</w:t>
      </w:r>
      <w:r>
        <w:rPr>
          <w:rFonts w:hint="eastAsia"/>
          <w:highlight w:val="none"/>
        </w:rPr>
        <w:t>1</w:t>
      </w:r>
      <w:r>
        <w:rPr>
          <w:highlight w:val="none"/>
        </w:rPr>
        <w:t>.我公司承诺不非法转包</w:t>
      </w:r>
      <w:r>
        <w:rPr>
          <w:rFonts w:hint="eastAsia"/>
          <w:highlight w:val="none"/>
        </w:rPr>
        <w:t>或</w:t>
      </w:r>
      <w:r>
        <w:rPr>
          <w:highlight w:val="none"/>
        </w:rPr>
        <w:t>分包。</w:t>
      </w:r>
    </w:p>
    <w:p>
      <w:pPr>
        <w:tabs>
          <w:tab w:val="clear" w:pos="426"/>
        </w:tabs>
        <w:spacing w:line="240" w:lineRule="auto"/>
        <w:ind w:firstLine="424" w:firstLineChars="202"/>
        <w:rPr>
          <w:highlight w:val="none"/>
        </w:rPr>
      </w:pPr>
      <w:r>
        <w:rPr>
          <w:rFonts w:hint="eastAsia"/>
          <w:highlight w:val="none"/>
        </w:rPr>
        <w:t>以上承诺，如有违反，愿依照国家相关法律处理，并承担由此给采购人带来的损失。</w:t>
      </w:r>
    </w:p>
    <w:p>
      <w:pPr>
        <w:tabs>
          <w:tab w:val="clear" w:pos="426"/>
        </w:tabs>
        <w:spacing w:line="240" w:lineRule="auto"/>
        <w:ind w:firstLine="420"/>
        <w:rPr>
          <w:highlight w:val="none"/>
        </w:rPr>
      </w:pPr>
      <w:r>
        <w:rPr>
          <w:rFonts w:hint="eastAsia"/>
          <w:highlight w:val="none"/>
        </w:rPr>
        <w:t>特此声明！</w:t>
      </w:r>
    </w:p>
    <w:p>
      <w:pPr>
        <w:tabs>
          <w:tab w:val="clear" w:pos="426"/>
        </w:tabs>
        <w:spacing w:line="240" w:lineRule="auto"/>
        <w:ind w:firstLine="420"/>
        <w:rPr>
          <w:highlight w:val="none"/>
        </w:rPr>
      </w:pPr>
    </w:p>
    <w:p>
      <w:pPr>
        <w:tabs>
          <w:tab w:val="clear" w:pos="426"/>
        </w:tabs>
        <w:ind w:firstLine="420"/>
        <w:rPr>
          <w:highlight w:val="none"/>
        </w:rPr>
      </w:pPr>
    </w:p>
    <w:p>
      <w:pPr>
        <w:tabs>
          <w:tab w:val="clear" w:pos="426"/>
        </w:tabs>
        <w:ind w:firstLine="420"/>
        <w:rPr>
          <w:highlight w:val="none"/>
          <w:u w:val="none"/>
        </w:rPr>
      </w:pPr>
      <w:r>
        <w:rPr>
          <w:rFonts w:hint="eastAsia"/>
          <w:highlight w:val="none"/>
        </w:rPr>
        <w:t>单位名称</w:t>
      </w:r>
      <w:r>
        <w:rPr>
          <w:rFonts w:hint="eastAsia"/>
          <w:highlight w:val="none"/>
          <w:u w:val="none"/>
        </w:rPr>
        <w:t>：_____________________________________________________________</w:t>
      </w:r>
    </w:p>
    <w:p>
      <w:pPr>
        <w:tabs>
          <w:tab w:val="clear" w:pos="426"/>
        </w:tabs>
        <w:ind w:firstLine="420"/>
        <w:rPr>
          <w:highlight w:val="none"/>
          <w:u w:val="none"/>
        </w:rPr>
      </w:pPr>
      <w:r>
        <w:rPr>
          <w:rFonts w:hint="eastAsia"/>
          <w:highlight w:val="none"/>
          <w:u w:val="none"/>
        </w:rPr>
        <w:t>法定代表人或投标人授权代表（签名或盖章）：_____________________________</w:t>
      </w:r>
    </w:p>
    <w:p>
      <w:pPr>
        <w:tabs>
          <w:tab w:val="clear" w:pos="426"/>
        </w:tabs>
        <w:ind w:firstLine="420"/>
        <w:rPr>
          <w:highlight w:val="none"/>
          <w:u w:val="none"/>
        </w:rPr>
      </w:pPr>
      <w:r>
        <w:rPr>
          <w:rFonts w:hint="eastAsia"/>
          <w:highlight w:val="none"/>
          <w:u w:val="none"/>
        </w:rPr>
        <w:t>单位地址：_____________________________________________________________</w:t>
      </w:r>
    </w:p>
    <w:p>
      <w:pPr>
        <w:tabs>
          <w:tab w:val="clear" w:pos="426"/>
        </w:tabs>
        <w:ind w:firstLine="420"/>
        <w:rPr>
          <w:highlight w:val="none"/>
          <w:u w:val="none"/>
        </w:rPr>
      </w:pPr>
      <w:r>
        <w:rPr>
          <w:rFonts w:hint="eastAsia"/>
          <w:highlight w:val="none"/>
          <w:u w:val="none"/>
        </w:rPr>
        <w:t>单位公章：_____________________________________________________________</w:t>
      </w:r>
    </w:p>
    <w:p>
      <w:pPr>
        <w:tabs>
          <w:tab w:val="clear" w:pos="426"/>
        </w:tabs>
        <w:ind w:firstLine="420"/>
        <w:rPr>
          <w:highlight w:val="none"/>
          <w:u w:val="none"/>
        </w:rPr>
      </w:pPr>
      <w:r>
        <w:rPr>
          <w:rFonts w:hint="eastAsia"/>
          <w:highlight w:val="none"/>
          <w:u w:val="none"/>
        </w:rPr>
        <w:t>邮政编码：_____________________________日期：__________________________</w:t>
      </w:r>
    </w:p>
    <w:p>
      <w:pPr>
        <w:tabs>
          <w:tab w:val="clear" w:pos="426"/>
        </w:tabs>
        <w:ind w:firstLine="420" w:firstLineChars="200"/>
        <w:rPr>
          <w:highlight w:val="none"/>
          <w:u w:val="none"/>
        </w:rPr>
      </w:pPr>
      <w:r>
        <w:rPr>
          <w:rFonts w:hint="eastAsia"/>
          <w:highlight w:val="none"/>
          <w:u w:val="none"/>
        </w:rPr>
        <w:t>联系电话：_____________________________________________________________</w:t>
      </w:r>
    </w:p>
    <w:p>
      <w:pPr>
        <w:shd w:val="clear" w:color="auto" w:fill="auto"/>
        <w:tabs>
          <w:tab w:val="clear" w:pos="426"/>
        </w:tabs>
        <w:adjustRightInd/>
        <w:snapToGrid/>
        <w:spacing w:line="240" w:lineRule="auto"/>
        <w:jc w:val="left"/>
        <w:rPr>
          <w:highlight w:val="none"/>
        </w:rPr>
      </w:pPr>
      <w:r>
        <w:rPr>
          <w:highlight w:val="none"/>
        </w:rPr>
        <w:br w:type="page"/>
      </w:r>
    </w:p>
    <w:p>
      <w:pPr>
        <w:pStyle w:val="319"/>
        <w:rPr>
          <w:highlight w:val="none"/>
        </w:rPr>
      </w:pPr>
      <w:bookmarkStart w:id="50" w:name="_Toc50737329"/>
      <w:bookmarkStart w:id="51" w:name="_Toc50736477"/>
      <w:bookmarkStart w:id="52" w:name="_Toc275865607"/>
      <w:bookmarkStart w:id="53" w:name="_Toc52165081"/>
      <w:bookmarkStart w:id="54" w:name="_Toc50737297"/>
      <w:bookmarkStart w:id="55" w:name="_Toc480754205"/>
      <w:bookmarkStart w:id="56" w:name="_Toc50737296"/>
      <w:bookmarkStart w:id="57" w:name="_Toc50691034"/>
      <w:bookmarkStart w:id="58" w:name="_Toc50737328"/>
      <w:bookmarkStart w:id="59" w:name="_Toc52165080"/>
      <w:bookmarkStart w:id="60" w:name="_Toc50736476"/>
      <w:r>
        <w:rPr>
          <w:rFonts w:hint="eastAsia"/>
          <w:highlight w:val="none"/>
        </w:rPr>
        <w:t>法定代表人授权委托书、法定代表人证明书</w:t>
      </w:r>
    </w:p>
    <w:p>
      <w:pPr>
        <w:widowControl w:val="0"/>
        <w:shd w:val="clear" w:color="auto" w:fill="auto"/>
        <w:tabs>
          <w:tab w:val="clear" w:pos="426"/>
        </w:tabs>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法定代表人授权委托书</w:t>
      </w:r>
      <w:bookmarkEnd w:id="50"/>
      <w:bookmarkEnd w:id="51"/>
      <w:bookmarkEnd w:id="52"/>
      <w:bookmarkEnd w:id="53"/>
      <w:bookmarkEnd w:id="54"/>
      <w:bookmarkEnd w:id="55"/>
    </w:p>
    <w:p>
      <w:pPr>
        <w:pStyle w:val="24"/>
        <w:tabs>
          <w:tab w:val="clear" w:pos="426"/>
        </w:tabs>
        <w:ind w:firstLine="420" w:firstLineChars="200"/>
        <w:rPr>
          <w:highlight w:val="none"/>
        </w:rPr>
      </w:pPr>
    </w:p>
    <w:p>
      <w:pPr>
        <w:pStyle w:val="24"/>
        <w:tabs>
          <w:tab w:val="clear" w:pos="426"/>
        </w:tabs>
        <w:ind w:firstLine="420" w:firstLineChars="200"/>
        <w:rPr>
          <w:highlight w:val="none"/>
          <w:u w:val="none"/>
        </w:rPr>
      </w:pPr>
      <w:r>
        <w:rPr>
          <w:rFonts w:hint="eastAsia"/>
          <w:highlight w:val="none"/>
        </w:rPr>
        <w:t>本授权委托书声明：注册于</w:t>
      </w:r>
      <w:r>
        <w:rPr>
          <w:rFonts w:hint="eastAsia"/>
          <w:highlight w:val="none"/>
          <w:u w:val="none"/>
        </w:rPr>
        <w:t>_（投标人地址）__的__（投标人名称）____在下面签名的（法定代表人姓名、职务）在此授权（被授权人姓名、职务）作为我公司的合法代理人，就（项目名称、采购项目编号）的招投标活动，采购合同的签订、执行、完成和售后服务，作为投标人代表以我方的名义处理一切与之有关的事务。</w:t>
      </w:r>
    </w:p>
    <w:p>
      <w:pPr>
        <w:pStyle w:val="24"/>
        <w:tabs>
          <w:tab w:val="clear" w:pos="426"/>
        </w:tabs>
        <w:ind w:firstLine="420" w:firstLineChars="200"/>
        <w:rPr>
          <w:highlight w:val="none"/>
          <w:u w:val="none"/>
        </w:rPr>
      </w:pPr>
      <w:r>
        <w:rPr>
          <w:rFonts w:hint="eastAsia"/>
          <w:highlight w:val="none"/>
          <w:u w:val="none"/>
        </w:rPr>
        <w:t>被授权人（投标人授权代表）无转委托权限。</w:t>
      </w:r>
    </w:p>
    <w:p>
      <w:pPr>
        <w:tabs>
          <w:tab w:val="clear" w:pos="426"/>
        </w:tabs>
        <w:ind w:firstLine="420" w:firstLineChars="200"/>
        <w:rPr>
          <w:szCs w:val="21"/>
          <w:highlight w:val="none"/>
          <w:u w:val="none"/>
        </w:rPr>
      </w:pPr>
      <w:r>
        <w:rPr>
          <w:rFonts w:hint="eastAsia"/>
          <w:szCs w:val="21"/>
          <w:highlight w:val="none"/>
          <w:u w:val="none"/>
        </w:rPr>
        <w:t>本授权书自法定代表人签字之日起生效，特此声明。</w:t>
      </w:r>
    </w:p>
    <w:p>
      <w:pPr>
        <w:tabs>
          <w:tab w:val="clear" w:pos="426"/>
        </w:tabs>
        <w:ind w:firstLine="422" w:firstLineChars="200"/>
        <w:rPr>
          <w:b/>
          <w:szCs w:val="21"/>
          <w:highlight w:val="none"/>
          <w:u w:val="none"/>
        </w:rPr>
      </w:pPr>
      <w:r>
        <w:rPr>
          <w:rFonts w:hint="eastAsia"/>
          <w:b/>
          <w:szCs w:val="21"/>
          <w:highlight w:val="none"/>
          <w:u w:val="none"/>
        </w:rPr>
        <w:t>随附《法定代表人证明》</w:t>
      </w:r>
    </w:p>
    <w:p>
      <w:pPr>
        <w:tabs>
          <w:tab w:val="clear" w:pos="426"/>
        </w:tabs>
        <w:ind w:firstLine="422" w:firstLineChars="200"/>
        <w:rPr>
          <w:b/>
          <w:szCs w:val="21"/>
          <w:highlight w:val="none"/>
          <w:u w:val="none"/>
        </w:rPr>
      </w:pPr>
    </w:p>
    <w:p>
      <w:pPr>
        <w:tabs>
          <w:tab w:val="clear" w:pos="426"/>
        </w:tabs>
        <w:ind w:firstLine="422" w:firstLineChars="200"/>
        <w:rPr>
          <w:b/>
          <w:szCs w:val="21"/>
          <w:highlight w:val="none"/>
          <w:u w:val="none"/>
        </w:rPr>
      </w:pPr>
    </w:p>
    <w:p>
      <w:pPr>
        <w:tabs>
          <w:tab w:val="clear" w:pos="426"/>
        </w:tabs>
        <w:ind w:firstLine="420" w:firstLineChars="200"/>
        <w:rPr>
          <w:szCs w:val="21"/>
          <w:highlight w:val="none"/>
          <w:u w:val="none"/>
        </w:rPr>
      </w:pPr>
      <w:r>
        <w:rPr>
          <w:rFonts w:hint="eastAsia"/>
          <w:szCs w:val="21"/>
          <w:highlight w:val="none"/>
          <w:u w:val="none"/>
        </w:rPr>
        <w:t>单位名称：_____________________________________________________________</w:t>
      </w:r>
    </w:p>
    <w:p>
      <w:pPr>
        <w:tabs>
          <w:tab w:val="clear" w:pos="426"/>
        </w:tabs>
        <w:ind w:firstLine="420" w:firstLineChars="200"/>
        <w:rPr>
          <w:szCs w:val="21"/>
          <w:highlight w:val="none"/>
          <w:u w:val="none"/>
        </w:rPr>
      </w:pPr>
      <w:r>
        <w:rPr>
          <w:rFonts w:hint="eastAsia"/>
          <w:szCs w:val="21"/>
          <w:highlight w:val="none"/>
          <w:u w:val="none"/>
        </w:rPr>
        <w:t>法定代表人（签名或盖章）：_____________________________________________</w:t>
      </w:r>
    </w:p>
    <w:p>
      <w:pPr>
        <w:tabs>
          <w:tab w:val="clear" w:pos="426"/>
        </w:tabs>
        <w:ind w:firstLine="420" w:firstLineChars="200"/>
        <w:rPr>
          <w:szCs w:val="21"/>
          <w:highlight w:val="none"/>
          <w:u w:val="none"/>
        </w:rPr>
      </w:pPr>
      <w:r>
        <w:rPr>
          <w:rFonts w:hint="eastAsia"/>
          <w:szCs w:val="21"/>
          <w:highlight w:val="none"/>
          <w:u w:val="none"/>
        </w:rPr>
        <w:t>法定代表人或投标人授权代表（签名或盖章）：_____________________________</w:t>
      </w:r>
    </w:p>
    <w:p>
      <w:pPr>
        <w:tabs>
          <w:tab w:val="clear" w:pos="426"/>
        </w:tabs>
        <w:ind w:firstLine="420" w:firstLineChars="200"/>
        <w:rPr>
          <w:szCs w:val="21"/>
          <w:highlight w:val="none"/>
          <w:u w:val="none"/>
        </w:rPr>
      </w:pPr>
      <w:r>
        <w:rPr>
          <w:rFonts w:hint="eastAsia"/>
          <w:szCs w:val="21"/>
          <w:highlight w:val="none"/>
          <w:u w:val="none"/>
        </w:rPr>
        <w:t>单位地址：_____________________________________________________________</w:t>
      </w:r>
    </w:p>
    <w:p>
      <w:pPr>
        <w:tabs>
          <w:tab w:val="clear" w:pos="426"/>
        </w:tabs>
        <w:ind w:firstLine="420" w:firstLineChars="200"/>
        <w:rPr>
          <w:szCs w:val="21"/>
          <w:highlight w:val="none"/>
          <w:u w:val="none"/>
        </w:rPr>
      </w:pPr>
      <w:r>
        <w:rPr>
          <w:rFonts w:hint="eastAsia"/>
          <w:szCs w:val="21"/>
          <w:highlight w:val="none"/>
          <w:u w:val="none"/>
        </w:rPr>
        <w:t>单位公章：_____________________________________________________________</w:t>
      </w:r>
    </w:p>
    <w:p>
      <w:pPr>
        <w:tabs>
          <w:tab w:val="clear" w:pos="426"/>
        </w:tabs>
        <w:ind w:firstLine="420" w:firstLineChars="200"/>
        <w:rPr>
          <w:szCs w:val="21"/>
          <w:highlight w:val="none"/>
          <w:u w:val="none"/>
        </w:rPr>
      </w:pPr>
      <w:r>
        <w:rPr>
          <w:rFonts w:hint="eastAsia"/>
          <w:szCs w:val="21"/>
          <w:highlight w:val="none"/>
          <w:u w:val="none"/>
        </w:rPr>
        <w:t>邮政编码：_________________________签发日期：__________________________</w:t>
      </w:r>
    </w:p>
    <w:p>
      <w:pPr>
        <w:tabs>
          <w:tab w:val="clear" w:pos="426"/>
        </w:tabs>
        <w:ind w:firstLine="424" w:firstLineChars="202"/>
        <w:rPr>
          <w:szCs w:val="21"/>
          <w:highlight w:val="none"/>
          <w:u w:val="none"/>
        </w:rPr>
      </w:pPr>
      <w:r>
        <w:rPr>
          <w:rFonts w:hint="eastAsia"/>
          <w:szCs w:val="21"/>
          <w:highlight w:val="none"/>
          <w:u w:val="none"/>
        </w:rPr>
        <w:t>联系电话：_____________________________________________________________</w:t>
      </w:r>
    </w:p>
    <w:p>
      <w:pPr>
        <w:tabs>
          <w:tab w:val="clear" w:pos="426"/>
        </w:tabs>
        <w:ind w:firstLine="424" w:firstLineChars="202"/>
        <w:rPr>
          <w:szCs w:val="21"/>
          <w:highlight w:val="none"/>
        </w:rPr>
      </w:pPr>
    </w:p>
    <w:p>
      <w:pPr>
        <w:tabs>
          <w:tab w:val="clear" w:pos="426"/>
        </w:tabs>
        <w:ind w:firstLine="424" w:firstLineChars="202"/>
        <w:rPr>
          <w:szCs w:val="21"/>
          <w:highlight w:val="none"/>
        </w:rPr>
      </w:pPr>
      <w:r>
        <w:rPr>
          <w:rFonts w:hint="eastAsia"/>
          <w:szCs w:val="21"/>
          <w:highlight w:val="none"/>
        </w:rPr>
        <w:t>附：被授权人身份证复印件：</w:t>
      </w:r>
    </w:p>
    <w:p>
      <w:pPr>
        <w:tabs>
          <w:tab w:val="clear" w:pos="426"/>
        </w:tabs>
        <w:ind w:firstLine="424" w:firstLineChars="202"/>
        <w:rPr>
          <w:szCs w:val="21"/>
          <w:highlight w:val="none"/>
        </w:rPr>
      </w:pPr>
    </w:p>
    <w:bookmarkEnd w:id="56"/>
    <w:bookmarkEnd w:id="57"/>
    <w:bookmarkEnd w:id="58"/>
    <w:bookmarkEnd w:id="59"/>
    <w:bookmarkEnd w:id="60"/>
    <w:p>
      <w:pPr>
        <w:tabs>
          <w:tab w:val="clear" w:pos="426"/>
        </w:tabs>
        <w:spacing w:line="300" w:lineRule="auto"/>
        <w:jc w:val="center"/>
        <w:rPr>
          <w:highlight w:val="none"/>
        </w:rPr>
      </w:pPr>
      <w:r>
        <w:rPr>
          <w:highlight w:val="none"/>
        </w:rPr>
        <w:br w:type="page"/>
      </w:r>
    </w:p>
    <w:p>
      <w:pPr>
        <w:widowControl w:val="0"/>
        <w:shd w:val="clear" w:color="auto" w:fill="auto"/>
        <w:tabs>
          <w:tab w:val="clear" w:pos="426"/>
        </w:tabs>
        <w:spacing w:before="240" w:beforeLines="100" w:line="300" w:lineRule="auto"/>
        <w:jc w:val="center"/>
        <w:rPr>
          <w:rFonts w:cs="Times New Roman"/>
          <w:bCs/>
          <w:kern w:val="2"/>
          <w:sz w:val="32"/>
          <w:szCs w:val="32"/>
          <w:highlight w:val="none"/>
        </w:rPr>
      </w:pPr>
    </w:p>
    <w:p>
      <w:pPr>
        <w:widowControl w:val="0"/>
        <w:shd w:val="clear" w:color="auto" w:fill="auto"/>
        <w:tabs>
          <w:tab w:val="clear" w:pos="426"/>
        </w:tabs>
        <w:spacing w:before="240" w:beforeLines="100" w:line="300" w:lineRule="auto"/>
        <w:jc w:val="center"/>
        <w:rPr>
          <w:rFonts w:cs="Times New Roman"/>
          <w:bCs/>
          <w:kern w:val="2"/>
          <w:sz w:val="32"/>
          <w:szCs w:val="32"/>
          <w:highlight w:val="none"/>
        </w:rPr>
      </w:pPr>
      <w:r>
        <w:rPr>
          <w:rFonts w:hint="eastAsia" w:cs="Times New Roman"/>
          <w:bCs/>
          <w:kern w:val="2"/>
          <w:sz w:val="32"/>
          <w:szCs w:val="32"/>
          <w:highlight w:val="none"/>
        </w:rPr>
        <w:t>法定代表人证明书</w:t>
      </w:r>
    </w:p>
    <w:p>
      <w:pPr>
        <w:tabs>
          <w:tab w:val="clear" w:pos="426"/>
        </w:tabs>
        <w:spacing w:before="240" w:beforeLines="100" w:line="480" w:lineRule="auto"/>
        <w:ind w:firstLine="424" w:firstLineChars="202"/>
        <w:rPr>
          <w:highlight w:val="none"/>
          <w:u w:val="single"/>
        </w:rPr>
      </w:pPr>
    </w:p>
    <w:p>
      <w:pPr>
        <w:tabs>
          <w:tab w:val="clear" w:pos="426"/>
        </w:tabs>
        <w:spacing w:line="480" w:lineRule="auto"/>
        <w:ind w:firstLine="424" w:firstLineChars="202"/>
        <w:rPr>
          <w:highlight w:val="none"/>
          <w:u w:val="none"/>
        </w:rPr>
      </w:pPr>
      <w:r>
        <w:rPr>
          <w:rFonts w:hint="eastAsia"/>
          <w:highlight w:val="none"/>
          <w:u w:val="none"/>
        </w:rPr>
        <w:t>__________同志，现任我单位</w:t>
      </w:r>
      <w:r>
        <w:rPr>
          <w:highlight w:val="none"/>
          <w:u w:val="none"/>
        </w:rPr>
        <w:t>_________</w:t>
      </w:r>
      <w:r>
        <w:rPr>
          <w:rFonts w:hint="eastAsia"/>
          <w:highlight w:val="none"/>
          <w:u w:val="none"/>
        </w:rPr>
        <w:t>职务，为法定代表人，特此证明。</w:t>
      </w:r>
    </w:p>
    <w:p>
      <w:pPr>
        <w:tabs>
          <w:tab w:val="clear" w:pos="426"/>
        </w:tabs>
        <w:spacing w:line="480" w:lineRule="auto"/>
        <w:ind w:firstLine="424" w:firstLineChars="202"/>
        <w:rPr>
          <w:highlight w:val="none"/>
          <w:u w:val="none"/>
        </w:rPr>
      </w:pPr>
      <w:r>
        <w:rPr>
          <w:rFonts w:hint="eastAsia"/>
          <w:highlight w:val="none"/>
          <w:u w:val="none"/>
        </w:rPr>
        <w:t>本证明书自签发之日起生效，有效期与本公司投标文件中标注的投标有效期相同。</w:t>
      </w:r>
    </w:p>
    <w:p>
      <w:pPr>
        <w:tabs>
          <w:tab w:val="clear" w:pos="426"/>
        </w:tabs>
        <w:spacing w:line="480" w:lineRule="auto"/>
        <w:ind w:firstLine="424" w:firstLineChars="202"/>
        <w:rPr>
          <w:highlight w:val="none"/>
          <w:u w:val="none"/>
        </w:rPr>
      </w:pPr>
      <w:r>
        <w:rPr>
          <w:rFonts w:hint="eastAsia"/>
          <w:highlight w:val="none"/>
          <w:u w:val="none"/>
        </w:rPr>
        <w:t>附：</w:t>
      </w:r>
    </w:p>
    <w:p>
      <w:pPr>
        <w:tabs>
          <w:tab w:val="clear" w:pos="426"/>
        </w:tabs>
        <w:spacing w:line="480" w:lineRule="auto"/>
        <w:ind w:firstLine="424" w:firstLineChars="202"/>
        <w:rPr>
          <w:highlight w:val="none"/>
          <w:u w:val="none"/>
        </w:rPr>
      </w:pPr>
      <w:r>
        <w:rPr>
          <w:rFonts w:hint="eastAsia"/>
          <w:highlight w:val="none"/>
          <w:u w:val="none"/>
        </w:rPr>
        <w:t>营业执照（注册号）：_______________________________________________</w:t>
      </w:r>
    </w:p>
    <w:p>
      <w:pPr>
        <w:tabs>
          <w:tab w:val="clear" w:pos="426"/>
        </w:tabs>
        <w:spacing w:line="480" w:lineRule="auto"/>
        <w:ind w:firstLine="424" w:firstLineChars="202"/>
        <w:rPr>
          <w:highlight w:val="none"/>
          <w:u w:val="none"/>
        </w:rPr>
      </w:pPr>
      <w:r>
        <w:rPr>
          <w:rFonts w:hint="eastAsia"/>
          <w:highlight w:val="none"/>
          <w:u w:val="none"/>
        </w:rPr>
        <w:t>经济性质：_________________________________________________________</w:t>
      </w:r>
    </w:p>
    <w:p>
      <w:pPr>
        <w:tabs>
          <w:tab w:val="clear" w:pos="426"/>
        </w:tabs>
        <w:spacing w:line="480" w:lineRule="auto"/>
        <w:ind w:firstLine="424" w:firstLineChars="202"/>
        <w:rPr>
          <w:highlight w:val="none"/>
          <w:u w:val="none"/>
        </w:rPr>
      </w:pPr>
      <w:r>
        <w:rPr>
          <w:rFonts w:hint="eastAsia"/>
          <w:highlight w:val="none"/>
          <w:u w:val="none"/>
        </w:rPr>
        <w:t>主营（产）：_______________________________________________________</w:t>
      </w:r>
    </w:p>
    <w:p>
      <w:pPr>
        <w:tabs>
          <w:tab w:val="clear" w:pos="426"/>
        </w:tabs>
        <w:spacing w:line="480" w:lineRule="auto"/>
        <w:ind w:firstLine="424" w:firstLineChars="202"/>
        <w:rPr>
          <w:highlight w:val="none"/>
          <w:u w:val="none"/>
        </w:rPr>
      </w:pPr>
      <w:r>
        <w:rPr>
          <w:rFonts w:hint="eastAsia"/>
          <w:highlight w:val="none"/>
          <w:u w:val="none"/>
        </w:rPr>
        <w:t>兼营（产）：_______________________________________________________</w:t>
      </w:r>
    </w:p>
    <w:p>
      <w:pPr>
        <w:tabs>
          <w:tab w:val="clear" w:pos="426"/>
        </w:tabs>
        <w:ind w:firstLine="424" w:firstLineChars="202"/>
        <w:rPr>
          <w:highlight w:val="none"/>
          <w:u w:val="none"/>
        </w:rPr>
      </w:pPr>
    </w:p>
    <w:p>
      <w:pPr>
        <w:tabs>
          <w:tab w:val="clear" w:pos="426"/>
        </w:tabs>
        <w:ind w:firstLine="424" w:firstLineChars="202"/>
        <w:rPr>
          <w:szCs w:val="21"/>
          <w:highlight w:val="none"/>
          <w:u w:val="none"/>
        </w:rPr>
      </w:pPr>
      <w:r>
        <w:rPr>
          <w:rFonts w:hint="eastAsia"/>
          <w:szCs w:val="21"/>
          <w:highlight w:val="none"/>
          <w:u w:val="none"/>
        </w:rPr>
        <w:t>附：法定代表人身份证复印件：</w:t>
      </w:r>
    </w:p>
    <w:p>
      <w:pPr>
        <w:tabs>
          <w:tab w:val="clear" w:pos="426"/>
        </w:tabs>
        <w:ind w:firstLine="424" w:firstLineChars="202"/>
        <w:rPr>
          <w:szCs w:val="21"/>
          <w:highlight w:val="none"/>
          <w:u w:val="none"/>
        </w:rPr>
      </w:pPr>
    </w:p>
    <w:p>
      <w:pPr>
        <w:tabs>
          <w:tab w:val="clear" w:pos="426"/>
        </w:tabs>
        <w:ind w:firstLine="424" w:firstLineChars="202"/>
        <w:rPr>
          <w:szCs w:val="21"/>
          <w:highlight w:val="none"/>
          <w:u w:val="none"/>
        </w:rPr>
      </w:pPr>
    </w:p>
    <w:p>
      <w:pPr>
        <w:tabs>
          <w:tab w:val="clear" w:pos="426"/>
        </w:tabs>
        <w:ind w:firstLine="424" w:firstLineChars="202"/>
        <w:rPr>
          <w:szCs w:val="21"/>
          <w:highlight w:val="none"/>
          <w:u w:val="none"/>
        </w:rPr>
      </w:pPr>
    </w:p>
    <w:p>
      <w:pPr>
        <w:tabs>
          <w:tab w:val="clear" w:pos="426"/>
        </w:tabs>
        <w:spacing w:line="500" w:lineRule="exact"/>
        <w:ind w:left="3826" w:leftChars="1822"/>
        <w:rPr>
          <w:highlight w:val="none"/>
          <w:u w:val="none"/>
        </w:rPr>
      </w:pPr>
      <w:r>
        <w:rPr>
          <w:rFonts w:hint="eastAsia"/>
          <w:highlight w:val="none"/>
          <w:u w:val="none"/>
        </w:rPr>
        <w:t>投标人名称（单位盖</w:t>
      </w:r>
      <w:r>
        <w:rPr>
          <w:rFonts w:hint="eastAsia"/>
          <w:spacing w:val="4"/>
          <w:highlight w:val="none"/>
          <w:u w:val="none"/>
        </w:rPr>
        <w:t>公章</w:t>
      </w:r>
      <w:r>
        <w:rPr>
          <w:rFonts w:hint="eastAsia"/>
          <w:highlight w:val="none"/>
          <w:u w:val="none"/>
        </w:rPr>
        <w:t>）：_________________</w:t>
      </w:r>
    </w:p>
    <w:p>
      <w:pPr>
        <w:tabs>
          <w:tab w:val="clear" w:pos="426"/>
        </w:tabs>
        <w:spacing w:line="500" w:lineRule="exact"/>
        <w:ind w:left="3826" w:leftChars="1822"/>
        <w:rPr>
          <w:highlight w:val="none"/>
          <w:u w:val="none"/>
        </w:rPr>
      </w:pPr>
      <w:r>
        <w:rPr>
          <w:rFonts w:hint="eastAsia"/>
          <w:highlight w:val="none"/>
          <w:u w:val="none"/>
        </w:rPr>
        <w:t>地址：_____________________________________</w:t>
      </w:r>
    </w:p>
    <w:p>
      <w:pPr>
        <w:tabs>
          <w:tab w:val="clear" w:pos="426"/>
        </w:tabs>
        <w:spacing w:line="500" w:lineRule="exact"/>
        <w:ind w:left="3826" w:leftChars="1822"/>
        <w:rPr>
          <w:highlight w:val="none"/>
          <w:u w:val="none"/>
        </w:rPr>
      </w:pPr>
      <w:r>
        <w:rPr>
          <w:rFonts w:hint="eastAsia"/>
          <w:highlight w:val="none"/>
          <w:u w:val="none"/>
        </w:rPr>
        <w:t>签发日期：_________________________________</w:t>
      </w:r>
    </w:p>
    <w:p>
      <w:pPr>
        <w:tabs>
          <w:tab w:val="clear" w:pos="426"/>
        </w:tabs>
        <w:spacing w:line="500" w:lineRule="exact"/>
        <w:ind w:left="3826" w:leftChars="1822"/>
        <w:rPr>
          <w:b/>
          <w:bCs/>
          <w:highlight w:val="none"/>
          <w:u w:val="single"/>
        </w:rPr>
      </w:pPr>
    </w:p>
    <w:p>
      <w:pPr>
        <w:tabs>
          <w:tab w:val="clear" w:pos="426"/>
        </w:tabs>
        <w:spacing w:line="500" w:lineRule="exact"/>
        <w:ind w:left="3826" w:leftChars="1822"/>
        <w:rPr>
          <w:b/>
          <w:bCs/>
          <w:highlight w:val="none"/>
          <w:u w:val="single"/>
        </w:rPr>
      </w:pPr>
    </w:p>
    <w:p>
      <w:pPr>
        <w:shd w:val="clear" w:color="auto" w:fill="auto"/>
        <w:tabs>
          <w:tab w:val="clear" w:pos="426"/>
        </w:tabs>
        <w:adjustRightInd/>
        <w:snapToGrid/>
        <w:spacing w:line="240" w:lineRule="auto"/>
        <w:jc w:val="left"/>
        <w:rPr>
          <w:b/>
          <w:bCs/>
          <w:highlight w:val="none"/>
          <w:u w:val="single"/>
        </w:rPr>
      </w:pPr>
      <w:r>
        <w:rPr>
          <w:b/>
          <w:bCs/>
          <w:highlight w:val="none"/>
          <w:u w:val="single"/>
        </w:rPr>
        <w:br w:type="page"/>
      </w:r>
    </w:p>
    <w:p>
      <w:pPr>
        <w:pStyle w:val="319"/>
        <w:rPr>
          <w:highlight w:val="none"/>
        </w:rPr>
      </w:pPr>
      <w:r>
        <w:rPr>
          <w:rFonts w:hint="eastAsia"/>
          <w:highlight w:val="none"/>
        </w:rPr>
        <w:t>投标人基本情况表</w:t>
      </w:r>
    </w:p>
    <w:p>
      <w:pPr>
        <w:widowControl w:val="0"/>
        <w:shd w:val="clear" w:color="auto" w:fill="auto"/>
        <w:tabs>
          <w:tab w:val="clear" w:pos="426"/>
        </w:tabs>
        <w:spacing w:line="300" w:lineRule="auto"/>
        <w:jc w:val="center"/>
        <w:rPr>
          <w:rFonts w:cs="Times New Roman"/>
          <w:bCs/>
          <w:kern w:val="2"/>
          <w:sz w:val="32"/>
          <w:szCs w:val="32"/>
          <w:highlight w:val="none"/>
        </w:rPr>
      </w:pPr>
      <w:bookmarkStart w:id="61" w:name="_Toc480755928"/>
      <w:bookmarkStart w:id="62" w:name="_Toc173553182"/>
      <w:bookmarkStart w:id="63" w:name="_Toc480756074"/>
      <w:bookmarkStart w:id="64" w:name="_Toc480789478"/>
      <w:bookmarkStart w:id="65" w:name="_Toc480754207"/>
      <w:bookmarkStart w:id="66" w:name="_Toc275865616"/>
      <w:r>
        <w:rPr>
          <w:rFonts w:hint="eastAsia" w:cs="Times New Roman"/>
          <w:bCs/>
          <w:kern w:val="2"/>
          <w:sz w:val="32"/>
          <w:szCs w:val="32"/>
          <w:highlight w:val="none"/>
        </w:rPr>
        <w:t>投标人基本情况表</w:t>
      </w:r>
      <w:bookmarkEnd w:id="61"/>
      <w:bookmarkEnd w:id="62"/>
      <w:bookmarkEnd w:id="63"/>
      <w:bookmarkEnd w:id="64"/>
      <w:bookmarkEnd w:id="65"/>
      <w:bookmarkEnd w:id="66"/>
    </w:p>
    <w:p>
      <w:pPr>
        <w:widowControl w:val="0"/>
        <w:shd w:val="clear" w:color="auto" w:fill="auto"/>
        <w:tabs>
          <w:tab w:val="clear" w:pos="426"/>
        </w:tabs>
        <w:rPr>
          <w:rFonts w:cs="Arial"/>
          <w:b/>
          <w:szCs w:val="21"/>
          <w:highlight w:val="none"/>
          <w:u w:val="none"/>
        </w:rPr>
      </w:pPr>
      <w:r>
        <w:rPr>
          <w:rFonts w:hint="eastAsia" w:cs="Arial"/>
          <w:b/>
          <w:szCs w:val="21"/>
          <w:highlight w:val="none"/>
          <w:u w:val="none"/>
        </w:rPr>
        <w:t>一、</w:t>
      </w:r>
      <w:r>
        <w:rPr>
          <w:rFonts w:cs="Arial"/>
          <w:b/>
          <w:szCs w:val="21"/>
          <w:highlight w:val="none"/>
          <w:u w:val="none"/>
        </w:rPr>
        <w:t>公司基本情况</w:t>
      </w:r>
    </w:p>
    <w:p>
      <w:pPr>
        <w:widowControl w:val="0"/>
        <w:numPr>
          <w:ilvl w:val="1"/>
          <w:numId w:val="35"/>
        </w:numPr>
        <w:shd w:val="clear" w:color="auto" w:fill="auto"/>
        <w:tabs>
          <w:tab w:val="clear" w:pos="426"/>
        </w:tabs>
        <w:ind w:left="0" w:firstLine="426"/>
        <w:rPr>
          <w:rFonts w:cs="Arial"/>
          <w:szCs w:val="21"/>
          <w:highlight w:val="none"/>
          <w:u w:val="none"/>
        </w:rPr>
      </w:pPr>
      <w:r>
        <w:rPr>
          <w:rFonts w:cs="Arial"/>
          <w:szCs w:val="21"/>
          <w:highlight w:val="none"/>
          <w:u w:val="none"/>
        </w:rPr>
        <w:t>公司名称：_____________________________  电话号码：____________________________</w:t>
      </w:r>
    </w:p>
    <w:p>
      <w:pPr>
        <w:widowControl w:val="0"/>
        <w:numPr>
          <w:ilvl w:val="1"/>
          <w:numId w:val="35"/>
        </w:numPr>
        <w:shd w:val="clear" w:color="auto" w:fill="auto"/>
        <w:tabs>
          <w:tab w:val="clear" w:pos="426"/>
        </w:tabs>
        <w:ind w:left="0" w:firstLine="426"/>
        <w:rPr>
          <w:rFonts w:cs="Arial"/>
          <w:szCs w:val="21"/>
          <w:highlight w:val="none"/>
          <w:u w:val="none"/>
        </w:rPr>
      </w:pPr>
      <w:r>
        <w:rPr>
          <w:rFonts w:cs="Arial"/>
          <w:szCs w:val="21"/>
          <w:highlight w:val="none"/>
          <w:u w:val="none"/>
        </w:rPr>
        <w:t>地    址：_____________________________  传    真：____________________________</w:t>
      </w:r>
    </w:p>
    <w:p>
      <w:pPr>
        <w:widowControl w:val="0"/>
        <w:numPr>
          <w:ilvl w:val="1"/>
          <w:numId w:val="35"/>
        </w:numPr>
        <w:shd w:val="clear" w:color="auto" w:fill="auto"/>
        <w:tabs>
          <w:tab w:val="clear" w:pos="426"/>
        </w:tabs>
        <w:ind w:left="0" w:firstLine="426"/>
        <w:rPr>
          <w:rFonts w:cs="Arial"/>
          <w:szCs w:val="21"/>
          <w:highlight w:val="none"/>
          <w:u w:val="none"/>
        </w:rPr>
      </w:pPr>
      <w:r>
        <w:rPr>
          <w:rFonts w:cs="Arial"/>
          <w:szCs w:val="21"/>
          <w:highlight w:val="none"/>
          <w:u w:val="none"/>
        </w:rPr>
        <w:t>注册资金：_____________________________  经济性质：______</w:t>
      </w:r>
      <w:r>
        <w:rPr>
          <w:rFonts w:hint="eastAsia" w:cs="Arial"/>
          <w:szCs w:val="21"/>
          <w:highlight w:val="none"/>
          <w:u w:val="none"/>
        </w:rPr>
        <w:t>__________________</w:t>
      </w:r>
      <w:r>
        <w:rPr>
          <w:rFonts w:cs="Arial"/>
          <w:szCs w:val="21"/>
          <w:highlight w:val="none"/>
          <w:u w:val="none"/>
        </w:rPr>
        <w:t>____</w:t>
      </w:r>
    </w:p>
    <w:p>
      <w:pPr>
        <w:widowControl w:val="0"/>
        <w:numPr>
          <w:ilvl w:val="1"/>
          <w:numId w:val="35"/>
        </w:numPr>
        <w:shd w:val="clear" w:color="auto" w:fill="auto"/>
        <w:tabs>
          <w:tab w:val="clear" w:pos="426"/>
        </w:tabs>
        <w:ind w:left="0" w:firstLine="426"/>
        <w:rPr>
          <w:rFonts w:cs="Arial"/>
          <w:szCs w:val="21"/>
          <w:highlight w:val="none"/>
          <w:u w:val="none"/>
        </w:rPr>
      </w:pPr>
      <w:r>
        <w:rPr>
          <w:rFonts w:cs="Arial"/>
          <w:szCs w:val="21"/>
          <w:highlight w:val="none"/>
          <w:u w:val="none"/>
        </w:rPr>
        <w:t>公司开户银行名称及账号：</w:t>
      </w:r>
      <w:r>
        <w:rPr>
          <w:rFonts w:hint="eastAsia" w:cs="Arial"/>
          <w:szCs w:val="21"/>
          <w:highlight w:val="none"/>
          <w:u w:val="none"/>
        </w:rPr>
        <w:t>______________________________________________________</w:t>
      </w:r>
    </w:p>
    <w:p>
      <w:pPr>
        <w:widowControl w:val="0"/>
        <w:numPr>
          <w:ilvl w:val="1"/>
          <w:numId w:val="35"/>
        </w:numPr>
        <w:shd w:val="clear" w:color="auto" w:fill="auto"/>
        <w:tabs>
          <w:tab w:val="clear" w:pos="426"/>
        </w:tabs>
        <w:ind w:left="0" w:firstLine="426"/>
        <w:rPr>
          <w:rFonts w:cs="Arial"/>
          <w:szCs w:val="21"/>
          <w:highlight w:val="none"/>
          <w:u w:val="none"/>
        </w:rPr>
      </w:pPr>
      <w:r>
        <w:rPr>
          <w:rFonts w:cs="Arial"/>
          <w:szCs w:val="21"/>
          <w:highlight w:val="none"/>
          <w:u w:val="none"/>
        </w:rPr>
        <w:t>营业注册执照号：</w:t>
      </w:r>
      <w:r>
        <w:rPr>
          <w:rFonts w:hint="eastAsia" w:cs="Arial"/>
          <w:szCs w:val="21"/>
          <w:highlight w:val="none"/>
          <w:u w:val="none"/>
        </w:rPr>
        <w:t>______________________________________________________________</w:t>
      </w:r>
    </w:p>
    <w:p>
      <w:pPr>
        <w:widowControl w:val="0"/>
        <w:numPr>
          <w:ilvl w:val="1"/>
          <w:numId w:val="35"/>
        </w:numPr>
        <w:shd w:val="clear" w:color="auto" w:fill="auto"/>
        <w:tabs>
          <w:tab w:val="clear" w:pos="426"/>
        </w:tabs>
        <w:ind w:left="0" w:firstLine="426"/>
        <w:rPr>
          <w:rFonts w:cs="Arial"/>
          <w:szCs w:val="21"/>
          <w:highlight w:val="none"/>
          <w:u w:val="none"/>
        </w:rPr>
      </w:pPr>
      <w:r>
        <w:rPr>
          <w:rFonts w:cs="Arial"/>
          <w:szCs w:val="21"/>
          <w:highlight w:val="none"/>
          <w:u w:val="none"/>
        </w:rPr>
        <w:t>公司简介</w:t>
      </w:r>
    </w:p>
    <w:p>
      <w:pPr>
        <w:tabs>
          <w:tab w:val="clear" w:pos="426"/>
        </w:tabs>
        <w:ind w:firstLine="426"/>
        <w:rPr>
          <w:highlight w:val="none"/>
        </w:rPr>
      </w:pPr>
      <w:r>
        <w:rPr>
          <w:rFonts w:hint="eastAsia"/>
          <w:highlight w:val="none"/>
        </w:rPr>
        <w:t>文字描述：</w:t>
      </w:r>
      <w:r>
        <w:rPr>
          <w:rFonts w:hint="eastAsia"/>
          <w:bCs/>
          <w:szCs w:val="21"/>
          <w:highlight w:val="none"/>
          <w:lang w:val="en-GB"/>
        </w:rPr>
        <w:t>发展历程、经营规模及服务理念</w:t>
      </w:r>
      <w:r>
        <w:rPr>
          <w:rFonts w:hint="eastAsia"/>
          <w:highlight w:val="none"/>
        </w:rPr>
        <w:t>、技术力量、财务状况、</w:t>
      </w:r>
      <w:r>
        <w:rPr>
          <w:highlight w:val="none"/>
        </w:rPr>
        <w:t>管理水平</w:t>
      </w:r>
      <w:r>
        <w:rPr>
          <w:rFonts w:hint="eastAsia"/>
          <w:highlight w:val="none"/>
        </w:rPr>
        <w:t>等方面进行阐述；</w:t>
      </w:r>
    </w:p>
    <w:p>
      <w:pPr>
        <w:tabs>
          <w:tab w:val="clear" w:pos="426"/>
        </w:tabs>
        <w:ind w:firstLine="426"/>
        <w:rPr>
          <w:rFonts w:cs="Arial"/>
          <w:szCs w:val="21"/>
          <w:highlight w:val="none"/>
        </w:rPr>
      </w:pPr>
      <w:r>
        <w:rPr>
          <w:rFonts w:hint="eastAsia"/>
          <w:highlight w:val="none"/>
        </w:rPr>
        <w:t>图片描述：</w:t>
      </w:r>
      <w:r>
        <w:rPr>
          <w:rFonts w:hint="eastAsia"/>
          <w:bCs/>
          <w:szCs w:val="21"/>
          <w:highlight w:val="none"/>
          <w:lang w:val="en-GB"/>
        </w:rPr>
        <w:t>经营场所、主要或关键产品介绍、生产场所及服务流程等。</w:t>
      </w:r>
    </w:p>
    <w:p>
      <w:pPr>
        <w:widowControl w:val="0"/>
        <w:shd w:val="clear" w:color="auto" w:fill="auto"/>
        <w:tabs>
          <w:tab w:val="clear" w:pos="426"/>
        </w:tabs>
        <w:rPr>
          <w:rFonts w:cs="Arial"/>
          <w:b/>
          <w:szCs w:val="21"/>
          <w:highlight w:val="none"/>
        </w:rPr>
      </w:pPr>
      <w:r>
        <w:rPr>
          <w:rFonts w:hint="eastAsia" w:cs="Arial"/>
          <w:b/>
          <w:szCs w:val="21"/>
          <w:highlight w:val="none"/>
        </w:rPr>
        <w:t>二、供应商资格证明文件</w:t>
      </w:r>
    </w:p>
    <w:p>
      <w:pPr>
        <w:tabs>
          <w:tab w:val="clear" w:pos="426"/>
        </w:tabs>
        <w:spacing w:before="120" w:beforeLines="50"/>
        <w:ind w:firstLine="424" w:firstLineChars="201"/>
        <w:rPr>
          <w:b/>
          <w:color w:val="FF0000"/>
          <w:highlight w:val="none"/>
        </w:rPr>
      </w:pPr>
      <w:r>
        <w:rPr>
          <w:rFonts w:hint="eastAsia"/>
          <w:b/>
          <w:color w:val="FF0000"/>
          <w:highlight w:val="none"/>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rPr>
          <w:rFonts w:cs="Arial"/>
          <w:b/>
          <w:szCs w:val="21"/>
          <w:highlight w:val="none"/>
        </w:rPr>
      </w:pPr>
      <w:r>
        <w:rPr>
          <w:rFonts w:hint="eastAsia" w:cs="Arial"/>
          <w:b/>
          <w:szCs w:val="21"/>
          <w:highlight w:val="none"/>
        </w:rPr>
        <w:t>三、</w:t>
      </w:r>
      <w:r>
        <w:rPr>
          <w:rFonts w:cs="Arial"/>
          <w:b/>
          <w:szCs w:val="21"/>
          <w:highlight w:val="none"/>
        </w:rPr>
        <w:t>如联合体投标，投标人还必须提供《联合体投标协议》（格式自定）。</w:t>
      </w: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shd w:val="clear" w:color="auto" w:fill="auto"/>
        <w:tabs>
          <w:tab w:val="clear" w:pos="426"/>
        </w:tabs>
        <w:adjustRightInd/>
        <w:snapToGrid/>
        <w:spacing w:line="240" w:lineRule="auto"/>
        <w:jc w:val="left"/>
        <w:rPr>
          <w:spacing w:val="4"/>
          <w:highlight w:val="none"/>
        </w:rPr>
      </w:pPr>
      <w:r>
        <w:rPr>
          <w:spacing w:val="4"/>
          <w:highlight w:val="none"/>
        </w:rPr>
        <w:br w:type="page"/>
      </w:r>
    </w:p>
    <w:p>
      <w:pPr>
        <w:pStyle w:val="319"/>
        <w:rPr>
          <w:highlight w:val="none"/>
        </w:rPr>
      </w:pPr>
      <w:r>
        <w:rPr>
          <w:rFonts w:hint="eastAsia"/>
          <w:highlight w:val="none"/>
        </w:rPr>
        <w:t>开标一览表(报价表)</w:t>
      </w:r>
    </w:p>
    <w:p>
      <w:pPr>
        <w:widowControl w:val="0"/>
        <w:shd w:val="clear" w:color="auto" w:fill="auto"/>
        <w:tabs>
          <w:tab w:val="clear" w:pos="426"/>
        </w:tabs>
        <w:spacing w:line="300" w:lineRule="auto"/>
        <w:jc w:val="center"/>
        <w:rPr>
          <w:rFonts w:cs="Times New Roman"/>
          <w:bCs/>
          <w:kern w:val="2"/>
          <w:sz w:val="32"/>
          <w:szCs w:val="32"/>
          <w:highlight w:val="none"/>
        </w:rPr>
      </w:pPr>
      <w:bookmarkStart w:id="67" w:name="_Toc480755929"/>
      <w:bookmarkStart w:id="68" w:name="_Toc480754208"/>
      <w:bookmarkStart w:id="69" w:name="_Toc480789479"/>
      <w:bookmarkStart w:id="70" w:name="_Toc480756075"/>
      <w:r>
        <w:rPr>
          <w:rFonts w:hint="eastAsia" w:cs="Times New Roman"/>
          <w:bCs/>
          <w:kern w:val="2"/>
          <w:sz w:val="32"/>
          <w:szCs w:val="32"/>
          <w:highlight w:val="none"/>
        </w:rPr>
        <w:t>开标一览表(报价表)</w:t>
      </w:r>
      <w:bookmarkEnd w:id="67"/>
      <w:bookmarkEnd w:id="68"/>
      <w:bookmarkEnd w:id="69"/>
      <w:bookmarkEnd w:id="70"/>
    </w:p>
    <w:p>
      <w:pPr>
        <w:tabs>
          <w:tab w:val="clear" w:pos="426"/>
        </w:tabs>
        <w:jc w:val="left"/>
        <w:rPr>
          <w:highlight w:val="none"/>
        </w:rPr>
      </w:pPr>
    </w:p>
    <w:p>
      <w:pPr>
        <w:tabs>
          <w:tab w:val="clear" w:pos="426"/>
        </w:tabs>
        <w:jc w:val="left"/>
        <w:rPr>
          <w:sz w:val="24"/>
          <w:highlight w:val="none"/>
          <w:u w:val="none"/>
        </w:rPr>
      </w:pPr>
      <w:r>
        <w:rPr>
          <w:rFonts w:hint="eastAsia"/>
          <w:highlight w:val="none"/>
        </w:rPr>
        <w:t>项目名称：</w:t>
      </w:r>
      <w:r>
        <w:rPr>
          <w:rFonts w:hint="eastAsia"/>
          <w:highlight w:val="none"/>
          <w:u w:val="none"/>
        </w:rPr>
        <w:t>_________________________________采购项目编号：_______________________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4636"/>
        <w:gridCol w:w="1987"/>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4" w:type="pct"/>
            <w:shd w:val="clear" w:color="auto" w:fill="auto"/>
            <w:vAlign w:val="center"/>
          </w:tcPr>
          <w:p>
            <w:pPr>
              <w:tabs>
                <w:tab w:val="clear" w:pos="426"/>
              </w:tabs>
              <w:spacing w:line="240" w:lineRule="auto"/>
              <w:jc w:val="center"/>
              <w:rPr>
                <w:b/>
                <w:szCs w:val="21"/>
                <w:highlight w:val="none"/>
                <w:u w:val="none"/>
              </w:rPr>
            </w:pPr>
            <w:r>
              <w:rPr>
                <w:rFonts w:hint="eastAsia"/>
                <w:b/>
                <w:szCs w:val="21"/>
                <w:highlight w:val="none"/>
                <w:u w:val="none"/>
              </w:rPr>
              <w:t>序号</w:t>
            </w:r>
          </w:p>
        </w:tc>
        <w:tc>
          <w:tcPr>
            <w:tcW w:w="2422" w:type="pct"/>
            <w:shd w:val="clear" w:color="auto" w:fill="auto"/>
            <w:vAlign w:val="center"/>
          </w:tcPr>
          <w:p>
            <w:pPr>
              <w:tabs>
                <w:tab w:val="clear" w:pos="426"/>
              </w:tabs>
              <w:spacing w:line="240" w:lineRule="auto"/>
              <w:jc w:val="center"/>
              <w:rPr>
                <w:b/>
                <w:szCs w:val="21"/>
                <w:highlight w:val="none"/>
                <w:u w:val="none"/>
              </w:rPr>
            </w:pPr>
            <w:r>
              <w:rPr>
                <w:rFonts w:hint="eastAsia"/>
                <w:b/>
                <w:szCs w:val="21"/>
                <w:highlight w:val="none"/>
                <w:u w:val="none"/>
              </w:rPr>
              <w:t>项目名称</w:t>
            </w:r>
          </w:p>
        </w:tc>
        <w:tc>
          <w:tcPr>
            <w:tcW w:w="1038" w:type="pct"/>
            <w:shd w:val="clear" w:color="auto" w:fill="auto"/>
            <w:vAlign w:val="center"/>
          </w:tcPr>
          <w:p>
            <w:pPr>
              <w:tabs>
                <w:tab w:val="clear" w:pos="426"/>
              </w:tabs>
              <w:spacing w:line="240" w:lineRule="auto"/>
              <w:jc w:val="center"/>
              <w:rPr>
                <w:b/>
                <w:szCs w:val="21"/>
                <w:highlight w:val="none"/>
                <w:u w:val="none"/>
              </w:rPr>
            </w:pPr>
            <w:r>
              <w:rPr>
                <w:rFonts w:hint="eastAsia"/>
                <w:b/>
                <w:szCs w:val="21"/>
                <w:highlight w:val="none"/>
                <w:u w:val="none"/>
              </w:rPr>
              <w:t>投标总价</w:t>
            </w:r>
          </w:p>
        </w:tc>
        <w:tc>
          <w:tcPr>
            <w:tcW w:w="546" w:type="pct"/>
            <w:shd w:val="clear" w:color="auto" w:fill="auto"/>
            <w:vAlign w:val="center"/>
          </w:tcPr>
          <w:p>
            <w:pPr>
              <w:tabs>
                <w:tab w:val="clear" w:pos="426"/>
              </w:tabs>
              <w:spacing w:line="240" w:lineRule="auto"/>
              <w:jc w:val="center"/>
              <w:rPr>
                <w:b/>
                <w:szCs w:val="21"/>
                <w:highlight w:val="none"/>
                <w:u w:val="none"/>
              </w:rPr>
            </w:pPr>
            <w:r>
              <w:rPr>
                <w:rFonts w:hint="eastAsia"/>
                <w:b/>
                <w:szCs w:val="21"/>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94" w:type="pct"/>
            <w:shd w:val="clear" w:color="auto" w:fill="auto"/>
            <w:vAlign w:val="center"/>
          </w:tcPr>
          <w:p>
            <w:pPr>
              <w:tabs>
                <w:tab w:val="clear" w:pos="426"/>
              </w:tabs>
              <w:jc w:val="center"/>
              <w:rPr>
                <w:bCs/>
                <w:szCs w:val="21"/>
                <w:highlight w:val="none"/>
                <w:u w:val="none"/>
              </w:rPr>
            </w:pPr>
          </w:p>
        </w:tc>
        <w:tc>
          <w:tcPr>
            <w:tcW w:w="2422" w:type="pct"/>
            <w:shd w:val="clear" w:color="auto" w:fill="auto"/>
            <w:vAlign w:val="center"/>
          </w:tcPr>
          <w:p>
            <w:pPr>
              <w:tabs>
                <w:tab w:val="clear" w:pos="426"/>
              </w:tabs>
              <w:jc w:val="center"/>
              <w:rPr>
                <w:b/>
                <w:szCs w:val="21"/>
                <w:highlight w:val="none"/>
                <w:u w:val="none"/>
              </w:rPr>
            </w:pPr>
          </w:p>
        </w:tc>
        <w:tc>
          <w:tcPr>
            <w:tcW w:w="1038" w:type="pct"/>
            <w:shd w:val="clear" w:color="auto" w:fill="auto"/>
            <w:vAlign w:val="center"/>
          </w:tcPr>
          <w:p>
            <w:pPr>
              <w:tabs>
                <w:tab w:val="clear" w:pos="426"/>
              </w:tabs>
              <w:jc w:val="center"/>
              <w:rPr>
                <w:b/>
                <w:szCs w:val="21"/>
                <w:highlight w:val="none"/>
                <w:u w:val="none"/>
              </w:rPr>
            </w:pPr>
          </w:p>
        </w:tc>
        <w:tc>
          <w:tcPr>
            <w:tcW w:w="546" w:type="pct"/>
            <w:shd w:val="clear" w:color="auto" w:fill="auto"/>
            <w:vAlign w:val="center"/>
          </w:tcPr>
          <w:p>
            <w:pPr>
              <w:tabs>
                <w:tab w:val="clear" w:pos="426"/>
              </w:tabs>
              <w:jc w:val="center"/>
              <w:rPr>
                <w:b/>
                <w:szCs w:val="21"/>
                <w:highlight w:val="none"/>
                <w:u w:val="none"/>
              </w:rPr>
            </w:pPr>
          </w:p>
        </w:tc>
      </w:tr>
    </w:tbl>
    <w:p>
      <w:pPr>
        <w:tabs>
          <w:tab w:val="clear" w:pos="426"/>
        </w:tabs>
        <w:spacing w:line="500" w:lineRule="exact"/>
        <w:rPr>
          <w:spacing w:val="4"/>
          <w:highlight w:val="none"/>
          <w:u w:val="none"/>
        </w:rPr>
      </w:pPr>
    </w:p>
    <w:p>
      <w:pPr>
        <w:tabs>
          <w:tab w:val="clear" w:pos="426"/>
        </w:tabs>
        <w:spacing w:line="500" w:lineRule="exact"/>
        <w:rPr>
          <w:highlight w:val="none"/>
          <w:u w:val="none"/>
        </w:rPr>
      </w:pPr>
      <w:r>
        <w:rPr>
          <w:rFonts w:hint="eastAsia"/>
          <w:spacing w:val="4"/>
          <w:highlight w:val="none"/>
          <w:u w:val="none"/>
        </w:rPr>
        <w:t>投标人名称（</w:t>
      </w:r>
      <w:r>
        <w:rPr>
          <w:rFonts w:hint="eastAsia"/>
          <w:highlight w:val="none"/>
          <w:u w:val="none"/>
        </w:rPr>
        <w:t>单位盖</w:t>
      </w:r>
      <w:r>
        <w:rPr>
          <w:rFonts w:hint="eastAsia"/>
          <w:spacing w:val="4"/>
          <w:highlight w:val="none"/>
          <w:u w:val="none"/>
        </w:rPr>
        <w:t>公章）：________________________________________________________</w:t>
      </w:r>
    </w:p>
    <w:p>
      <w:pPr>
        <w:tabs>
          <w:tab w:val="clear" w:pos="426"/>
        </w:tabs>
        <w:spacing w:line="520" w:lineRule="exact"/>
        <w:rPr>
          <w:spacing w:val="4"/>
          <w:highlight w:val="none"/>
          <w:u w:val="none"/>
        </w:rPr>
      </w:pPr>
      <w:r>
        <w:rPr>
          <w:rFonts w:hint="eastAsia"/>
          <w:highlight w:val="none"/>
          <w:u w:val="none"/>
        </w:rPr>
        <w:t>法定代表人或投标人授权代表（签名或盖章）：</w:t>
      </w:r>
      <w:r>
        <w:rPr>
          <w:spacing w:val="4"/>
          <w:highlight w:val="none"/>
          <w:u w:val="none"/>
        </w:rPr>
        <w:t xml:space="preserve">_____________ </w:t>
      </w:r>
      <w:r>
        <w:rPr>
          <w:rFonts w:hint="eastAsia"/>
          <w:spacing w:val="4"/>
          <w:highlight w:val="none"/>
          <w:u w:val="none"/>
        </w:rPr>
        <w:t>职务：</w:t>
      </w:r>
      <w:r>
        <w:rPr>
          <w:spacing w:val="4"/>
          <w:highlight w:val="none"/>
          <w:u w:val="none"/>
        </w:rPr>
        <w:t xml:space="preserve">_______ </w:t>
      </w:r>
      <w:r>
        <w:rPr>
          <w:rFonts w:hint="eastAsia"/>
          <w:spacing w:val="4"/>
          <w:highlight w:val="none"/>
          <w:u w:val="none"/>
        </w:rPr>
        <w:t>日期</w:t>
      </w:r>
      <w:r>
        <w:rPr>
          <w:spacing w:val="4"/>
          <w:highlight w:val="none"/>
          <w:u w:val="none"/>
        </w:rPr>
        <w:t>________</w:t>
      </w:r>
    </w:p>
    <w:p>
      <w:pPr>
        <w:tabs>
          <w:tab w:val="clear" w:pos="426"/>
        </w:tabs>
        <w:spacing w:line="400" w:lineRule="exact"/>
        <w:rPr>
          <w:b/>
          <w:bCs/>
          <w:szCs w:val="21"/>
          <w:highlight w:val="none"/>
        </w:rPr>
      </w:pPr>
    </w:p>
    <w:p>
      <w:pPr>
        <w:tabs>
          <w:tab w:val="clear" w:pos="426"/>
        </w:tabs>
        <w:spacing w:line="400" w:lineRule="exact"/>
        <w:rPr>
          <w:b/>
          <w:bCs/>
          <w:szCs w:val="21"/>
          <w:highlight w:val="none"/>
        </w:rPr>
      </w:pPr>
      <w:r>
        <w:rPr>
          <w:rFonts w:hint="eastAsia"/>
          <w:b/>
          <w:bCs/>
          <w:szCs w:val="21"/>
          <w:highlight w:val="none"/>
        </w:rPr>
        <w:t>备注：</w:t>
      </w:r>
    </w:p>
    <w:p>
      <w:pPr>
        <w:widowControl w:val="0"/>
        <w:numPr>
          <w:ilvl w:val="1"/>
          <w:numId w:val="36"/>
        </w:numPr>
        <w:shd w:val="clear" w:color="auto" w:fill="auto"/>
        <w:tabs>
          <w:tab w:val="clear" w:pos="426"/>
        </w:tabs>
        <w:ind w:left="0" w:firstLine="424" w:firstLineChars="201"/>
        <w:rPr>
          <w:b/>
          <w:bCs/>
          <w:szCs w:val="21"/>
          <w:highlight w:val="none"/>
        </w:rPr>
      </w:pPr>
      <w:r>
        <w:rPr>
          <w:b/>
          <w:highlight w:val="none"/>
        </w:rPr>
        <w:t>此表</w:t>
      </w:r>
      <w:r>
        <w:rPr>
          <w:rFonts w:hint="eastAsia"/>
          <w:b/>
          <w:highlight w:val="none"/>
        </w:rPr>
        <w:t>为投标文件的组成部分，</w:t>
      </w:r>
      <w:r>
        <w:rPr>
          <w:b/>
          <w:highlight w:val="none"/>
        </w:rPr>
        <w:t>须附在正、副本的投标文件中，并另封装一份于开标信封中</w:t>
      </w:r>
      <w:r>
        <w:rPr>
          <w:rFonts w:hint="eastAsia"/>
          <w:b/>
          <w:highlight w:val="none"/>
        </w:rPr>
        <w:t>（信封中须同时提供法定代表人证明书、法定代表人授权委托书、被授权人身份证复印件）。</w:t>
      </w:r>
    </w:p>
    <w:p>
      <w:pPr>
        <w:widowControl w:val="0"/>
        <w:numPr>
          <w:ilvl w:val="1"/>
          <w:numId w:val="36"/>
        </w:numPr>
        <w:shd w:val="clear" w:color="auto" w:fill="auto"/>
        <w:tabs>
          <w:tab w:val="clear" w:pos="426"/>
        </w:tabs>
        <w:ind w:left="0" w:firstLine="424" w:firstLineChars="201"/>
        <w:rPr>
          <w:b/>
          <w:bCs/>
          <w:szCs w:val="21"/>
          <w:highlight w:val="none"/>
        </w:rPr>
      </w:pPr>
      <w:r>
        <w:rPr>
          <w:rFonts w:hint="eastAsia"/>
          <w:b/>
          <w:highlight w:val="none"/>
        </w:rPr>
        <w:t>此表内投标报价为最终价，开标信封及投标文件内不得含有任何对本报价进行修改的其他说明或资料，否则将导致投标无效</w:t>
      </w:r>
      <w:r>
        <w:rPr>
          <w:rFonts w:hint="eastAsia"/>
          <w:b/>
          <w:bCs/>
          <w:szCs w:val="21"/>
          <w:highlight w:val="none"/>
        </w:rPr>
        <w:t>。</w:t>
      </w:r>
    </w:p>
    <w:p>
      <w:pPr>
        <w:widowControl w:val="0"/>
        <w:numPr>
          <w:ilvl w:val="1"/>
          <w:numId w:val="36"/>
        </w:numPr>
        <w:shd w:val="clear" w:color="auto" w:fill="auto"/>
        <w:tabs>
          <w:tab w:val="clear" w:pos="426"/>
        </w:tabs>
        <w:ind w:left="0" w:firstLine="424" w:firstLineChars="201"/>
        <w:rPr>
          <w:highlight w:val="none"/>
        </w:rPr>
      </w:pPr>
      <w:r>
        <w:rPr>
          <w:rFonts w:hint="eastAsia"/>
          <w:b/>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提供报价合理性说明的方式，包括但不限于现场提交、电子邮件提交等其他便捷方式。若评审委员会成员对是否须由投标人作出报价合理性说明，以及书面说明是否采纳等判断不一致的，按照“少数服从多数”的原则确定评审委员会的意见。</w:t>
      </w:r>
    </w:p>
    <w:p>
      <w:pPr>
        <w:shd w:val="clear" w:color="auto" w:fill="auto"/>
        <w:tabs>
          <w:tab w:val="clear" w:pos="426"/>
        </w:tabs>
        <w:adjustRightInd/>
        <w:snapToGrid/>
        <w:spacing w:line="240" w:lineRule="auto"/>
        <w:jc w:val="left"/>
        <w:rPr>
          <w:i/>
          <w:iCs/>
          <w:color w:val="00B050"/>
          <w:highlight w:val="none"/>
        </w:rPr>
      </w:pPr>
      <w:r>
        <w:rPr>
          <w:highlight w:val="none"/>
        </w:rPr>
        <w:br w:type="page"/>
      </w:r>
    </w:p>
    <w:p>
      <w:pPr>
        <w:pStyle w:val="319"/>
        <w:rPr>
          <w:highlight w:val="none"/>
        </w:rPr>
      </w:pPr>
      <w:r>
        <w:rPr>
          <w:rFonts w:hint="eastAsia"/>
          <w:highlight w:val="none"/>
        </w:rPr>
        <w:t>投标分项报价表</w:t>
      </w:r>
    </w:p>
    <w:p>
      <w:pPr>
        <w:widowControl w:val="0"/>
        <w:shd w:val="clear" w:color="auto" w:fill="auto"/>
        <w:tabs>
          <w:tab w:val="clear" w:pos="426"/>
        </w:tabs>
        <w:spacing w:line="300" w:lineRule="auto"/>
        <w:jc w:val="center"/>
        <w:rPr>
          <w:rFonts w:cs="Times New Roman"/>
          <w:bCs/>
          <w:kern w:val="2"/>
          <w:sz w:val="32"/>
          <w:szCs w:val="32"/>
          <w:highlight w:val="none"/>
        </w:rPr>
      </w:pPr>
      <w:bookmarkStart w:id="71" w:name="_Toc480754209"/>
      <w:bookmarkStart w:id="72" w:name="_Toc275865611"/>
      <w:bookmarkStart w:id="73" w:name="_Toc192662843"/>
      <w:bookmarkStart w:id="74" w:name="_Toc480789480"/>
      <w:bookmarkStart w:id="75" w:name="_Toc480755930"/>
      <w:bookmarkStart w:id="76" w:name="_Toc480756076"/>
      <w:r>
        <w:rPr>
          <w:rFonts w:hint="eastAsia" w:cs="Times New Roman"/>
          <w:bCs/>
          <w:kern w:val="2"/>
          <w:sz w:val="32"/>
          <w:szCs w:val="32"/>
          <w:highlight w:val="none"/>
        </w:rPr>
        <w:t>投标分项报价表</w:t>
      </w:r>
      <w:bookmarkEnd w:id="71"/>
      <w:bookmarkEnd w:id="72"/>
      <w:bookmarkEnd w:id="73"/>
      <w:bookmarkEnd w:id="74"/>
      <w:bookmarkEnd w:id="75"/>
      <w:bookmarkEnd w:id="76"/>
    </w:p>
    <w:p>
      <w:pPr>
        <w:tabs>
          <w:tab w:val="clear" w:pos="426"/>
        </w:tabs>
        <w:rPr>
          <w:highlight w:val="none"/>
          <w:u w:val="none"/>
        </w:rPr>
      </w:pPr>
    </w:p>
    <w:p>
      <w:pPr>
        <w:tabs>
          <w:tab w:val="clear" w:pos="426"/>
        </w:tabs>
        <w:rPr>
          <w:highlight w:val="none"/>
          <w:u w:val="none"/>
        </w:rPr>
      </w:pPr>
      <w:r>
        <w:rPr>
          <w:rFonts w:hint="eastAsia"/>
          <w:highlight w:val="none"/>
          <w:u w:val="none"/>
        </w:rPr>
        <w:t>项目名称：______________________________________采购项目编号：</w:t>
      </w:r>
      <w:r>
        <w:rPr>
          <w:rFonts w:hint="eastAsia" w:ascii="ˎ̥" w:hAnsi="ˎ̥"/>
          <w:sz w:val="18"/>
          <w:szCs w:val="18"/>
          <w:highlight w:val="none"/>
          <w:u w:val="none"/>
        </w:rPr>
        <w:t>______________________</w:t>
      </w:r>
    </w:p>
    <w:p>
      <w:pPr>
        <w:tabs>
          <w:tab w:val="clear" w:pos="426"/>
        </w:tabs>
        <w:jc w:val="center"/>
        <w:rPr>
          <w:b/>
          <w:spacing w:val="4"/>
          <w:sz w:val="24"/>
          <w:highlight w:val="none"/>
        </w:rPr>
      </w:pPr>
      <w:r>
        <w:rPr>
          <w:rFonts w:hint="eastAsia"/>
          <w:b/>
          <w:spacing w:val="4"/>
          <w:sz w:val="24"/>
          <w:highlight w:val="none"/>
        </w:rPr>
        <w:t>（格式自定）</w:t>
      </w:r>
    </w:p>
    <w:p>
      <w:pPr>
        <w:tabs>
          <w:tab w:val="clear" w:pos="426"/>
        </w:tabs>
        <w:spacing w:line="500" w:lineRule="exact"/>
        <w:rPr>
          <w:spacing w:val="4"/>
          <w:highlight w:val="none"/>
        </w:rPr>
      </w:pPr>
    </w:p>
    <w:p>
      <w:pPr>
        <w:tabs>
          <w:tab w:val="clear" w:pos="426"/>
        </w:tabs>
        <w:spacing w:line="500" w:lineRule="exact"/>
        <w:rPr>
          <w:spacing w:val="4"/>
          <w:highlight w:val="none"/>
        </w:rPr>
      </w:pPr>
    </w:p>
    <w:p>
      <w:pPr>
        <w:tabs>
          <w:tab w:val="clear" w:pos="426"/>
        </w:tabs>
        <w:spacing w:line="500" w:lineRule="exact"/>
        <w:rPr>
          <w:spacing w:val="4"/>
          <w:highlight w:val="none"/>
        </w:rPr>
      </w:pPr>
    </w:p>
    <w:p>
      <w:pPr>
        <w:tabs>
          <w:tab w:val="clear" w:pos="426"/>
        </w:tabs>
        <w:spacing w:line="500" w:lineRule="exact"/>
        <w:rPr>
          <w:spacing w:val="4"/>
          <w:highlight w:val="none"/>
        </w:rPr>
      </w:pPr>
    </w:p>
    <w:p>
      <w:pPr>
        <w:tabs>
          <w:tab w:val="clear" w:pos="426"/>
        </w:tabs>
        <w:spacing w:line="500" w:lineRule="exact"/>
        <w:rPr>
          <w:spacing w:val="4"/>
          <w:highlight w:val="none"/>
        </w:rPr>
      </w:pPr>
    </w:p>
    <w:p>
      <w:pPr>
        <w:tabs>
          <w:tab w:val="clear" w:pos="426"/>
        </w:tabs>
        <w:spacing w:line="500" w:lineRule="exact"/>
        <w:rPr>
          <w:spacing w:val="4"/>
          <w:highlight w:val="none"/>
        </w:rPr>
      </w:pPr>
    </w:p>
    <w:p>
      <w:pPr>
        <w:tabs>
          <w:tab w:val="clear" w:pos="426"/>
        </w:tabs>
        <w:spacing w:line="500" w:lineRule="exact"/>
        <w:rPr>
          <w:spacing w:val="4"/>
          <w:highlight w:val="none"/>
        </w:rPr>
      </w:pPr>
    </w:p>
    <w:p>
      <w:pPr>
        <w:tabs>
          <w:tab w:val="clear" w:pos="426"/>
        </w:tabs>
        <w:spacing w:line="500" w:lineRule="exact"/>
        <w:rPr>
          <w:spacing w:val="4"/>
          <w:highlight w:val="none"/>
        </w:rPr>
      </w:pPr>
    </w:p>
    <w:p>
      <w:pPr>
        <w:tabs>
          <w:tab w:val="clear" w:pos="426"/>
        </w:tabs>
        <w:spacing w:line="500" w:lineRule="exact"/>
        <w:rPr>
          <w:highlight w:val="none"/>
          <w:u w:val="none"/>
        </w:rPr>
      </w:pPr>
      <w:r>
        <w:rPr>
          <w:rFonts w:hint="eastAsia"/>
          <w:spacing w:val="4"/>
          <w:highlight w:val="none"/>
        </w:rPr>
        <w:t>投标人名称（</w:t>
      </w:r>
      <w:r>
        <w:rPr>
          <w:rFonts w:hint="eastAsia"/>
          <w:highlight w:val="none"/>
        </w:rPr>
        <w:t>单位盖</w:t>
      </w:r>
      <w:r>
        <w:rPr>
          <w:rFonts w:hint="eastAsia"/>
          <w:spacing w:val="4"/>
          <w:highlight w:val="none"/>
        </w:rPr>
        <w:t>公章）</w:t>
      </w:r>
      <w:r>
        <w:rPr>
          <w:rFonts w:hint="eastAsia"/>
          <w:spacing w:val="4"/>
          <w:highlight w:val="none"/>
          <w:u w:val="none"/>
        </w:rPr>
        <w:t>：________________________________________________________</w:t>
      </w:r>
    </w:p>
    <w:p>
      <w:pPr>
        <w:tabs>
          <w:tab w:val="clear" w:pos="426"/>
        </w:tabs>
        <w:spacing w:line="520" w:lineRule="exact"/>
        <w:rPr>
          <w:spacing w:val="4"/>
          <w:highlight w:val="none"/>
          <w:u w:val="none"/>
        </w:rPr>
      </w:pPr>
      <w:r>
        <w:rPr>
          <w:rFonts w:hint="eastAsia"/>
          <w:highlight w:val="none"/>
          <w:u w:val="none"/>
        </w:rPr>
        <w:t>法定代表人或投标人授权代表（签名或盖章）：</w:t>
      </w:r>
      <w:r>
        <w:rPr>
          <w:spacing w:val="4"/>
          <w:highlight w:val="none"/>
          <w:u w:val="none"/>
        </w:rPr>
        <w:t>_________</w:t>
      </w:r>
      <w:r>
        <w:rPr>
          <w:rFonts w:hint="eastAsia"/>
          <w:spacing w:val="4"/>
          <w:highlight w:val="none"/>
          <w:u w:val="none"/>
        </w:rPr>
        <w:t>_</w:t>
      </w:r>
      <w:r>
        <w:rPr>
          <w:spacing w:val="4"/>
          <w:highlight w:val="none"/>
          <w:u w:val="none"/>
        </w:rPr>
        <w:t xml:space="preserve">___ </w:t>
      </w:r>
      <w:r>
        <w:rPr>
          <w:rFonts w:hint="eastAsia"/>
          <w:spacing w:val="4"/>
          <w:highlight w:val="none"/>
          <w:u w:val="none"/>
        </w:rPr>
        <w:t>职务：</w:t>
      </w:r>
      <w:r>
        <w:rPr>
          <w:spacing w:val="4"/>
          <w:highlight w:val="none"/>
          <w:u w:val="none"/>
        </w:rPr>
        <w:t xml:space="preserve">_______ </w:t>
      </w:r>
      <w:r>
        <w:rPr>
          <w:rFonts w:hint="eastAsia"/>
          <w:spacing w:val="4"/>
          <w:highlight w:val="none"/>
          <w:u w:val="none"/>
        </w:rPr>
        <w:t>日期</w:t>
      </w:r>
      <w:r>
        <w:rPr>
          <w:spacing w:val="4"/>
          <w:highlight w:val="none"/>
          <w:u w:val="none"/>
        </w:rPr>
        <w:t>________</w:t>
      </w:r>
    </w:p>
    <w:p>
      <w:pPr>
        <w:tabs>
          <w:tab w:val="clear" w:pos="426"/>
        </w:tabs>
        <w:spacing w:line="400" w:lineRule="exact"/>
        <w:ind w:left="750" w:hanging="749" w:hangingChars="357"/>
        <w:rPr>
          <w:highlight w:val="none"/>
        </w:rPr>
      </w:pPr>
    </w:p>
    <w:p>
      <w:pPr>
        <w:tabs>
          <w:tab w:val="clear" w:pos="426"/>
        </w:tabs>
        <w:spacing w:line="400" w:lineRule="exact"/>
        <w:ind w:left="750" w:hanging="749" w:hangingChars="357"/>
        <w:rPr>
          <w:highlight w:val="none"/>
        </w:rPr>
      </w:pPr>
      <w:r>
        <w:rPr>
          <w:rFonts w:hint="eastAsia"/>
          <w:highlight w:val="none"/>
        </w:rPr>
        <w:t>备注：</w:t>
      </w:r>
    </w:p>
    <w:p>
      <w:pPr>
        <w:tabs>
          <w:tab w:val="clear" w:pos="426"/>
        </w:tabs>
        <w:spacing w:line="400" w:lineRule="exact"/>
        <w:ind w:left="749" w:leftChars="200" w:hanging="329" w:hangingChars="157"/>
        <w:rPr>
          <w:highlight w:val="none"/>
        </w:rPr>
      </w:pPr>
      <w:r>
        <w:rPr>
          <w:highlight w:val="none"/>
        </w:rPr>
        <w:t>1.</w:t>
      </w:r>
      <w:r>
        <w:rPr>
          <w:rFonts w:hint="eastAsia"/>
          <w:highlight w:val="none"/>
        </w:rPr>
        <w:t xml:space="preserve"> 此表为《开标一览表(报价表)》的报价明细表。</w:t>
      </w:r>
    </w:p>
    <w:p>
      <w:pPr>
        <w:tabs>
          <w:tab w:val="clear" w:pos="426"/>
        </w:tabs>
        <w:spacing w:line="400" w:lineRule="exact"/>
        <w:ind w:left="749" w:leftChars="200" w:hanging="329" w:hangingChars="157"/>
        <w:rPr>
          <w:highlight w:val="none"/>
        </w:rPr>
      </w:pPr>
      <w:r>
        <w:rPr>
          <w:rFonts w:hint="eastAsia"/>
          <w:highlight w:val="none"/>
        </w:rPr>
        <w:t>2. 所有价格均以人民币作为货币单位填写及计算。</w:t>
      </w:r>
    </w:p>
    <w:p>
      <w:pPr>
        <w:tabs>
          <w:tab w:val="clear" w:pos="426"/>
        </w:tabs>
        <w:spacing w:line="400" w:lineRule="exact"/>
        <w:ind w:left="539" w:leftChars="200" w:hanging="119" w:hangingChars="57"/>
        <w:rPr>
          <w:highlight w:val="none"/>
        </w:rPr>
      </w:pPr>
      <w:r>
        <w:rPr>
          <w:rFonts w:hint="eastAsia"/>
          <w:highlight w:val="none"/>
        </w:rPr>
        <w:t>3. 该格式仅作参考，投标人的详细报价表格式可自定。</w:t>
      </w:r>
    </w:p>
    <w:p>
      <w:pPr>
        <w:tabs>
          <w:tab w:val="clear" w:pos="426"/>
        </w:tabs>
        <w:spacing w:line="400" w:lineRule="exact"/>
        <w:ind w:left="539" w:leftChars="200" w:hanging="119" w:hangingChars="57"/>
        <w:rPr>
          <w:highlight w:val="none"/>
        </w:rPr>
      </w:pPr>
    </w:p>
    <w:p>
      <w:pPr>
        <w:tabs>
          <w:tab w:val="clear" w:pos="426"/>
        </w:tabs>
        <w:spacing w:line="400" w:lineRule="exact"/>
        <w:ind w:left="539" w:leftChars="200" w:hanging="119" w:hangingChars="57"/>
        <w:rPr>
          <w:highlight w:val="none"/>
        </w:rPr>
      </w:pPr>
    </w:p>
    <w:p>
      <w:pPr>
        <w:shd w:val="clear" w:color="auto" w:fill="auto"/>
        <w:tabs>
          <w:tab w:val="clear" w:pos="426"/>
        </w:tabs>
        <w:adjustRightInd/>
        <w:snapToGrid/>
        <w:spacing w:line="240" w:lineRule="auto"/>
        <w:jc w:val="left"/>
        <w:rPr>
          <w:highlight w:val="none"/>
        </w:rPr>
      </w:pPr>
      <w:r>
        <w:rPr>
          <w:highlight w:val="none"/>
        </w:rPr>
        <w:br w:type="page"/>
      </w:r>
    </w:p>
    <w:p>
      <w:pPr>
        <w:pStyle w:val="319"/>
        <w:rPr>
          <w:bCs/>
          <w:highlight w:val="none"/>
        </w:rPr>
      </w:pPr>
      <w:r>
        <w:rPr>
          <w:rFonts w:hint="eastAsia"/>
          <w:highlight w:val="none"/>
        </w:rPr>
        <w:t>实质性条款响应情况表</w:t>
      </w:r>
    </w:p>
    <w:p>
      <w:pPr>
        <w:widowControl w:val="0"/>
        <w:shd w:val="clear" w:color="auto" w:fill="auto"/>
        <w:tabs>
          <w:tab w:val="clear" w:pos="426"/>
        </w:tabs>
        <w:spacing w:line="300" w:lineRule="auto"/>
        <w:jc w:val="center"/>
        <w:rPr>
          <w:rFonts w:cs="Times New Roman"/>
          <w:bCs/>
          <w:kern w:val="2"/>
          <w:sz w:val="32"/>
          <w:szCs w:val="32"/>
          <w:highlight w:val="none"/>
        </w:rPr>
      </w:pPr>
      <w:r>
        <w:rPr>
          <w:rFonts w:hint="eastAsia" w:cs="Times New Roman"/>
          <w:bCs/>
          <w:kern w:val="2"/>
          <w:sz w:val="32"/>
          <w:szCs w:val="32"/>
          <w:highlight w:val="none"/>
        </w:rPr>
        <w:t>实质性条款响应情况表</w:t>
      </w:r>
    </w:p>
    <w:p>
      <w:pPr>
        <w:tabs>
          <w:tab w:val="clear" w:pos="426"/>
        </w:tabs>
        <w:rPr>
          <w:highlight w:val="none"/>
          <w:u w:val="none"/>
        </w:rPr>
      </w:pPr>
      <w:r>
        <w:rPr>
          <w:rFonts w:hint="eastAsia"/>
          <w:highlight w:val="none"/>
        </w:rPr>
        <w:t>项目名称：</w:t>
      </w:r>
      <w:r>
        <w:rPr>
          <w:highlight w:val="none"/>
          <w:u w:val="single"/>
        </w:rPr>
        <w:t>_</w:t>
      </w:r>
      <w:r>
        <w:rPr>
          <w:highlight w:val="none"/>
          <w:u w:val="none"/>
        </w:rPr>
        <w:t>__________________________________</w:t>
      </w:r>
      <w:r>
        <w:rPr>
          <w:rFonts w:hint="eastAsia"/>
          <w:highlight w:val="none"/>
          <w:u w:val="none"/>
        </w:rPr>
        <w:t>采购项目编号：</w:t>
      </w:r>
      <w:r>
        <w:rPr>
          <w:highlight w:val="none"/>
          <w:u w:val="none"/>
        </w:rPr>
        <w:t>_______________________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4412"/>
        <w:gridCol w:w="3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szCs w:val="21"/>
                <w:highlight w:val="none"/>
              </w:rPr>
            </w:pPr>
            <w:r>
              <w:rPr>
                <w:rFonts w:hint="eastAsia"/>
                <w:szCs w:val="21"/>
                <w:highlight w:val="none"/>
              </w:rPr>
              <w:t>序号</w:t>
            </w:r>
          </w:p>
        </w:tc>
        <w:tc>
          <w:tcPr>
            <w:tcW w:w="2305" w:type="pct"/>
            <w:vAlign w:val="center"/>
          </w:tcPr>
          <w:p>
            <w:pPr>
              <w:spacing w:line="240" w:lineRule="auto"/>
              <w:jc w:val="center"/>
              <w:rPr>
                <w:rFonts w:cs="Arial"/>
                <w:szCs w:val="21"/>
                <w:highlight w:val="none"/>
              </w:rPr>
            </w:pPr>
            <w:r>
              <w:rPr>
                <w:rFonts w:hint="eastAsia" w:cs="Arial"/>
                <w:szCs w:val="21"/>
                <w:highlight w:val="none"/>
              </w:rPr>
              <w:t>招标文件要求内容</w:t>
            </w:r>
          </w:p>
        </w:tc>
        <w:tc>
          <w:tcPr>
            <w:tcW w:w="2083" w:type="pct"/>
            <w:vAlign w:val="center"/>
          </w:tcPr>
          <w:p>
            <w:pPr>
              <w:spacing w:line="240" w:lineRule="auto"/>
              <w:jc w:val="center"/>
              <w:rPr>
                <w:rFonts w:cs="Arial"/>
                <w:szCs w:val="21"/>
                <w:highlight w:val="none"/>
              </w:rPr>
            </w:pPr>
            <w:r>
              <w:rPr>
                <w:rFonts w:hint="eastAsia" w:cs="Arial"/>
                <w:szCs w:val="21"/>
                <w:highlight w:val="none"/>
              </w:rPr>
              <w:t>投标文件响应情况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color w:val="000000"/>
                <w:highlight w:val="none"/>
              </w:rPr>
            </w:pPr>
            <w:r>
              <w:rPr>
                <w:rFonts w:hint="eastAsia"/>
                <w:highlight w:val="none"/>
              </w:rPr>
              <w:t>1</w:t>
            </w:r>
          </w:p>
        </w:tc>
        <w:tc>
          <w:tcPr>
            <w:tcW w:w="2305" w:type="pct"/>
            <w:vAlign w:val="center"/>
          </w:tcPr>
          <w:p>
            <w:pPr>
              <w:spacing w:line="240" w:lineRule="auto"/>
              <w:jc w:val="left"/>
              <w:rPr>
                <w:color w:val="000000"/>
                <w:highlight w:val="none"/>
              </w:rPr>
            </w:pPr>
            <w:r>
              <w:rPr>
                <w:rFonts w:hint="eastAsia" w:ascii="Times New Roman"/>
                <w:highlight w:val="none"/>
              </w:rPr>
              <w:t>凡出现《资格性审查表》及《符合性审查表》中情形之一的，将导致投标无效。以评审现场结论为准。</w:t>
            </w:r>
          </w:p>
        </w:tc>
        <w:tc>
          <w:tcPr>
            <w:tcW w:w="2083" w:type="pct"/>
            <w:vAlign w:val="center"/>
          </w:tcPr>
          <w:p>
            <w:pPr>
              <w:spacing w:line="240" w:lineRule="auto"/>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color w:val="000000"/>
                <w:highlight w:val="none"/>
              </w:rPr>
            </w:pPr>
            <w:r>
              <w:rPr>
                <w:rFonts w:hint="eastAsia"/>
                <w:highlight w:val="none"/>
              </w:rPr>
              <w:t>2</w:t>
            </w:r>
          </w:p>
        </w:tc>
        <w:tc>
          <w:tcPr>
            <w:tcW w:w="2305" w:type="pct"/>
            <w:vAlign w:val="center"/>
          </w:tcPr>
          <w:p>
            <w:pPr>
              <w:spacing w:line="240" w:lineRule="auto"/>
              <w:jc w:val="left"/>
              <w:rPr>
                <w:color w:val="000000"/>
                <w:highlight w:val="none"/>
              </w:rPr>
            </w:pPr>
            <w:r>
              <w:rPr>
                <w:rFonts w:hint="eastAsia" w:ascii="Times New Roman"/>
                <w:highlight w:val="none"/>
              </w:rPr>
              <w:t>完全满足本项目服务期限的要求。</w:t>
            </w:r>
          </w:p>
        </w:tc>
        <w:tc>
          <w:tcPr>
            <w:tcW w:w="2083" w:type="pct"/>
            <w:vAlign w:val="center"/>
          </w:tcPr>
          <w:p>
            <w:pPr>
              <w:spacing w:line="240" w:lineRule="auto"/>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color w:val="000000"/>
                <w:highlight w:val="none"/>
              </w:rPr>
            </w:pPr>
            <w:r>
              <w:rPr>
                <w:rFonts w:hint="eastAsia"/>
                <w:highlight w:val="none"/>
              </w:rPr>
              <w:t>3</w:t>
            </w:r>
          </w:p>
        </w:tc>
        <w:tc>
          <w:tcPr>
            <w:tcW w:w="2305" w:type="pct"/>
            <w:vAlign w:val="center"/>
          </w:tcPr>
          <w:p>
            <w:pPr>
              <w:spacing w:line="240" w:lineRule="auto"/>
              <w:jc w:val="left"/>
              <w:rPr>
                <w:color w:val="000000"/>
                <w:highlight w:val="none"/>
              </w:rPr>
            </w:pPr>
            <w:r>
              <w:rPr>
                <w:rFonts w:hint="eastAsia" w:ascii="Times New Roman"/>
                <w:highlight w:val="none"/>
              </w:rPr>
              <w:t>实质性技术要求（以“★”标注）若出现不响应或任何的负偏离，将导致投标无效。以《实质性条款响应情况表》和《项目需求响应情况表（实质性条款除外）》为准。</w:t>
            </w:r>
          </w:p>
        </w:tc>
        <w:tc>
          <w:tcPr>
            <w:tcW w:w="2083" w:type="pct"/>
            <w:vAlign w:val="center"/>
          </w:tcPr>
          <w:p>
            <w:pPr>
              <w:spacing w:line="240" w:lineRule="auto"/>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highlight w:val="none"/>
              </w:rPr>
            </w:pPr>
            <w:r>
              <w:rPr>
                <w:rFonts w:hint="eastAsia"/>
                <w:highlight w:val="none"/>
              </w:rPr>
              <w:t>3</w:t>
            </w:r>
            <w:r>
              <w:rPr>
                <w:highlight w:val="none"/>
              </w:rPr>
              <w:t>.1</w:t>
            </w:r>
          </w:p>
        </w:tc>
        <w:tc>
          <w:tcPr>
            <w:tcW w:w="2305" w:type="pct"/>
            <w:vAlign w:val="center"/>
          </w:tcPr>
          <w:p>
            <w:pPr>
              <w:spacing w:line="240" w:lineRule="auto"/>
              <w:jc w:val="left"/>
              <w:rPr>
                <w:rFonts w:ascii="Times New Roman"/>
                <w:highlight w:val="none"/>
              </w:rPr>
            </w:pPr>
            <w:r>
              <w:rPr>
                <w:rFonts w:hint="eastAsia" w:ascii="Times New Roman"/>
                <w:highlight w:val="none"/>
              </w:rPr>
              <w:t>★</w:t>
            </w:r>
          </w:p>
        </w:tc>
        <w:tc>
          <w:tcPr>
            <w:tcW w:w="2083" w:type="pct"/>
            <w:vAlign w:val="center"/>
          </w:tcPr>
          <w:p>
            <w:pPr>
              <w:spacing w:line="240" w:lineRule="auto"/>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highlight w:val="none"/>
              </w:rPr>
            </w:pPr>
            <w:r>
              <w:rPr>
                <w:rFonts w:hint="eastAsia"/>
                <w:highlight w:val="none"/>
              </w:rPr>
              <w:t>3</w:t>
            </w:r>
            <w:r>
              <w:rPr>
                <w:highlight w:val="none"/>
              </w:rPr>
              <w:t>.2</w:t>
            </w:r>
          </w:p>
        </w:tc>
        <w:tc>
          <w:tcPr>
            <w:tcW w:w="2305" w:type="pct"/>
            <w:vAlign w:val="center"/>
          </w:tcPr>
          <w:p>
            <w:pPr>
              <w:spacing w:line="240" w:lineRule="auto"/>
              <w:jc w:val="left"/>
              <w:rPr>
                <w:rFonts w:ascii="Times New Roman"/>
                <w:highlight w:val="none"/>
              </w:rPr>
            </w:pPr>
            <w:r>
              <w:rPr>
                <w:rFonts w:hint="eastAsia" w:ascii="Times New Roman"/>
                <w:highlight w:val="none"/>
              </w:rPr>
              <w:t>★</w:t>
            </w:r>
          </w:p>
        </w:tc>
        <w:tc>
          <w:tcPr>
            <w:tcW w:w="2083" w:type="pct"/>
            <w:vAlign w:val="center"/>
          </w:tcPr>
          <w:p>
            <w:pPr>
              <w:spacing w:line="240" w:lineRule="auto"/>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highlight w:val="none"/>
              </w:rPr>
            </w:pPr>
            <w:r>
              <w:rPr>
                <w:rFonts w:hint="eastAsia"/>
                <w:highlight w:val="none"/>
              </w:rPr>
              <w:t>3</w:t>
            </w:r>
            <w:r>
              <w:rPr>
                <w:highlight w:val="none"/>
              </w:rPr>
              <w:t>.3</w:t>
            </w:r>
          </w:p>
        </w:tc>
        <w:tc>
          <w:tcPr>
            <w:tcW w:w="2305" w:type="pct"/>
            <w:vAlign w:val="center"/>
          </w:tcPr>
          <w:p>
            <w:pPr>
              <w:spacing w:line="240" w:lineRule="auto"/>
              <w:jc w:val="left"/>
              <w:rPr>
                <w:rFonts w:ascii="Times New Roman"/>
                <w:highlight w:val="none"/>
              </w:rPr>
            </w:pPr>
            <w:r>
              <w:rPr>
                <w:rFonts w:hint="eastAsia" w:ascii="Times New Roman"/>
                <w:highlight w:val="none"/>
              </w:rPr>
              <w:t>★</w:t>
            </w:r>
          </w:p>
        </w:tc>
        <w:tc>
          <w:tcPr>
            <w:tcW w:w="2083" w:type="pct"/>
            <w:vAlign w:val="center"/>
          </w:tcPr>
          <w:p>
            <w:pPr>
              <w:spacing w:line="240" w:lineRule="auto"/>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pacing w:line="240" w:lineRule="auto"/>
              <w:jc w:val="center"/>
              <w:rPr>
                <w:highlight w:val="none"/>
              </w:rPr>
            </w:pPr>
            <w:r>
              <w:rPr>
                <w:rFonts w:hint="eastAsia"/>
                <w:highlight w:val="none"/>
              </w:rPr>
              <w:t>……</w:t>
            </w:r>
          </w:p>
        </w:tc>
        <w:tc>
          <w:tcPr>
            <w:tcW w:w="2305" w:type="pct"/>
            <w:vAlign w:val="center"/>
          </w:tcPr>
          <w:p>
            <w:pPr>
              <w:spacing w:line="240" w:lineRule="auto"/>
              <w:jc w:val="left"/>
              <w:rPr>
                <w:rFonts w:ascii="Times New Roman"/>
                <w:highlight w:val="none"/>
              </w:rPr>
            </w:pPr>
          </w:p>
        </w:tc>
        <w:tc>
          <w:tcPr>
            <w:tcW w:w="2083" w:type="pct"/>
            <w:vAlign w:val="center"/>
          </w:tcPr>
          <w:p>
            <w:pPr>
              <w:spacing w:line="240" w:lineRule="auto"/>
              <w:jc w:val="left"/>
              <w:rPr>
                <w:szCs w:val="21"/>
                <w:highlight w:val="none"/>
              </w:rPr>
            </w:pPr>
          </w:p>
        </w:tc>
      </w:tr>
    </w:tbl>
    <w:p>
      <w:pPr>
        <w:tabs>
          <w:tab w:val="clear" w:pos="426"/>
        </w:tabs>
        <w:spacing w:line="400" w:lineRule="exact"/>
        <w:ind w:left="539" w:leftChars="200" w:hanging="119" w:hangingChars="57"/>
        <w:rPr>
          <w:highlight w:val="none"/>
        </w:rPr>
      </w:pPr>
    </w:p>
    <w:p>
      <w:pPr>
        <w:rPr>
          <w:bCs/>
          <w:highlight w:val="none"/>
        </w:rPr>
      </w:pPr>
      <w:r>
        <w:rPr>
          <w:rFonts w:hint="eastAsia"/>
          <w:bCs/>
          <w:highlight w:val="none"/>
        </w:rPr>
        <w:t>填写说明：</w:t>
      </w:r>
    </w:p>
    <w:p>
      <w:pPr>
        <w:ind w:firstLine="420" w:firstLineChars="200"/>
        <w:rPr>
          <w:bCs/>
          <w:highlight w:val="none"/>
        </w:rPr>
      </w:pPr>
      <w:r>
        <w:rPr>
          <w:bCs/>
          <w:highlight w:val="none"/>
        </w:rPr>
        <w:t>1.上表所列内容为不可负偏离条款。</w:t>
      </w:r>
      <w:r>
        <w:rPr>
          <w:rFonts w:hint="eastAsia"/>
          <w:bCs/>
          <w:highlight w:val="none"/>
        </w:rPr>
        <w:t>出现负偏离或未响应的，将导致投标无效。</w:t>
      </w:r>
    </w:p>
    <w:p>
      <w:pPr>
        <w:ind w:firstLine="420" w:firstLineChars="200"/>
        <w:rPr>
          <w:bCs/>
          <w:highlight w:val="none"/>
        </w:rPr>
      </w:pPr>
      <w:r>
        <w:rPr>
          <w:bCs/>
          <w:highlight w:val="none"/>
        </w:rPr>
        <w:t>2.“投标人响应情况”一栏应如实填写“响应”或“不响应”。</w:t>
      </w:r>
    </w:p>
    <w:p>
      <w:pPr>
        <w:ind w:firstLine="420" w:firstLineChars="200"/>
        <w:rPr>
          <w:bCs/>
          <w:highlight w:val="none"/>
        </w:rPr>
      </w:pPr>
      <w:r>
        <w:rPr>
          <w:bCs/>
          <w:highlight w:val="none"/>
        </w:rPr>
        <w:t>3.</w:t>
      </w:r>
      <w:r>
        <w:rPr>
          <w:rFonts w:hint="eastAsia"/>
          <w:bCs/>
          <w:highlight w:val="none"/>
        </w:rPr>
        <w:t>上表</w:t>
      </w:r>
      <w:r>
        <w:rPr>
          <w:bCs/>
          <w:highlight w:val="none"/>
        </w:rPr>
        <w:t>与投标文件其它内容冲突的，以</w:t>
      </w:r>
      <w:r>
        <w:rPr>
          <w:rFonts w:hint="eastAsia"/>
          <w:bCs/>
          <w:highlight w:val="none"/>
        </w:rPr>
        <w:t>上表</w:t>
      </w:r>
      <w:r>
        <w:rPr>
          <w:bCs/>
          <w:highlight w:val="none"/>
        </w:rPr>
        <w:t>为准。</w:t>
      </w:r>
    </w:p>
    <w:p>
      <w:pPr>
        <w:ind w:firstLine="420" w:firstLineChars="200"/>
        <w:rPr>
          <w:bCs/>
          <w:highlight w:val="none"/>
        </w:rPr>
      </w:pPr>
    </w:p>
    <w:p>
      <w:pPr>
        <w:tabs>
          <w:tab w:val="clear" w:pos="426"/>
        </w:tabs>
        <w:spacing w:line="500" w:lineRule="exact"/>
        <w:rPr>
          <w:highlight w:val="none"/>
          <w:u w:val="none"/>
        </w:rPr>
      </w:pPr>
      <w:r>
        <w:rPr>
          <w:rFonts w:hint="eastAsia"/>
          <w:spacing w:val="4"/>
          <w:highlight w:val="none"/>
        </w:rPr>
        <w:t>投标人名称（</w:t>
      </w:r>
      <w:r>
        <w:rPr>
          <w:rFonts w:hint="eastAsia"/>
          <w:highlight w:val="none"/>
        </w:rPr>
        <w:t>单位盖</w:t>
      </w:r>
      <w:r>
        <w:rPr>
          <w:rFonts w:hint="eastAsia"/>
          <w:spacing w:val="4"/>
          <w:highlight w:val="none"/>
        </w:rPr>
        <w:t>公章）</w:t>
      </w:r>
      <w:r>
        <w:rPr>
          <w:rFonts w:hint="eastAsia"/>
          <w:spacing w:val="4"/>
          <w:highlight w:val="none"/>
          <w:u w:val="none"/>
        </w:rPr>
        <w:t>：______________________________________________________</w:t>
      </w:r>
    </w:p>
    <w:p>
      <w:pPr>
        <w:tabs>
          <w:tab w:val="clear" w:pos="426"/>
        </w:tabs>
        <w:spacing w:line="520" w:lineRule="exact"/>
        <w:rPr>
          <w:spacing w:val="4"/>
          <w:highlight w:val="none"/>
          <w:u w:val="none"/>
        </w:rPr>
      </w:pPr>
      <w:r>
        <w:rPr>
          <w:rFonts w:hint="eastAsia"/>
          <w:highlight w:val="none"/>
          <w:u w:val="none"/>
        </w:rPr>
        <w:t>法定代表人或投标人授权代表（签名或盖章）：</w:t>
      </w:r>
      <w:r>
        <w:rPr>
          <w:spacing w:val="4"/>
          <w:highlight w:val="none"/>
          <w:u w:val="none"/>
        </w:rPr>
        <w:t>_________</w:t>
      </w:r>
      <w:r>
        <w:rPr>
          <w:rFonts w:hint="eastAsia"/>
          <w:spacing w:val="4"/>
          <w:highlight w:val="none"/>
          <w:u w:val="none"/>
        </w:rPr>
        <w:t>_</w:t>
      </w:r>
      <w:r>
        <w:rPr>
          <w:spacing w:val="4"/>
          <w:highlight w:val="none"/>
          <w:u w:val="none"/>
        </w:rPr>
        <w:t xml:space="preserve">___ </w:t>
      </w:r>
      <w:r>
        <w:rPr>
          <w:rFonts w:hint="eastAsia"/>
          <w:spacing w:val="4"/>
          <w:highlight w:val="none"/>
          <w:u w:val="none"/>
        </w:rPr>
        <w:t>职务：</w:t>
      </w:r>
      <w:r>
        <w:rPr>
          <w:spacing w:val="4"/>
          <w:highlight w:val="none"/>
          <w:u w:val="none"/>
        </w:rPr>
        <w:t xml:space="preserve">_______ </w:t>
      </w:r>
      <w:r>
        <w:rPr>
          <w:rFonts w:hint="eastAsia"/>
          <w:spacing w:val="4"/>
          <w:highlight w:val="none"/>
          <w:u w:val="none"/>
        </w:rPr>
        <w:t>日期</w:t>
      </w:r>
      <w:r>
        <w:rPr>
          <w:spacing w:val="4"/>
          <w:highlight w:val="none"/>
          <w:u w:val="none"/>
        </w:rPr>
        <w:t>________</w:t>
      </w:r>
    </w:p>
    <w:p>
      <w:pPr>
        <w:ind w:firstLine="420" w:firstLineChars="200"/>
        <w:rPr>
          <w:bCs/>
          <w:highlight w:val="none"/>
        </w:rPr>
      </w:pPr>
    </w:p>
    <w:p>
      <w:pPr>
        <w:ind w:firstLine="422" w:firstLineChars="200"/>
        <w:rPr>
          <w:b/>
          <w:color w:val="FF0000"/>
          <w:highlight w:val="none"/>
        </w:rPr>
      </w:pPr>
    </w:p>
    <w:p>
      <w:pPr>
        <w:shd w:val="clear" w:color="auto" w:fill="auto"/>
        <w:tabs>
          <w:tab w:val="clear" w:pos="426"/>
        </w:tabs>
        <w:adjustRightInd/>
        <w:snapToGrid/>
        <w:spacing w:line="240" w:lineRule="auto"/>
        <w:jc w:val="left"/>
        <w:rPr>
          <w:b/>
          <w:color w:val="FF0000"/>
          <w:highlight w:val="none"/>
        </w:rPr>
      </w:pPr>
      <w:r>
        <w:rPr>
          <w:b/>
          <w:color w:val="FF0000"/>
          <w:highlight w:val="none"/>
        </w:rPr>
        <w:br w:type="page"/>
      </w:r>
    </w:p>
    <w:p>
      <w:pPr>
        <w:pStyle w:val="319"/>
        <w:rPr>
          <w:highlight w:val="none"/>
        </w:rPr>
      </w:pPr>
      <w:r>
        <w:rPr>
          <w:rFonts w:hint="eastAsia"/>
          <w:highlight w:val="none"/>
        </w:rPr>
        <w:t>项目需求响应情况表（实质性条款除外）</w:t>
      </w:r>
    </w:p>
    <w:p>
      <w:pPr>
        <w:widowControl w:val="0"/>
        <w:shd w:val="clear" w:color="auto" w:fill="auto"/>
        <w:tabs>
          <w:tab w:val="clear" w:pos="426"/>
        </w:tabs>
        <w:spacing w:line="300" w:lineRule="auto"/>
        <w:jc w:val="center"/>
        <w:rPr>
          <w:rFonts w:cs="Times New Roman"/>
          <w:bCs/>
          <w:kern w:val="2"/>
          <w:sz w:val="32"/>
          <w:szCs w:val="32"/>
          <w:highlight w:val="none"/>
        </w:rPr>
      </w:pPr>
      <w:r>
        <w:rPr>
          <w:rFonts w:hint="eastAsia" w:cs="Times New Roman"/>
          <w:bCs/>
          <w:kern w:val="2"/>
          <w:sz w:val="32"/>
          <w:szCs w:val="32"/>
          <w:highlight w:val="none"/>
        </w:rPr>
        <w:t>项目需求响应情况表（实质性条款除外）</w:t>
      </w:r>
    </w:p>
    <w:p>
      <w:pPr>
        <w:tabs>
          <w:tab w:val="clear" w:pos="426"/>
        </w:tabs>
        <w:rPr>
          <w:highlight w:val="none"/>
        </w:rPr>
      </w:pPr>
    </w:p>
    <w:p>
      <w:pPr>
        <w:tabs>
          <w:tab w:val="clear" w:pos="426"/>
        </w:tabs>
        <w:rPr>
          <w:highlight w:val="none"/>
        </w:rPr>
      </w:pPr>
      <w:r>
        <w:rPr>
          <w:rFonts w:hint="eastAsia"/>
          <w:highlight w:val="none"/>
        </w:rPr>
        <w:t>项目名称：</w:t>
      </w:r>
      <w:r>
        <w:rPr>
          <w:rFonts w:hint="eastAsia"/>
          <w:highlight w:val="none"/>
          <w:u w:val="none"/>
        </w:rPr>
        <w:t>_____________________________________采购项目编号：</w:t>
      </w:r>
      <w:r>
        <w:rPr>
          <w:rFonts w:hint="eastAsia" w:ascii="ˎ̥" w:hAnsi="ˎ̥"/>
          <w:sz w:val="18"/>
          <w:szCs w:val="18"/>
          <w:highlight w:val="none"/>
          <w:u w:val="none"/>
        </w:rPr>
        <w:t>_______________________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200"/>
        <w:gridCol w:w="5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spacing w:line="240" w:lineRule="auto"/>
              <w:jc w:val="center"/>
              <w:rPr>
                <w:rFonts w:cs="Arial"/>
                <w:szCs w:val="21"/>
                <w:highlight w:val="none"/>
              </w:rPr>
            </w:pPr>
            <w:r>
              <w:rPr>
                <w:rFonts w:hint="eastAsia" w:cs="Arial"/>
                <w:szCs w:val="21"/>
                <w:highlight w:val="none"/>
              </w:rPr>
              <w:t>序号</w:t>
            </w:r>
          </w:p>
        </w:tc>
        <w:tc>
          <w:tcPr>
            <w:tcW w:w="1672" w:type="pct"/>
            <w:vAlign w:val="center"/>
          </w:tcPr>
          <w:p>
            <w:pPr>
              <w:spacing w:line="240" w:lineRule="auto"/>
              <w:jc w:val="center"/>
              <w:rPr>
                <w:rFonts w:cs="Arial"/>
                <w:szCs w:val="21"/>
                <w:highlight w:val="none"/>
              </w:rPr>
            </w:pPr>
            <w:r>
              <w:rPr>
                <w:rFonts w:hint="eastAsia" w:cs="Arial"/>
                <w:szCs w:val="21"/>
                <w:highlight w:val="none"/>
              </w:rPr>
              <w:t>招标文件要求</w:t>
            </w:r>
          </w:p>
        </w:tc>
        <w:tc>
          <w:tcPr>
            <w:tcW w:w="2893" w:type="pct"/>
            <w:vAlign w:val="center"/>
          </w:tcPr>
          <w:p>
            <w:pPr>
              <w:spacing w:line="240" w:lineRule="auto"/>
              <w:jc w:val="center"/>
              <w:rPr>
                <w:rFonts w:cs="Arial"/>
                <w:szCs w:val="21"/>
                <w:highlight w:val="none"/>
              </w:rPr>
            </w:pPr>
            <w:r>
              <w:rPr>
                <w:rFonts w:hint="eastAsia" w:cs="Arial"/>
                <w:szCs w:val="21"/>
                <w:highlight w:val="none"/>
              </w:rPr>
              <w:t>投标文件响应情况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spacing w:line="240" w:lineRule="auto"/>
              <w:jc w:val="center"/>
              <w:rPr>
                <w:rFonts w:cs="Arial"/>
                <w:szCs w:val="21"/>
                <w:highlight w:val="none"/>
              </w:rPr>
            </w:pPr>
            <w:r>
              <w:rPr>
                <w:rFonts w:hint="eastAsia" w:cs="Arial"/>
                <w:szCs w:val="21"/>
                <w:highlight w:val="none"/>
              </w:rPr>
              <w:t>1</w:t>
            </w:r>
          </w:p>
        </w:tc>
        <w:tc>
          <w:tcPr>
            <w:tcW w:w="1672" w:type="pct"/>
            <w:vAlign w:val="center"/>
          </w:tcPr>
          <w:p>
            <w:pPr>
              <w:spacing w:line="240" w:lineRule="auto"/>
              <w:jc w:val="center"/>
              <w:rPr>
                <w:bCs/>
                <w:highlight w:val="none"/>
              </w:rPr>
            </w:pPr>
            <w:r>
              <w:rPr>
                <w:rFonts w:hint="eastAsia" w:cs="Arial"/>
                <w:highlight w:val="none"/>
              </w:rPr>
              <w:t>招标文件第三章</w:t>
            </w:r>
            <w:r>
              <w:rPr>
                <w:rFonts w:hint="eastAsia"/>
                <w:bCs/>
                <w:highlight w:val="none"/>
              </w:rPr>
              <w:t>项目</w:t>
            </w:r>
            <w:r>
              <w:rPr>
                <w:rFonts w:hint="eastAsia"/>
                <w:highlight w:val="none"/>
              </w:rPr>
              <w:t>需求</w:t>
            </w:r>
            <w:r>
              <w:rPr>
                <w:rFonts w:hint="eastAsia"/>
                <w:bCs/>
                <w:highlight w:val="none"/>
              </w:rPr>
              <w:t>（实质性条款除外）</w:t>
            </w:r>
            <w:r>
              <w:rPr>
                <w:rFonts w:hint="eastAsia"/>
                <w:highlight w:val="none"/>
              </w:rPr>
              <w:t>的全部内容</w:t>
            </w:r>
          </w:p>
        </w:tc>
        <w:tc>
          <w:tcPr>
            <w:tcW w:w="2893" w:type="pct"/>
            <w:vAlign w:val="center"/>
          </w:tcPr>
          <w:p>
            <w:pPr>
              <w:spacing w:line="240" w:lineRule="auto"/>
              <w:jc w:val="center"/>
              <w:rPr>
                <w:rFonts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spacing w:line="240" w:lineRule="auto"/>
              <w:jc w:val="center"/>
              <w:rPr>
                <w:rFonts w:cs="Arial"/>
                <w:szCs w:val="21"/>
                <w:highlight w:val="none"/>
              </w:rPr>
            </w:pPr>
            <w:r>
              <w:rPr>
                <w:rFonts w:hint="eastAsia" w:cs="Arial"/>
                <w:szCs w:val="21"/>
                <w:highlight w:val="none"/>
              </w:rPr>
              <w:t>2</w:t>
            </w:r>
          </w:p>
        </w:tc>
        <w:tc>
          <w:tcPr>
            <w:tcW w:w="1672" w:type="pct"/>
            <w:vAlign w:val="center"/>
          </w:tcPr>
          <w:p>
            <w:pPr>
              <w:spacing w:line="240" w:lineRule="auto"/>
              <w:jc w:val="center"/>
              <w:rPr>
                <w:rFonts w:cs="Arial"/>
                <w:highlight w:val="none"/>
              </w:rPr>
            </w:pPr>
          </w:p>
        </w:tc>
        <w:tc>
          <w:tcPr>
            <w:tcW w:w="2893" w:type="pct"/>
            <w:vAlign w:val="center"/>
          </w:tcPr>
          <w:p>
            <w:pPr>
              <w:spacing w:line="240" w:lineRule="auto"/>
              <w:jc w:val="center"/>
              <w:rPr>
                <w:rFonts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spacing w:line="240" w:lineRule="auto"/>
              <w:jc w:val="center"/>
              <w:rPr>
                <w:rFonts w:cs="Arial"/>
                <w:szCs w:val="21"/>
                <w:highlight w:val="none"/>
              </w:rPr>
            </w:pPr>
            <w:r>
              <w:rPr>
                <w:rFonts w:hint="eastAsia" w:cs="Arial"/>
                <w:szCs w:val="21"/>
                <w:highlight w:val="none"/>
              </w:rPr>
              <w:t>……</w:t>
            </w:r>
          </w:p>
        </w:tc>
        <w:tc>
          <w:tcPr>
            <w:tcW w:w="1672" w:type="pct"/>
            <w:vAlign w:val="center"/>
          </w:tcPr>
          <w:p>
            <w:pPr>
              <w:spacing w:line="240" w:lineRule="auto"/>
              <w:jc w:val="center"/>
              <w:rPr>
                <w:rFonts w:cs="Arial"/>
                <w:highlight w:val="none"/>
              </w:rPr>
            </w:pPr>
          </w:p>
        </w:tc>
        <w:tc>
          <w:tcPr>
            <w:tcW w:w="2893" w:type="pct"/>
            <w:vAlign w:val="center"/>
          </w:tcPr>
          <w:p>
            <w:pPr>
              <w:spacing w:line="240" w:lineRule="auto"/>
              <w:jc w:val="center"/>
              <w:rPr>
                <w:rFonts w:cs="Arial"/>
                <w:highlight w:val="none"/>
              </w:rPr>
            </w:pPr>
          </w:p>
        </w:tc>
      </w:tr>
    </w:tbl>
    <w:p>
      <w:pPr>
        <w:tabs>
          <w:tab w:val="clear" w:pos="426"/>
        </w:tabs>
        <w:ind w:firstLine="424" w:firstLineChars="202"/>
        <w:rPr>
          <w:bCs/>
          <w:highlight w:val="none"/>
        </w:rPr>
      </w:pPr>
    </w:p>
    <w:p>
      <w:pPr>
        <w:tabs>
          <w:tab w:val="clear" w:pos="426"/>
        </w:tabs>
        <w:rPr>
          <w:bCs/>
          <w:highlight w:val="none"/>
        </w:rPr>
      </w:pPr>
      <w:r>
        <w:rPr>
          <w:rFonts w:hint="eastAsia"/>
          <w:bCs/>
          <w:highlight w:val="none"/>
        </w:rPr>
        <w:t>填写说明：</w:t>
      </w:r>
    </w:p>
    <w:p>
      <w:pPr>
        <w:tabs>
          <w:tab w:val="clear" w:pos="426"/>
        </w:tabs>
        <w:ind w:firstLine="424" w:firstLineChars="202"/>
        <w:rPr>
          <w:bCs/>
          <w:highlight w:val="none"/>
        </w:rPr>
      </w:pPr>
      <w:r>
        <w:rPr>
          <w:bCs/>
          <w:highlight w:val="none"/>
        </w:rPr>
        <w:t>1.上表所列内容</w:t>
      </w:r>
      <w:r>
        <w:rPr>
          <w:rFonts w:hint="eastAsia"/>
          <w:bCs/>
          <w:highlight w:val="none"/>
        </w:rPr>
        <w:t>若出现负偏离，不会</w:t>
      </w:r>
      <w:r>
        <w:rPr>
          <w:bCs/>
          <w:highlight w:val="none"/>
        </w:rPr>
        <w:t>导致投标无效。</w:t>
      </w:r>
    </w:p>
    <w:p>
      <w:pPr>
        <w:tabs>
          <w:tab w:val="clear" w:pos="426"/>
        </w:tabs>
        <w:ind w:firstLine="424" w:firstLineChars="202"/>
        <w:rPr>
          <w:bCs/>
          <w:highlight w:val="none"/>
        </w:rPr>
      </w:pPr>
      <w:r>
        <w:rPr>
          <w:bCs/>
          <w:highlight w:val="none"/>
        </w:rPr>
        <w:t>2.“投标</w:t>
      </w:r>
      <w:r>
        <w:rPr>
          <w:rFonts w:hint="eastAsia"/>
          <w:bCs/>
          <w:highlight w:val="none"/>
        </w:rPr>
        <w:t>文件</w:t>
      </w:r>
      <w:r>
        <w:rPr>
          <w:bCs/>
          <w:highlight w:val="none"/>
        </w:rPr>
        <w:t>响应情况”一栏应如实填写“</w:t>
      </w:r>
      <w:r>
        <w:rPr>
          <w:rFonts w:hint="eastAsia"/>
          <w:bCs/>
          <w:highlight w:val="none"/>
        </w:rPr>
        <w:t>符合</w:t>
      </w:r>
      <w:r>
        <w:rPr>
          <w:bCs/>
          <w:highlight w:val="none"/>
        </w:rPr>
        <w:t>”或“</w:t>
      </w:r>
      <w:r>
        <w:rPr>
          <w:rFonts w:hint="eastAsia"/>
          <w:bCs/>
          <w:highlight w:val="none"/>
        </w:rPr>
        <w:t>正偏离</w:t>
      </w:r>
      <w:r>
        <w:rPr>
          <w:bCs/>
          <w:highlight w:val="none"/>
        </w:rPr>
        <w:t>”</w:t>
      </w:r>
      <w:r>
        <w:rPr>
          <w:rFonts w:hint="eastAsia"/>
          <w:bCs/>
          <w:highlight w:val="none"/>
        </w:rPr>
        <w:t>或“负偏离”</w:t>
      </w:r>
      <w:r>
        <w:rPr>
          <w:bCs/>
          <w:highlight w:val="none"/>
        </w:rPr>
        <w:t>。</w:t>
      </w:r>
    </w:p>
    <w:p>
      <w:pPr>
        <w:tabs>
          <w:tab w:val="clear" w:pos="426"/>
        </w:tabs>
        <w:ind w:firstLine="424" w:firstLineChars="202"/>
        <w:rPr>
          <w:bCs/>
          <w:highlight w:val="none"/>
        </w:rPr>
      </w:pPr>
      <w:r>
        <w:rPr>
          <w:rFonts w:hint="eastAsia"/>
          <w:bCs/>
          <w:highlight w:val="none"/>
        </w:rPr>
        <w:t>（1）“符合”：投标文件响应情况符合招标文件要求。</w:t>
      </w:r>
    </w:p>
    <w:p>
      <w:pPr>
        <w:tabs>
          <w:tab w:val="clear" w:pos="426"/>
        </w:tabs>
        <w:ind w:firstLine="424" w:firstLineChars="202"/>
        <w:rPr>
          <w:bCs/>
          <w:highlight w:val="none"/>
        </w:rPr>
      </w:pPr>
      <w:r>
        <w:rPr>
          <w:rFonts w:hint="eastAsia"/>
          <w:bCs/>
          <w:highlight w:val="none"/>
        </w:rPr>
        <w:t>（2）“正偏离”：投标文件响应情况优于招标文件要求，应作详细说明。</w:t>
      </w:r>
    </w:p>
    <w:p>
      <w:pPr>
        <w:tabs>
          <w:tab w:val="clear" w:pos="426"/>
        </w:tabs>
        <w:ind w:firstLine="424" w:firstLineChars="202"/>
        <w:rPr>
          <w:bCs/>
          <w:highlight w:val="none"/>
        </w:rPr>
      </w:pPr>
      <w:r>
        <w:rPr>
          <w:rFonts w:hint="eastAsia"/>
          <w:bCs/>
          <w:highlight w:val="none"/>
        </w:rPr>
        <w:t>（3）“负偏离”：投标文件响应情况没有达到招标文件要求，应作详细说明。</w:t>
      </w:r>
    </w:p>
    <w:p>
      <w:pPr>
        <w:tabs>
          <w:tab w:val="clear" w:pos="426"/>
        </w:tabs>
        <w:ind w:firstLine="424" w:firstLineChars="202"/>
        <w:rPr>
          <w:bCs/>
          <w:highlight w:val="none"/>
        </w:rPr>
      </w:pPr>
      <w:r>
        <w:rPr>
          <w:rFonts w:hint="eastAsia"/>
          <w:bCs/>
          <w:highlight w:val="none"/>
        </w:rPr>
        <w:t>（4）若招标文件要求提供证明材料的，须按要求提供相关证明文件，否则视为负偏离。</w:t>
      </w:r>
    </w:p>
    <w:p>
      <w:pPr>
        <w:tabs>
          <w:tab w:val="clear" w:pos="426"/>
        </w:tabs>
        <w:ind w:firstLine="424" w:firstLineChars="202"/>
        <w:rPr>
          <w:bCs/>
          <w:highlight w:val="none"/>
        </w:rPr>
      </w:pPr>
      <w:r>
        <w:rPr>
          <w:bCs/>
          <w:highlight w:val="none"/>
        </w:rPr>
        <w:t>3.上表与投标文件其它内容冲突的，以上表为准。</w:t>
      </w:r>
    </w:p>
    <w:p>
      <w:pPr>
        <w:tabs>
          <w:tab w:val="clear" w:pos="426"/>
        </w:tabs>
        <w:ind w:firstLine="424" w:firstLineChars="202"/>
        <w:rPr>
          <w:bCs/>
          <w:highlight w:val="none"/>
        </w:rPr>
      </w:pPr>
    </w:p>
    <w:p>
      <w:pPr>
        <w:tabs>
          <w:tab w:val="clear" w:pos="426"/>
        </w:tabs>
        <w:rPr>
          <w:b/>
          <w:highlight w:val="none"/>
        </w:rPr>
      </w:pPr>
      <w:r>
        <w:rPr>
          <w:rFonts w:hint="eastAsia"/>
          <w:b/>
          <w:highlight w:val="none"/>
        </w:rPr>
        <w:t>附件（可选）：关于偏离情况的说明（格式自定）</w:t>
      </w:r>
    </w:p>
    <w:p>
      <w:pPr>
        <w:tabs>
          <w:tab w:val="clear" w:pos="426"/>
        </w:tabs>
        <w:ind w:firstLine="424" w:firstLineChars="202"/>
        <w:rPr>
          <w:bCs/>
          <w:highlight w:val="none"/>
        </w:rPr>
      </w:pPr>
    </w:p>
    <w:p>
      <w:pPr>
        <w:tabs>
          <w:tab w:val="clear" w:pos="426"/>
        </w:tabs>
        <w:spacing w:line="500" w:lineRule="exact"/>
        <w:rPr>
          <w:highlight w:val="none"/>
          <w:u w:val="none"/>
        </w:rPr>
      </w:pPr>
      <w:r>
        <w:rPr>
          <w:rFonts w:hint="eastAsia"/>
          <w:spacing w:val="4"/>
          <w:highlight w:val="none"/>
        </w:rPr>
        <w:t>投标人名称（</w:t>
      </w:r>
      <w:r>
        <w:rPr>
          <w:rFonts w:hint="eastAsia"/>
          <w:highlight w:val="none"/>
        </w:rPr>
        <w:t>单位盖</w:t>
      </w:r>
      <w:r>
        <w:rPr>
          <w:rFonts w:hint="eastAsia"/>
          <w:spacing w:val="4"/>
          <w:highlight w:val="none"/>
        </w:rPr>
        <w:t>公章）：</w:t>
      </w:r>
      <w:r>
        <w:rPr>
          <w:rFonts w:hint="eastAsia"/>
          <w:spacing w:val="4"/>
          <w:highlight w:val="none"/>
          <w:u w:val="none"/>
        </w:rPr>
        <w:t>__________________________________________________</w:t>
      </w:r>
    </w:p>
    <w:p>
      <w:pPr>
        <w:tabs>
          <w:tab w:val="clear" w:pos="426"/>
        </w:tabs>
        <w:spacing w:line="520" w:lineRule="exact"/>
        <w:rPr>
          <w:spacing w:val="4"/>
          <w:highlight w:val="none"/>
          <w:u w:val="none"/>
        </w:rPr>
      </w:pPr>
      <w:r>
        <w:rPr>
          <w:rFonts w:hint="eastAsia"/>
          <w:highlight w:val="none"/>
          <w:u w:val="none"/>
        </w:rPr>
        <w:t>法定代表人或投标人授权代表（签名或盖章）：</w:t>
      </w:r>
      <w:r>
        <w:rPr>
          <w:spacing w:val="4"/>
          <w:highlight w:val="none"/>
          <w:u w:val="none"/>
        </w:rPr>
        <w:t>________</w:t>
      </w:r>
      <w:r>
        <w:rPr>
          <w:rFonts w:hint="eastAsia"/>
          <w:spacing w:val="4"/>
          <w:highlight w:val="none"/>
          <w:u w:val="none"/>
        </w:rPr>
        <w:t>_</w:t>
      </w:r>
      <w:r>
        <w:rPr>
          <w:spacing w:val="4"/>
          <w:highlight w:val="none"/>
          <w:u w:val="none"/>
        </w:rPr>
        <w:t xml:space="preserve">___ </w:t>
      </w:r>
      <w:r>
        <w:rPr>
          <w:rFonts w:hint="eastAsia"/>
          <w:spacing w:val="4"/>
          <w:highlight w:val="none"/>
          <w:u w:val="none"/>
        </w:rPr>
        <w:t>职务：</w:t>
      </w:r>
      <w:r>
        <w:rPr>
          <w:spacing w:val="4"/>
          <w:highlight w:val="none"/>
          <w:u w:val="none"/>
        </w:rPr>
        <w:t xml:space="preserve">______ </w:t>
      </w:r>
      <w:r>
        <w:rPr>
          <w:rFonts w:hint="eastAsia"/>
          <w:spacing w:val="4"/>
          <w:highlight w:val="none"/>
          <w:u w:val="none"/>
        </w:rPr>
        <w:t>日期</w:t>
      </w:r>
      <w:r>
        <w:rPr>
          <w:spacing w:val="4"/>
          <w:highlight w:val="none"/>
          <w:u w:val="none"/>
        </w:rPr>
        <w:t>_______</w:t>
      </w:r>
    </w:p>
    <w:p>
      <w:pPr>
        <w:rPr>
          <w:bCs/>
          <w:highlight w:val="none"/>
        </w:rPr>
      </w:pPr>
    </w:p>
    <w:p>
      <w:pPr>
        <w:shd w:val="clear" w:color="auto" w:fill="auto"/>
        <w:tabs>
          <w:tab w:val="clear" w:pos="426"/>
        </w:tabs>
        <w:adjustRightInd/>
        <w:snapToGrid/>
        <w:spacing w:line="240" w:lineRule="auto"/>
        <w:jc w:val="left"/>
        <w:rPr>
          <w:bCs/>
          <w:highlight w:val="none"/>
        </w:rPr>
      </w:pPr>
      <w:r>
        <w:rPr>
          <w:bCs/>
          <w:highlight w:val="none"/>
        </w:rPr>
        <w:br w:type="page"/>
      </w:r>
    </w:p>
    <w:p>
      <w:pPr>
        <w:pStyle w:val="319"/>
        <w:rPr>
          <w:rFonts w:hint="eastAsia"/>
          <w:highlight w:val="none"/>
        </w:rPr>
      </w:pPr>
      <w:r>
        <w:rPr>
          <w:rFonts w:hint="eastAsia"/>
          <w:highlight w:val="none"/>
        </w:rPr>
        <w:t>实施方案（工作措施、工作方法、工作手段、工作流程）</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质量保障措施</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项目重点难点分析、应对措施及相关的合理化建议</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服务承诺</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投入服务配套的设施情况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服务要求响应</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拟派项目负责人</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拟安排的项目主要团队成员（主要技术人员）情况（项目负责人除外）</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投标人同类项目业绩情况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rFonts w:hint="eastAsia"/>
          <w:highlight w:val="none"/>
        </w:rPr>
      </w:pPr>
      <w:r>
        <w:rPr>
          <w:rFonts w:hint="eastAsia"/>
          <w:highlight w:val="none"/>
        </w:rPr>
        <w:t>履约评价情况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pStyle w:val="319"/>
        <w:rPr>
          <w:highlight w:val="none"/>
        </w:rPr>
      </w:pPr>
      <w:r>
        <w:rPr>
          <w:rFonts w:hint="eastAsia"/>
          <w:highlight w:val="none"/>
        </w:rPr>
        <w:t>投标人自主知识产权、认证情况</w:t>
      </w:r>
      <w:r>
        <w:rPr>
          <w:rFonts w:hint="eastAsia"/>
          <w:highlight w:val="none"/>
          <w:lang w:eastAsia="zh-CN"/>
        </w:rPr>
        <w:t>（</w:t>
      </w:r>
      <w:r>
        <w:rPr>
          <w:rFonts w:hint="eastAsia"/>
          <w:highlight w:val="none"/>
          <w:lang w:val="en-US" w:eastAsia="zh-CN"/>
        </w:rPr>
        <w:t>格式自定</w:t>
      </w:r>
      <w:r>
        <w:rPr>
          <w:rFonts w:hint="eastAsia"/>
          <w:highlight w:val="none"/>
          <w:lang w:eastAsia="zh-CN"/>
        </w:rPr>
        <w:t>）</w:t>
      </w:r>
    </w:p>
    <w:p>
      <w:pPr>
        <w:tabs>
          <w:tab w:val="clear" w:pos="426"/>
        </w:tabs>
        <w:spacing w:line="520" w:lineRule="exact"/>
        <w:rPr>
          <w:b/>
          <w:sz w:val="24"/>
          <w:highlight w:val="none"/>
        </w:rPr>
      </w:pPr>
      <w:bookmarkStart w:id="77" w:name="_Toc43264525"/>
      <w:bookmarkStart w:id="78" w:name="_Toc50703730"/>
      <w:bookmarkStart w:id="79" w:name="_Toc43264518"/>
      <w:bookmarkStart w:id="80" w:name="_Toc50691037"/>
      <w:r>
        <w:rPr>
          <w:rFonts w:hint="eastAsia"/>
          <w:b/>
          <w:highlight w:val="none"/>
        </w:rPr>
        <w:t>备注：以上投标文件编制节点，请根据评审表的要求提交相应资料，格式自定。</w:t>
      </w:r>
    </w:p>
    <w:p>
      <w:pPr>
        <w:tabs>
          <w:tab w:val="clear" w:pos="426"/>
        </w:tabs>
        <w:spacing w:line="500" w:lineRule="exact"/>
        <w:rPr>
          <w:sz w:val="24"/>
          <w:highlight w:val="none"/>
        </w:rPr>
      </w:pPr>
    </w:p>
    <w:p>
      <w:pPr>
        <w:tabs>
          <w:tab w:val="clear" w:pos="426"/>
        </w:tabs>
        <w:spacing w:line="500" w:lineRule="exact"/>
        <w:rPr>
          <w:sz w:val="24"/>
          <w:highlight w:val="none"/>
        </w:rPr>
      </w:pPr>
    </w:p>
    <w:p>
      <w:pPr>
        <w:shd w:val="clear" w:color="auto" w:fill="auto"/>
        <w:tabs>
          <w:tab w:val="clear" w:pos="426"/>
        </w:tabs>
        <w:adjustRightInd/>
        <w:snapToGrid/>
        <w:spacing w:line="240" w:lineRule="auto"/>
        <w:jc w:val="left"/>
        <w:rPr>
          <w:sz w:val="24"/>
          <w:highlight w:val="none"/>
        </w:rPr>
      </w:pPr>
      <w:r>
        <w:rPr>
          <w:sz w:val="24"/>
          <w:highlight w:val="none"/>
        </w:rPr>
        <w:br w:type="page"/>
      </w:r>
    </w:p>
    <w:p>
      <w:pPr>
        <w:pStyle w:val="319"/>
        <w:rPr>
          <w:highlight w:val="none"/>
        </w:rPr>
      </w:pPr>
      <w:r>
        <w:rPr>
          <w:rFonts w:hint="eastAsia"/>
          <w:highlight w:val="none"/>
        </w:rPr>
        <w:t>优惠政策声明函等证明文件（可选）</w:t>
      </w:r>
    </w:p>
    <w:p>
      <w:pPr>
        <w:shd w:val="clear" w:color="auto" w:fill="auto"/>
        <w:tabs>
          <w:tab w:val="clear" w:pos="426"/>
        </w:tabs>
        <w:spacing w:line="240" w:lineRule="auto"/>
        <w:jc w:val="left"/>
        <w:rPr>
          <w:szCs w:val="21"/>
          <w:highlight w:val="none"/>
        </w:rPr>
      </w:pPr>
    </w:p>
    <w:p>
      <w:pPr>
        <w:tabs>
          <w:tab w:val="clear" w:pos="426"/>
        </w:tabs>
        <w:spacing w:line="240" w:lineRule="auto"/>
        <w:rPr>
          <w:szCs w:val="21"/>
          <w:highlight w:val="none"/>
        </w:rPr>
      </w:pPr>
      <w:r>
        <w:rPr>
          <w:rFonts w:hint="eastAsia"/>
          <w:szCs w:val="21"/>
          <w:highlight w:val="none"/>
        </w:rPr>
        <w:t>填写指引：</w:t>
      </w:r>
    </w:p>
    <w:p>
      <w:pPr>
        <w:tabs>
          <w:tab w:val="clear" w:pos="426"/>
        </w:tabs>
        <w:spacing w:line="240" w:lineRule="auto"/>
        <w:ind w:left="-2" w:leftChars="-1" w:firstLine="420" w:firstLineChars="200"/>
        <w:rPr>
          <w:bCs/>
          <w:szCs w:val="21"/>
          <w:highlight w:val="none"/>
        </w:rPr>
      </w:pPr>
      <w:r>
        <w:rPr>
          <w:bCs/>
          <w:szCs w:val="21"/>
          <w:highlight w:val="none"/>
        </w:rPr>
        <w:t>1</w:t>
      </w:r>
      <w:r>
        <w:rPr>
          <w:rFonts w:hint="eastAsia"/>
          <w:bCs/>
          <w:szCs w:val="21"/>
          <w:highlight w:val="none"/>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bCs/>
          <w:szCs w:val="21"/>
          <w:highlight w:val="none"/>
        </w:rPr>
        <w:t>2011</w:t>
      </w:r>
      <w:r>
        <w:rPr>
          <w:rFonts w:hint="eastAsia"/>
          <w:bCs/>
          <w:szCs w:val="21"/>
          <w:highlight w:val="none"/>
        </w:rPr>
        <w:t>〕</w:t>
      </w:r>
      <w:r>
        <w:rPr>
          <w:bCs/>
          <w:szCs w:val="21"/>
          <w:highlight w:val="none"/>
        </w:rPr>
        <w:t>300</w:t>
      </w:r>
      <w:r>
        <w:rPr>
          <w:rFonts w:hint="eastAsia"/>
          <w:bCs/>
          <w:szCs w:val="21"/>
          <w:highlight w:val="none"/>
        </w:rPr>
        <w:t>号）或向深圳市中小企业服务局咨询。</w:t>
      </w:r>
      <w:r>
        <w:rPr>
          <w:bCs/>
          <w:szCs w:val="21"/>
          <w:highlight w:val="none"/>
        </w:rPr>
        <w:t xml:space="preserve"> </w:t>
      </w:r>
    </w:p>
    <w:p>
      <w:pPr>
        <w:tabs>
          <w:tab w:val="clear" w:pos="426"/>
        </w:tabs>
        <w:spacing w:line="240" w:lineRule="auto"/>
        <w:ind w:left="-2" w:leftChars="-1" w:firstLine="420" w:firstLineChars="200"/>
        <w:rPr>
          <w:bCs/>
          <w:szCs w:val="21"/>
          <w:highlight w:val="none"/>
        </w:rPr>
      </w:pPr>
      <w:r>
        <w:rPr>
          <w:bCs/>
          <w:szCs w:val="21"/>
          <w:highlight w:val="none"/>
        </w:rPr>
        <w:t>2</w:t>
      </w:r>
      <w:r>
        <w:rPr>
          <w:rFonts w:hint="eastAsia"/>
          <w:bCs/>
          <w:szCs w:val="21"/>
          <w:highlight w:val="none"/>
        </w:rPr>
        <w:t>.该部分内容填写需要参考的相关文件（</w:t>
      </w:r>
      <w:r>
        <w:rPr>
          <w:rStyle w:val="52"/>
          <w:rFonts w:hint="eastAsia"/>
          <w:highlight w:val="none"/>
        </w:rPr>
        <w:t>-</w:t>
      </w:r>
      <w:r>
        <w:rPr>
          <w:highlight w:val="none"/>
        </w:rPr>
        <w:fldChar w:fldCharType="begin"/>
      </w:r>
      <w:r>
        <w:rPr>
          <w:highlight w:val="none"/>
        </w:rPr>
        <w:instrText xml:space="preserve"> HYPERLINK "http://www.szsszx.com/Files/Editor/file/202106041655230146.rar" </w:instrText>
      </w:r>
      <w:r>
        <w:rPr>
          <w:highlight w:val="none"/>
        </w:rPr>
        <w:fldChar w:fldCharType="separate"/>
      </w:r>
      <w:r>
        <w:rPr>
          <w:rStyle w:val="52"/>
          <w:rFonts w:hint="eastAsia"/>
          <w:bCs/>
          <w:szCs w:val="21"/>
          <w:highlight w:val="none"/>
        </w:rPr>
        <w:t>点此下载</w:t>
      </w:r>
      <w:r>
        <w:rPr>
          <w:rStyle w:val="52"/>
          <w:rFonts w:hint="eastAsia"/>
          <w:bCs/>
          <w:szCs w:val="21"/>
          <w:highlight w:val="none"/>
        </w:rPr>
        <w:fldChar w:fldCharType="end"/>
      </w:r>
      <w:r>
        <w:rPr>
          <w:rStyle w:val="52"/>
          <w:highlight w:val="none"/>
        </w:rPr>
        <w:t>-</w:t>
      </w:r>
      <w:r>
        <w:rPr>
          <w:rFonts w:hint="eastAsia"/>
          <w:bCs/>
          <w:szCs w:val="21"/>
          <w:highlight w:val="none"/>
        </w:rPr>
        <w:t>）：</w:t>
      </w:r>
    </w:p>
    <w:p>
      <w:pPr>
        <w:tabs>
          <w:tab w:val="clear" w:pos="426"/>
        </w:tabs>
        <w:spacing w:line="240" w:lineRule="auto"/>
        <w:ind w:left="-2" w:leftChars="-1" w:firstLine="420" w:firstLineChars="200"/>
        <w:rPr>
          <w:bCs/>
          <w:szCs w:val="21"/>
          <w:highlight w:val="none"/>
        </w:rPr>
      </w:pPr>
      <w:r>
        <w:rPr>
          <w:rFonts w:hint="eastAsia"/>
          <w:bCs/>
          <w:szCs w:val="21"/>
          <w:highlight w:val="none"/>
        </w:rPr>
        <w:t>（</w:t>
      </w:r>
      <w:r>
        <w:rPr>
          <w:bCs/>
          <w:szCs w:val="21"/>
          <w:highlight w:val="none"/>
        </w:rPr>
        <w:t>1）《关于印发〈政府采购促进中小企业发展管理办法〉的通知》（财库〔2020〕46号）</w:t>
      </w:r>
      <w:r>
        <w:rPr>
          <w:rFonts w:hint="eastAsia"/>
          <w:bCs/>
          <w:szCs w:val="21"/>
          <w:highlight w:val="none"/>
        </w:rPr>
        <w:t>；</w:t>
      </w:r>
    </w:p>
    <w:p>
      <w:pPr>
        <w:tabs>
          <w:tab w:val="clear" w:pos="426"/>
        </w:tabs>
        <w:spacing w:line="240" w:lineRule="auto"/>
        <w:ind w:left="-2" w:leftChars="-1" w:firstLine="420" w:firstLineChars="200"/>
        <w:rPr>
          <w:bCs/>
          <w:szCs w:val="21"/>
          <w:highlight w:val="none"/>
        </w:rPr>
      </w:pPr>
      <w:r>
        <w:rPr>
          <w:rFonts w:hint="eastAsia"/>
          <w:bCs/>
          <w:szCs w:val="21"/>
          <w:highlight w:val="none"/>
        </w:rPr>
        <w:t>（</w:t>
      </w:r>
      <w:r>
        <w:rPr>
          <w:bCs/>
          <w:szCs w:val="21"/>
          <w:highlight w:val="none"/>
        </w:rPr>
        <w:t>2）《工业和信息化部、国家统计局、国家发展和改革委员会、财政部关于印发中小企业划型标准规定的通知》（工信部联企业〔2011〕300号）</w:t>
      </w:r>
      <w:r>
        <w:rPr>
          <w:rFonts w:hint="eastAsia"/>
          <w:bCs/>
          <w:szCs w:val="21"/>
          <w:highlight w:val="none"/>
        </w:rPr>
        <w:t>；</w:t>
      </w:r>
    </w:p>
    <w:p>
      <w:pPr>
        <w:tabs>
          <w:tab w:val="clear" w:pos="426"/>
        </w:tabs>
        <w:spacing w:line="240" w:lineRule="auto"/>
        <w:ind w:left="-2" w:leftChars="-1" w:firstLine="420" w:firstLineChars="200"/>
        <w:rPr>
          <w:bCs/>
          <w:szCs w:val="21"/>
          <w:highlight w:val="none"/>
        </w:rPr>
      </w:pPr>
      <w:r>
        <w:rPr>
          <w:rFonts w:hint="eastAsia"/>
          <w:bCs/>
          <w:szCs w:val="21"/>
          <w:highlight w:val="none"/>
        </w:rPr>
        <w:t>（</w:t>
      </w:r>
      <w:r>
        <w:rPr>
          <w:bCs/>
          <w:szCs w:val="21"/>
          <w:highlight w:val="none"/>
        </w:rPr>
        <w:t>3）《关于印发〈统计上大中小微型企业划分办法（2017）〉的通知》；</w:t>
      </w:r>
    </w:p>
    <w:p>
      <w:pPr>
        <w:tabs>
          <w:tab w:val="clear" w:pos="426"/>
        </w:tabs>
        <w:spacing w:line="240" w:lineRule="auto"/>
        <w:ind w:left="-2" w:leftChars="-1" w:firstLine="420" w:firstLineChars="200"/>
        <w:rPr>
          <w:bCs/>
          <w:szCs w:val="21"/>
          <w:highlight w:val="none"/>
        </w:rPr>
      </w:pPr>
      <w:r>
        <w:rPr>
          <w:rFonts w:hint="eastAsia"/>
          <w:bCs/>
          <w:szCs w:val="21"/>
          <w:highlight w:val="none"/>
        </w:rPr>
        <w:t>（</w:t>
      </w:r>
      <w:r>
        <w:rPr>
          <w:bCs/>
          <w:szCs w:val="21"/>
          <w:highlight w:val="none"/>
        </w:rPr>
        <w:t>4）《关于促进残疾人就业政府采购政策的通知》（财库〔2017〕141号）</w:t>
      </w:r>
      <w:r>
        <w:rPr>
          <w:rFonts w:hint="eastAsia"/>
          <w:bCs/>
          <w:szCs w:val="21"/>
          <w:highlight w:val="none"/>
        </w:rPr>
        <w:t>。</w:t>
      </w:r>
      <w:r>
        <w:rPr>
          <w:bCs/>
          <w:szCs w:val="21"/>
          <w:highlight w:val="none"/>
        </w:rPr>
        <w:t xml:space="preserve"> </w:t>
      </w:r>
    </w:p>
    <w:p>
      <w:pPr>
        <w:tabs>
          <w:tab w:val="clear" w:pos="426"/>
        </w:tabs>
        <w:spacing w:line="240" w:lineRule="auto"/>
        <w:ind w:left="-2" w:leftChars="-1" w:firstLine="420" w:firstLineChars="200"/>
        <w:rPr>
          <w:bCs/>
          <w:szCs w:val="21"/>
          <w:highlight w:val="none"/>
        </w:rPr>
      </w:pPr>
      <w:r>
        <w:rPr>
          <w:bCs/>
          <w:szCs w:val="21"/>
          <w:highlight w:val="none"/>
        </w:rPr>
        <w:t>3</w:t>
      </w:r>
      <w:r>
        <w:rPr>
          <w:rFonts w:hint="eastAsia"/>
          <w:bCs/>
          <w:szCs w:val="21"/>
          <w:highlight w:val="none"/>
        </w:rPr>
        <w:t>.请依照提供的格式和内容填写声明函，不要随意变更格式或增删内容；满足多项优惠政策的企业，不重复享受多项价格扣除政策。</w:t>
      </w:r>
      <w:r>
        <w:rPr>
          <w:bCs/>
          <w:szCs w:val="21"/>
          <w:highlight w:val="none"/>
        </w:rPr>
        <w:t xml:space="preserve"> </w:t>
      </w:r>
    </w:p>
    <w:p>
      <w:pPr>
        <w:tabs>
          <w:tab w:val="clear" w:pos="426"/>
        </w:tabs>
        <w:spacing w:line="240" w:lineRule="auto"/>
        <w:ind w:left="-2" w:leftChars="-1" w:firstLine="420" w:firstLineChars="200"/>
        <w:rPr>
          <w:bCs/>
          <w:szCs w:val="21"/>
          <w:highlight w:val="none"/>
        </w:rPr>
      </w:pPr>
      <w:r>
        <w:rPr>
          <w:bCs/>
          <w:szCs w:val="21"/>
          <w:highlight w:val="none"/>
        </w:rPr>
        <w:t>4</w:t>
      </w:r>
      <w:r>
        <w:rPr>
          <w:rFonts w:hint="eastAsia"/>
          <w:bCs/>
          <w:szCs w:val="21"/>
          <w:highlight w:val="none"/>
        </w:rPr>
        <w:t>.声明函的有效性最终由评审委员会判定；如评审委员会判定声明函无效，相关供应商不享受价格扣除（但不作投标无效处理）。</w:t>
      </w:r>
    </w:p>
    <w:p>
      <w:pPr>
        <w:tabs>
          <w:tab w:val="clear" w:pos="426"/>
        </w:tabs>
        <w:spacing w:line="240" w:lineRule="auto"/>
        <w:ind w:left="-2" w:leftChars="-1" w:firstLine="420" w:firstLineChars="200"/>
        <w:rPr>
          <w:bCs/>
          <w:szCs w:val="21"/>
          <w:highlight w:val="none"/>
        </w:rPr>
      </w:pPr>
    </w:p>
    <w:p>
      <w:pPr>
        <w:tabs>
          <w:tab w:val="clear" w:pos="426"/>
        </w:tabs>
        <w:spacing w:line="240" w:lineRule="auto"/>
        <w:ind w:left="-2" w:leftChars="-1" w:firstLine="420" w:firstLineChars="200"/>
        <w:rPr>
          <w:bCs/>
          <w:szCs w:val="21"/>
          <w:highlight w:val="none"/>
        </w:rPr>
      </w:pPr>
    </w:p>
    <w:p>
      <w:pPr>
        <w:tabs>
          <w:tab w:val="clear" w:pos="426"/>
        </w:tabs>
        <w:spacing w:line="240" w:lineRule="auto"/>
        <w:ind w:left="-2" w:leftChars="-1" w:firstLine="420" w:firstLineChars="200"/>
        <w:rPr>
          <w:bCs/>
          <w:szCs w:val="21"/>
          <w:highlight w:val="none"/>
        </w:rPr>
      </w:pPr>
    </w:p>
    <w:p>
      <w:pPr>
        <w:shd w:val="clear" w:color="auto" w:fill="auto"/>
        <w:tabs>
          <w:tab w:val="clear" w:pos="426"/>
        </w:tabs>
        <w:spacing w:line="240" w:lineRule="auto"/>
        <w:jc w:val="left"/>
        <w:rPr>
          <w:szCs w:val="21"/>
          <w:highlight w:val="none"/>
        </w:rPr>
      </w:pPr>
      <w:r>
        <w:rPr>
          <w:szCs w:val="21"/>
          <w:highlight w:val="none"/>
        </w:rPr>
        <w:br w:type="page"/>
      </w:r>
    </w:p>
    <w:p>
      <w:pPr>
        <w:rPr>
          <w:highlight w:val="none"/>
        </w:rPr>
      </w:pPr>
    </w:p>
    <w:p>
      <w:pPr>
        <w:tabs>
          <w:tab w:val="clear" w:pos="426"/>
        </w:tabs>
        <w:spacing w:line="240" w:lineRule="auto"/>
        <w:jc w:val="center"/>
        <w:outlineLvl w:val="3"/>
        <w:rPr>
          <w:b/>
          <w:sz w:val="32"/>
          <w:szCs w:val="32"/>
          <w:highlight w:val="none"/>
        </w:rPr>
      </w:pPr>
      <w:r>
        <w:rPr>
          <w:rFonts w:hint="eastAsia"/>
          <w:b/>
          <w:sz w:val="32"/>
          <w:szCs w:val="32"/>
          <w:highlight w:val="none"/>
        </w:rPr>
        <w:t>（一）中小企业声明函（样表）</w:t>
      </w:r>
    </w:p>
    <w:p>
      <w:pPr>
        <w:spacing w:line="240" w:lineRule="auto"/>
        <w:ind w:firstLine="420" w:firstLineChars="200"/>
        <w:rPr>
          <w:szCs w:val="21"/>
          <w:highlight w:val="none"/>
        </w:rPr>
      </w:pPr>
    </w:p>
    <w:p>
      <w:pPr>
        <w:spacing w:line="240" w:lineRule="auto"/>
        <w:ind w:firstLine="420" w:firstLineChars="200"/>
        <w:jc w:val="left"/>
        <w:rPr>
          <w:szCs w:val="21"/>
          <w:highlight w:val="none"/>
        </w:rPr>
      </w:pPr>
      <w:r>
        <w:rPr>
          <w:rFonts w:hint="eastAsia"/>
          <w:szCs w:val="21"/>
          <w:highlight w:val="none"/>
        </w:rPr>
        <w:t>本公司已知悉《政府采购促进中小企业发展管理办法》（财库〔</w:t>
      </w:r>
      <w:r>
        <w:rPr>
          <w:szCs w:val="21"/>
          <w:highlight w:val="none"/>
        </w:rPr>
        <w:t>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r>
        <w:rPr>
          <w:rFonts w:hint="eastAsia"/>
          <w:szCs w:val="21"/>
          <w:highlight w:val="none"/>
        </w:rPr>
        <w:t>。</w:t>
      </w:r>
    </w:p>
    <w:p>
      <w:pPr>
        <w:spacing w:line="240" w:lineRule="auto"/>
        <w:ind w:firstLine="420" w:firstLineChars="200"/>
        <w:jc w:val="left"/>
        <w:rPr>
          <w:szCs w:val="21"/>
          <w:highlight w:val="none"/>
          <w:u w:val="none"/>
        </w:rPr>
      </w:pPr>
      <w:r>
        <w:rPr>
          <w:rFonts w:hint="eastAsia"/>
          <w:szCs w:val="21"/>
          <w:highlight w:val="none"/>
        </w:rPr>
        <w:t>本公司郑重声明，根据《关于印发</w:t>
      </w:r>
      <w:r>
        <w:rPr>
          <w:szCs w:val="21"/>
          <w:highlight w:val="none"/>
        </w:rPr>
        <w:t>&lt;政府采购促进中小企业发展管理办法&gt;的通知》（财库〔2020〕46号）的规定，本公司（联合体）参加(采购单位名称全称)的</w:t>
      </w:r>
      <w:r>
        <w:rPr>
          <w:rFonts w:hint="eastAsia"/>
          <w:szCs w:val="21"/>
          <w:highlight w:val="none"/>
          <w:lang w:eastAsia="zh-CN"/>
        </w:rPr>
        <w:t>福田区水务工程第三方安全检查与检测技术服务</w:t>
      </w:r>
      <w:r>
        <w:rPr>
          <w:szCs w:val="21"/>
          <w:highlight w:val="none"/>
        </w:rPr>
        <w:t>采购活</w:t>
      </w:r>
      <w:r>
        <w:rPr>
          <w:szCs w:val="21"/>
          <w:highlight w:val="none"/>
          <w:u w:val="none"/>
        </w:rPr>
        <w:t>动，________________________（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jc w:val="left"/>
        <w:rPr>
          <w:szCs w:val="21"/>
          <w:highlight w:val="none"/>
          <w:u w:val="none"/>
        </w:rPr>
      </w:pPr>
      <w:r>
        <w:rPr>
          <w:szCs w:val="21"/>
          <w:highlight w:val="none"/>
          <w:u w:val="none"/>
        </w:rPr>
        <w:t>1.（标的名称），属于（采购文件中明确的所属行业）；承建（承接）企业为（企业名称），从业人员____人，营业收入为____万元，资产总额为____万元1，属于（中型企业、小型企业、微型企业）；</w:t>
      </w:r>
    </w:p>
    <w:p>
      <w:pPr>
        <w:spacing w:line="240" w:lineRule="auto"/>
        <w:ind w:firstLine="420" w:firstLineChars="200"/>
        <w:jc w:val="left"/>
        <w:rPr>
          <w:szCs w:val="21"/>
          <w:highlight w:val="none"/>
        </w:rPr>
      </w:pPr>
      <w:r>
        <w:rPr>
          <w:szCs w:val="21"/>
          <w:highlight w:val="none"/>
          <w:u w:val="none"/>
        </w:rPr>
        <w:t>2.（标的名称），属于（采购文件中明确的所属行业）；承建（承接）企业为（企业名称），从业人员____人，营业收入为____万元，资产总额为____万元</w:t>
      </w:r>
      <w:r>
        <w:rPr>
          <w:szCs w:val="21"/>
          <w:highlight w:val="none"/>
        </w:rPr>
        <w:t>，属于（中型企业、小型企业、微型企业）；</w:t>
      </w:r>
    </w:p>
    <w:p>
      <w:pPr>
        <w:spacing w:line="240" w:lineRule="auto"/>
        <w:ind w:firstLine="420" w:firstLineChars="200"/>
        <w:jc w:val="left"/>
        <w:rPr>
          <w:szCs w:val="21"/>
          <w:highlight w:val="none"/>
        </w:rPr>
      </w:pPr>
      <w:r>
        <w:rPr>
          <w:rFonts w:hint="eastAsia"/>
          <w:szCs w:val="21"/>
          <w:highlight w:val="none"/>
        </w:rPr>
        <w:t>……</w:t>
      </w:r>
    </w:p>
    <w:p>
      <w:pPr>
        <w:spacing w:line="240" w:lineRule="auto"/>
        <w:ind w:firstLine="420" w:firstLineChars="200"/>
        <w:jc w:val="left"/>
        <w:rPr>
          <w:szCs w:val="21"/>
          <w:highlight w:val="none"/>
        </w:rPr>
      </w:pPr>
      <w:r>
        <w:rPr>
          <w:rFonts w:hint="eastAsia"/>
          <w:szCs w:val="21"/>
          <w:highlight w:val="none"/>
        </w:rPr>
        <w:t>以上企业，不属于大企业的分支机构，不存在控股股东为大企业的情形，也不存在与大企业的负责人为同一人的情形。</w:t>
      </w:r>
    </w:p>
    <w:p>
      <w:pPr>
        <w:spacing w:line="240" w:lineRule="auto"/>
        <w:ind w:firstLine="420" w:firstLineChars="200"/>
        <w:jc w:val="left"/>
        <w:rPr>
          <w:szCs w:val="21"/>
          <w:highlight w:val="none"/>
        </w:rPr>
      </w:pPr>
      <w:r>
        <w:rPr>
          <w:rFonts w:hint="eastAsia"/>
          <w:szCs w:val="21"/>
          <w:highlight w:val="none"/>
        </w:rPr>
        <w:t>本企业对上述声明内容的真实性负责。如有虚假，将依法承担相应责任。</w:t>
      </w:r>
    </w:p>
    <w:p>
      <w:pPr>
        <w:spacing w:line="240" w:lineRule="auto"/>
        <w:ind w:firstLine="420" w:firstLineChars="200"/>
        <w:jc w:val="left"/>
        <w:rPr>
          <w:szCs w:val="21"/>
          <w:highlight w:val="none"/>
        </w:rPr>
      </w:pPr>
    </w:p>
    <w:p>
      <w:pPr>
        <w:spacing w:line="240" w:lineRule="auto"/>
        <w:ind w:firstLine="420" w:firstLineChars="200"/>
        <w:jc w:val="left"/>
        <w:rPr>
          <w:szCs w:val="21"/>
          <w:highlight w:val="none"/>
        </w:rPr>
      </w:pPr>
      <w:r>
        <w:rPr>
          <w:rFonts w:hint="eastAsia"/>
          <w:szCs w:val="21"/>
          <w:highlight w:val="none"/>
        </w:rPr>
        <w:t>企业名称（盖章）：</w:t>
      </w:r>
    </w:p>
    <w:p>
      <w:pPr>
        <w:spacing w:line="240" w:lineRule="auto"/>
        <w:ind w:firstLine="420" w:firstLineChars="200"/>
        <w:jc w:val="left"/>
        <w:rPr>
          <w:szCs w:val="21"/>
          <w:highlight w:val="none"/>
        </w:rPr>
      </w:pPr>
      <w:r>
        <w:rPr>
          <w:rFonts w:hint="eastAsia"/>
          <w:szCs w:val="21"/>
          <w:highlight w:val="none"/>
        </w:rPr>
        <w:t>日期：</w:t>
      </w:r>
    </w:p>
    <w:p>
      <w:pPr>
        <w:spacing w:line="240" w:lineRule="auto"/>
        <w:ind w:firstLine="420" w:firstLineChars="200"/>
        <w:jc w:val="left"/>
        <w:rPr>
          <w:szCs w:val="21"/>
          <w:highlight w:val="none"/>
        </w:rPr>
      </w:pPr>
    </w:p>
    <w:p>
      <w:pPr>
        <w:spacing w:line="240" w:lineRule="auto"/>
        <w:ind w:firstLine="420" w:firstLineChars="200"/>
        <w:jc w:val="left"/>
        <w:rPr>
          <w:szCs w:val="21"/>
          <w:highlight w:val="none"/>
        </w:rPr>
      </w:pPr>
      <w:r>
        <w:rPr>
          <w:rFonts w:hint="eastAsia"/>
          <w:szCs w:val="21"/>
          <w:highlight w:val="none"/>
        </w:rPr>
        <w:t>备注：</w:t>
      </w:r>
      <w:r>
        <w:rPr>
          <w:szCs w:val="21"/>
          <w:highlight w:val="none"/>
        </w:rPr>
        <w:t>1、从业人员、营业收入、资产总额填报上一年度数据，无上一年度数据的新成立企业可不填报。</w:t>
      </w: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jc w:val="center"/>
        <w:outlineLvl w:val="3"/>
        <w:rPr>
          <w:rFonts w:ascii="Times New Roman" w:hAnsi="Times New Roman"/>
          <w:b/>
          <w:sz w:val="32"/>
          <w:szCs w:val="32"/>
          <w:highlight w:val="none"/>
        </w:rPr>
      </w:pPr>
      <w:r>
        <w:rPr>
          <w:rFonts w:hint="eastAsia"/>
          <w:b/>
          <w:sz w:val="32"/>
          <w:szCs w:val="32"/>
          <w:highlight w:val="none"/>
        </w:rPr>
        <w:t>（</w:t>
      </w:r>
      <w:r>
        <w:rPr>
          <w:b/>
          <w:sz w:val="32"/>
          <w:szCs w:val="32"/>
          <w:highlight w:val="none"/>
        </w:rPr>
        <w:t>二</w:t>
      </w:r>
      <w:r>
        <w:rPr>
          <w:rFonts w:hint="eastAsia"/>
          <w:b/>
          <w:sz w:val="32"/>
          <w:szCs w:val="32"/>
          <w:highlight w:val="none"/>
        </w:rPr>
        <w:t>）残疾人福利性单位声明函（样表）</w:t>
      </w:r>
    </w:p>
    <w:p>
      <w:pPr>
        <w:spacing w:line="240" w:lineRule="auto"/>
        <w:ind w:firstLine="420" w:firstLineChars="200"/>
        <w:rPr>
          <w:szCs w:val="21"/>
          <w:highlight w:val="none"/>
        </w:rPr>
      </w:pPr>
    </w:p>
    <w:p>
      <w:pPr>
        <w:spacing w:line="240" w:lineRule="auto"/>
        <w:ind w:firstLine="420" w:firstLineChars="200"/>
        <w:rPr>
          <w:szCs w:val="21"/>
          <w:highlight w:val="none"/>
        </w:rPr>
      </w:pPr>
      <w:r>
        <w:rPr>
          <w:rFonts w:hint="eastAsia"/>
          <w:szCs w:val="21"/>
          <w:highlight w:val="none"/>
        </w:rPr>
        <w:t>本单位已知悉《关于促进残疾人就业政府采购政策的通知》（财库〔</w:t>
      </w:r>
      <w:r>
        <w:rPr>
          <w:szCs w:val="21"/>
          <w:highlight w:val="none"/>
        </w:rPr>
        <w:t>2017〕141号）的规定，承诺提供的声明函内容是真实的，如提供声明函内容不实，则依法追究相关法律责任。</w:t>
      </w:r>
    </w:p>
    <w:p>
      <w:pPr>
        <w:spacing w:line="240" w:lineRule="auto"/>
        <w:ind w:firstLine="420" w:firstLineChars="200"/>
        <w:rPr>
          <w:szCs w:val="21"/>
          <w:highlight w:val="none"/>
        </w:rPr>
      </w:pPr>
      <w:r>
        <w:rPr>
          <w:rFonts w:hint="eastAsia"/>
          <w:szCs w:val="21"/>
          <w:highlight w:val="none"/>
        </w:rPr>
        <w:t>本单位郑重声明，根据《财政部民政部中国残疾人联合会关于促进残疾人就业政府采购政策的通知》（财库〔</w:t>
      </w:r>
      <w:r>
        <w:rPr>
          <w:szCs w:val="21"/>
          <w:highlight w:val="none"/>
        </w:rPr>
        <w:t>2017〕141</w:t>
      </w:r>
      <w:r>
        <w:rPr>
          <w:szCs w:val="21"/>
          <w:highlight w:val="none"/>
          <w:u w:val="single"/>
        </w:rPr>
        <w:t>_</w:t>
      </w:r>
      <w:r>
        <w:rPr>
          <w:rFonts w:hint="eastAsia"/>
          <w:szCs w:val="21"/>
          <w:highlight w:val="none"/>
        </w:rPr>
        <w:t>号）的规定，本单位为符合条件的残疾人福利性单位，且本单位参加</w:t>
      </w:r>
      <w:r>
        <w:rPr>
          <w:szCs w:val="21"/>
          <w:highlight w:val="none"/>
          <w:u w:val="single"/>
        </w:rPr>
        <w:t>_</w:t>
      </w:r>
      <w:r>
        <w:rPr>
          <w:szCs w:val="21"/>
          <w:highlight w:val="none"/>
        </w:rPr>
        <w:t>（采购单位名称）</w:t>
      </w:r>
      <w:r>
        <w:rPr>
          <w:szCs w:val="21"/>
          <w:highlight w:val="none"/>
          <w:u w:val="single"/>
        </w:rPr>
        <w:t>_</w:t>
      </w:r>
      <w:r>
        <w:rPr>
          <w:szCs w:val="21"/>
          <w:highlight w:val="none"/>
        </w:rPr>
        <w:t>单位的</w:t>
      </w:r>
      <w:r>
        <w:rPr>
          <w:szCs w:val="21"/>
          <w:highlight w:val="none"/>
          <w:u w:val="single"/>
        </w:rPr>
        <w:t>_</w:t>
      </w:r>
      <w:r>
        <w:rPr>
          <w:szCs w:val="21"/>
          <w:highlight w:val="none"/>
        </w:rPr>
        <w:t>（采购项目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szCs w:val="21"/>
          <w:highlight w:val="none"/>
          <w:u w:val="none"/>
        </w:rPr>
      </w:pPr>
      <w:r>
        <w:rPr>
          <w:rFonts w:hint="eastAsia"/>
          <w:szCs w:val="21"/>
          <w:highlight w:val="none"/>
        </w:rPr>
        <w:t>单位名称（盖章）：</w:t>
      </w:r>
      <w:r>
        <w:rPr>
          <w:szCs w:val="21"/>
          <w:highlight w:val="none"/>
          <w:u w:val="none"/>
        </w:rPr>
        <w:t>__________________</w:t>
      </w:r>
    </w:p>
    <w:p>
      <w:pPr>
        <w:spacing w:line="240" w:lineRule="auto"/>
        <w:ind w:firstLine="420" w:firstLineChars="200"/>
        <w:jc w:val="right"/>
        <w:rPr>
          <w:szCs w:val="21"/>
          <w:highlight w:val="none"/>
          <w:u w:val="none"/>
        </w:rPr>
      </w:pPr>
      <w:r>
        <w:rPr>
          <w:rFonts w:hint="eastAsia"/>
          <w:szCs w:val="21"/>
          <w:highlight w:val="none"/>
          <w:u w:val="none"/>
        </w:rPr>
        <w:t>日期：</w:t>
      </w:r>
      <w:r>
        <w:rPr>
          <w:szCs w:val="21"/>
          <w:highlight w:val="none"/>
          <w:u w:val="none"/>
        </w:rPr>
        <w:t>_________________</w:t>
      </w: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643" w:firstLineChars="200"/>
        <w:jc w:val="center"/>
        <w:rPr>
          <w:b/>
          <w:sz w:val="32"/>
          <w:szCs w:val="32"/>
          <w:highlight w:val="none"/>
        </w:rPr>
      </w:pPr>
      <w:r>
        <w:rPr>
          <w:b/>
          <w:sz w:val="32"/>
          <w:szCs w:val="32"/>
          <w:highlight w:val="none"/>
        </w:rPr>
        <w:br w:type="page"/>
      </w:r>
    </w:p>
    <w:p>
      <w:pPr>
        <w:spacing w:line="240" w:lineRule="auto"/>
        <w:ind w:firstLine="643" w:firstLineChars="200"/>
        <w:jc w:val="center"/>
        <w:rPr>
          <w:b/>
          <w:sz w:val="32"/>
          <w:szCs w:val="32"/>
          <w:highlight w:val="none"/>
        </w:rPr>
      </w:pPr>
    </w:p>
    <w:p>
      <w:pPr>
        <w:spacing w:line="240" w:lineRule="auto"/>
        <w:ind w:firstLine="643" w:firstLineChars="200"/>
        <w:jc w:val="center"/>
        <w:rPr>
          <w:rFonts w:ascii="Times New Roman" w:hAnsi="Times New Roman"/>
          <w:b/>
          <w:sz w:val="32"/>
          <w:szCs w:val="32"/>
          <w:highlight w:val="none"/>
        </w:rPr>
      </w:pPr>
      <w:r>
        <w:rPr>
          <w:rFonts w:hint="eastAsia"/>
          <w:b/>
          <w:sz w:val="32"/>
          <w:szCs w:val="32"/>
          <w:highlight w:val="none"/>
        </w:rPr>
        <w:t>（</w:t>
      </w:r>
      <w:r>
        <w:rPr>
          <w:b/>
          <w:sz w:val="32"/>
          <w:szCs w:val="32"/>
          <w:highlight w:val="none"/>
        </w:rPr>
        <w:t>三</w:t>
      </w:r>
      <w:r>
        <w:rPr>
          <w:rFonts w:hint="eastAsia"/>
          <w:b/>
          <w:sz w:val="32"/>
          <w:szCs w:val="32"/>
          <w:highlight w:val="none"/>
        </w:rPr>
        <w:t>）省级以上监狱管理局、戒毒管理局（含新疆生产建设兵团）出具的属于监狱企业的证明文件（样表）</w:t>
      </w:r>
    </w:p>
    <w:p>
      <w:pPr>
        <w:spacing w:line="240" w:lineRule="auto"/>
        <w:ind w:firstLine="420" w:firstLineChars="200"/>
        <w:rPr>
          <w:szCs w:val="21"/>
          <w:highlight w:val="none"/>
        </w:rPr>
      </w:pPr>
    </w:p>
    <w:p>
      <w:pPr>
        <w:spacing w:line="240" w:lineRule="auto"/>
        <w:ind w:firstLine="420" w:firstLineChars="200"/>
        <w:rPr>
          <w:szCs w:val="21"/>
          <w:highlight w:val="none"/>
        </w:rPr>
      </w:pPr>
      <w:r>
        <w:rPr>
          <w:rFonts w:hint="eastAsia"/>
          <w:szCs w:val="21"/>
          <w:highlight w:val="none"/>
        </w:rPr>
        <w:t>本单位已知悉《财政部司法部关于政府采购支持监狱企业发展有关问题的通知》（财库〔</w:t>
      </w:r>
      <w:r>
        <w:rPr>
          <w:szCs w:val="21"/>
          <w:highlight w:val="none"/>
        </w:rPr>
        <w:t>2014〕68号）的规定，承诺提供的声明函内容是真实的，如提供声明函内容不实，则依法追究相关法律责任。</w:t>
      </w:r>
    </w:p>
    <w:p>
      <w:pPr>
        <w:spacing w:line="240" w:lineRule="auto"/>
        <w:ind w:firstLine="420" w:firstLineChars="200"/>
        <w:rPr>
          <w:szCs w:val="21"/>
          <w:highlight w:val="none"/>
        </w:rPr>
      </w:pPr>
      <w:r>
        <w:rPr>
          <w:rFonts w:hint="eastAsia"/>
          <w:szCs w:val="21"/>
          <w:highlight w:val="none"/>
        </w:rPr>
        <w:t>本单位郑重声明，根据《财政部司法部关于政府采购支持监狱企业发展有关问题的通知》（财库〔</w:t>
      </w:r>
      <w:r>
        <w:rPr>
          <w:szCs w:val="21"/>
          <w:highlight w:val="none"/>
        </w:rPr>
        <w:t>2014〕68号）的规定，本单位为符合条件的监狱企业，且本单位参加</w:t>
      </w:r>
      <w:r>
        <w:rPr>
          <w:szCs w:val="21"/>
          <w:highlight w:val="none"/>
          <w:u w:val="single"/>
        </w:rPr>
        <w:t>_</w:t>
      </w:r>
      <w:r>
        <w:rPr>
          <w:szCs w:val="21"/>
          <w:highlight w:val="none"/>
        </w:rPr>
        <w:t>（采购单位名称）</w:t>
      </w:r>
      <w:r>
        <w:rPr>
          <w:szCs w:val="21"/>
          <w:highlight w:val="none"/>
          <w:u w:val="single"/>
        </w:rPr>
        <w:t>_</w:t>
      </w:r>
      <w:r>
        <w:rPr>
          <w:szCs w:val="21"/>
          <w:highlight w:val="none"/>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240" w:lineRule="auto"/>
        <w:ind w:firstLine="420" w:firstLineChars="200"/>
        <w:rPr>
          <w:szCs w:val="21"/>
          <w:highlight w:val="none"/>
        </w:rPr>
      </w:pPr>
      <w:r>
        <w:rPr>
          <w:rFonts w:hint="eastAsia"/>
          <w:szCs w:val="21"/>
          <w:highlight w:val="none"/>
        </w:rPr>
        <w:t>本单位对上述声明的真实性负责。如有虚假，将依法承担相应责任。</w:t>
      </w:r>
    </w:p>
    <w:p>
      <w:pPr>
        <w:spacing w:line="240" w:lineRule="auto"/>
        <w:ind w:firstLine="420" w:firstLineChars="200"/>
        <w:rPr>
          <w:szCs w:val="21"/>
          <w:highlight w:val="none"/>
        </w:rPr>
      </w:pPr>
      <w:r>
        <w:rPr>
          <w:rFonts w:hint="eastAsia"/>
          <w:szCs w:val="21"/>
          <w:highlight w:val="none"/>
        </w:rPr>
        <w:t>附：省级以上监狱管理局、戒毒管理局（含新疆生产建设兵团）出具的监狱企业证明文件。</w:t>
      </w:r>
    </w:p>
    <w:p>
      <w:pPr>
        <w:spacing w:line="240" w:lineRule="auto"/>
        <w:ind w:firstLine="420" w:firstLineChars="200"/>
        <w:jc w:val="right"/>
        <w:rPr>
          <w:szCs w:val="21"/>
          <w:highlight w:val="none"/>
          <w:u w:val="none"/>
        </w:rPr>
      </w:pPr>
      <w:r>
        <w:rPr>
          <w:rFonts w:hint="eastAsia"/>
          <w:szCs w:val="21"/>
          <w:highlight w:val="none"/>
        </w:rPr>
        <w:t>单位名称（盖章）：</w:t>
      </w:r>
      <w:r>
        <w:rPr>
          <w:szCs w:val="21"/>
          <w:highlight w:val="none"/>
          <w:u w:val="none"/>
        </w:rPr>
        <w:t>__________________</w:t>
      </w:r>
    </w:p>
    <w:p>
      <w:pPr>
        <w:spacing w:line="240" w:lineRule="auto"/>
        <w:ind w:firstLine="420" w:firstLineChars="200"/>
        <w:jc w:val="right"/>
        <w:rPr>
          <w:szCs w:val="21"/>
          <w:highlight w:val="none"/>
          <w:u w:val="none"/>
        </w:rPr>
      </w:pPr>
      <w:r>
        <w:rPr>
          <w:rFonts w:hint="eastAsia"/>
          <w:szCs w:val="21"/>
          <w:highlight w:val="none"/>
          <w:u w:val="none"/>
        </w:rPr>
        <w:t>日期：</w:t>
      </w:r>
      <w:r>
        <w:rPr>
          <w:szCs w:val="21"/>
          <w:highlight w:val="none"/>
          <w:u w:val="none"/>
        </w:rPr>
        <w:t>_________________</w:t>
      </w: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643" w:firstLineChars="200"/>
        <w:jc w:val="center"/>
        <w:rPr>
          <w:b/>
          <w:sz w:val="32"/>
          <w:szCs w:val="32"/>
          <w:highlight w:val="none"/>
        </w:rPr>
      </w:pPr>
      <w:r>
        <w:rPr>
          <w:rFonts w:hint="eastAsia"/>
          <w:b/>
          <w:sz w:val="32"/>
          <w:szCs w:val="32"/>
          <w:highlight w:val="none"/>
        </w:rPr>
        <w:t>（</w:t>
      </w:r>
      <w:r>
        <w:rPr>
          <w:b/>
          <w:sz w:val="32"/>
          <w:szCs w:val="32"/>
          <w:highlight w:val="none"/>
        </w:rPr>
        <w:t>四</w:t>
      </w:r>
      <w:r>
        <w:rPr>
          <w:rFonts w:hint="eastAsia"/>
          <w:b/>
          <w:sz w:val="32"/>
          <w:szCs w:val="32"/>
          <w:highlight w:val="none"/>
        </w:rPr>
        <w:t>）含有小型、微型企业的联合体声明函（样表）</w:t>
      </w:r>
    </w:p>
    <w:p>
      <w:pPr>
        <w:spacing w:line="240" w:lineRule="auto"/>
        <w:ind w:firstLine="420" w:firstLineChars="200"/>
        <w:rPr>
          <w:szCs w:val="21"/>
          <w:highlight w:val="none"/>
        </w:rPr>
      </w:pPr>
    </w:p>
    <w:p>
      <w:pPr>
        <w:spacing w:line="240" w:lineRule="auto"/>
        <w:ind w:firstLine="420" w:firstLineChars="200"/>
        <w:rPr>
          <w:szCs w:val="21"/>
          <w:highlight w:val="none"/>
          <w:u w:val="none"/>
        </w:rPr>
      </w:pPr>
      <w:r>
        <w:rPr>
          <w:szCs w:val="21"/>
          <w:highlight w:val="none"/>
          <w:u w:val="none"/>
        </w:rPr>
        <w:t>1.___</w:t>
      </w:r>
      <w:r>
        <w:rPr>
          <w:rFonts w:hint="eastAsia"/>
          <w:szCs w:val="21"/>
          <w:highlight w:val="none"/>
          <w:u w:val="none"/>
        </w:rPr>
        <w:t>（供应商名称、供应商名称）</w:t>
      </w:r>
      <w:r>
        <w:rPr>
          <w:szCs w:val="21"/>
          <w:highlight w:val="none"/>
          <w:u w:val="none"/>
        </w:rPr>
        <w:t>____</w:t>
      </w:r>
      <w:r>
        <w:rPr>
          <w:rFonts w:hint="eastAsia"/>
          <w:szCs w:val="21"/>
          <w:highlight w:val="none"/>
          <w:u w:val="none"/>
        </w:rPr>
        <w:t>共同组成联合体（详见联合体协议）。根据《工业和信息化部、国家统计局、国家发展和改革委员会、财政部关于印发中小企业划型标准规定的通知》（工信部联企业〔</w:t>
      </w:r>
      <w:r>
        <w:rPr>
          <w:szCs w:val="21"/>
          <w:highlight w:val="none"/>
          <w:u w:val="none"/>
        </w:rPr>
        <w:t>2011</w:t>
      </w:r>
      <w:r>
        <w:rPr>
          <w:rFonts w:hint="eastAsia"/>
          <w:szCs w:val="21"/>
          <w:highlight w:val="none"/>
          <w:u w:val="none"/>
        </w:rPr>
        <w:t>〕</w:t>
      </w:r>
      <w:r>
        <w:rPr>
          <w:szCs w:val="21"/>
          <w:highlight w:val="none"/>
          <w:u w:val="none"/>
        </w:rPr>
        <w:t>300_</w:t>
      </w:r>
      <w:r>
        <w:rPr>
          <w:rFonts w:hint="eastAsia"/>
          <w:szCs w:val="21"/>
          <w:highlight w:val="none"/>
          <w:u w:val="none"/>
        </w:rPr>
        <w:t>号）规定的划分标准，本联合体中：□</w:t>
      </w:r>
      <w:r>
        <w:rPr>
          <w:szCs w:val="21"/>
          <w:highlight w:val="none"/>
          <w:u w:val="none"/>
        </w:rPr>
        <w:t>______</w:t>
      </w:r>
      <w:r>
        <w:rPr>
          <w:rFonts w:hint="eastAsia"/>
          <w:szCs w:val="21"/>
          <w:highlight w:val="none"/>
          <w:u w:val="none"/>
        </w:rPr>
        <w:t>单位为</w:t>
      </w:r>
      <w:r>
        <w:rPr>
          <w:szCs w:val="21"/>
          <w:highlight w:val="none"/>
          <w:u w:val="none"/>
        </w:rPr>
        <w:t>______</w:t>
      </w:r>
      <w:r>
        <w:rPr>
          <w:rFonts w:hint="eastAsia"/>
          <w:szCs w:val="21"/>
          <w:highlight w:val="none"/>
          <w:u w:val="none"/>
        </w:rPr>
        <w:t>（请填写：中型、小型、微型）企业，</w:t>
      </w:r>
      <w:r>
        <w:rPr>
          <w:szCs w:val="21"/>
          <w:highlight w:val="none"/>
          <w:u w:val="none"/>
        </w:rPr>
        <w:t>______</w:t>
      </w:r>
      <w:r>
        <w:rPr>
          <w:rFonts w:hint="eastAsia"/>
          <w:szCs w:val="21"/>
          <w:highlight w:val="none"/>
          <w:u w:val="none"/>
        </w:rPr>
        <w:t>单位为</w:t>
      </w:r>
      <w:r>
        <w:rPr>
          <w:szCs w:val="21"/>
          <w:highlight w:val="none"/>
          <w:u w:val="none"/>
        </w:rPr>
        <w:t>______</w:t>
      </w:r>
      <w:r>
        <w:rPr>
          <w:rFonts w:hint="eastAsia"/>
          <w:szCs w:val="21"/>
          <w:highlight w:val="none"/>
          <w:u w:val="none"/>
        </w:rPr>
        <w:t>（请填写：中型、小型、微型）企业；□联合体各方均为小微企业（承诺人在□处打√）。</w:t>
      </w:r>
    </w:p>
    <w:p>
      <w:pPr>
        <w:spacing w:line="240" w:lineRule="auto"/>
        <w:ind w:firstLine="420" w:firstLineChars="200"/>
        <w:rPr>
          <w:szCs w:val="21"/>
          <w:highlight w:val="none"/>
          <w:u w:val="none"/>
        </w:rPr>
      </w:pPr>
      <w:r>
        <w:rPr>
          <w:szCs w:val="21"/>
          <w:highlight w:val="none"/>
          <w:u w:val="none"/>
        </w:rPr>
        <w:t>2.</w:t>
      </w:r>
      <w:r>
        <w:rPr>
          <w:rFonts w:hint="eastAsia"/>
          <w:szCs w:val="21"/>
          <w:highlight w:val="none"/>
          <w:u w:val="none"/>
        </w:rPr>
        <w:t>本联合体参加</w:t>
      </w:r>
      <w:r>
        <w:rPr>
          <w:szCs w:val="21"/>
          <w:highlight w:val="none"/>
          <w:u w:val="none"/>
        </w:rPr>
        <w:t>_</w:t>
      </w:r>
      <w:r>
        <w:rPr>
          <w:rFonts w:hint="eastAsia"/>
          <w:szCs w:val="21"/>
          <w:highlight w:val="none"/>
          <w:u w:val="none"/>
        </w:rPr>
        <w:t>（采购单位名称）</w:t>
      </w:r>
      <w:r>
        <w:rPr>
          <w:szCs w:val="21"/>
          <w:highlight w:val="none"/>
          <w:u w:val="none"/>
        </w:rPr>
        <w:t>_</w:t>
      </w:r>
      <w:r>
        <w:rPr>
          <w:rFonts w:hint="eastAsia"/>
          <w:szCs w:val="21"/>
          <w:highlight w:val="none"/>
          <w:u w:val="none"/>
        </w:rPr>
        <w:t>单位的</w:t>
      </w:r>
      <w:r>
        <w:rPr>
          <w:szCs w:val="21"/>
          <w:highlight w:val="none"/>
          <w:u w:val="none"/>
        </w:rPr>
        <w:t>_</w:t>
      </w:r>
      <w:r>
        <w:rPr>
          <w:rFonts w:hint="eastAsia"/>
          <w:szCs w:val="21"/>
          <w:highlight w:val="none"/>
          <w:u w:val="none"/>
        </w:rPr>
        <w:t>（采购项目名称）</w:t>
      </w:r>
      <w:r>
        <w:rPr>
          <w:szCs w:val="21"/>
          <w:highlight w:val="none"/>
          <w:u w:val="none"/>
        </w:rPr>
        <w:t>_</w:t>
      </w:r>
      <w:r>
        <w:rPr>
          <w:rFonts w:hint="eastAsia"/>
          <w:szCs w:val="21"/>
          <w:highlight w:val="none"/>
          <w:u w:val="none"/>
        </w:rPr>
        <w:t>项目采购活动，其中，小型、微型企业协议合同金额占到联合体协议总金额比例为</w:t>
      </w:r>
      <w:r>
        <w:rPr>
          <w:szCs w:val="21"/>
          <w:highlight w:val="none"/>
          <w:u w:val="none"/>
        </w:rPr>
        <w:t>_____%</w:t>
      </w:r>
      <w:r>
        <w:rPr>
          <w:rFonts w:hint="eastAsia"/>
          <w:szCs w:val="21"/>
          <w:highlight w:val="none"/>
          <w:u w:val="none"/>
        </w:rPr>
        <w:t>（该合同金额为：□小微企业制造的货物，□小微企业承担的工程、提供服务，□提供其他小微企业制造的货物；不包括使用大型企业注册商标的货物；请承诺人在□处打√），符合《政府采购促进中小企业发展暂行办法》</w:t>
      </w:r>
      <w:r>
        <w:rPr>
          <w:szCs w:val="21"/>
          <w:highlight w:val="none"/>
          <w:u w:val="none"/>
        </w:rPr>
        <w:t>(</w:t>
      </w:r>
      <w:r>
        <w:rPr>
          <w:rFonts w:hint="eastAsia"/>
          <w:szCs w:val="21"/>
          <w:highlight w:val="none"/>
          <w:u w:val="none"/>
        </w:rPr>
        <w:t>财库〔</w:t>
      </w:r>
      <w:r>
        <w:rPr>
          <w:szCs w:val="21"/>
          <w:highlight w:val="none"/>
          <w:u w:val="none"/>
        </w:rPr>
        <w:t>2011</w:t>
      </w:r>
      <w:r>
        <w:rPr>
          <w:rFonts w:hint="eastAsia"/>
          <w:szCs w:val="21"/>
          <w:highlight w:val="none"/>
          <w:u w:val="none"/>
        </w:rPr>
        <w:t>〕</w:t>
      </w:r>
      <w:r>
        <w:rPr>
          <w:szCs w:val="21"/>
          <w:highlight w:val="none"/>
          <w:u w:val="none"/>
        </w:rPr>
        <w:t>181_</w:t>
      </w:r>
      <w:r>
        <w:rPr>
          <w:rFonts w:hint="eastAsia"/>
          <w:szCs w:val="21"/>
          <w:highlight w:val="none"/>
          <w:u w:val="none"/>
        </w:rPr>
        <w:t>号</w:t>
      </w:r>
      <w:r>
        <w:rPr>
          <w:szCs w:val="21"/>
          <w:highlight w:val="none"/>
          <w:u w:val="none"/>
        </w:rPr>
        <w:t>)</w:t>
      </w:r>
      <w:r>
        <w:rPr>
          <w:rFonts w:hint="eastAsia"/>
          <w:szCs w:val="21"/>
          <w:highlight w:val="none"/>
          <w:u w:val="none"/>
        </w:rPr>
        <w:t>第六条规定的优惠政策。本联合体对上述声明的真实性负责。如有虚假，将依法承担相应责任。</w:t>
      </w:r>
    </w:p>
    <w:p>
      <w:pPr>
        <w:spacing w:line="240" w:lineRule="auto"/>
        <w:ind w:left="424" w:leftChars="202"/>
        <w:jc w:val="left"/>
        <w:rPr>
          <w:szCs w:val="21"/>
          <w:highlight w:val="none"/>
          <w:u w:val="none"/>
        </w:rPr>
      </w:pPr>
      <w:r>
        <w:rPr>
          <w:rFonts w:hint="eastAsia"/>
          <w:szCs w:val="21"/>
          <w:highlight w:val="none"/>
          <w:u w:val="none"/>
        </w:rPr>
        <w:t>企业</w:t>
      </w:r>
      <w:r>
        <w:rPr>
          <w:szCs w:val="21"/>
          <w:highlight w:val="none"/>
          <w:u w:val="none"/>
        </w:rPr>
        <w:t>1</w:t>
      </w:r>
      <w:r>
        <w:rPr>
          <w:rFonts w:hint="eastAsia"/>
          <w:szCs w:val="21"/>
          <w:highlight w:val="none"/>
          <w:u w:val="none"/>
        </w:rPr>
        <w:t>名称（盖章）：</w:t>
      </w:r>
      <w:r>
        <w:rPr>
          <w:szCs w:val="21"/>
          <w:highlight w:val="none"/>
          <w:u w:val="none"/>
        </w:rPr>
        <w:t xml:space="preserve">_______________________ </w:t>
      </w:r>
    </w:p>
    <w:p>
      <w:pPr>
        <w:spacing w:line="240" w:lineRule="auto"/>
        <w:ind w:left="424" w:leftChars="202"/>
        <w:jc w:val="left"/>
        <w:rPr>
          <w:szCs w:val="21"/>
          <w:highlight w:val="none"/>
          <w:u w:val="none"/>
        </w:rPr>
      </w:pPr>
      <w:r>
        <w:rPr>
          <w:rFonts w:hint="eastAsia"/>
          <w:szCs w:val="21"/>
          <w:highlight w:val="none"/>
          <w:u w:val="none"/>
        </w:rPr>
        <w:t>日期：</w:t>
      </w:r>
      <w:r>
        <w:rPr>
          <w:szCs w:val="21"/>
          <w:highlight w:val="none"/>
          <w:u w:val="none"/>
        </w:rPr>
        <w:t xml:space="preserve">_____________________________________ </w:t>
      </w:r>
    </w:p>
    <w:p>
      <w:pPr>
        <w:spacing w:line="240" w:lineRule="auto"/>
        <w:ind w:left="424" w:leftChars="202"/>
        <w:jc w:val="left"/>
        <w:rPr>
          <w:szCs w:val="21"/>
          <w:highlight w:val="none"/>
          <w:u w:val="none"/>
        </w:rPr>
      </w:pPr>
      <w:r>
        <w:rPr>
          <w:rFonts w:hint="eastAsia"/>
          <w:szCs w:val="21"/>
          <w:highlight w:val="none"/>
          <w:u w:val="none"/>
        </w:rPr>
        <w:t>企业</w:t>
      </w:r>
      <w:r>
        <w:rPr>
          <w:szCs w:val="21"/>
          <w:highlight w:val="none"/>
          <w:u w:val="none"/>
        </w:rPr>
        <w:t>2</w:t>
      </w:r>
      <w:r>
        <w:rPr>
          <w:rFonts w:hint="eastAsia"/>
          <w:szCs w:val="21"/>
          <w:highlight w:val="none"/>
          <w:u w:val="none"/>
        </w:rPr>
        <w:t>名称（盖章）：</w:t>
      </w:r>
      <w:r>
        <w:rPr>
          <w:szCs w:val="21"/>
          <w:highlight w:val="none"/>
          <w:u w:val="none"/>
        </w:rPr>
        <w:t>_______________________</w:t>
      </w:r>
    </w:p>
    <w:p>
      <w:pPr>
        <w:tabs>
          <w:tab w:val="clear" w:pos="426"/>
        </w:tabs>
        <w:spacing w:line="240" w:lineRule="auto"/>
        <w:ind w:left="424" w:leftChars="202"/>
        <w:rPr>
          <w:szCs w:val="21"/>
          <w:highlight w:val="none"/>
          <w:u w:val="none"/>
        </w:rPr>
      </w:pPr>
      <w:r>
        <w:rPr>
          <w:rFonts w:hint="eastAsia"/>
          <w:szCs w:val="21"/>
          <w:highlight w:val="none"/>
          <w:u w:val="none"/>
        </w:rPr>
        <w:t>日期：</w:t>
      </w:r>
      <w:r>
        <w:rPr>
          <w:szCs w:val="21"/>
          <w:highlight w:val="none"/>
          <w:u w:val="none"/>
        </w:rPr>
        <w:t>_____________________________________</w:t>
      </w:r>
    </w:p>
    <w:p>
      <w:pPr>
        <w:tabs>
          <w:tab w:val="clear" w:pos="426"/>
        </w:tabs>
        <w:spacing w:line="240" w:lineRule="auto"/>
        <w:ind w:left="424" w:leftChars="202"/>
        <w:rPr>
          <w:bCs/>
          <w:szCs w:val="21"/>
          <w:highlight w:val="none"/>
        </w:rPr>
      </w:pPr>
      <w:r>
        <w:rPr>
          <w:rFonts w:hint="eastAsia"/>
          <w:bCs/>
          <w:szCs w:val="21"/>
          <w:highlight w:val="none"/>
        </w:rPr>
        <w:t>……</w:t>
      </w:r>
    </w:p>
    <w:p>
      <w:pPr>
        <w:tabs>
          <w:tab w:val="clear" w:pos="426"/>
        </w:tabs>
        <w:spacing w:line="240" w:lineRule="auto"/>
        <w:ind w:left="424" w:leftChars="202"/>
        <w:rPr>
          <w:bCs/>
          <w:szCs w:val="21"/>
          <w:highlight w:val="none"/>
        </w:rPr>
      </w:pPr>
    </w:p>
    <w:p>
      <w:pPr>
        <w:tabs>
          <w:tab w:val="clear" w:pos="426"/>
        </w:tabs>
        <w:spacing w:line="240" w:lineRule="auto"/>
        <w:ind w:left="424" w:leftChars="202"/>
        <w:rPr>
          <w:bCs/>
          <w:szCs w:val="21"/>
          <w:highlight w:val="none"/>
        </w:rPr>
      </w:pPr>
    </w:p>
    <w:p>
      <w:pPr>
        <w:shd w:val="clear" w:color="auto" w:fill="auto"/>
        <w:tabs>
          <w:tab w:val="clear" w:pos="426"/>
        </w:tabs>
        <w:adjustRightInd/>
        <w:snapToGrid/>
        <w:spacing w:line="240" w:lineRule="auto"/>
        <w:jc w:val="left"/>
        <w:rPr>
          <w:szCs w:val="21"/>
          <w:highlight w:val="none"/>
        </w:rPr>
      </w:pPr>
      <w:r>
        <w:rPr>
          <w:szCs w:val="21"/>
          <w:highlight w:val="none"/>
        </w:rPr>
        <w:br w:type="page"/>
      </w:r>
    </w:p>
    <w:bookmarkEnd w:id="77"/>
    <w:bookmarkEnd w:id="78"/>
    <w:bookmarkEnd w:id="79"/>
    <w:bookmarkEnd w:id="80"/>
    <w:p>
      <w:pPr>
        <w:pStyle w:val="319"/>
        <w:rPr>
          <w:highlight w:val="none"/>
        </w:rPr>
      </w:pPr>
      <w:r>
        <w:rPr>
          <w:rFonts w:hint="eastAsia"/>
          <w:highlight w:val="none"/>
        </w:rPr>
        <w:t>招标代理服务费承诺书</w:t>
      </w:r>
    </w:p>
    <w:p>
      <w:pPr>
        <w:widowControl w:val="0"/>
        <w:shd w:val="clear" w:color="auto" w:fill="auto"/>
        <w:tabs>
          <w:tab w:val="clear" w:pos="426"/>
        </w:tabs>
        <w:spacing w:line="300" w:lineRule="auto"/>
        <w:jc w:val="center"/>
        <w:rPr>
          <w:rFonts w:cs="Times New Roman"/>
          <w:bCs/>
          <w:kern w:val="2"/>
          <w:sz w:val="32"/>
          <w:szCs w:val="32"/>
          <w:highlight w:val="none"/>
        </w:rPr>
      </w:pPr>
      <w:bookmarkStart w:id="81" w:name="_Toc480756084"/>
      <w:bookmarkStart w:id="82" w:name="_Toc480789488"/>
      <w:bookmarkStart w:id="83" w:name="_Toc480755938"/>
      <w:bookmarkStart w:id="84" w:name="_Toc275865624"/>
      <w:bookmarkStart w:id="85" w:name="_Toc480754217"/>
      <w:r>
        <w:rPr>
          <w:rFonts w:hint="eastAsia" w:cs="Times New Roman"/>
          <w:bCs/>
          <w:kern w:val="2"/>
          <w:sz w:val="32"/>
          <w:szCs w:val="32"/>
          <w:highlight w:val="none"/>
        </w:rPr>
        <w:t>招标代理服务费承诺书</w:t>
      </w:r>
      <w:bookmarkEnd w:id="81"/>
      <w:bookmarkEnd w:id="82"/>
      <w:bookmarkEnd w:id="83"/>
      <w:bookmarkEnd w:id="84"/>
      <w:bookmarkEnd w:id="85"/>
    </w:p>
    <w:p>
      <w:pPr>
        <w:tabs>
          <w:tab w:val="clear" w:pos="426"/>
        </w:tabs>
        <w:rPr>
          <w:b/>
          <w:highlight w:val="none"/>
        </w:rPr>
      </w:pPr>
    </w:p>
    <w:p>
      <w:pPr>
        <w:tabs>
          <w:tab w:val="clear" w:pos="426"/>
        </w:tabs>
        <w:rPr>
          <w:b/>
          <w:highlight w:val="none"/>
        </w:rPr>
      </w:pPr>
      <w:r>
        <w:rPr>
          <w:rFonts w:hint="eastAsia"/>
          <w:b/>
          <w:highlight w:val="none"/>
        </w:rPr>
        <w:t>深圳市深水水务咨询有限公司：</w:t>
      </w:r>
    </w:p>
    <w:p>
      <w:pPr>
        <w:tabs>
          <w:tab w:val="clear" w:pos="426"/>
        </w:tabs>
        <w:ind w:firstLine="420" w:firstLineChars="200"/>
        <w:rPr>
          <w:szCs w:val="21"/>
          <w:highlight w:val="none"/>
          <w:u w:val="none"/>
        </w:rPr>
      </w:pPr>
      <w:r>
        <w:rPr>
          <w:rFonts w:hint="eastAsia"/>
          <w:highlight w:val="none"/>
          <w:u w:val="none"/>
        </w:rPr>
        <w:t>本公司__(投标人名称)__在参加_</w:t>
      </w:r>
      <w:r>
        <w:rPr>
          <w:rFonts w:hint="eastAsia"/>
          <w:b/>
          <w:highlight w:val="none"/>
          <w:u w:val="none"/>
        </w:rPr>
        <w:t>_</w:t>
      </w:r>
      <w:r>
        <w:rPr>
          <w:rFonts w:hint="eastAsia"/>
          <w:highlight w:val="none"/>
          <w:u w:val="none"/>
        </w:rPr>
        <w:t>（项目名称）_</w:t>
      </w:r>
      <w:r>
        <w:rPr>
          <w:rFonts w:hint="eastAsia"/>
          <w:b/>
          <w:highlight w:val="none"/>
          <w:u w:val="none"/>
        </w:rPr>
        <w:t>_</w:t>
      </w:r>
      <w:r>
        <w:rPr>
          <w:rFonts w:hint="eastAsia"/>
          <w:highlight w:val="none"/>
          <w:u w:val="none"/>
        </w:rPr>
        <w:t>(采购项目编号：__（采购项目编号）__)的招标中如获中标</w:t>
      </w:r>
      <w:r>
        <w:rPr>
          <w:rFonts w:hint="eastAsia"/>
          <w:szCs w:val="21"/>
          <w:highlight w:val="none"/>
          <w:u w:val="none"/>
        </w:rPr>
        <w:t>，我公司保证按照招标文件</w:t>
      </w:r>
      <w:r>
        <w:rPr>
          <w:rFonts w:hint="eastAsia"/>
          <w:highlight w:val="none"/>
          <w:u w:val="none"/>
        </w:rPr>
        <w:t>的</w:t>
      </w:r>
      <w:r>
        <w:rPr>
          <w:rFonts w:hint="eastAsia"/>
          <w:szCs w:val="21"/>
          <w:highlight w:val="none"/>
          <w:u w:val="none"/>
        </w:rPr>
        <w:t>规定缴纳“招标代理服务费”后，凭领取人身份证复印件并加盖公章领取《中标通知书》。如采用电汇或银行转账，我</w:t>
      </w:r>
      <w:r>
        <w:rPr>
          <w:rFonts w:hint="eastAsia"/>
          <w:highlight w:val="none"/>
          <w:u w:val="none"/>
        </w:rPr>
        <w:t>公</w:t>
      </w:r>
      <w:r>
        <w:rPr>
          <w:rFonts w:hint="eastAsia"/>
          <w:szCs w:val="21"/>
          <w:highlight w:val="none"/>
          <w:u w:val="none"/>
        </w:rPr>
        <w:t>司将同时递交招标代理服务费缴费凭证复印件并加盖公章。</w:t>
      </w:r>
    </w:p>
    <w:p>
      <w:pPr>
        <w:tabs>
          <w:tab w:val="clear" w:pos="426"/>
        </w:tabs>
        <w:ind w:firstLine="420" w:firstLineChars="200"/>
        <w:rPr>
          <w:highlight w:val="none"/>
          <w:u w:val="none"/>
        </w:rPr>
      </w:pPr>
      <w:r>
        <w:rPr>
          <w:rFonts w:hint="eastAsia"/>
          <w:highlight w:val="none"/>
          <w:u w:val="none"/>
        </w:rPr>
        <w:t>我公司郑重承诺：在项目招投标过程中，如我公司违反上款承诺或者因我公司自身原因导致项目废标或者重新招标的，若我公司未缴纳招标代理服务费的，将在收到贵公司缴费通知之日起三个工作日内依据招标文件的规定正常缴纳招标代理服务费，若我公司已经缴纳招标代理服务费的，将放弃要求贵公司退还招标代理服务费的权力，并愿承担由此引起的一切法律责任。</w:t>
      </w:r>
    </w:p>
    <w:p>
      <w:pPr>
        <w:tabs>
          <w:tab w:val="clear" w:pos="426"/>
        </w:tabs>
        <w:ind w:firstLine="420" w:firstLineChars="200"/>
        <w:rPr>
          <w:highlight w:val="none"/>
          <w:u w:val="none"/>
        </w:rPr>
      </w:pPr>
      <w:r>
        <w:rPr>
          <w:rFonts w:hint="eastAsia"/>
          <w:highlight w:val="none"/>
          <w:u w:val="none"/>
        </w:rPr>
        <w:t>特此承诺!</w:t>
      </w:r>
    </w:p>
    <w:p>
      <w:pPr>
        <w:tabs>
          <w:tab w:val="clear" w:pos="426"/>
        </w:tabs>
        <w:ind w:firstLine="420" w:firstLineChars="200"/>
        <w:rPr>
          <w:highlight w:val="none"/>
          <w:u w:val="none"/>
        </w:rPr>
      </w:pPr>
    </w:p>
    <w:p>
      <w:pPr>
        <w:tabs>
          <w:tab w:val="clear" w:pos="426"/>
        </w:tabs>
        <w:ind w:firstLine="420" w:firstLineChars="200"/>
        <w:rPr>
          <w:highlight w:val="none"/>
          <w:u w:val="none"/>
        </w:rPr>
      </w:pPr>
      <w:r>
        <w:rPr>
          <w:rFonts w:hint="eastAsia"/>
          <w:highlight w:val="none"/>
          <w:u w:val="none"/>
        </w:rPr>
        <w:t>单位名称：_____________________________________________________________</w:t>
      </w:r>
    </w:p>
    <w:p>
      <w:pPr>
        <w:tabs>
          <w:tab w:val="clear" w:pos="426"/>
        </w:tabs>
        <w:ind w:firstLine="420" w:firstLineChars="200"/>
        <w:rPr>
          <w:highlight w:val="none"/>
          <w:u w:val="none"/>
        </w:rPr>
      </w:pPr>
      <w:r>
        <w:rPr>
          <w:rFonts w:hint="eastAsia"/>
          <w:highlight w:val="none"/>
          <w:u w:val="none"/>
        </w:rPr>
        <w:t>法定代表人或投标人授权代表（签名或盖章）：_____________________________</w:t>
      </w:r>
    </w:p>
    <w:p>
      <w:pPr>
        <w:tabs>
          <w:tab w:val="clear" w:pos="426"/>
        </w:tabs>
        <w:ind w:firstLine="420" w:firstLineChars="200"/>
        <w:rPr>
          <w:highlight w:val="none"/>
          <w:u w:val="none"/>
        </w:rPr>
      </w:pPr>
      <w:r>
        <w:rPr>
          <w:rFonts w:hint="eastAsia"/>
          <w:highlight w:val="none"/>
          <w:u w:val="none"/>
        </w:rPr>
        <w:t>单位地址：_____________________________________________________________</w:t>
      </w:r>
    </w:p>
    <w:p>
      <w:pPr>
        <w:tabs>
          <w:tab w:val="clear" w:pos="426"/>
        </w:tabs>
        <w:ind w:firstLine="420" w:firstLineChars="200"/>
        <w:rPr>
          <w:highlight w:val="none"/>
          <w:u w:val="none"/>
        </w:rPr>
      </w:pPr>
      <w:r>
        <w:rPr>
          <w:rFonts w:hint="eastAsia"/>
          <w:highlight w:val="none"/>
          <w:u w:val="none"/>
        </w:rPr>
        <w:t>单位公章：_____________________________________________________________</w:t>
      </w:r>
    </w:p>
    <w:p>
      <w:pPr>
        <w:tabs>
          <w:tab w:val="clear" w:pos="426"/>
        </w:tabs>
        <w:ind w:firstLine="420" w:firstLineChars="200"/>
        <w:rPr>
          <w:highlight w:val="none"/>
          <w:u w:val="none"/>
        </w:rPr>
      </w:pPr>
      <w:r>
        <w:rPr>
          <w:rFonts w:hint="eastAsia"/>
          <w:highlight w:val="none"/>
          <w:u w:val="none"/>
        </w:rPr>
        <w:t>邮政编码：_____________________________日期：__________________________</w:t>
      </w:r>
    </w:p>
    <w:p>
      <w:pPr>
        <w:tabs>
          <w:tab w:val="clear" w:pos="426"/>
        </w:tabs>
        <w:ind w:firstLine="420" w:firstLineChars="200"/>
        <w:rPr>
          <w:highlight w:val="none"/>
          <w:u w:val="none"/>
        </w:rPr>
      </w:pPr>
      <w:r>
        <w:rPr>
          <w:rFonts w:hint="eastAsia"/>
          <w:highlight w:val="none"/>
          <w:u w:val="none"/>
        </w:rPr>
        <w:t>联系电话：_____________________________________________________________</w:t>
      </w:r>
    </w:p>
    <w:p>
      <w:pPr>
        <w:tabs>
          <w:tab w:val="clear" w:pos="426"/>
        </w:tabs>
        <w:spacing w:line="520" w:lineRule="exact"/>
        <w:ind w:left="424" w:leftChars="202"/>
        <w:rPr>
          <w:highlight w:val="none"/>
          <w:u w:val="none"/>
        </w:rPr>
      </w:pPr>
    </w:p>
    <w:p>
      <w:pPr>
        <w:tabs>
          <w:tab w:val="clear" w:pos="426"/>
        </w:tabs>
        <w:spacing w:line="520" w:lineRule="exact"/>
        <w:ind w:left="424" w:leftChars="202"/>
        <w:rPr>
          <w:highlight w:val="none"/>
          <w:u w:val="none"/>
        </w:rPr>
      </w:pPr>
    </w:p>
    <w:p>
      <w:pPr>
        <w:tabs>
          <w:tab w:val="clear" w:pos="426"/>
        </w:tabs>
        <w:rPr>
          <w:b/>
          <w:szCs w:val="21"/>
          <w:highlight w:val="none"/>
        </w:rPr>
      </w:pPr>
      <w:r>
        <w:rPr>
          <w:b/>
          <w:highlight w:val="none"/>
        </w:rPr>
        <w:br w:type="page"/>
      </w:r>
    </w:p>
    <w:p>
      <w:pPr>
        <w:widowControl w:val="0"/>
        <w:shd w:val="clear" w:color="auto" w:fill="auto"/>
        <w:tabs>
          <w:tab w:val="clear" w:pos="426"/>
        </w:tabs>
        <w:spacing w:line="300" w:lineRule="auto"/>
        <w:jc w:val="center"/>
        <w:rPr>
          <w:rFonts w:cs="Times New Roman"/>
          <w:bCs/>
          <w:kern w:val="2"/>
          <w:sz w:val="32"/>
          <w:szCs w:val="32"/>
          <w:highlight w:val="none"/>
        </w:rPr>
      </w:pPr>
    </w:p>
    <w:p>
      <w:pPr>
        <w:widowControl w:val="0"/>
        <w:shd w:val="clear" w:color="auto" w:fill="auto"/>
        <w:tabs>
          <w:tab w:val="clear" w:pos="426"/>
        </w:tabs>
        <w:spacing w:line="300" w:lineRule="auto"/>
        <w:jc w:val="center"/>
        <w:rPr>
          <w:rFonts w:cs="Times New Roman"/>
          <w:bCs/>
          <w:kern w:val="2"/>
          <w:sz w:val="32"/>
          <w:szCs w:val="32"/>
          <w:highlight w:val="none"/>
        </w:rPr>
      </w:pPr>
      <w:r>
        <w:rPr>
          <w:rFonts w:hint="eastAsia" w:cs="Times New Roman"/>
          <w:bCs/>
          <w:kern w:val="2"/>
          <w:sz w:val="32"/>
          <w:szCs w:val="32"/>
          <w:highlight w:val="none"/>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highlight w:val="none"/>
              </w:rPr>
            </w:pPr>
            <w:r>
              <w:rPr>
                <w:rFonts w:hint="eastAsia"/>
                <w:b/>
                <w:highlight w:val="none"/>
              </w:rPr>
              <w:t>发票类型</w:t>
            </w:r>
          </w:p>
        </w:tc>
        <w:tc>
          <w:tcPr>
            <w:tcW w:w="7363" w:type="dxa"/>
            <w:vAlign w:val="center"/>
          </w:tcPr>
          <w:p>
            <w:pPr>
              <w:tabs>
                <w:tab w:val="clear" w:pos="426"/>
              </w:tabs>
              <w:spacing w:line="520" w:lineRule="exact"/>
              <w:ind w:firstLine="420" w:firstLineChars="200"/>
              <w:rPr>
                <w:highlight w:val="none"/>
              </w:rPr>
            </w:pPr>
            <w:r>
              <w:rPr>
                <w:rFonts w:hint="eastAsia"/>
                <w:highlight w:val="none"/>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highlight w:val="none"/>
              </w:rPr>
            </w:pPr>
            <w:r>
              <w:rPr>
                <w:rFonts w:hint="eastAsia"/>
                <w:highlight w:val="none"/>
              </w:rPr>
              <w:t>如选择增值税专用发票，需提供以下材料，投标时密封于开标信封中：</w:t>
            </w:r>
          </w:p>
          <w:p>
            <w:pPr>
              <w:tabs>
                <w:tab w:val="clear" w:pos="426"/>
              </w:tabs>
              <w:spacing w:line="520" w:lineRule="exact"/>
              <w:rPr>
                <w:highlight w:val="none"/>
              </w:rPr>
            </w:pPr>
            <w:r>
              <w:rPr>
                <w:rFonts w:hint="eastAsia"/>
                <w:highlight w:val="none"/>
              </w:rPr>
              <w:t xml:space="preserve">1.营业执照、一般纳税人资格认定税务通知书或其他可证明具有该项资格证明文件的复印件，加盖单位公章； </w:t>
            </w:r>
          </w:p>
          <w:p>
            <w:pPr>
              <w:tabs>
                <w:tab w:val="clear" w:pos="426"/>
              </w:tabs>
              <w:spacing w:line="520" w:lineRule="exact"/>
              <w:rPr>
                <w:highlight w:val="none"/>
              </w:rPr>
            </w:pPr>
            <w:r>
              <w:rPr>
                <w:rFonts w:hint="eastAsia"/>
                <w:highlight w:val="none"/>
              </w:rPr>
              <w:t>2.客户的开票资料（单位名称、纳税人识别号、地址、电话、开户行全称及账号</w:t>
            </w:r>
            <w:r>
              <w:rPr>
                <w:highlight w:val="none"/>
              </w:rPr>
              <w:t>）</w:t>
            </w:r>
            <w:r>
              <w:rPr>
                <w:rFonts w:hint="eastAsia"/>
                <w:highlight w:val="none"/>
              </w:rPr>
              <w:t>，加盖单位公章。</w:t>
            </w:r>
          </w:p>
        </w:tc>
      </w:tr>
    </w:tbl>
    <w:p>
      <w:pPr>
        <w:tabs>
          <w:tab w:val="clear" w:pos="426"/>
        </w:tabs>
        <w:rPr>
          <w:b/>
          <w:szCs w:val="21"/>
          <w:highlight w:val="none"/>
        </w:rPr>
      </w:pPr>
      <w:r>
        <w:rPr>
          <w:rFonts w:hint="eastAsia"/>
          <w:b/>
          <w:sz w:val="84"/>
          <w:szCs w:val="84"/>
          <w:highlight w:val="none"/>
          <w:u w:val="dashedHeavy"/>
        </w:rPr>
        <w:t xml:space="preserve">                      </w:t>
      </w:r>
      <w:r>
        <w:rPr>
          <w:rFonts w:hint="eastAsia"/>
          <w:b/>
          <w:szCs w:val="21"/>
          <w:highlight w:val="none"/>
        </w:rPr>
        <w:t xml:space="preserve"> </w:t>
      </w:r>
    </w:p>
    <w:p>
      <w:pPr>
        <w:tabs>
          <w:tab w:val="clear" w:pos="426"/>
        </w:tabs>
        <w:rPr>
          <w:b/>
          <w:szCs w:val="21"/>
          <w:highlight w:val="none"/>
        </w:rPr>
      </w:pPr>
    </w:p>
    <w:p>
      <w:pPr>
        <w:tabs>
          <w:tab w:val="clear" w:pos="426"/>
        </w:tabs>
        <w:jc w:val="center"/>
        <w:rPr>
          <w:b/>
          <w:szCs w:val="21"/>
          <w:highlight w:val="none"/>
        </w:rPr>
      </w:pPr>
      <w:r>
        <w:rPr>
          <w:rFonts w:hint="eastAsia"/>
          <w:b/>
          <w:szCs w:val="21"/>
          <w:highlight w:val="none"/>
        </w:rPr>
        <w:t>附：缴纳</w:t>
      </w:r>
      <w:r>
        <w:rPr>
          <w:b/>
          <w:szCs w:val="21"/>
          <w:highlight w:val="none"/>
        </w:rPr>
        <w:t>招标代理服务费</w:t>
      </w:r>
      <w:r>
        <w:rPr>
          <w:rFonts w:hint="eastAsia"/>
          <w:b/>
          <w:szCs w:val="21"/>
          <w:highlight w:val="none"/>
        </w:rPr>
        <w:t>账号</w:t>
      </w:r>
      <w:r>
        <w:rPr>
          <w:b/>
          <w:szCs w:val="21"/>
          <w:highlight w:val="none"/>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收款人名称</w:t>
            </w:r>
          </w:p>
        </w:tc>
        <w:tc>
          <w:tcPr>
            <w:tcW w:w="5579" w:type="dxa"/>
            <w:vAlign w:val="center"/>
          </w:tcPr>
          <w:p>
            <w:pPr>
              <w:tabs>
                <w:tab w:val="clear" w:pos="426"/>
              </w:tabs>
              <w:spacing w:line="240" w:lineRule="auto"/>
              <w:jc w:val="center"/>
              <w:rPr>
                <w:szCs w:val="21"/>
                <w:highlight w:val="none"/>
              </w:rPr>
            </w:pPr>
            <w:r>
              <w:rPr>
                <w:rFonts w:hint="eastAsia"/>
                <w:szCs w:val="21"/>
                <w:highlight w:val="none"/>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开户银行</w:t>
            </w:r>
          </w:p>
        </w:tc>
        <w:tc>
          <w:tcPr>
            <w:tcW w:w="5579" w:type="dxa"/>
            <w:vAlign w:val="center"/>
          </w:tcPr>
          <w:p>
            <w:pPr>
              <w:tabs>
                <w:tab w:val="clear" w:pos="426"/>
              </w:tabs>
              <w:spacing w:line="240" w:lineRule="auto"/>
              <w:jc w:val="center"/>
              <w:rPr>
                <w:b/>
                <w:szCs w:val="21"/>
                <w:highlight w:val="none"/>
              </w:rPr>
            </w:pPr>
            <w:r>
              <w:rPr>
                <w:rFonts w:hint="eastAsia"/>
                <w:highlight w:val="none"/>
              </w:rPr>
              <w:t>交通银行深圳金叶支行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rFonts w:hint="eastAsia"/>
                <w:b/>
                <w:szCs w:val="21"/>
                <w:highlight w:val="none"/>
              </w:rPr>
              <w:t>账</w:t>
            </w:r>
            <w:r>
              <w:rPr>
                <w:b/>
                <w:szCs w:val="21"/>
                <w:highlight w:val="none"/>
              </w:rPr>
              <w:t xml:space="preserve">    号</w:t>
            </w:r>
          </w:p>
        </w:tc>
        <w:tc>
          <w:tcPr>
            <w:tcW w:w="5579" w:type="dxa"/>
            <w:vAlign w:val="center"/>
          </w:tcPr>
          <w:p>
            <w:pPr>
              <w:tabs>
                <w:tab w:val="clear" w:pos="426"/>
              </w:tabs>
              <w:spacing w:line="240" w:lineRule="auto"/>
              <w:jc w:val="center"/>
              <w:rPr>
                <w:b/>
                <w:szCs w:val="21"/>
                <w:highlight w:val="none"/>
              </w:rPr>
            </w:pPr>
            <w:r>
              <w:rPr>
                <w:highlight w:val="none"/>
              </w:rPr>
              <w:t>443899991010003343618</w:t>
            </w:r>
          </w:p>
        </w:tc>
      </w:tr>
    </w:tbl>
    <w:p>
      <w:pPr>
        <w:tabs>
          <w:tab w:val="clear" w:pos="426"/>
        </w:tabs>
        <w:rPr>
          <w:rFonts w:cs="Arial"/>
          <w:bCs/>
          <w:sz w:val="24"/>
          <w:highlight w:val="none"/>
        </w:rPr>
      </w:pPr>
    </w:p>
    <w:p>
      <w:pPr>
        <w:tabs>
          <w:tab w:val="clear" w:pos="426"/>
        </w:tabs>
        <w:rPr>
          <w:rFonts w:cs="Arial"/>
          <w:bCs/>
          <w:sz w:val="24"/>
          <w:highlight w:val="none"/>
        </w:rPr>
      </w:pPr>
    </w:p>
    <w:p>
      <w:pPr>
        <w:shd w:val="clear" w:color="auto" w:fill="auto"/>
        <w:tabs>
          <w:tab w:val="clear" w:pos="426"/>
        </w:tabs>
        <w:adjustRightInd/>
        <w:snapToGrid/>
        <w:spacing w:line="240" w:lineRule="auto"/>
        <w:jc w:val="left"/>
        <w:rPr>
          <w:rFonts w:cs="Arial"/>
          <w:bCs/>
          <w:sz w:val="24"/>
          <w:highlight w:val="none"/>
        </w:rPr>
      </w:pPr>
      <w:r>
        <w:rPr>
          <w:rFonts w:cs="Arial"/>
          <w:bCs/>
          <w:sz w:val="24"/>
          <w:highlight w:val="none"/>
        </w:rPr>
        <w:br w:type="page"/>
      </w:r>
    </w:p>
    <w:p>
      <w:pPr>
        <w:pStyle w:val="319"/>
        <w:rPr>
          <w:highlight w:val="none"/>
        </w:rPr>
      </w:pPr>
      <w:r>
        <w:rPr>
          <w:rFonts w:hint="eastAsia"/>
          <w:highlight w:val="none"/>
        </w:rPr>
        <w:t>招标文件要求的其他内容及投标人认为需要加以说明的其他内容</w:t>
      </w:r>
    </w:p>
    <w:p>
      <w:pPr>
        <w:pStyle w:val="305"/>
        <w:rPr>
          <w:rFonts w:cs="Arial"/>
          <w:bCs/>
          <w:highlight w:val="none"/>
        </w:rPr>
      </w:pPr>
      <w:r>
        <w:rPr>
          <w:rFonts w:hint="eastAsia"/>
          <w:highlight w:val="none"/>
        </w:rPr>
        <w:t>提供招标公告和评标信息中关于投标人的其他相关证明文件（如评标信息中涉及的各种证件（身份证除外）、设备发票等，未涉及的可以不提供）</w:t>
      </w:r>
    </w:p>
    <w:p>
      <w:pPr>
        <w:tabs>
          <w:tab w:val="clear" w:pos="426"/>
        </w:tabs>
        <w:rPr>
          <w:rFonts w:cs="Arial"/>
          <w:bCs/>
          <w:szCs w:val="21"/>
          <w:highlight w:val="none"/>
        </w:rPr>
      </w:pPr>
    </w:p>
    <w:p>
      <w:pPr>
        <w:tabs>
          <w:tab w:val="clear" w:pos="426"/>
        </w:tabs>
        <w:rPr>
          <w:rFonts w:cs="Arial"/>
          <w:bCs/>
          <w:szCs w:val="21"/>
          <w:highlight w:val="none"/>
        </w:rPr>
      </w:pPr>
    </w:p>
    <w:p>
      <w:pPr>
        <w:rPr>
          <w:highlight w:val="none"/>
        </w:rPr>
      </w:pPr>
      <w:bookmarkStart w:id="86" w:name="bt合同的授予"/>
      <w:bookmarkEnd w:id="86"/>
      <w:bookmarkStart w:id="87" w:name="bt废标"/>
      <w:bookmarkEnd w:id="87"/>
      <w:bookmarkStart w:id="88" w:name="bt评标过程的保密"/>
      <w:bookmarkEnd w:id="88"/>
      <w:bookmarkStart w:id="89" w:name="bt投标文件的澄清"/>
      <w:bookmarkEnd w:id="89"/>
      <w:bookmarkStart w:id="90" w:name="bt投标文件"/>
      <w:bookmarkEnd w:id="90"/>
      <w:bookmarkStart w:id="91" w:name="bt评标会议"/>
      <w:bookmarkEnd w:id="91"/>
      <w:bookmarkStart w:id="92" w:name="_33._合同授予标准"/>
      <w:bookmarkEnd w:id="92"/>
      <w:bookmarkStart w:id="93" w:name="bt错误的修正"/>
      <w:bookmarkEnd w:id="93"/>
      <w:bookmarkStart w:id="94" w:name="bt招标文件"/>
      <w:bookmarkEnd w:id="94"/>
      <w:bookmarkStart w:id="95" w:name="bt投标文件的评估和比较"/>
      <w:bookmarkEnd w:id="95"/>
    </w:p>
    <w:p>
      <w:pPr>
        <w:shd w:val="clear" w:color="auto" w:fill="auto"/>
        <w:tabs>
          <w:tab w:val="clear" w:pos="426"/>
        </w:tabs>
        <w:adjustRightInd/>
        <w:snapToGrid/>
        <w:spacing w:line="240" w:lineRule="auto"/>
        <w:jc w:val="left"/>
        <w:rPr>
          <w:highlight w:val="none"/>
        </w:rPr>
      </w:pPr>
      <w:r>
        <w:rPr>
          <w:highlight w:val="none"/>
        </w:rPr>
        <w:br w:type="page"/>
      </w:r>
    </w:p>
    <w:p>
      <w:pPr>
        <w:pStyle w:val="301"/>
        <w:pageBreakBefore/>
        <w:rPr>
          <w:highlight w:val="none"/>
        </w:rPr>
      </w:pPr>
      <w:bookmarkStart w:id="96" w:name="_Toc41557708"/>
      <w:bookmarkStart w:id="97" w:name="_Toc67387145"/>
      <w:r>
        <w:rPr>
          <w:rFonts w:hint="eastAsia"/>
          <w:highlight w:val="none"/>
        </w:rPr>
        <w:t>第二册  通用条款</w:t>
      </w:r>
      <w:bookmarkEnd w:id="96"/>
      <w:bookmarkEnd w:id="97"/>
      <w:r>
        <w:rPr>
          <w:rFonts w:hint="eastAsia"/>
          <w:highlight w:val="none"/>
        </w:rPr>
        <w:t>（通用）</w:t>
      </w:r>
    </w:p>
    <w:p>
      <w:pPr>
        <w:jc w:val="center"/>
        <w:rPr>
          <w:b/>
          <w:highlight w:val="none"/>
        </w:rPr>
      </w:pPr>
      <w:r>
        <w:rPr>
          <w:rFonts w:hint="eastAsia"/>
          <w:b/>
          <w:highlight w:val="none"/>
        </w:rPr>
        <w:t>（投标人须知）</w:t>
      </w:r>
    </w:p>
    <w:p>
      <w:pPr>
        <w:jc w:val="center"/>
        <w:rPr>
          <w:b/>
          <w:highlight w:val="none"/>
        </w:rPr>
      </w:pPr>
    </w:p>
    <w:p>
      <w:pPr>
        <w:pStyle w:val="309"/>
        <w:rPr>
          <w:highlight w:val="none"/>
        </w:rPr>
      </w:pPr>
      <w:bookmarkStart w:id="98" w:name="_Toc67387146"/>
      <w:bookmarkStart w:id="99" w:name="_Toc41557709"/>
      <w:r>
        <w:rPr>
          <w:rFonts w:hint="eastAsia"/>
          <w:highlight w:val="none"/>
        </w:rPr>
        <w:t>第一章 总则</w:t>
      </w:r>
      <w:bookmarkEnd w:id="98"/>
      <w:bookmarkEnd w:id="99"/>
    </w:p>
    <w:p>
      <w:pPr>
        <w:pStyle w:val="326"/>
        <w:rPr>
          <w:highlight w:val="none"/>
        </w:rPr>
      </w:pPr>
      <w:r>
        <w:rPr>
          <w:rFonts w:hint="eastAsia"/>
          <w:highlight w:val="none"/>
        </w:rPr>
        <w:t>通用条款说明</w:t>
      </w:r>
    </w:p>
    <w:p>
      <w:pPr>
        <w:pStyle w:val="328"/>
        <w:rPr>
          <w:highlight w:val="none"/>
        </w:rPr>
      </w:pPr>
      <w:r>
        <w:rPr>
          <w:rFonts w:hint="eastAsia"/>
          <w:highlight w:val="none"/>
        </w:rPr>
        <w:t>采购代理机构发出招标文件通用条款版本，列出深圳市政府采购项目进行招标采购所适用的通用条款内容。如有需要，采购代理机构可以对这些条款增加附录或补充内容。</w:t>
      </w:r>
    </w:p>
    <w:p>
      <w:pPr>
        <w:pStyle w:val="326"/>
        <w:rPr>
          <w:highlight w:val="none"/>
        </w:rPr>
      </w:pPr>
      <w:r>
        <w:rPr>
          <w:rFonts w:hint="eastAsia"/>
          <w:highlight w:val="none"/>
        </w:rPr>
        <w:t>招标说明</w:t>
      </w:r>
    </w:p>
    <w:p>
      <w:pPr>
        <w:pStyle w:val="328"/>
        <w:rPr>
          <w:highlight w:val="none"/>
        </w:rPr>
      </w:pPr>
      <w:r>
        <w:rPr>
          <w:rFonts w:hint="eastAsia"/>
          <w:highlight w:val="none"/>
        </w:rPr>
        <w:t>本项目按照《深圳经济特区政府采购条例》《深圳经济特区政府采购条例实施细则》《深圳网上政府采购管理暂行办法》及《深圳市政府采购评标定标分离管理暂行办法》的规定，并参考有关法规、政策、规章、规定通过招标择优选定供应商。本招标文件适用于采购公告中所述项目的政府采购。</w:t>
      </w:r>
    </w:p>
    <w:p>
      <w:pPr>
        <w:pStyle w:val="328"/>
        <w:rPr>
          <w:highlight w:val="none"/>
        </w:rPr>
      </w:pPr>
      <w:r>
        <w:rPr>
          <w:rFonts w:hint="eastAsia"/>
          <w:highlight w:val="none"/>
        </w:rPr>
        <w:t>本招标文件的解释权归属深圳市深水水务咨询有限公司。</w:t>
      </w:r>
    </w:p>
    <w:p>
      <w:pPr>
        <w:pStyle w:val="326"/>
        <w:rPr>
          <w:highlight w:val="none"/>
        </w:rPr>
      </w:pPr>
      <w:r>
        <w:rPr>
          <w:rFonts w:hint="eastAsia"/>
          <w:highlight w:val="none"/>
        </w:rPr>
        <w:t>定义</w:t>
      </w:r>
    </w:p>
    <w:p>
      <w:pPr>
        <w:pStyle w:val="328"/>
        <w:rPr>
          <w:highlight w:val="none"/>
        </w:rPr>
      </w:pPr>
      <w:r>
        <w:rPr>
          <w:highlight w:val="none"/>
        </w:rPr>
        <w:t>招标文件中下列术语应解释为：</w:t>
      </w:r>
    </w:p>
    <w:p>
      <w:pPr>
        <w:pStyle w:val="328"/>
        <w:rPr>
          <w:highlight w:val="none"/>
        </w:rPr>
      </w:pPr>
      <w:r>
        <w:rPr>
          <w:rFonts w:hint="eastAsia"/>
          <w:highlight w:val="none"/>
        </w:rPr>
        <w:t>“采购代理机构”系指政府设立的负责本级财政性资金的集中采购和招标组织工作的专门机构；本项目</w:t>
      </w:r>
      <w:r>
        <w:rPr>
          <w:highlight w:val="none"/>
        </w:rPr>
        <w:t>系指</w:t>
      </w:r>
      <w:r>
        <w:rPr>
          <w:rFonts w:hint="eastAsia"/>
          <w:highlight w:val="none"/>
        </w:rPr>
        <w:t>深圳市深水水务咨询有限公司；</w:t>
      </w:r>
    </w:p>
    <w:p>
      <w:pPr>
        <w:pStyle w:val="328"/>
        <w:rPr>
          <w:highlight w:val="none"/>
        </w:rPr>
      </w:pPr>
      <w:r>
        <w:rPr>
          <w:rFonts w:hint="eastAsia"/>
          <w:highlight w:val="none"/>
        </w:rPr>
        <w:t xml:space="preserve">“采购人”或“采购单位”：系指利用财政性资金依法进行政府采购的国家机关、事业单位、团体组织； </w:t>
      </w:r>
    </w:p>
    <w:p>
      <w:pPr>
        <w:pStyle w:val="328"/>
        <w:rPr>
          <w:highlight w:val="none"/>
        </w:rPr>
      </w:pPr>
      <w:r>
        <w:rPr>
          <w:rFonts w:hint="eastAsia"/>
          <w:highlight w:val="none"/>
        </w:rPr>
        <w:t>“投标人”或“投标方”，即供应商，是指参加投标竞争并愿意按照招标文件要求向采购人提供货物、工程或者服务的依法成立的法人、其他组织或者自然人；</w:t>
      </w:r>
    </w:p>
    <w:p>
      <w:pPr>
        <w:pStyle w:val="328"/>
        <w:rPr>
          <w:highlight w:val="none"/>
        </w:rPr>
      </w:pPr>
      <w:r>
        <w:rPr>
          <w:rFonts w:hint="eastAsia"/>
          <w:highlight w:val="none"/>
        </w:rPr>
        <w:t>“评标委员会”和“谈判小组”是依据《深圳经济特区政府采购条例》及《深圳经济特区政府采购条例实施细则》有关规定组建的专门负责本次招标其评标（谈判）工作的临时性机构；</w:t>
      </w:r>
    </w:p>
    <w:p>
      <w:pPr>
        <w:pStyle w:val="328"/>
        <w:rPr>
          <w:highlight w:val="none"/>
        </w:rPr>
      </w:pPr>
      <w:r>
        <w:rPr>
          <w:rFonts w:hint="eastAsia"/>
          <w:highlight w:val="none"/>
        </w:rPr>
        <w:t>“日期”</w:t>
      </w:r>
      <w:r>
        <w:rPr>
          <w:highlight w:val="none"/>
        </w:rPr>
        <w:t>指</w:t>
      </w:r>
      <w:r>
        <w:rPr>
          <w:rFonts w:hint="eastAsia"/>
          <w:highlight w:val="none"/>
        </w:rPr>
        <w:t>公历日；</w:t>
      </w:r>
    </w:p>
    <w:p>
      <w:pPr>
        <w:pStyle w:val="328"/>
        <w:rPr>
          <w:highlight w:val="none"/>
        </w:rPr>
      </w:pPr>
      <w:r>
        <w:rPr>
          <w:rFonts w:hint="eastAsia"/>
          <w:highlight w:val="none"/>
        </w:rPr>
        <w:t>“合同”指由本次招标所产生的合同或合约文件；</w:t>
      </w:r>
    </w:p>
    <w:p>
      <w:pPr>
        <w:pStyle w:val="328"/>
        <w:rPr>
          <w:highlight w:val="none"/>
        </w:rPr>
      </w:pPr>
      <w:r>
        <w:rPr>
          <w:rFonts w:hint="eastAsia"/>
          <w:highlight w:val="none"/>
        </w:rPr>
        <w:t>招标文件中的标题或题名仅起引导作用，而不应视为对招标文件内容的理解和解释。</w:t>
      </w:r>
    </w:p>
    <w:p>
      <w:pPr>
        <w:pStyle w:val="326"/>
        <w:rPr>
          <w:highlight w:val="none"/>
        </w:rPr>
      </w:pPr>
      <w:r>
        <w:rPr>
          <w:rFonts w:hint="eastAsia"/>
          <w:highlight w:val="none"/>
        </w:rPr>
        <w:t>政府采购供应商责任</w:t>
      </w:r>
    </w:p>
    <w:p>
      <w:pPr>
        <w:pStyle w:val="328"/>
        <w:rPr>
          <w:highlight w:val="none"/>
        </w:rPr>
      </w:pPr>
      <w:r>
        <w:rPr>
          <w:rFonts w:hint="eastAsia"/>
          <w:highlight w:val="none"/>
        </w:rPr>
        <w:t>欢迎诚信、有实力和有社会责任心的供应商参与政府采购事业。</w:t>
      </w:r>
    </w:p>
    <w:p>
      <w:pPr>
        <w:pStyle w:val="328"/>
        <w:rPr>
          <w:highlight w:val="none"/>
        </w:rPr>
      </w:pPr>
      <w:r>
        <w:rPr>
          <w:rFonts w:hint="eastAsia"/>
          <w:highlight w:val="none"/>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pStyle w:val="326"/>
        <w:rPr>
          <w:highlight w:val="none"/>
        </w:rPr>
      </w:pPr>
      <w:r>
        <w:rPr>
          <w:rFonts w:hint="eastAsia"/>
          <w:highlight w:val="none"/>
        </w:rPr>
        <w:t>合格的投标人</w:t>
      </w:r>
    </w:p>
    <w:p>
      <w:pPr>
        <w:pStyle w:val="328"/>
        <w:rPr>
          <w:highlight w:val="none"/>
        </w:rPr>
      </w:pPr>
      <w:r>
        <w:rPr>
          <w:rFonts w:hint="eastAsia"/>
          <w:highlight w:val="none"/>
        </w:rPr>
        <w:t>投标人是响应招标并且符合招标文件规定资格条件和参加投标竞争的法人、其他组织或者自然人。</w:t>
      </w:r>
    </w:p>
    <w:p>
      <w:pPr>
        <w:pStyle w:val="328"/>
        <w:rPr>
          <w:highlight w:val="none"/>
        </w:rPr>
      </w:pPr>
      <w:r>
        <w:rPr>
          <w:rFonts w:hint="eastAsia"/>
          <w:highlight w:val="none"/>
        </w:rPr>
        <w:t>合格的投标人</w:t>
      </w:r>
    </w:p>
    <w:p>
      <w:pPr>
        <w:pStyle w:val="329"/>
        <w:rPr>
          <w:highlight w:val="none"/>
        </w:rPr>
      </w:pPr>
      <w:r>
        <w:rPr>
          <w:highlight w:val="none"/>
        </w:rPr>
        <w:t>具有独立承担民事责任的能力。</w:t>
      </w:r>
    </w:p>
    <w:p>
      <w:pPr>
        <w:pStyle w:val="329"/>
        <w:rPr>
          <w:highlight w:val="none"/>
        </w:rPr>
      </w:pPr>
      <w:r>
        <w:rPr>
          <w:highlight w:val="none"/>
        </w:rPr>
        <w:t>具有良好的商业信誉和健全的财务会计制度</w:t>
      </w:r>
      <w:r>
        <w:rPr>
          <w:rFonts w:hint="eastAsia"/>
          <w:highlight w:val="none"/>
        </w:rPr>
        <w:t>。</w:t>
      </w:r>
    </w:p>
    <w:p>
      <w:pPr>
        <w:pStyle w:val="329"/>
        <w:rPr>
          <w:highlight w:val="none"/>
        </w:rPr>
      </w:pPr>
      <w:r>
        <w:rPr>
          <w:highlight w:val="none"/>
        </w:rPr>
        <w:t>具有履行合同所必需的设备和专业技术能力</w:t>
      </w:r>
      <w:r>
        <w:rPr>
          <w:rFonts w:hint="eastAsia"/>
          <w:highlight w:val="none"/>
        </w:rPr>
        <w:t>。</w:t>
      </w:r>
    </w:p>
    <w:p>
      <w:pPr>
        <w:pStyle w:val="329"/>
        <w:rPr>
          <w:highlight w:val="none"/>
        </w:rPr>
      </w:pPr>
      <w:r>
        <w:rPr>
          <w:highlight w:val="none"/>
        </w:rPr>
        <w:t>有依法缴纳税收和社会保障资金的良好记录</w:t>
      </w:r>
      <w:r>
        <w:rPr>
          <w:rFonts w:hint="eastAsia"/>
          <w:highlight w:val="none"/>
        </w:rPr>
        <w:t>。</w:t>
      </w:r>
    </w:p>
    <w:p>
      <w:pPr>
        <w:pStyle w:val="329"/>
        <w:rPr>
          <w:highlight w:val="none"/>
        </w:rPr>
      </w:pPr>
      <w:r>
        <w:rPr>
          <w:highlight w:val="none"/>
        </w:rPr>
        <w:t>参加政府采购活动前三年内，在经营活动中没有重大违法记录</w:t>
      </w:r>
      <w:r>
        <w:rPr>
          <w:rFonts w:hint="eastAsia"/>
          <w:highlight w:val="none"/>
        </w:rPr>
        <w:t>。</w:t>
      </w:r>
    </w:p>
    <w:p>
      <w:pPr>
        <w:pStyle w:val="329"/>
        <w:rPr>
          <w:highlight w:val="none"/>
        </w:rPr>
      </w:pPr>
      <w:r>
        <w:rPr>
          <w:highlight w:val="none"/>
        </w:rPr>
        <w:t>法律、行政法规规定的其他条件</w:t>
      </w:r>
      <w:r>
        <w:rPr>
          <w:rFonts w:hint="eastAsia"/>
          <w:highlight w:val="none"/>
        </w:rPr>
        <w:t>。</w:t>
      </w:r>
    </w:p>
    <w:p>
      <w:pPr>
        <w:pStyle w:val="329"/>
        <w:rPr>
          <w:highlight w:val="none"/>
        </w:rPr>
      </w:pPr>
      <w:r>
        <w:rPr>
          <w:rFonts w:hint="eastAsia"/>
          <w:highlight w:val="none"/>
        </w:rPr>
        <w:t>只有在法律上和财务上独立、合法运作并独立于采购人和政府采购代理机构的供货商才能参加投标。</w:t>
      </w:r>
    </w:p>
    <w:p>
      <w:pPr>
        <w:pStyle w:val="329"/>
        <w:rPr>
          <w:highlight w:val="none"/>
        </w:rPr>
      </w:pPr>
      <w:r>
        <w:rPr>
          <w:rFonts w:hint="eastAsia"/>
          <w:highlight w:val="none"/>
        </w:rPr>
        <w:t>法定代表人或单位负责人为同一人或者存在直接控股、管理关系的不同单位不得同时参与同一个项目（包组）的竞争。</w:t>
      </w:r>
    </w:p>
    <w:p>
      <w:pPr>
        <w:pStyle w:val="329"/>
        <w:rPr>
          <w:highlight w:val="none"/>
        </w:rPr>
      </w:pPr>
      <w:r>
        <w:rPr>
          <w:rFonts w:hint="eastAsia"/>
          <w:highlight w:val="none"/>
        </w:rPr>
        <w:t>符合第一章采购公告“投标人资格要求”的条款。</w:t>
      </w:r>
    </w:p>
    <w:p>
      <w:pPr>
        <w:pStyle w:val="328"/>
        <w:rPr>
          <w:highlight w:val="none"/>
        </w:rPr>
      </w:pPr>
      <w:r>
        <w:rPr>
          <w:rFonts w:hint="eastAsia"/>
          <w:highlight w:val="none"/>
        </w:rPr>
        <w:t>中标人是指经法定程序确定并授予合同的投标人。</w:t>
      </w:r>
    </w:p>
    <w:p>
      <w:pPr>
        <w:pStyle w:val="326"/>
        <w:rPr>
          <w:highlight w:val="none"/>
        </w:rPr>
      </w:pPr>
      <w:r>
        <w:rPr>
          <w:rFonts w:hint="eastAsia"/>
          <w:highlight w:val="none"/>
        </w:rPr>
        <w:t>联合体投标</w:t>
      </w:r>
    </w:p>
    <w:p>
      <w:pPr>
        <w:pStyle w:val="328"/>
        <w:rPr>
          <w:highlight w:val="none"/>
        </w:rPr>
      </w:pPr>
      <w:r>
        <w:rPr>
          <w:rFonts w:hint="eastAsia"/>
          <w:highlight w:val="none"/>
        </w:rPr>
        <w:t>以下有关联合体投标的条款仅适用于允许投标人组成联合体投标的项目。</w:t>
      </w:r>
    </w:p>
    <w:p>
      <w:pPr>
        <w:pStyle w:val="328"/>
        <w:rPr>
          <w:highlight w:val="none"/>
        </w:rPr>
      </w:pPr>
      <w:r>
        <w:rPr>
          <w:rFonts w:hint="eastAsia"/>
          <w:highlight w:val="none"/>
        </w:rPr>
        <w:t>由两个或两个以上的自然人、法人或者其他组织可以组成一个联合体，以一个供应商的身份共同投标时，应符合以下原则：</w:t>
      </w:r>
    </w:p>
    <w:p>
      <w:pPr>
        <w:pStyle w:val="329"/>
        <w:rPr>
          <w:highlight w:val="none"/>
        </w:rPr>
      </w:pPr>
      <w:r>
        <w:rPr>
          <w:rFonts w:hint="eastAsia"/>
          <w:highlight w:val="none"/>
        </w:rPr>
        <w:t>投标联合体应满足采购公告有关投标人资格要求中对联合体的要求；</w:t>
      </w:r>
    </w:p>
    <w:p>
      <w:pPr>
        <w:pStyle w:val="329"/>
        <w:rPr>
          <w:highlight w:val="none"/>
        </w:rPr>
      </w:pPr>
      <w:r>
        <w:rPr>
          <w:rFonts w:hint="eastAsia"/>
          <w:highlight w:val="none"/>
        </w:rPr>
        <w:t>对于采购公告中所要求投标人应具有的某一资质，若联合体各方均具有，则将以联合体各方中最低的资质等级作为联合体在这一资质条件上的资质等级；联合体各方的不同资质可优势互补。</w:t>
      </w:r>
    </w:p>
    <w:p>
      <w:pPr>
        <w:pStyle w:val="329"/>
        <w:rPr>
          <w:highlight w:val="none"/>
        </w:rPr>
      </w:pPr>
      <w:r>
        <w:rPr>
          <w:rFonts w:hint="eastAsia"/>
          <w:highlight w:val="none"/>
        </w:rPr>
        <w:t>投标人的投标文件及中标后签署的合同协议对联合体各方均具法律约束力；</w:t>
      </w:r>
    </w:p>
    <w:p>
      <w:pPr>
        <w:pStyle w:val="329"/>
        <w:rPr>
          <w:highlight w:val="none"/>
        </w:rPr>
      </w:pPr>
      <w:r>
        <w:rPr>
          <w:rFonts w:hint="eastAsia"/>
          <w:highlight w:val="none"/>
        </w:rPr>
        <w:t>联合体各方应当签订共同投标协议，明确约定各方拟承担的工作和责任，并将该共同投标协议随投标文件一并递交给政府采购代理机构；</w:t>
      </w:r>
    </w:p>
    <w:p>
      <w:pPr>
        <w:pStyle w:val="329"/>
        <w:rPr>
          <w:highlight w:val="none"/>
        </w:rPr>
      </w:pPr>
      <w:r>
        <w:rPr>
          <w:rFonts w:hint="eastAsia"/>
          <w:highlight w:val="none"/>
        </w:rPr>
        <w:t>联合体的各方应当共同推荐一联合体投标授权代表人，由联合体各方提交一份授权书，证明其有资格代表联合体各方签署投标文件，该授权书作为投标文件的组成部分一并提交给政府采购代理机构；</w:t>
      </w:r>
    </w:p>
    <w:p>
      <w:pPr>
        <w:pStyle w:val="329"/>
        <w:rPr>
          <w:highlight w:val="none"/>
        </w:rPr>
      </w:pPr>
      <w:r>
        <w:rPr>
          <w:rFonts w:hint="eastAsia"/>
          <w:highlight w:val="none"/>
        </w:rPr>
        <w:t>参加联合体的各方不得再以自己的名义单独投标，不得同时参加两个或两个以上的联合体投标、不得以分包商或其它形式参与投标，出现上述情况者，其投标和与此有关联合体、总包单位的投标将被拒绝；</w:t>
      </w:r>
    </w:p>
    <w:p>
      <w:pPr>
        <w:pStyle w:val="329"/>
        <w:rPr>
          <w:highlight w:val="none"/>
        </w:rPr>
      </w:pPr>
      <w:r>
        <w:rPr>
          <w:rFonts w:hint="eastAsia"/>
          <w:highlight w:val="none"/>
        </w:rPr>
        <w:t>除非另有规定或说明，本须知中“投标人”一词亦指联合体各方。</w:t>
      </w:r>
    </w:p>
    <w:p>
      <w:pPr>
        <w:pStyle w:val="326"/>
        <w:rPr>
          <w:highlight w:val="none"/>
        </w:rPr>
      </w:pPr>
      <w:r>
        <w:rPr>
          <w:rFonts w:hint="eastAsia"/>
          <w:highlight w:val="none"/>
        </w:rPr>
        <w:t>合格的服务和货物</w:t>
      </w:r>
    </w:p>
    <w:p>
      <w:pPr>
        <w:pStyle w:val="328"/>
        <w:rPr>
          <w:highlight w:val="none"/>
        </w:rPr>
      </w:pPr>
      <w:r>
        <w:rPr>
          <w:rFonts w:hint="eastAsia"/>
          <w:highlight w:val="none"/>
        </w:rPr>
        <w:t>“服务” 是指投标人按招标文件规定完成的全部服务内容，其中包括完成服务所需的货物，及须承担的技术支持、培训和其它伴随服务。</w:t>
      </w:r>
    </w:p>
    <w:p>
      <w:pPr>
        <w:pStyle w:val="328"/>
        <w:rPr>
          <w:highlight w:val="none"/>
        </w:rPr>
      </w:pPr>
      <w:r>
        <w:rPr>
          <w:rFonts w:hint="eastAsia"/>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pStyle w:val="328"/>
        <w:rPr>
          <w:highlight w:val="none"/>
        </w:rPr>
      </w:pPr>
      <w:r>
        <w:rPr>
          <w:rFonts w:hint="eastAsia"/>
          <w:highlight w:val="none"/>
        </w:rPr>
        <w:t>投标人提供的所有服务，其质量、技术等特征必须符合国家、行业现行法律、法规的相关标准和用户需求。</w:t>
      </w:r>
    </w:p>
    <w:p>
      <w:pPr>
        <w:pStyle w:val="328"/>
        <w:rPr>
          <w:highlight w:val="none"/>
        </w:rPr>
      </w:pPr>
      <w:r>
        <w:rPr>
          <w:rFonts w:hint="eastAsia"/>
          <w:highlight w:val="none"/>
        </w:rPr>
        <w:t>采购人有权拒绝接受任何不合格的服务，由此产生的费用及相关后果均由供应商自行承担。</w:t>
      </w:r>
    </w:p>
    <w:p>
      <w:pPr>
        <w:pStyle w:val="328"/>
        <w:rPr>
          <w:highlight w:val="none"/>
        </w:rPr>
      </w:pPr>
      <w:r>
        <w:rPr>
          <w:rFonts w:hint="eastAsia"/>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pStyle w:val="326"/>
        <w:rPr>
          <w:highlight w:val="none"/>
        </w:rPr>
      </w:pPr>
      <w:r>
        <w:rPr>
          <w:rFonts w:hint="eastAsia"/>
          <w:highlight w:val="none"/>
        </w:rPr>
        <w:t>投标费用</w:t>
      </w:r>
    </w:p>
    <w:p>
      <w:pPr>
        <w:pStyle w:val="328"/>
        <w:rPr>
          <w:highlight w:val="none"/>
        </w:rPr>
      </w:pPr>
      <w:r>
        <w:rPr>
          <w:rFonts w:hint="eastAsia"/>
          <w:highlight w:val="none"/>
        </w:rPr>
        <w:t>不论投标结果如何，投标人应承担其编制投标文件与递交投标文件所涉及的一切费用。不论投标的结果如何，招标采购单位均无义务和责任承担这些费用。</w:t>
      </w:r>
    </w:p>
    <w:p>
      <w:pPr>
        <w:pStyle w:val="326"/>
        <w:rPr>
          <w:highlight w:val="none"/>
        </w:rPr>
      </w:pPr>
      <w:r>
        <w:rPr>
          <w:rFonts w:hint="eastAsia"/>
          <w:highlight w:val="none"/>
        </w:rPr>
        <w:t>踏勘现场</w:t>
      </w:r>
    </w:p>
    <w:p>
      <w:pPr>
        <w:pStyle w:val="328"/>
        <w:rPr>
          <w:highlight w:val="none"/>
        </w:rPr>
      </w:pPr>
      <w:r>
        <w:rPr>
          <w:rFonts w:hint="eastAsia"/>
          <w:highlight w:val="none"/>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pStyle w:val="328"/>
        <w:rPr>
          <w:highlight w:val="none"/>
        </w:rPr>
      </w:pPr>
      <w:r>
        <w:rPr>
          <w:rFonts w:hint="eastAsia"/>
          <w:highlight w:val="none"/>
        </w:rPr>
        <w:t>投标人及其人员经过采购单位的允许，可以踏勘目的进入采购单位的项目现场。若本项目招标文件要求投标人于统一时间地点踏勘现场的，投标人按时前往。</w:t>
      </w:r>
    </w:p>
    <w:p>
      <w:pPr>
        <w:pStyle w:val="328"/>
        <w:rPr>
          <w:highlight w:val="none"/>
        </w:rPr>
      </w:pPr>
      <w:r>
        <w:rPr>
          <w:rFonts w:hint="eastAsia"/>
          <w:highlight w:val="none"/>
        </w:rPr>
        <w:t>采购单位必须通过采购代理机构向投标人提供有关现场的资料和数据。</w:t>
      </w:r>
    </w:p>
    <w:p>
      <w:pPr>
        <w:pStyle w:val="328"/>
        <w:rPr>
          <w:highlight w:val="none"/>
        </w:rPr>
      </w:pPr>
      <w:r>
        <w:rPr>
          <w:rFonts w:hint="eastAsia"/>
          <w:highlight w:val="none"/>
        </w:rPr>
        <w:t>任何人或任何组织在踏勘现场时向投标人提交的任何书面或口头上的资料，未经采购代理机构在网上发布或书面通知，均作无效处理。采购代理机构对投标人由此而做出的推论、理解和结论概不负责。</w:t>
      </w:r>
    </w:p>
    <w:p>
      <w:pPr>
        <w:pStyle w:val="328"/>
        <w:rPr>
          <w:highlight w:val="none"/>
        </w:rPr>
      </w:pPr>
      <w:r>
        <w:rPr>
          <w:rFonts w:hint="eastAsia"/>
          <w:highlight w:val="none"/>
        </w:rPr>
        <w:t>未参与现场踏勘不作为否定投标人资格的理由。</w:t>
      </w:r>
    </w:p>
    <w:p>
      <w:pPr>
        <w:pStyle w:val="326"/>
        <w:rPr>
          <w:highlight w:val="none"/>
        </w:rPr>
      </w:pPr>
      <w:r>
        <w:rPr>
          <w:rFonts w:hint="eastAsia"/>
          <w:highlight w:val="none"/>
        </w:rPr>
        <w:t>招标答疑</w:t>
      </w:r>
    </w:p>
    <w:p>
      <w:pPr>
        <w:pStyle w:val="328"/>
        <w:rPr>
          <w:highlight w:val="none"/>
        </w:rPr>
      </w:pPr>
      <w:r>
        <w:rPr>
          <w:rFonts w:hint="eastAsia"/>
          <w:highlight w:val="none"/>
        </w:rPr>
        <w:t>招标答疑的目的是澄清、解答投标人在查阅招标文件后或现场踏勘中可能提出的与投标有关的疑问或询问。</w:t>
      </w:r>
    </w:p>
    <w:p>
      <w:pPr>
        <w:pStyle w:val="328"/>
        <w:rPr>
          <w:highlight w:val="none"/>
        </w:rPr>
      </w:pPr>
      <w:r>
        <w:rPr>
          <w:rFonts w:hint="eastAsia"/>
          <w:highlight w:val="none"/>
        </w:rPr>
        <w:t>投标人提出的与投标有关的问题须在招标文件规定的答疑截止时间前以 “质疑函</w:t>
      </w:r>
      <w:r>
        <w:rPr>
          <w:highlight w:val="none"/>
        </w:rPr>
        <w:t>”</w:t>
      </w:r>
      <w:r>
        <w:rPr>
          <w:rFonts w:hint="eastAsia"/>
          <w:highlight w:val="none"/>
        </w:rPr>
        <w:t>的形式提交给采购代理机构，质疑函应该加盖质疑单位公章。</w:t>
      </w:r>
    </w:p>
    <w:p>
      <w:pPr>
        <w:pStyle w:val="328"/>
        <w:rPr>
          <w:highlight w:val="none"/>
        </w:rPr>
      </w:pPr>
      <w:r>
        <w:rPr>
          <w:rFonts w:hint="eastAsia"/>
          <w:highlight w:val="none"/>
        </w:rPr>
        <w:t>采购代理机构对疑问所做出的澄清和解答，以书面答复（包括网站发布信息）为准。答疑纪要的有效性规定按照本通用条款第13</w:t>
      </w:r>
      <w:r>
        <w:rPr>
          <w:highlight w:val="none"/>
        </w:rPr>
        <w:t>.3.</w:t>
      </w:r>
      <w:r>
        <w:rPr>
          <w:rFonts w:hint="eastAsia"/>
          <w:highlight w:val="none"/>
        </w:rPr>
        <w:t>13</w:t>
      </w:r>
      <w:r>
        <w:rPr>
          <w:highlight w:val="none"/>
        </w:rPr>
        <w:t>.4</w:t>
      </w:r>
      <w:r>
        <w:rPr>
          <w:rFonts w:hint="eastAsia"/>
          <w:highlight w:val="none"/>
        </w:rPr>
        <w:t>款规定执行。</w:t>
      </w:r>
    </w:p>
    <w:p>
      <w:pPr>
        <w:pStyle w:val="328"/>
        <w:rPr>
          <w:highlight w:val="none"/>
        </w:rPr>
      </w:pPr>
      <w:r>
        <w:rPr>
          <w:rFonts w:hint="eastAsia"/>
          <w:highlight w:val="none"/>
        </w:rPr>
        <w:t>如采购代理机构认为有必要组织现场答疑会，投标人应按照招标文件规定的时间或采购代理机构另行书面通知（包括网站发布的通知）的时间和地点，参与现场答疑会。</w:t>
      </w:r>
    </w:p>
    <w:p>
      <w:pPr>
        <w:pStyle w:val="328"/>
        <w:rPr>
          <w:highlight w:val="none"/>
        </w:rPr>
      </w:pPr>
      <w:r>
        <w:rPr>
          <w:rFonts w:hint="eastAsia"/>
          <w:highlight w:val="none"/>
        </w:rPr>
        <w:t>未参与招标答疑不作为否定投标人资格的理由。</w:t>
      </w:r>
    </w:p>
    <w:p>
      <w:pPr>
        <w:pStyle w:val="309"/>
        <w:rPr>
          <w:highlight w:val="none"/>
        </w:rPr>
      </w:pPr>
      <w:bookmarkStart w:id="100" w:name="_Toc41557710"/>
      <w:bookmarkStart w:id="101" w:name="_Toc67387147"/>
      <w:r>
        <w:rPr>
          <w:rFonts w:hint="eastAsia"/>
          <w:highlight w:val="none"/>
        </w:rPr>
        <w:t>第二章 招标文件</w:t>
      </w:r>
      <w:bookmarkEnd w:id="100"/>
      <w:bookmarkEnd w:id="101"/>
    </w:p>
    <w:p>
      <w:pPr>
        <w:pStyle w:val="326"/>
        <w:rPr>
          <w:highlight w:val="none"/>
        </w:rPr>
      </w:pPr>
      <w:r>
        <w:rPr>
          <w:rFonts w:hint="eastAsia"/>
          <w:highlight w:val="none"/>
        </w:rPr>
        <w:t>招标文件的编制与组成</w:t>
      </w:r>
    </w:p>
    <w:p>
      <w:pPr>
        <w:pStyle w:val="328"/>
        <w:rPr>
          <w:highlight w:val="none"/>
        </w:rPr>
      </w:pPr>
      <w:r>
        <w:rPr>
          <w:rFonts w:hint="eastAsia"/>
          <w:highlight w:val="none"/>
        </w:rPr>
        <w:t>招标文件除以下内容外，采购代理机构在招标（或谈判）期间发出的答疑纪要和其他补充修改函件，均是招标文件的组成部分，对投标人起约束作用；</w:t>
      </w:r>
    </w:p>
    <w:p>
      <w:pPr>
        <w:pStyle w:val="328"/>
        <w:rPr>
          <w:highlight w:val="none"/>
        </w:rPr>
      </w:pPr>
      <w:r>
        <w:rPr>
          <w:rFonts w:hint="eastAsia"/>
          <w:highlight w:val="none"/>
        </w:rPr>
        <w:t>招标文件包括下列内容：</w:t>
      </w:r>
    </w:p>
    <w:p>
      <w:pPr>
        <w:tabs>
          <w:tab w:val="clear" w:pos="426"/>
        </w:tabs>
        <w:ind w:left="424" w:leftChars="202"/>
        <w:rPr>
          <w:highlight w:val="none"/>
        </w:rPr>
      </w:pPr>
      <w:r>
        <w:rPr>
          <w:rFonts w:hint="eastAsia"/>
          <w:highlight w:val="none"/>
        </w:rPr>
        <w:t>第一册  专用条款</w:t>
      </w:r>
    </w:p>
    <w:p>
      <w:pPr>
        <w:tabs>
          <w:tab w:val="clear" w:pos="426"/>
        </w:tabs>
        <w:ind w:left="1275" w:leftChars="607"/>
        <w:rPr>
          <w:highlight w:val="none"/>
        </w:rPr>
      </w:pPr>
      <w:r>
        <w:rPr>
          <w:rFonts w:hint="eastAsia"/>
          <w:highlight w:val="none"/>
        </w:rPr>
        <w:t>关键信息</w:t>
      </w:r>
    </w:p>
    <w:p>
      <w:pPr>
        <w:tabs>
          <w:tab w:val="clear" w:pos="426"/>
        </w:tabs>
        <w:ind w:left="1275" w:leftChars="607"/>
        <w:rPr>
          <w:highlight w:val="none"/>
        </w:rPr>
      </w:pPr>
      <w:r>
        <w:rPr>
          <w:rFonts w:hint="eastAsia"/>
          <w:highlight w:val="none"/>
        </w:rPr>
        <w:t>第一章  采购公告</w:t>
      </w:r>
    </w:p>
    <w:p>
      <w:pPr>
        <w:tabs>
          <w:tab w:val="clear" w:pos="426"/>
        </w:tabs>
        <w:ind w:left="1275" w:leftChars="607"/>
        <w:rPr>
          <w:highlight w:val="none"/>
        </w:rPr>
      </w:pPr>
      <w:r>
        <w:rPr>
          <w:rFonts w:hint="eastAsia"/>
          <w:highlight w:val="none"/>
        </w:rPr>
        <w:t>第二章  招标项目需求</w:t>
      </w:r>
    </w:p>
    <w:p>
      <w:pPr>
        <w:tabs>
          <w:tab w:val="clear" w:pos="426"/>
        </w:tabs>
        <w:ind w:left="1275" w:leftChars="607"/>
        <w:rPr>
          <w:highlight w:val="none"/>
        </w:rPr>
      </w:pPr>
      <w:r>
        <w:rPr>
          <w:rFonts w:hint="eastAsia"/>
          <w:highlight w:val="none"/>
        </w:rPr>
        <w:t>第三章  合同条款及格式</w:t>
      </w:r>
    </w:p>
    <w:p>
      <w:pPr>
        <w:tabs>
          <w:tab w:val="clear" w:pos="426"/>
        </w:tabs>
        <w:ind w:left="1275" w:leftChars="607"/>
        <w:rPr>
          <w:highlight w:val="none"/>
        </w:rPr>
      </w:pPr>
      <w:r>
        <w:rPr>
          <w:rFonts w:hint="eastAsia"/>
          <w:highlight w:val="none"/>
        </w:rPr>
        <w:t>第四章  投标文件格式、附件</w:t>
      </w:r>
    </w:p>
    <w:p>
      <w:pPr>
        <w:tabs>
          <w:tab w:val="clear" w:pos="426"/>
        </w:tabs>
        <w:ind w:left="1275" w:leftChars="607"/>
        <w:rPr>
          <w:highlight w:val="none"/>
        </w:rPr>
      </w:pPr>
      <w:r>
        <w:rPr>
          <w:rFonts w:hint="eastAsia"/>
          <w:highlight w:val="none"/>
        </w:rPr>
        <w:t>第五章  政府采购履约情况反馈表</w:t>
      </w:r>
    </w:p>
    <w:p>
      <w:pPr>
        <w:tabs>
          <w:tab w:val="clear" w:pos="426"/>
        </w:tabs>
        <w:ind w:left="424" w:leftChars="202"/>
        <w:rPr>
          <w:highlight w:val="none"/>
        </w:rPr>
      </w:pPr>
      <w:r>
        <w:rPr>
          <w:rFonts w:hint="eastAsia"/>
          <w:highlight w:val="none"/>
        </w:rPr>
        <w:t>第二册  通用条款</w:t>
      </w:r>
    </w:p>
    <w:p>
      <w:pPr>
        <w:tabs>
          <w:tab w:val="clear" w:pos="426"/>
        </w:tabs>
        <w:ind w:left="1275" w:leftChars="607"/>
        <w:rPr>
          <w:highlight w:val="none"/>
        </w:rPr>
      </w:pPr>
      <w:r>
        <w:rPr>
          <w:rFonts w:hint="eastAsia"/>
          <w:highlight w:val="none"/>
        </w:rPr>
        <w:t>第一章  总则</w:t>
      </w:r>
    </w:p>
    <w:p>
      <w:pPr>
        <w:tabs>
          <w:tab w:val="clear" w:pos="426"/>
        </w:tabs>
        <w:ind w:left="1275" w:leftChars="607"/>
        <w:rPr>
          <w:highlight w:val="none"/>
        </w:rPr>
      </w:pPr>
      <w:r>
        <w:rPr>
          <w:rFonts w:hint="eastAsia"/>
          <w:highlight w:val="none"/>
        </w:rPr>
        <w:t>第二章  招标文件</w:t>
      </w:r>
    </w:p>
    <w:p>
      <w:pPr>
        <w:tabs>
          <w:tab w:val="clear" w:pos="426"/>
        </w:tabs>
        <w:ind w:left="1275" w:leftChars="607"/>
        <w:rPr>
          <w:highlight w:val="none"/>
        </w:rPr>
      </w:pPr>
      <w:r>
        <w:rPr>
          <w:rFonts w:hint="eastAsia"/>
          <w:highlight w:val="none"/>
        </w:rPr>
        <w:t>第三章  投标文件的编制与递交</w:t>
      </w:r>
    </w:p>
    <w:p>
      <w:pPr>
        <w:tabs>
          <w:tab w:val="clear" w:pos="426"/>
        </w:tabs>
        <w:ind w:left="1275" w:leftChars="607"/>
        <w:rPr>
          <w:highlight w:val="none"/>
        </w:rPr>
      </w:pPr>
      <w:r>
        <w:rPr>
          <w:rFonts w:hint="eastAsia"/>
          <w:highlight w:val="none"/>
        </w:rPr>
        <w:t>第四章  开标</w:t>
      </w:r>
    </w:p>
    <w:p>
      <w:pPr>
        <w:tabs>
          <w:tab w:val="clear" w:pos="426"/>
        </w:tabs>
        <w:ind w:left="1275" w:leftChars="607"/>
        <w:rPr>
          <w:highlight w:val="none"/>
        </w:rPr>
      </w:pPr>
      <w:r>
        <w:rPr>
          <w:rFonts w:hint="eastAsia"/>
          <w:highlight w:val="none"/>
        </w:rPr>
        <w:t>第五章  评标要求</w:t>
      </w:r>
    </w:p>
    <w:p>
      <w:pPr>
        <w:tabs>
          <w:tab w:val="clear" w:pos="426"/>
        </w:tabs>
        <w:ind w:left="1275" w:leftChars="607"/>
        <w:rPr>
          <w:highlight w:val="none"/>
        </w:rPr>
      </w:pPr>
      <w:r>
        <w:rPr>
          <w:rFonts w:hint="eastAsia"/>
          <w:highlight w:val="none"/>
        </w:rPr>
        <w:t>第六章  评标程序及评标方法</w:t>
      </w:r>
    </w:p>
    <w:p>
      <w:pPr>
        <w:tabs>
          <w:tab w:val="clear" w:pos="426"/>
        </w:tabs>
        <w:ind w:left="1275" w:leftChars="607"/>
        <w:rPr>
          <w:highlight w:val="none"/>
        </w:rPr>
      </w:pPr>
      <w:r>
        <w:rPr>
          <w:rFonts w:hint="eastAsia"/>
          <w:highlight w:val="none"/>
        </w:rPr>
        <w:t>第七章  定标及公示</w:t>
      </w:r>
    </w:p>
    <w:p>
      <w:pPr>
        <w:tabs>
          <w:tab w:val="clear" w:pos="426"/>
        </w:tabs>
        <w:ind w:left="1275" w:leftChars="607"/>
        <w:rPr>
          <w:highlight w:val="none"/>
        </w:rPr>
      </w:pPr>
      <w:r>
        <w:rPr>
          <w:rFonts w:hint="eastAsia"/>
          <w:highlight w:val="none"/>
        </w:rPr>
        <w:t>第八章  公开招标失败的后续处理</w:t>
      </w:r>
    </w:p>
    <w:p>
      <w:pPr>
        <w:tabs>
          <w:tab w:val="clear" w:pos="426"/>
        </w:tabs>
        <w:ind w:left="1275" w:leftChars="607"/>
        <w:rPr>
          <w:highlight w:val="none"/>
        </w:rPr>
      </w:pPr>
      <w:r>
        <w:rPr>
          <w:rFonts w:hint="eastAsia"/>
          <w:highlight w:val="none"/>
        </w:rPr>
        <w:t>第九章  合同的授予与备案</w:t>
      </w:r>
    </w:p>
    <w:p>
      <w:pPr>
        <w:tabs>
          <w:tab w:val="clear" w:pos="426"/>
        </w:tabs>
        <w:ind w:left="1275" w:leftChars="607"/>
        <w:rPr>
          <w:highlight w:val="none"/>
        </w:rPr>
      </w:pPr>
      <w:r>
        <w:rPr>
          <w:rFonts w:hint="eastAsia"/>
          <w:highlight w:val="none"/>
        </w:rPr>
        <w:t>第十章  质疑处理</w:t>
      </w:r>
    </w:p>
    <w:p>
      <w:pPr>
        <w:pStyle w:val="328"/>
        <w:rPr>
          <w:highlight w:val="none"/>
        </w:rPr>
      </w:pPr>
      <w:r>
        <w:rPr>
          <w:rFonts w:hint="eastAsia"/>
          <w:highlight w:val="none"/>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pStyle w:val="328"/>
        <w:rPr>
          <w:highlight w:val="none"/>
        </w:rPr>
      </w:pPr>
      <w:r>
        <w:rPr>
          <w:rFonts w:hint="eastAsia"/>
          <w:highlight w:val="none"/>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pStyle w:val="326"/>
        <w:rPr>
          <w:highlight w:val="none"/>
        </w:rPr>
      </w:pPr>
      <w:r>
        <w:rPr>
          <w:rFonts w:hint="eastAsia"/>
          <w:highlight w:val="none"/>
        </w:rPr>
        <w:t>招标文件的澄清</w:t>
      </w:r>
    </w:p>
    <w:p>
      <w:pPr>
        <w:pStyle w:val="328"/>
        <w:rPr>
          <w:highlight w:val="none"/>
        </w:rPr>
      </w:pPr>
      <w:r>
        <w:rPr>
          <w:rFonts w:hint="eastAsia"/>
          <w:highlight w:val="none"/>
        </w:rPr>
        <w:t>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在采购代理机构网站公开发布方式）答复或发送给所有投标人。澄清纪要作为招标文件的组成部分，对投标人起约束作用；</w:t>
      </w:r>
    </w:p>
    <w:p>
      <w:pPr>
        <w:pStyle w:val="328"/>
        <w:rPr>
          <w:highlight w:val="none"/>
        </w:rPr>
      </w:pPr>
      <w:r>
        <w:rPr>
          <w:rFonts w:hint="eastAsia"/>
          <w:highlight w:val="none"/>
        </w:rPr>
        <w:t>对于没有提出澄清又参与了该项目投标的供应商将被视为完全认同该招标文件（含澄清纪要），投标截止期后不再受理针对招标文件的相关质疑或投诉。</w:t>
      </w:r>
    </w:p>
    <w:p>
      <w:pPr>
        <w:pStyle w:val="328"/>
        <w:rPr>
          <w:highlight w:val="none"/>
        </w:rPr>
      </w:pPr>
      <w:r>
        <w:rPr>
          <w:rFonts w:hint="eastAsia"/>
          <w:highlight w:val="none"/>
        </w:rPr>
        <w:t>对招标文件中描述有歧意或前后不一致的地方，评标委员会有权进行评判，但对同一条款的评判应适用于每个投标人。</w:t>
      </w:r>
    </w:p>
    <w:p>
      <w:pPr>
        <w:pStyle w:val="326"/>
        <w:rPr>
          <w:highlight w:val="none"/>
        </w:rPr>
      </w:pPr>
      <w:r>
        <w:rPr>
          <w:rFonts w:hint="eastAsia"/>
          <w:highlight w:val="none"/>
        </w:rPr>
        <w:t>招标文件的修改</w:t>
      </w:r>
    </w:p>
    <w:p>
      <w:pPr>
        <w:pStyle w:val="328"/>
        <w:rPr>
          <w:highlight w:val="none"/>
        </w:rPr>
      </w:pPr>
      <w:r>
        <w:rPr>
          <w:rFonts w:hint="eastAsia"/>
          <w:highlight w:val="none"/>
        </w:rPr>
        <w:t>招标文件发出后，在投标截止日期前任何时候，确需要变更招标内容的，采购代理机构可主动地或在解答投标人提出的澄清问题时对招标文件进行修改；</w:t>
      </w:r>
    </w:p>
    <w:p>
      <w:pPr>
        <w:pStyle w:val="328"/>
        <w:rPr>
          <w:highlight w:val="none"/>
        </w:rPr>
      </w:pPr>
      <w:r>
        <w:rPr>
          <w:rFonts w:hint="eastAsia"/>
          <w:highlight w:val="none"/>
        </w:rPr>
        <w:t>招标文件的修改以书面形式（包括网站公开发布方式）发送给所有投标人，招标文件的修改内容作为招标文件的组成部分，并具有约束力。</w:t>
      </w:r>
    </w:p>
    <w:p>
      <w:pPr>
        <w:pStyle w:val="328"/>
        <w:rPr>
          <w:highlight w:val="none"/>
        </w:rPr>
      </w:pPr>
      <w:r>
        <w:rPr>
          <w:rFonts w:hint="eastAsia"/>
          <w:highlight w:val="none"/>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pStyle w:val="328"/>
        <w:rPr>
          <w:highlight w:val="none"/>
        </w:rPr>
      </w:pPr>
      <w:r>
        <w:rPr>
          <w:rFonts w:hint="eastAsia"/>
          <w:highlight w:val="none"/>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309"/>
        <w:rPr>
          <w:highlight w:val="none"/>
        </w:rPr>
      </w:pPr>
      <w:bookmarkStart w:id="102" w:name="_Toc41557711"/>
      <w:bookmarkStart w:id="103" w:name="_Toc67387148"/>
      <w:r>
        <w:rPr>
          <w:rFonts w:hint="eastAsia"/>
          <w:highlight w:val="none"/>
        </w:rPr>
        <w:t>第三章 投标文件的编制与递交</w:t>
      </w:r>
      <w:bookmarkEnd w:id="102"/>
      <w:bookmarkEnd w:id="103"/>
    </w:p>
    <w:p>
      <w:pPr>
        <w:pStyle w:val="326"/>
        <w:rPr>
          <w:highlight w:val="none"/>
        </w:rPr>
      </w:pPr>
      <w:r>
        <w:rPr>
          <w:rFonts w:hint="eastAsia"/>
          <w:highlight w:val="none"/>
        </w:rPr>
        <w:t>投标文件的语言及度量单位</w:t>
      </w:r>
    </w:p>
    <w:p>
      <w:pPr>
        <w:pStyle w:val="328"/>
        <w:rPr>
          <w:highlight w:val="none"/>
        </w:rPr>
      </w:pPr>
      <w:r>
        <w:rPr>
          <w:rFonts w:hint="eastAsia"/>
          <w:highlight w:val="none"/>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pStyle w:val="328"/>
        <w:rPr>
          <w:highlight w:val="none"/>
        </w:rPr>
      </w:pPr>
      <w:r>
        <w:rPr>
          <w:rFonts w:hint="eastAsia"/>
          <w:highlight w:val="none"/>
        </w:rPr>
        <w:t>除技术规范另有规定外，投标文件使用的度量单位，均采用中华人民共和国法定计量单位。</w:t>
      </w:r>
    </w:p>
    <w:p>
      <w:pPr>
        <w:pStyle w:val="326"/>
        <w:rPr>
          <w:highlight w:val="none"/>
        </w:rPr>
      </w:pPr>
      <w:r>
        <w:rPr>
          <w:rFonts w:hint="eastAsia"/>
          <w:highlight w:val="none"/>
        </w:rPr>
        <w:t>投标文件的组成</w:t>
      </w:r>
    </w:p>
    <w:p>
      <w:pPr>
        <w:pStyle w:val="328"/>
        <w:rPr>
          <w:highlight w:val="none"/>
        </w:rPr>
      </w:pPr>
      <w:r>
        <w:rPr>
          <w:rFonts w:hint="eastAsia"/>
          <w:highlight w:val="none"/>
        </w:rPr>
        <w:t>具体内容请详见本项目专用条款的相关内容。</w:t>
      </w:r>
    </w:p>
    <w:p>
      <w:pPr>
        <w:pStyle w:val="326"/>
        <w:rPr>
          <w:highlight w:val="none"/>
        </w:rPr>
      </w:pPr>
      <w:r>
        <w:rPr>
          <w:rFonts w:hint="eastAsia"/>
          <w:highlight w:val="none"/>
        </w:rPr>
        <w:t>投标文件格式</w:t>
      </w:r>
    </w:p>
    <w:p>
      <w:pPr>
        <w:pStyle w:val="328"/>
        <w:rPr>
          <w:highlight w:val="none"/>
        </w:rPr>
      </w:pPr>
      <w:r>
        <w:rPr>
          <w:rFonts w:hint="eastAsia"/>
          <w:highlight w:val="none"/>
        </w:rPr>
        <w:t>投标文件包括本通用条款第15条中规定的内容。如招标文件提供了投标文件格式，则投标人提交的投标文件必须毫无例外地使用招标文件所提供的相应格式并统一使用A4篇幅（表格可以按同样格式扩展）。</w:t>
      </w:r>
    </w:p>
    <w:p>
      <w:pPr>
        <w:pStyle w:val="326"/>
        <w:rPr>
          <w:highlight w:val="none"/>
        </w:rPr>
      </w:pPr>
      <w:r>
        <w:rPr>
          <w:rFonts w:hint="eastAsia"/>
          <w:highlight w:val="none"/>
        </w:rPr>
        <w:t>投标货币</w:t>
      </w:r>
    </w:p>
    <w:p>
      <w:pPr>
        <w:pStyle w:val="328"/>
        <w:rPr>
          <w:highlight w:val="none"/>
        </w:rPr>
      </w:pPr>
      <w:r>
        <w:rPr>
          <w:rFonts w:hint="eastAsia"/>
          <w:highlight w:val="none"/>
        </w:rPr>
        <w:t>本项目的投标应以人民币计。</w:t>
      </w:r>
    </w:p>
    <w:p>
      <w:pPr>
        <w:pStyle w:val="326"/>
        <w:rPr>
          <w:highlight w:val="none"/>
        </w:rPr>
      </w:pPr>
      <w:r>
        <w:rPr>
          <w:rFonts w:hint="eastAsia"/>
          <w:highlight w:val="none"/>
        </w:rPr>
        <w:t xml:space="preserve"> 证明投标人合格和资格的文件</w:t>
      </w:r>
    </w:p>
    <w:p>
      <w:pPr>
        <w:pStyle w:val="328"/>
        <w:rPr>
          <w:highlight w:val="none"/>
        </w:rPr>
      </w:pPr>
      <w:r>
        <w:rPr>
          <w:rFonts w:hint="eastAsia"/>
          <w:highlight w:val="none"/>
        </w:rPr>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pPr>
        <w:pStyle w:val="328"/>
        <w:rPr>
          <w:highlight w:val="none"/>
        </w:rPr>
      </w:pPr>
      <w:r>
        <w:rPr>
          <w:rFonts w:hint="eastAsia"/>
          <w:highlight w:val="none"/>
        </w:rPr>
        <w:t>投标人提交的资格证明文件应证明其满足本须知定义的合格投标人。</w:t>
      </w:r>
    </w:p>
    <w:p>
      <w:pPr>
        <w:pStyle w:val="326"/>
        <w:rPr>
          <w:highlight w:val="none"/>
        </w:rPr>
      </w:pPr>
      <w:r>
        <w:rPr>
          <w:rFonts w:hint="eastAsia"/>
          <w:highlight w:val="none"/>
        </w:rPr>
        <w:t>证明投标文件投标技术方案的合格性和符合招标文件规定的文件要求</w:t>
      </w:r>
    </w:p>
    <w:p>
      <w:pPr>
        <w:pStyle w:val="328"/>
        <w:rPr>
          <w:highlight w:val="none"/>
        </w:rPr>
      </w:pPr>
      <w:r>
        <w:rPr>
          <w:rFonts w:hint="eastAsia"/>
          <w:highlight w:val="none"/>
        </w:rPr>
        <w:t>投标人应提交证明文件证明其投标技术方案项下的货物、工程和服务的合格性符合招标文件规定。该投标技术方案及其证明文件作为投标文件的一部分。</w:t>
      </w:r>
    </w:p>
    <w:p>
      <w:pPr>
        <w:pStyle w:val="328"/>
        <w:rPr>
          <w:highlight w:val="none"/>
        </w:rPr>
      </w:pPr>
      <w:r>
        <w:rPr>
          <w:rFonts w:hint="eastAsia"/>
          <w:highlight w:val="none"/>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pStyle w:val="329"/>
        <w:rPr>
          <w:highlight w:val="none"/>
        </w:rPr>
      </w:pPr>
      <w:r>
        <w:rPr>
          <w:rFonts w:hint="eastAsia"/>
          <w:highlight w:val="none"/>
        </w:rPr>
        <w:t>主要技术指标和性能的详细说明。</w:t>
      </w:r>
    </w:p>
    <w:p>
      <w:pPr>
        <w:pStyle w:val="329"/>
        <w:rPr>
          <w:highlight w:val="none"/>
        </w:rPr>
      </w:pPr>
      <w:r>
        <w:rPr>
          <w:rFonts w:hint="eastAsia"/>
          <w:highlight w:val="none"/>
        </w:rPr>
        <w:t>投标产品从采购单位开始使用至招标文件中规定的周期内正常、连续地使用所必须的备件和专用工具清单，包括备件和专用工具的货源及现行价格。</w:t>
      </w:r>
    </w:p>
    <w:p>
      <w:pPr>
        <w:pStyle w:val="329"/>
        <w:rPr>
          <w:highlight w:val="none"/>
        </w:rPr>
      </w:pPr>
      <w:r>
        <w:rPr>
          <w:rFonts w:hint="eastAsia"/>
          <w:highlight w:val="none"/>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pStyle w:val="329"/>
        <w:rPr>
          <w:highlight w:val="none"/>
        </w:rPr>
      </w:pPr>
      <w:r>
        <w:rPr>
          <w:rFonts w:hint="eastAsia"/>
          <w:highlight w:val="none"/>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pStyle w:val="329"/>
        <w:rPr>
          <w:highlight w:val="none"/>
        </w:rPr>
      </w:pPr>
      <w:r>
        <w:rPr>
          <w:rFonts w:hint="eastAsia"/>
          <w:highlight w:val="none"/>
        </w:rPr>
        <w:t>我国政府机构出具的产品检验和核准证件应为证件正面、背面和附件标注的全部具体内容；产品检验和核准证件应能清晰的阅读、识别和判断，提供原件复印件。</w:t>
      </w:r>
    </w:p>
    <w:p>
      <w:pPr>
        <w:pStyle w:val="328"/>
        <w:rPr>
          <w:highlight w:val="none"/>
        </w:rPr>
      </w:pPr>
      <w:r>
        <w:rPr>
          <w:rFonts w:hint="eastAsia"/>
          <w:highlight w:val="none"/>
        </w:rPr>
        <w:t>相关资料不符合19.2款要求的，评标委员会有权认定为投标技术方案不合格响应，其相关分数予以扣减或作投标无效处理。</w:t>
      </w:r>
    </w:p>
    <w:p>
      <w:pPr>
        <w:pStyle w:val="328"/>
        <w:rPr>
          <w:highlight w:val="none"/>
        </w:rPr>
      </w:pPr>
      <w:r>
        <w:rPr>
          <w:rFonts w:hint="eastAsia"/>
          <w:highlight w:val="none"/>
        </w:rPr>
        <w:t>评标委员会有权对以谋取中标为目的的技术规格模糊响应（如有意照搬照抄招标文件的技术要求）或虚假响应予以认定。供应商上述行为一经发现或查实，除扣分或判定投标无效外，采购代理机构可视情况报政府采购监督管理部门做进一步处理。</w:t>
      </w:r>
    </w:p>
    <w:p>
      <w:pPr>
        <w:pStyle w:val="328"/>
        <w:rPr>
          <w:highlight w:val="none"/>
        </w:rPr>
      </w:pPr>
      <w:r>
        <w:rPr>
          <w:rFonts w:hint="eastAsia"/>
          <w:highlight w:val="none"/>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pStyle w:val="328"/>
        <w:rPr>
          <w:highlight w:val="none"/>
        </w:rPr>
      </w:pPr>
      <w:r>
        <w:rPr>
          <w:rFonts w:hint="eastAsia"/>
          <w:highlight w:val="none"/>
        </w:rPr>
        <w:t>为保证公平公正，除非另有规定或说明，投标人对同一货物或服务投标时，不得同时提供两套或两套以上的投标方案。</w:t>
      </w:r>
    </w:p>
    <w:p>
      <w:pPr>
        <w:pStyle w:val="326"/>
        <w:rPr>
          <w:highlight w:val="none"/>
        </w:rPr>
      </w:pPr>
      <w:r>
        <w:rPr>
          <w:rFonts w:hint="eastAsia"/>
          <w:highlight w:val="none"/>
        </w:rPr>
        <w:t>投标文件其他证明文件的要求</w:t>
      </w:r>
    </w:p>
    <w:p>
      <w:pPr>
        <w:pStyle w:val="328"/>
        <w:rPr>
          <w:highlight w:val="none"/>
        </w:rPr>
      </w:pPr>
      <w:r>
        <w:rPr>
          <w:rFonts w:hint="eastAsia"/>
          <w:highlight w:val="none"/>
        </w:rPr>
        <w:t>对项目招标文件《评标信息》评分项中涉及的相关业绩、社保情况、纳税情况、银行资信等级和资金流状况等内容以及《资格性审查表》和《符合性审查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pStyle w:val="328"/>
        <w:rPr>
          <w:highlight w:val="none"/>
        </w:rPr>
      </w:pPr>
      <w:r>
        <w:rPr>
          <w:rFonts w:hint="eastAsia"/>
          <w:highlight w:val="none"/>
        </w:rPr>
        <w:t>本项目涉及提供的有关资质证书，若原有资质证书处于年审期间，投标人提供年审证明的可按原资质投标；若投标人正在申报上一级别资质，在未获批准之前，仍按原级别资质投标。</w:t>
      </w:r>
    </w:p>
    <w:p>
      <w:pPr>
        <w:pStyle w:val="326"/>
        <w:rPr>
          <w:highlight w:val="none"/>
        </w:rPr>
      </w:pPr>
      <w:r>
        <w:rPr>
          <w:rFonts w:hint="eastAsia"/>
          <w:highlight w:val="none"/>
        </w:rPr>
        <w:t>投标有效期</w:t>
      </w:r>
    </w:p>
    <w:p>
      <w:pPr>
        <w:pStyle w:val="328"/>
        <w:rPr>
          <w:highlight w:val="none"/>
        </w:rPr>
      </w:pPr>
      <w:r>
        <w:rPr>
          <w:rFonts w:hint="eastAsia"/>
          <w:highlight w:val="none"/>
        </w:rPr>
        <w:t>投标有效期为从投标截止之日算起的日历天数，具体见专用条款中投标有效期的天数要求。在此期限内，所有投标文件均保持有效；</w:t>
      </w:r>
    </w:p>
    <w:p>
      <w:pPr>
        <w:pStyle w:val="328"/>
        <w:rPr>
          <w:highlight w:val="none"/>
        </w:rPr>
      </w:pPr>
      <w:r>
        <w:rPr>
          <w:rFonts w:hint="eastAsia"/>
          <w:highlight w:val="none"/>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pPr>
        <w:pStyle w:val="328"/>
        <w:rPr>
          <w:highlight w:val="none"/>
        </w:rPr>
      </w:pPr>
      <w:r>
        <w:rPr>
          <w:rFonts w:hint="eastAsia"/>
          <w:highlight w:val="none"/>
        </w:rPr>
        <w:t>中标单位的投标书有效期，截止于完成本招标文件规定的全部项目内容，并通过竣工验收及保修结束。</w:t>
      </w:r>
    </w:p>
    <w:p>
      <w:pPr>
        <w:pStyle w:val="326"/>
        <w:rPr>
          <w:highlight w:val="none"/>
        </w:rPr>
      </w:pPr>
      <w:r>
        <w:rPr>
          <w:rFonts w:hint="eastAsia"/>
          <w:highlight w:val="none"/>
        </w:rPr>
        <w:t>投标保证金</w:t>
      </w:r>
    </w:p>
    <w:p>
      <w:pPr>
        <w:pStyle w:val="329"/>
        <w:rPr>
          <w:highlight w:val="none"/>
        </w:rPr>
      </w:pPr>
      <w:r>
        <w:rPr>
          <w:rFonts w:hint="eastAsia"/>
          <w:highlight w:val="none"/>
        </w:rPr>
        <w:t>投标保证金的缴纳：</w:t>
      </w:r>
      <w:r>
        <w:rPr>
          <w:rFonts w:hint="eastAsia"/>
          <w:b/>
          <w:bCs/>
          <w:highlight w:val="none"/>
          <w:u w:val="single"/>
          <w:lang w:val="en-US" w:eastAsia="zh-CN"/>
        </w:rPr>
        <w:t xml:space="preserve"> / </w:t>
      </w:r>
      <w:r>
        <w:rPr>
          <w:rFonts w:hint="eastAsia"/>
          <w:highlight w:val="none"/>
        </w:rPr>
        <w:t>万元保证金，落标或中标项目完成后返还，参与投标前未缴纳的，其投标将不予受理。</w:t>
      </w:r>
    </w:p>
    <w:p>
      <w:pPr>
        <w:pStyle w:val="329"/>
        <w:rPr>
          <w:highlight w:val="none"/>
        </w:rPr>
      </w:pPr>
      <w:r>
        <w:rPr>
          <w:rFonts w:hint="eastAsia"/>
          <w:highlight w:val="none"/>
        </w:rPr>
        <w:t>若为重大项目，采购代理机构可自行决定另外收取投标保证金，不受22</w:t>
      </w:r>
      <w:r>
        <w:rPr>
          <w:highlight w:val="none"/>
        </w:rPr>
        <w:t>.1</w:t>
      </w:r>
      <w:r>
        <w:rPr>
          <w:rFonts w:hint="eastAsia"/>
          <w:highlight w:val="none"/>
        </w:rPr>
        <w:t>.1款限制。是否另外收取投标保证金，请见本招标文件专用条款《投标须知前附表》中的相关要求。</w:t>
      </w:r>
    </w:p>
    <w:p>
      <w:pPr>
        <w:pStyle w:val="328"/>
        <w:rPr>
          <w:highlight w:val="none"/>
        </w:rPr>
      </w:pPr>
      <w:r>
        <w:rPr>
          <w:rFonts w:hint="eastAsia"/>
          <w:highlight w:val="none"/>
        </w:rPr>
        <w:t>投标保证金是为了保护采购代理机构和采购单位免因投标人的行为而蒙受损失。采购代理机构和采购单位因投标人的行为受到损害时可根据本通用条款第22.3款的规定没收投标人的投标保证金。</w:t>
      </w:r>
    </w:p>
    <w:p>
      <w:pPr>
        <w:pStyle w:val="328"/>
        <w:rPr>
          <w:highlight w:val="none"/>
        </w:rPr>
      </w:pPr>
      <w:r>
        <w:rPr>
          <w:rFonts w:hint="eastAsia"/>
          <w:highlight w:val="none"/>
        </w:rPr>
        <w:t>如下列任何情况发生时，投标保证金将被没收。</w:t>
      </w:r>
    </w:p>
    <w:p>
      <w:pPr>
        <w:pStyle w:val="329"/>
        <w:rPr>
          <w:highlight w:val="none"/>
        </w:rPr>
      </w:pPr>
      <w:r>
        <w:rPr>
          <w:rFonts w:hint="eastAsia"/>
          <w:highlight w:val="none"/>
        </w:rPr>
        <w:t>投标人在招标文件中规定的投标有效期内撤回其投标；</w:t>
      </w:r>
    </w:p>
    <w:p>
      <w:pPr>
        <w:pStyle w:val="329"/>
        <w:rPr>
          <w:highlight w:val="none"/>
        </w:rPr>
      </w:pPr>
      <w:r>
        <w:rPr>
          <w:rFonts w:hint="eastAsia"/>
          <w:highlight w:val="none"/>
        </w:rPr>
        <w:t>中标人在规定期限内未能根据本项通用条款第47条规定签订合同；</w:t>
      </w:r>
    </w:p>
    <w:p>
      <w:pPr>
        <w:pStyle w:val="329"/>
        <w:rPr>
          <w:highlight w:val="none"/>
        </w:rPr>
      </w:pPr>
      <w:r>
        <w:rPr>
          <w:rFonts w:hint="eastAsia"/>
          <w:highlight w:val="none"/>
        </w:rPr>
        <w:t>投标人提供虚假投标文件或虚假补充文件：</w:t>
      </w:r>
    </w:p>
    <w:p>
      <w:pPr>
        <w:pStyle w:val="329"/>
        <w:rPr>
          <w:highlight w:val="none"/>
        </w:rPr>
      </w:pPr>
      <w:r>
        <w:rPr>
          <w:rFonts w:hint="eastAsia"/>
          <w:highlight w:val="none"/>
        </w:rPr>
        <w:t>投标人以谋取中标为目的的技术规格模糊响应（如有意照搬照抄招标文件的技术要求）或虚假响应的；</w:t>
      </w:r>
    </w:p>
    <w:p>
      <w:pPr>
        <w:pStyle w:val="329"/>
        <w:rPr>
          <w:highlight w:val="none"/>
        </w:rPr>
      </w:pPr>
      <w:r>
        <w:rPr>
          <w:rFonts w:hint="eastAsia"/>
          <w:highlight w:val="none"/>
        </w:rPr>
        <w:t>投标人质疑投诉提供虚假情况。</w:t>
      </w:r>
    </w:p>
    <w:p>
      <w:pPr>
        <w:pStyle w:val="328"/>
        <w:rPr>
          <w:highlight w:val="none"/>
        </w:rPr>
      </w:pPr>
      <w:r>
        <w:rPr>
          <w:rFonts w:hint="eastAsia"/>
          <w:highlight w:val="none"/>
        </w:rPr>
        <w:t>投标保证金账户信息：</w:t>
      </w:r>
    </w:p>
    <w:p>
      <w:pPr>
        <w:pStyle w:val="326"/>
        <w:rPr>
          <w:highlight w:val="none"/>
        </w:rPr>
      </w:pPr>
      <w:r>
        <w:rPr>
          <w:rFonts w:hint="eastAsia"/>
          <w:highlight w:val="none"/>
        </w:rPr>
        <w:t>投标人的替代方案</w:t>
      </w:r>
    </w:p>
    <w:p>
      <w:pPr>
        <w:pStyle w:val="328"/>
        <w:rPr>
          <w:highlight w:val="none"/>
        </w:rPr>
      </w:pPr>
      <w:r>
        <w:rPr>
          <w:rFonts w:hint="eastAsia"/>
          <w:highlight w:val="none"/>
        </w:rPr>
        <w:t>投标人所提交的投标文件应完全满足招标文件（包括图纸和技术规范所示的基本技术设计）的要求。除非招标的项目明确允许投标人提交替代方案，否则投标人有关替代方案的条款将不予考虑。</w:t>
      </w:r>
    </w:p>
    <w:p>
      <w:pPr>
        <w:pStyle w:val="328"/>
        <w:rPr>
          <w:highlight w:val="none"/>
        </w:rPr>
      </w:pPr>
      <w:r>
        <w:rPr>
          <w:rFonts w:hint="eastAsia"/>
          <w:highlight w:val="none"/>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pStyle w:val="326"/>
        <w:rPr>
          <w:highlight w:val="none"/>
        </w:rPr>
      </w:pPr>
      <w:r>
        <w:rPr>
          <w:rFonts w:hint="eastAsia"/>
          <w:highlight w:val="none"/>
        </w:rPr>
        <w:t>投标文件的密封、标记和装订</w:t>
      </w:r>
    </w:p>
    <w:p>
      <w:pPr>
        <w:pStyle w:val="328"/>
        <w:rPr>
          <w:highlight w:val="none"/>
        </w:rPr>
      </w:pPr>
      <w:r>
        <w:rPr>
          <w:rFonts w:hint="eastAsia"/>
          <w:highlight w:val="none"/>
        </w:rPr>
        <w:t>为方便开标唱标，投标人应单独提交一个密封信封，并在信封上标明“开标信封”的字样，内容包括开标一览表(报价表)、法定代表人证明书、法定代表人授权委托书、被授权人身份证复印件、投标文件电子光盘，若本项目（或包组）接受联合体投标，则联合体投标，应将各方共同签署的《联合投标协议》和《投标联合体授权主体方协议书》一并提交。开标信封是投标文件的组成部分。</w:t>
      </w:r>
    </w:p>
    <w:p>
      <w:pPr>
        <w:pStyle w:val="328"/>
        <w:rPr>
          <w:highlight w:val="none"/>
        </w:rPr>
      </w:pPr>
      <w:r>
        <w:rPr>
          <w:rFonts w:hint="eastAsia"/>
          <w:highlight w:val="none"/>
        </w:rPr>
        <w:t>投标文件为纸质投标文件，含正本和副本，投标文件应标明采购项目编号、招标项目名称及“正本”或“副本”。投标文件的所有内容应按</w:t>
      </w:r>
      <w:r>
        <w:rPr>
          <w:highlight w:val="none"/>
        </w:rPr>
        <w:t>A4篇幅装订成一册，装订应牢固不可拆卸。</w:t>
      </w:r>
      <w:r>
        <w:rPr>
          <w:rFonts w:hint="eastAsia"/>
          <w:highlight w:val="none"/>
        </w:rPr>
        <w:t>装订好的投标文件密封包装在一个外密封袋中，并在外密封袋上注明：</w:t>
      </w:r>
    </w:p>
    <w:p>
      <w:pPr>
        <w:pStyle w:val="305"/>
        <w:rPr>
          <w:highlight w:val="none"/>
        </w:rPr>
      </w:pPr>
      <w:r>
        <w:rPr>
          <w:rFonts w:hint="eastAsia"/>
          <w:highlight w:val="none"/>
        </w:rPr>
        <w:t xml:space="preserve">投标文件 </w:t>
      </w:r>
    </w:p>
    <w:p>
      <w:pPr>
        <w:pStyle w:val="305"/>
        <w:rPr>
          <w:highlight w:val="none"/>
          <w:u w:val="none"/>
        </w:rPr>
      </w:pPr>
      <w:r>
        <w:rPr>
          <w:rFonts w:hint="eastAsia"/>
          <w:highlight w:val="none"/>
        </w:rPr>
        <w:t>采购项目编号：</w:t>
      </w:r>
      <w:r>
        <w:rPr>
          <w:rFonts w:hint="eastAsia"/>
          <w:highlight w:val="none"/>
          <w:u w:val="none"/>
        </w:rPr>
        <w:t>_________________________</w:t>
      </w:r>
    </w:p>
    <w:p>
      <w:pPr>
        <w:pStyle w:val="305"/>
        <w:rPr>
          <w:highlight w:val="none"/>
          <w:u w:val="none"/>
        </w:rPr>
      </w:pPr>
      <w:r>
        <w:rPr>
          <w:rFonts w:hint="eastAsia"/>
          <w:highlight w:val="none"/>
          <w:u w:val="none"/>
        </w:rPr>
        <w:t>项目名称：_________________________</w:t>
      </w:r>
    </w:p>
    <w:p>
      <w:pPr>
        <w:pStyle w:val="305"/>
        <w:rPr>
          <w:highlight w:val="none"/>
          <w:u w:val="none"/>
        </w:rPr>
      </w:pPr>
      <w:r>
        <w:rPr>
          <w:rFonts w:hint="eastAsia"/>
          <w:highlight w:val="none"/>
          <w:u w:val="none"/>
        </w:rPr>
        <w:t>投标人名称（盖章）：________________</w:t>
      </w:r>
    </w:p>
    <w:p>
      <w:pPr>
        <w:pStyle w:val="305"/>
        <w:rPr>
          <w:highlight w:val="none"/>
          <w:u w:val="none"/>
        </w:rPr>
      </w:pPr>
      <w:r>
        <w:rPr>
          <w:rFonts w:hint="eastAsia"/>
          <w:highlight w:val="none"/>
          <w:u w:val="none"/>
        </w:rPr>
        <w:t>投标截止时间：_______年______月______日______时______分（前不得开封）。</w:t>
      </w:r>
    </w:p>
    <w:p>
      <w:pPr>
        <w:pStyle w:val="328"/>
        <w:rPr>
          <w:highlight w:val="none"/>
        </w:rPr>
      </w:pPr>
      <w:r>
        <w:rPr>
          <w:rFonts w:hint="eastAsia"/>
          <w:highlight w:val="none"/>
        </w:rPr>
        <w:t>所有投标文件的密封袋的封口处均应加盖投标人公章。</w:t>
      </w:r>
    </w:p>
    <w:p>
      <w:pPr>
        <w:pStyle w:val="328"/>
        <w:rPr>
          <w:highlight w:val="none"/>
        </w:rPr>
      </w:pPr>
      <w:r>
        <w:rPr>
          <w:rFonts w:hint="eastAsia"/>
          <w:highlight w:val="none"/>
        </w:rPr>
        <w:t>对于因标书标识不清、装订不牢、密封不严等导致的不利后果由该投标人自负。</w:t>
      </w:r>
    </w:p>
    <w:p>
      <w:pPr>
        <w:pStyle w:val="328"/>
        <w:rPr>
          <w:highlight w:val="none"/>
        </w:rPr>
      </w:pPr>
      <w:r>
        <w:rPr>
          <w:rFonts w:hint="eastAsia"/>
          <w:highlight w:val="none"/>
        </w:rPr>
        <w:t>投标方应将投标文件按24.1-24.2中的规定进行密封和标记后，按专用条款中采购公告注明的地址送至招标机构。</w:t>
      </w:r>
    </w:p>
    <w:p>
      <w:pPr>
        <w:pStyle w:val="328"/>
        <w:rPr>
          <w:highlight w:val="none"/>
        </w:rPr>
      </w:pPr>
      <w:r>
        <w:rPr>
          <w:rFonts w:hint="eastAsia"/>
          <w:highlight w:val="none"/>
        </w:rPr>
        <w:t>邮寄、电报、电话、传真形式的投标概不接受。</w:t>
      </w:r>
    </w:p>
    <w:p>
      <w:pPr>
        <w:pStyle w:val="328"/>
        <w:rPr>
          <w:highlight w:val="none"/>
        </w:rPr>
      </w:pPr>
      <w:r>
        <w:rPr>
          <w:rFonts w:hint="eastAsia"/>
          <w:highlight w:val="none"/>
        </w:rPr>
        <w:t>投标文件电子版：光盘/</w:t>
      </w:r>
      <w:r>
        <w:rPr>
          <w:highlight w:val="none"/>
        </w:rPr>
        <w:t>U</w:t>
      </w:r>
      <w:r>
        <w:rPr>
          <w:rFonts w:hint="eastAsia"/>
          <w:highlight w:val="none"/>
        </w:rPr>
        <w:t>盘一份（投标文件正本盖章后的彩色扫描件，扫描件要求为PDF格式），请将该光盘放在开标信封中，并在光盘上标明采购项目编号、项目名称及投标人名称。</w:t>
      </w:r>
    </w:p>
    <w:p>
      <w:pPr>
        <w:pStyle w:val="326"/>
        <w:rPr>
          <w:highlight w:val="none"/>
        </w:rPr>
      </w:pPr>
      <w:r>
        <w:rPr>
          <w:rFonts w:hint="eastAsia"/>
          <w:highlight w:val="none"/>
        </w:rPr>
        <w:t>投标截止时间</w:t>
      </w:r>
    </w:p>
    <w:p>
      <w:pPr>
        <w:pStyle w:val="328"/>
        <w:rPr>
          <w:highlight w:val="none"/>
        </w:rPr>
      </w:pPr>
      <w:r>
        <w:rPr>
          <w:rFonts w:hint="eastAsia"/>
          <w:highlight w:val="none"/>
        </w:rPr>
        <w:t>招标机构在投标人须知第24</w:t>
      </w:r>
      <w:r>
        <w:rPr>
          <w:highlight w:val="none"/>
        </w:rPr>
        <w:t>.</w:t>
      </w:r>
      <w:r>
        <w:rPr>
          <w:rFonts w:hint="eastAsia"/>
          <w:highlight w:val="none"/>
        </w:rPr>
        <w:t>5条规定的地址收到投标书的时间不得迟于“投标人须知前附表”第</w:t>
      </w:r>
      <w:r>
        <w:rPr>
          <w:highlight w:val="none"/>
        </w:rPr>
        <w:t>19</w:t>
      </w:r>
      <w:r>
        <w:rPr>
          <w:rFonts w:hint="eastAsia"/>
          <w:highlight w:val="none"/>
        </w:rPr>
        <w:t>项所规定的时间。</w:t>
      </w:r>
    </w:p>
    <w:p>
      <w:pPr>
        <w:pStyle w:val="326"/>
        <w:rPr>
          <w:highlight w:val="none"/>
        </w:rPr>
      </w:pPr>
      <w:r>
        <w:rPr>
          <w:rFonts w:hint="eastAsia"/>
          <w:highlight w:val="none"/>
        </w:rPr>
        <w:t>迟交的投标书</w:t>
      </w:r>
    </w:p>
    <w:p>
      <w:pPr>
        <w:pStyle w:val="328"/>
        <w:rPr>
          <w:highlight w:val="none"/>
        </w:rPr>
      </w:pPr>
      <w:r>
        <w:rPr>
          <w:rFonts w:hint="eastAsia"/>
          <w:highlight w:val="none"/>
        </w:rPr>
        <w:t>按照本通用条款第25条规定，招标机构将拒绝并原封退回在其规定的投标截止期后收到的任何投标书。</w:t>
      </w:r>
    </w:p>
    <w:p>
      <w:pPr>
        <w:pStyle w:val="326"/>
        <w:rPr>
          <w:highlight w:val="none"/>
        </w:rPr>
      </w:pPr>
      <w:r>
        <w:rPr>
          <w:rFonts w:hint="eastAsia"/>
          <w:highlight w:val="none"/>
        </w:rPr>
        <w:t>投标文件的提交和截标时投标文件的数量要求</w:t>
      </w:r>
    </w:p>
    <w:p>
      <w:pPr>
        <w:pStyle w:val="328"/>
        <w:rPr>
          <w:highlight w:val="none"/>
        </w:rPr>
      </w:pPr>
      <w:r>
        <w:rPr>
          <w:rFonts w:hint="eastAsia"/>
          <w:highlight w:val="none"/>
        </w:rPr>
        <w:t>投标截止时间和地点。投标人应根据“专用条款”的规定，在投标截止时间前将投标文件密封送达指定地点。未及时送达指定地点及不符合密封、标记、签章、装订要求的投标文件采购代理机构将拒绝接收。</w:t>
      </w:r>
    </w:p>
    <w:p>
      <w:pPr>
        <w:pStyle w:val="328"/>
        <w:rPr>
          <w:highlight w:val="none"/>
        </w:rPr>
      </w:pPr>
      <w:r>
        <w:rPr>
          <w:highlight w:val="none"/>
        </w:rPr>
        <w:t>截标时</w:t>
      </w:r>
      <w:r>
        <w:rPr>
          <w:rFonts w:hint="eastAsia"/>
          <w:highlight w:val="none"/>
        </w:rPr>
        <w:t>递</w:t>
      </w:r>
      <w:r>
        <w:rPr>
          <w:highlight w:val="none"/>
        </w:rPr>
        <w:t>交标书的投标人数</w:t>
      </w:r>
      <w:r>
        <w:rPr>
          <w:rFonts w:hint="eastAsia"/>
          <w:highlight w:val="none"/>
        </w:rPr>
        <w:t>量未达到法定家数的，采购代理机构将按法律法规的规定暂停</w:t>
      </w:r>
      <w:r>
        <w:rPr>
          <w:highlight w:val="none"/>
        </w:rPr>
        <w:t>开标和评标程序</w:t>
      </w:r>
      <w:r>
        <w:rPr>
          <w:rFonts w:hint="eastAsia"/>
          <w:highlight w:val="none"/>
        </w:rPr>
        <w:t>。如导致招标失败，采购人或采购代理机构将不负担因此给</w:t>
      </w:r>
      <w:r>
        <w:rPr>
          <w:highlight w:val="none"/>
        </w:rPr>
        <w:t>投标人</w:t>
      </w:r>
      <w:r>
        <w:rPr>
          <w:rFonts w:hint="eastAsia"/>
          <w:highlight w:val="none"/>
        </w:rPr>
        <w:t>造成的损失。</w:t>
      </w:r>
    </w:p>
    <w:p>
      <w:pPr>
        <w:pStyle w:val="326"/>
        <w:rPr>
          <w:highlight w:val="none"/>
        </w:rPr>
      </w:pPr>
      <w:r>
        <w:rPr>
          <w:rFonts w:hint="eastAsia"/>
          <w:highlight w:val="none"/>
        </w:rPr>
        <w:t>投标文件的修改或撤回</w:t>
      </w:r>
    </w:p>
    <w:p>
      <w:pPr>
        <w:pStyle w:val="328"/>
        <w:rPr>
          <w:highlight w:val="none"/>
        </w:rPr>
      </w:pPr>
      <w:r>
        <w:rPr>
          <w:rFonts w:hint="eastAsia"/>
          <w:highlight w:val="none"/>
        </w:rPr>
        <w:t>投标人已提交投标文件，规定的投标</w:t>
      </w:r>
      <w:r>
        <w:rPr>
          <w:highlight w:val="none"/>
        </w:rPr>
        <w:t>截止</w:t>
      </w:r>
      <w:r>
        <w:rPr>
          <w:rFonts w:hint="eastAsia"/>
          <w:highlight w:val="none"/>
        </w:rPr>
        <w:t>时间还未到，投标人可提出对其投标文件的修改或撤回。投标人须提交由投标人代表签名的修改或撤回的书面通知。</w:t>
      </w:r>
    </w:p>
    <w:p>
      <w:pPr>
        <w:pStyle w:val="328"/>
        <w:rPr>
          <w:highlight w:val="none"/>
        </w:rPr>
      </w:pPr>
      <w:r>
        <w:rPr>
          <w:rFonts w:hint="eastAsia"/>
          <w:highlight w:val="none"/>
        </w:rPr>
        <w:t>采购代理机构收到由投标人代表签名的修改或撤回的书面通知并确认后，投标人可对其投标文件进行修改，或是撤回其投标。</w:t>
      </w:r>
    </w:p>
    <w:p>
      <w:pPr>
        <w:pStyle w:val="328"/>
        <w:rPr>
          <w:highlight w:val="none"/>
        </w:rPr>
      </w:pPr>
      <w:r>
        <w:rPr>
          <w:rFonts w:hint="eastAsia"/>
          <w:highlight w:val="none"/>
        </w:rPr>
        <w:t>投标人的修改文件应按照本招标文件的规定进行编制、密封、标记和提交，并在密封袋上注明“投标修改”。</w:t>
      </w:r>
    </w:p>
    <w:p>
      <w:pPr>
        <w:pStyle w:val="328"/>
        <w:rPr>
          <w:highlight w:val="none"/>
        </w:rPr>
      </w:pPr>
      <w:r>
        <w:rPr>
          <w:rFonts w:hint="eastAsia"/>
          <w:highlight w:val="none"/>
        </w:rPr>
        <w:t>投标截止时间之后至投标文件有效期终止之前，投标人不得要求撤回其投标。在此期间撤回投标的，其投标担保将会被没收。</w:t>
      </w:r>
    </w:p>
    <w:p>
      <w:pPr>
        <w:pStyle w:val="328"/>
        <w:rPr>
          <w:highlight w:val="none"/>
        </w:rPr>
      </w:pPr>
      <w:r>
        <w:rPr>
          <w:rFonts w:hint="eastAsia"/>
          <w:highlight w:val="none"/>
        </w:rPr>
        <w:t>评标结束后，不论中标与否，投标人均不得收回投标文件。</w:t>
      </w:r>
    </w:p>
    <w:p>
      <w:pPr>
        <w:pStyle w:val="309"/>
        <w:rPr>
          <w:highlight w:val="none"/>
        </w:rPr>
      </w:pPr>
      <w:bookmarkStart w:id="104" w:name="_Toc67387149"/>
      <w:bookmarkStart w:id="105" w:name="_Toc41557712"/>
      <w:r>
        <w:rPr>
          <w:rFonts w:hint="eastAsia"/>
          <w:highlight w:val="none"/>
        </w:rPr>
        <w:t>第四章 开标</w:t>
      </w:r>
      <w:bookmarkEnd w:id="104"/>
      <w:bookmarkEnd w:id="105"/>
    </w:p>
    <w:p>
      <w:pPr>
        <w:pStyle w:val="326"/>
        <w:rPr>
          <w:highlight w:val="none"/>
        </w:rPr>
      </w:pPr>
      <w:r>
        <w:rPr>
          <w:rFonts w:hint="eastAsia"/>
          <w:highlight w:val="none"/>
        </w:rPr>
        <w:t>开标</w:t>
      </w:r>
    </w:p>
    <w:p>
      <w:pPr>
        <w:pStyle w:val="328"/>
        <w:rPr>
          <w:highlight w:val="none"/>
        </w:rPr>
      </w:pPr>
      <w:r>
        <w:rPr>
          <w:rFonts w:hint="eastAsia"/>
          <w:highlight w:val="none"/>
        </w:rPr>
        <w:t>采购人在“投标须知前附表”中规定的时间、地点组织公开开标。邀请所有投标人代表参加。不参加开标会的投标人，视为其认可开标程序和结果。</w:t>
      </w:r>
    </w:p>
    <w:p>
      <w:pPr>
        <w:pStyle w:val="328"/>
        <w:rPr>
          <w:highlight w:val="none"/>
        </w:rPr>
      </w:pPr>
      <w:r>
        <w:rPr>
          <w:rFonts w:hint="eastAsia"/>
          <w:highlight w:val="none"/>
        </w:rPr>
        <w:t>参加开标会议的投标人只委派一名代表，且必须是本单位法定代表人或授权代表，参加会议人员须提供相应的授权委托书。</w:t>
      </w:r>
    </w:p>
    <w:p>
      <w:pPr>
        <w:pStyle w:val="328"/>
        <w:rPr>
          <w:highlight w:val="none"/>
        </w:rPr>
      </w:pPr>
      <w:r>
        <w:rPr>
          <w:rFonts w:hint="eastAsia"/>
          <w:highlight w:val="none"/>
        </w:rPr>
        <w:t>开标会由采购代理机构主持，开标程序如下：</w:t>
      </w:r>
    </w:p>
    <w:p>
      <w:pPr>
        <w:pStyle w:val="329"/>
        <w:rPr>
          <w:highlight w:val="none"/>
        </w:rPr>
      </w:pPr>
      <w:r>
        <w:rPr>
          <w:rFonts w:hint="eastAsia"/>
          <w:highlight w:val="none"/>
        </w:rPr>
        <w:t xml:space="preserve">采购代理机构核对法人代表或其授权代表身份证明，若不能提供相应的身份证明或不相符，则不能参与开标会议； </w:t>
      </w:r>
    </w:p>
    <w:p>
      <w:pPr>
        <w:pStyle w:val="329"/>
        <w:rPr>
          <w:highlight w:val="none"/>
        </w:rPr>
      </w:pPr>
      <w:r>
        <w:rPr>
          <w:rFonts w:hint="eastAsia"/>
          <w:highlight w:val="none"/>
        </w:rPr>
        <w:t>招标机构将按“采购公告”规定的时间和地点组织公开开标。投标人应委派代表参加，参加开标的代表应签名报到以证明出席。</w:t>
      </w:r>
    </w:p>
    <w:p>
      <w:pPr>
        <w:pStyle w:val="329"/>
        <w:rPr>
          <w:highlight w:val="none"/>
        </w:rPr>
      </w:pPr>
      <w:r>
        <w:rPr>
          <w:rFonts w:hint="eastAsia"/>
          <w:highlight w:val="none"/>
        </w:rPr>
        <w:t>开标时，招标机构将当众宣读投标人名称、修改和撤回投标的通知、开标一览表（以招标文件规定的开标一览表内容为准）。投标文件中开标一览表内容与投标报价明细表内容不一致的，以开标一览表为准。</w:t>
      </w:r>
    </w:p>
    <w:p>
      <w:pPr>
        <w:pStyle w:val="329"/>
        <w:rPr>
          <w:highlight w:val="none"/>
        </w:rPr>
      </w:pPr>
      <w:r>
        <w:rPr>
          <w:rFonts w:hint="eastAsia"/>
          <w:highlight w:val="none"/>
        </w:rPr>
        <w:t>除了按照本通用条款第26条规定原封退回的投标之外，开标时将不得拒绝任何投标书。</w:t>
      </w:r>
    </w:p>
    <w:p>
      <w:pPr>
        <w:pStyle w:val="329"/>
        <w:rPr>
          <w:highlight w:val="none"/>
        </w:rPr>
      </w:pPr>
      <w:r>
        <w:rPr>
          <w:rFonts w:hint="eastAsia"/>
          <w:highlight w:val="none"/>
        </w:rPr>
        <w:t>开标时，招标机构仅拆封开标信封。如投标人未单独密封包装开标信封，招标机构有权拆封投标文件。</w:t>
      </w:r>
    </w:p>
    <w:p>
      <w:pPr>
        <w:pStyle w:val="329"/>
        <w:rPr>
          <w:highlight w:val="none"/>
        </w:rPr>
      </w:pPr>
      <w:r>
        <w:rPr>
          <w:rFonts w:hint="eastAsia"/>
          <w:highlight w:val="none"/>
        </w:rPr>
        <w:t>按照投标人须知第</w:t>
      </w:r>
      <w:r>
        <w:rPr>
          <w:highlight w:val="none"/>
        </w:rPr>
        <w:t>2</w:t>
      </w:r>
      <w:r>
        <w:rPr>
          <w:rFonts w:hint="eastAsia"/>
          <w:highlight w:val="none"/>
        </w:rPr>
        <w:t>8条规定，提交了可接受的“撤回”通知的投标将不予开封。</w:t>
      </w:r>
    </w:p>
    <w:p>
      <w:pPr>
        <w:pStyle w:val="329"/>
        <w:rPr>
          <w:highlight w:val="none"/>
        </w:rPr>
      </w:pPr>
      <w:r>
        <w:rPr>
          <w:rFonts w:hint="eastAsia"/>
          <w:highlight w:val="none"/>
        </w:rPr>
        <w:t>无论如何在开标时没有启封和读出的投标书在评标时将不予考虑。撤回的投标书将原封退回投标人。</w:t>
      </w:r>
    </w:p>
    <w:p>
      <w:pPr>
        <w:pStyle w:val="329"/>
        <w:rPr>
          <w:highlight w:val="none"/>
        </w:rPr>
      </w:pPr>
      <w:r>
        <w:rPr>
          <w:rFonts w:hint="eastAsia"/>
          <w:highlight w:val="none"/>
        </w:rPr>
        <w:t>招标机构将做开标记录，开标记录包括按本通用条款第</w:t>
      </w:r>
      <w:r>
        <w:rPr>
          <w:highlight w:val="none"/>
        </w:rPr>
        <w:t>2</w:t>
      </w:r>
      <w:r>
        <w:rPr>
          <w:rFonts w:hint="eastAsia"/>
          <w:highlight w:val="none"/>
        </w:rPr>
        <w:t>9</w:t>
      </w:r>
      <w:r>
        <w:rPr>
          <w:highlight w:val="none"/>
        </w:rPr>
        <w:t>.</w:t>
      </w:r>
      <w:r>
        <w:rPr>
          <w:rFonts w:hint="eastAsia"/>
          <w:highlight w:val="none"/>
        </w:rPr>
        <w:t>3.3的规定在开标时宣读的全部内容。</w:t>
      </w:r>
    </w:p>
    <w:p>
      <w:pPr>
        <w:pStyle w:val="329"/>
        <w:rPr>
          <w:highlight w:val="none"/>
        </w:rPr>
      </w:pPr>
      <w:r>
        <w:rPr>
          <w:rFonts w:hint="eastAsia"/>
          <w:highlight w:val="none"/>
        </w:rPr>
        <w:t>供应商在开标过程中知道或者应知其权益受到损害时必须现场明确提出，未明确提出的，即视为认可开标结果。</w:t>
      </w:r>
    </w:p>
    <w:p>
      <w:pPr>
        <w:pStyle w:val="309"/>
        <w:rPr>
          <w:highlight w:val="none"/>
        </w:rPr>
      </w:pPr>
      <w:bookmarkStart w:id="106" w:name="_Toc67387150"/>
      <w:bookmarkStart w:id="107" w:name="_Toc41557713"/>
      <w:r>
        <w:rPr>
          <w:rFonts w:hint="eastAsia"/>
          <w:highlight w:val="none"/>
        </w:rPr>
        <w:t>第五章 评标要求</w:t>
      </w:r>
      <w:bookmarkEnd w:id="106"/>
      <w:bookmarkEnd w:id="107"/>
    </w:p>
    <w:p>
      <w:pPr>
        <w:pStyle w:val="326"/>
        <w:rPr>
          <w:highlight w:val="none"/>
        </w:rPr>
      </w:pPr>
      <w:r>
        <w:rPr>
          <w:rFonts w:hint="eastAsia"/>
          <w:highlight w:val="none"/>
        </w:rPr>
        <w:t>评标委员会组成</w:t>
      </w:r>
    </w:p>
    <w:p>
      <w:pPr>
        <w:pStyle w:val="328"/>
        <w:rPr>
          <w:highlight w:val="none"/>
        </w:rPr>
      </w:pPr>
      <w:r>
        <w:rPr>
          <w:rFonts w:hint="eastAsia"/>
          <w:highlight w:val="none"/>
        </w:rPr>
        <w:t>开标结束后召开评标会议，评标委员会由采购代理机构依法组建，负责评标活动。</w:t>
      </w:r>
    </w:p>
    <w:p>
      <w:pPr>
        <w:pStyle w:val="328"/>
        <w:rPr>
          <w:highlight w:val="none"/>
        </w:rPr>
      </w:pPr>
      <w:r>
        <w:rPr>
          <w:rFonts w:hint="eastAsia"/>
          <w:highlight w:val="none"/>
        </w:rPr>
        <w:t>评标委员会的组成及行为规范执行《政府采购货物和服务招标投标管理办法》（中华人民共和国财政部令第</w:t>
      </w:r>
      <w:r>
        <w:rPr>
          <w:highlight w:val="none"/>
        </w:rPr>
        <w:t>87号）、《深圳市财政局关于切实加强政府采购评审现场管理的通知》（深财购〔2016〕32号），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328"/>
        <w:rPr>
          <w:highlight w:val="none"/>
        </w:rPr>
      </w:pPr>
      <w:r>
        <w:rPr>
          <w:rFonts w:hint="eastAsia"/>
          <w:highlight w:val="none"/>
        </w:rPr>
        <w:t>为保证评委人选的专业性，以及评标中的公平公正性，评标委员会成员从深圳市财政局评标专家库中随机抽取。</w:t>
      </w:r>
    </w:p>
    <w:p>
      <w:pPr>
        <w:pStyle w:val="328"/>
        <w:rPr>
          <w:highlight w:val="none"/>
        </w:rPr>
      </w:pPr>
      <w:r>
        <w:rPr>
          <w:rFonts w:hint="eastAsia"/>
          <w:highlight w:val="none"/>
        </w:rPr>
        <w:t>采购单位代表须持本单位签发的《评标授权书》参加评标。</w:t>
      </w:r>
    </w:p>
    <w:p>
      <w:pPr>
        <w:pStyle w:val="328"/>
        <w:rPr>
          <w:highlight w:val="none"/>
        </w:rPr>
      </w:pPr>
      <w:r>
        <w:rPr>
          <w:rFonts w:hint="eastAsia"/>
          <w:highlight w:val="none"/>
        </w:rPr>
        <w:t>采购单位无代表参与评标，应在开标前一天提交《采购单位不派评委参与项目评标承诺书》给采购代理机构。注：《评标授权书》《采购单位不派评委参与项目评标承诺书》模板可以从“深圳交易集团有限公司政府采购业务分公司网站”（</w:t>
      </w:r>
      <w:r>
        <w:rPr>
          <w:highlight w:val="none"/>
        </w:rPr>
        <w:t>http://www.szggzy.com/fwdh/fwdhzfcg/</w:t>
      </w:r>
      <w:r>
        <w:rPr>
          <w:rFonts w:hint="eastAsia"/>
          <w:highlight w:val="none"/>
        </w:rPr>
        <w:t>）采购单位页面下“采购”环节“通用表格”处下载。</w:t>
      </w:r>
    </w:p>
    <w:p>
      <w:pPr>
        <w:pStyle w:val="328"/>
        <w:rPr>
          <w:highlight w:val="none"/>
        </w:rPr>
      </w:pPr>
      <w:r>
        <w:rPr>
          <w:rFonts w:hint="eastAsia"/>
          <w:highlight w:val="none"/>
        </w:rPr>
        <w:t>评标定标应当遵循公平、公正、科学、择优的原则。</w:t>
      </w:r>
    </w:p>
    <w:p>
      <w:pPr>
        <w:pStyle w:val="328"/>
        <w:rPr>
          <w:highlight w:val="none"/>
        </w:rPr>
      </w:pPr>
      <w:r>
        <w:rPr>
          <w:rFonts w:hint="eastAsia"/>
          <w:highlight w:val="none"/>
        </w:rPr>
        <w:t>评标活动依法进行，任何单位和个人不得非法干预评标过程和结果。</w:t>
      </w:r>
    </w:p>
    <w:p>
      <w:pPr>
        <w:pStyle w:val="328"/>
        <w:rPr>
          <w:highlight w:val="none"/>
        </w:rPr>
      </w:pPr>
      <w:r>
        <w:rPr>
          <w:rFonts w:hint="eastAsia"/>
          <w:highlight w:val="none"/>
        </w:rPr>
        <w:t>评标过程中不允许违背评标程序或采用招标文件未载明的评标方法或评标因素进行评标。</w:t>
      </w:r>
    </w:p>
    <w:p>
      <w:pPr>
        <w:pStyle w:val="328"/>
        <w:rPr>
          <w:highlight w:val="none"/>
        </w:rPr>
      </w:pPr>
      <w:r>
        <w:rPr>
          <w:rFonts w:hint="eastAsia"/>
          <w:highlight w:val="none"/>
        </w:rPr>
        <w:t>开标后，直到授予中标人合同为止，凡属于对投标文件的审查、澄清、评价和比较的有关资料以及候选中标供应商的推荐情况、与评标有关的其他任何情况均严格保密。</w:t>
      </w:r>
    </w:p>
    <w:p>
      <w:pPr>
        <w:pStyle w:val="326"/>
        <w:rPr>
          <w:highlight w:val="none"/>
        </w:rPr>
      </w:pPr>
      <w:r>
        <w:rPr>
          <w:rFonts w:hint="eastAsia"/>
          <w:highlight w:val="none"/>
        </w:rPr>
        <w:t>向评标委员会提供的资料</w:t>
      </w:r>
    </w:p>
    <w:p>
      <w:pPr>
        <w:pStyle w:val="328"/>
        <w:rPr>
          <w:highlight w:val="none"/>
        </w:rPr>
      </w:pPr>
      <w:r>
        <w:rPr>
          <w:rFonts w:hint="eastAsia"/>
          <w:highlight w:val="none"/>
        </w:rPr>
        <w:t>公开发布的招标文件，包括图纸、服务清单、答疑文件等；</w:t>
      </w:r>
    </w:p>
    <w:p>
      <w:pPr>
        <w:pStyle w:val="328"/>
        <w:rPr>
          <w:highlight w:val="none"/>
        </w:rPr>
      </w:pPr>
      <w:r>
        <w:rPr>
          <w:rFonts w:hint="eastAsia"/>
          <w:highlight w:val="none"/>
        </w:rPr>
        <w:t>其他评标必须的资料。</w:t>
      </w:r>
    </w:p>
    <w:p>
      <w:pPr>
        <w:pStyle w:val="328"/>
        <w:rPr>
          <w:highlight w:val="none"/>
        </w:rPr>
      </w:pPr>
      <w:r>
        <w:rPr>
          <w:rFonts w:hint="eastAsia"/>
          <w:highlight w:val="none"/>
        </w:rPr>
        <w:t>评标委员会应当认真研究招标文件，至少应了解熟悉以下内容：</w:t>
      </w:r>
    </w:p>
    <w:p>
      <w:pPr>
        <w:pStyle w:val="329"/>
        <w:rPr>
          <w:highlight w:val="none"/>
        </w:rPr>
      </w:pPr>
      <w:r>
        <w:rPr>
          <w:rFonts w:hint="eastAsia"/>
          <w:highlight w:val="none"/>
        </w:rPr>
        <w:t>招标的目的；</w:t>
      </w:r>
    </w:p>
    <w:p>
      <w:pPr>
        <w:pStyle w:val="329"/>
        <w:rPr>
          <w:highlight w:val="none"/>
        </w:rPr>
      </w:pPr>
      <w:r>
        <w:rPr>
          <w:rFonts w:hint="eastAsia"/>
          <w:highlight w:val="none"/>
        </w:rPr>
        <w:t>招标项目需求的范围和性质；</w:t>
      </w:r>
    </w:p>
    <w:p>
      <w:pPr>
        <w:pStyle w:val="329"/>
        <w:rPr>
          <w:highlight w:val="none"/>
        </w:rPr>
      </w:pPr>
      <w:r>
        <w:rPr>
          <w:rFonts w:hint="eastAsia"/>
          <w:highlight w:val="none"/>
        </w:rPr>
        <w:t>招标文件规定的投标人的资格、预算金额、商务条款；</w:t>
      </w:r>
    </w:p>
    <w:p>
      <w:pPr>
        <w:pStyle w:val="329"/>
        <w:rPr>
          <w:highlight w:val="none"/>
        </w:rPr>
      </w:pPr>
      <w:r>
        <w:rPr>
          <w:rFonts w:hint="eastAsia"/>
          <w:highlight w:val="none"/>
        </w:rPr>
        <w:t>招标文件规定的评标程序、评标方法和评标因素；</w:t>
      </w:r>
    </w:p>
    <w:p>
      <w:pPr>
        <w:pStyle w:val="329"/>
        <w:rPr>
          <w:highlight w:val="none"/>
        </w:rPr>
      </w:pPr>
      <w:r>
        <w:rPr>
          <w:rFonts w:hint="eastAsia"/>
          <w:highlight w:val="none"/>
        </w:rPr>
        <w:t>招标文件所列示的投标文件“资格、符合性评审条款”。</w:t>
      </w:r>
    </w:p>
    <w:p>
      <w:pPr>
        <w:pStyle w:val="326"/>
        <w:rPr>
          <w:highlight w:val="none"/>
        </w:rPr>
      </w:pPr>
      <w:r>
        <w:rPr>
          <w:rFonts w:hint="eastAsia"/>
          <w:highlight w:val="none"/>
        </w:rPr>
        <w:t>独立评标</w:t>
      </w:r>
    </w:p>
    <w:p>
      <w:pPr>
        <w:pStyle w:val="305"/>
        <w:numPr>
          <w:ilvl w:val="1"/>
          <w:numId w:val="23"/>
        </w:numPr>
        <w:ind w:firstLineChars="0"/>
        <w:rPr>
          <w:highlight w:val="none"/>
        </w:rPr>
      </w:pPr>
      <w:r>
        <w:rPr>
          <w:rStyle w:val="330"/>
          <w:rFonts w:hint="eastAsia"/>
          <w:highlight w:val="none"/>
        </w:rPr>
        <w:t>评标委员会成员的评标活动应当独立进行，并应遵循投标文件初审、澄清有关问题、比较与</w:t>
      </w:r>
      <w:r>
        <w:rPr>
          <w:rFonts w:hint="eastAsia"/>
          <w:highlight w:val="none"/>
        </w:rPr>
        <w:t>评价、确定中标候选供应商、编写评标报告的工作程序。</w:t>
      </w:r>
    </w:p>
    <w:p>
      <w:pPr>
        <w:pStyle w:val="309"/>
        <w:rPr>
          <w:highlight w:val="none"/>
        </w:rPr>
      </w:pPr>
      <w:bookmarkStart w:id="108" w:name="_Toc67387151"/>
      <w:bookmarkStart w:id="109" w:name="_Toc41557714"/>
      <w:r>
        <w:rPr>
          <w:rFonts w:hint="eastAsia"/>
          <w:highlight w:val="none"/>
        </w:rPr>
        <w:t>第六章 评标程序及评标方法</w:t>
      </w:r>
      <w:bookmarkEnd w:id="108"/>
      <w:bookmarkEnd w:id="109"/>
    </w:p>
    <w:p>
      <w:pPr>
        <w:pStyle w:val="326"/>
        <w:rPr>
          <w:highlight w:val="none"/>
        </w:rPr>
      </w:pPr>
      <w:r>
        <w:rPr>
          <w:rFonts w:hint="eastAsia"/>
          <w:highlight w:val="none"/>
        </w:rPr>
        <w:t>投标文件初审</w:t>
      </w:r>
    </w:p>
    <w:p>
      <w:pPr>
        <w:pStyle w:val="328"/>
        <w:rPr>
          <w:highlight w:val="none"/>
        </w:rPr>
      </w:pPr>
      <w:r>
        <w:rPr>
          <w:rFonts w:hint="eastAsia"/>
          <w:highlight w:val="none"/>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pPr>
        <w:pStyle w:val="328"/>
        <w:rPr>
          <w:highlight w:val="none"/>
        </w:rPr>
      </w:pPr>
      <w:r>
        <w:rPr>
          <w:rFonts w:hint="eastAsia"/>
          <w:highlight w:val="none"/>
        </w:rPr>
        <w:t>投标文件初审内容请详见“资格、符合性评审条款”。投标人若有一条审查不通过则按无效标处理。评标委员会对投标单位打√为通过审查，打×为未通过审查。</w:t>
      </w:r>
    </w:p>
    <w:p>
      <w:pPr>
        <w:pStyle w:val="328"/>
        <w:rPr>
          <w:highlight w:val="none"/>
        </w:rPr>
      </w:pPr>
      <w:r>
        <w:rPr>
          <w:highlight w:val="none"/>
        </w:rPr>
        <w:t>投标文件初审中关于供应商家数的计算</w:t>
      </w:r>
    </w:p>
    <w:p>
      <w:pPr>
        <w:pStyle w:val="329"/>
        <w:rPr>
          <w:highlight w:val="none"/>
        </w:rPr>
      </w:pPr>
      <w:r>
        <w:rPr>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329"/>
        <w:rPr>
          <w:highlight w:val="none"/>
        </w:rPr>
      </w:pPr>
      <w:r>
        <w:rPr>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供应商。</w:t>
      </w:r>
    </w:p>
    <w:p>
      <w:pPr>
        <w:pStyle w:val="329"/>
        <w:rPr>
          <w:highlight w:val="none"/>
        </w:rPr>
      </w:pPr>
      <w:r>
        <w:rPr>
          <w:highlight w:val="none"/>
        </w:rPr>
        <w:t>非单一产品采购项目，采购人应当根据采购项目技术构成、产品价格比重等合理确定核心产品，并在招标文件中载明。多家投标人提供的核心产品品牌相同的，按前两款规定处理。</w:t>
      </w:r>
    </w:p>
    <w:p>
      <w:pPr>
        <w:pStyle w:val="329"/>
        <w:rPr>
          <w:highlight w:val="none"/>
        </w:rPr>
      </w:pPr>
      <w:r>
        <w:rPr>
          <w:highlight w:val="none"/>
        </w:rPr>
        <w:t>公开招标以外采购方式以及政府采购服务和工程涉及采购货物的项目，也按此方法计算供应商家数。</w:t>
      </w:r>
    </w:p>
    <w:p>
      <w:pPr>
        <w:pStyle w:val="328"/>
        <w:rPr>
          <w:highlight w:val="none"/>
        </w:rPr>
      </w:pPr>
      <w:r>
        <w:rPr>
          <w:rFonts w:hint="eastAsia"/>
          <w:highlight w:val="none"/>
        </w:rPr>
        <w:t>对不属于投标文件“资格、符合性评审条款”要所列不符合的情形，除法律法规另有规定外，不得作为判定投标无效的理由。</w:t>
      </w:r>
    </w:p>
    <w:p>
      <w:pPr>
        <w:pStyle w:val="326"/>
        <w:rPr>
          <w:highlight w:val="none"/>
        </w:rPr>
      </w:pPr>
      <w:r>
        <w:rPr>
          <w:rFonts w:hint="eastAsia"/>
          <w:highlight w:val="none"/>
        </w:rPr>
        <w:t>澄清有关问题</w:t>
      </w:r>
    </w:p>
    <w:p>
      <w:pPr>
        <w:pStyle w:val="328"/>
        <w:rPr>
          <w:highlight w:val="none"/>
        </w:rPr>
      </w:pPr>
      <w:r>
        <w:rPr>
          <w:rFonts w:hint="eastAsia"/>
          <w:highlight w:val="none"/>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pStyle w:val="326"/>
        <w:rPr>
          <w:highlight w:val="none"/>
        </w:rPr>
      </w:pPr>
      <w:r>
        <w:rPr>
          <w:rFonts w:hint="eastAsia"/>
          <w:highlight w:val="none"/>
        </w:rPr>
        <w:t>错误的修正</w:t>
      </w:r>
    </w:p>
    <w:p>
      <w:pPr>
        <w:pStyle w:val="328"/>
        <w:rPr>
          <w:highlight w:val="none"/>
        </w:rPr>
      </w:pPr>
      <w:r>
        <w:rPr>
          <w:rFonts w:hint="eastAsia"/>
          <w:highlight w:val="none"/>
        </w:rPr>
        <w:t>评标委员会将审查投标文件是否完整、总体编排是否有序、文件签署是否合格、投标人是否提交了投标保证金、有无计算上的错误等。</w:t>
      </w:r>
    </w:p>
    <w:p>
      <w:pPr>
        <w:pStyle w:val="328"/>
        <w:rPr>
          <w:highlight w:val="none"/>
        </w:rPr>
      </w:pPr>
      <w:r>
        <w:rPr>
          <w:highlight w:val="none"/>
        </w:rPr>
        <w:t>算术错误将按以下方法更正（次序排先者优先）：</w:t>
      </w:r>
    </w:p>
    <w:p>
      <w:pPr>
        <w:pStyle w:val="329"/>
        <w:rPr>
          <w:highlight w:val="none"/>
        </w:rPr>
      </w:pPr>
      <w:r>
        <w:rPr>
          <w:highlight w:val="none"/>
        </w:rPr>
        <w:t>投标文件中开标一览表（报价表）内容与投标文件中相应内容不一致的，以开标一览表（报价表）为准；</w:t>
      </w:r>
    </w:p>
    <w:p>
      <w:pPr>
        <w:pStyle w:val="329"/>
        <w:rPr>
          <w:highlight w:val="none"/>
        </w:rPr>
      </w:pPr>
      <w:r>
        <w:rPr>
          <w:highlight w:val="none"/>
        </w:rPr>
        <w:t>大写金额和小写金额不一致的，以大写金额为准；</w:t>
      </w:r>
    </w:p>
    <w:p>
      <w:pPr>
        <w:pStyle w:val="329"/>
        <w:rPr>
          <w:highlight w:val="none"/>
        </w:rPr>
      </w:pPr>
      <w:r>
        <w:rPr>
          <w:highlight w:val="none"/>
        </w:rPr>
        <w:t>单价金额小数点或者百分比有明显错位的，以开标一览表的总价为准，并修改单价；</w:t>
      </w:r>
    </w:p>
    <w:p>
      <w:pPr>
        <w:pStyle w:val="329"/>
        <w:rPr>
          <w:highlight w:val="none"/>
        </w:rPr>
      </w:pPr>
      <w:r>
        <w:rPr>
          <w:highlight w:val="none"/>
        </w:rPr>
        <w:t>总价金额与按单价汇总金额不一致的，以单价金额计算结果为准；</w:t>
      </w:r>
    </w:p>
    <w:p>
      <w:pPr>
        <w:pStyle w:val="329"/>
        <w:rPr>
          <w:highlight w:val="none"/>
        </w:rPr>
      </w:pPr>
      <w:r>
        <w:rPr>
          <w:highlight w:val="none"/>
        </w:rPr>
        <w:t>对不同文字文本投标文件的解释发生异议的，以中文文本为准。</w:t>
      </w:r>
    </w:p>
    <w:p>
      <w:pPr>
        <w:pStyle w:val="328"/>
        <w:rPr>
          <w:highlight w:val="none"/>
        </w:rPr>
      </w:pPr>
      <w:r>
        <w:rPr>
          <w:rFonts w:hint="eastAsia"/>
          <w:highlight w:val="none"/>
        </w:rPr>
        <w:t>对于投标文件中不构成实质性偏差的不正规、不一致或不规则，给评审带来不便，评标委员会可以接受。</w:t>
      </w:r>
    </w:p>
    <w:p>
      <w:pPr>
        <w:pStyle w:val="328"/>
        <w:rPr>
          <w:highlight w:val="none"/>
        </w:rPr>
      </w:pPr>
      <w:r>
        <w:rPr>
          <w:rFonts w:hint="eastAsia"/>
          <w:highlight w:val="none"/>
        </w:rPr>
        <w:t>投标人的投标报价是可变动价格的，或包含了价格调整要求的，或投标报价中提供</w:t>
      </w:r>
      <w:r>
        <w:rPr>
          <w:highlight w:val="none"/>
        </w:rPr>
        <w:t>两个</w:t>
      </w:r>
      <w:r>
        <w:rPr>
          <w:rFonts w:hint="eastAsia"/>
          <w:highlight w:val="none"/>
        </w:rPr>
        <w:t>（含两个）以上的</w:t>
      </w:r>
      <w:r>
        <w:rPr>
          <w:highlight w:val="none"/>
        </w:rPr>
        <w:t>报价</w:t>
      </w:r>
      <w:r>
        <w:rPr>
          <w:rFonts w:hint="eastAsia"/>
          <w:highlight w:val="none"/>
        </w:rPr>
        <w:t>（</w:t>
      </w:r>
      <w:r>
        <w:rPr>
          <w:highlight w:val="none"/>
        </w:rPr>
        <w:t>招标文件规定提交备选投标方案的除外</w:t>
      </w:r>
      <w:r>
        <w:rPr>
          <w:rFonts w:hint="eastAsia"/>
          <w:highlight w:val="none"/>
        </w:rPr>
        <w:t>），或严重漏项，评标委员会无法进行判断的，评标委员会可以作无效标处理。</w:t>
      </w:r>
    </w:p>
    <w:p>
      <w:pPr>
        <w:pStyle w:val="328"/>
        <w:rPr>
          <w:highlight w:val="none"/>
        </w:rPr>
      </w:pPr>
      <w:r>
        <w:rPr>
          <w:rFonts w:hint="eastAsia"/>
          <w:highlight w:val="none"/>
        </w:rPr>
        <w:t>根据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pPr>
        <w:pStyle w:val="326"/>
        <w:rPr>
          <w:highlight w:val="none"/>
        </w:rPr>
      </w:pPr>
      <w:r>
        <w:rPr>
          <w:rFonts w:hint="eastAsia"/>
          <w:highlight w:val="none"/>
        </w:rPr>
        <w:t>投标文件的比较与评价</w:t>
      </w:r>
    </w:p>
    <w:p>
      <w:pPr>
        <w:pStyle w:val="328"/>
        <w:tabs>
          <w:tab w:val="left" w:pos="5529"/>
        </w:tabs>
        <w:rPr>
          <w:highlight w:val="none"/>
        </w:rPr>
      </w:pPr>
      <w:r>
        <w:rPr>
          <w:rFonts w:hint="eastAsia"/>
          <w:highlight w:val="none"/>
        </w:rPr>
        <w:t>36.1评标委员会将按照《深圳经济特区政府采购条例》及《深圳经济特区政府采购条例实施细则》，参照相关法律、法规、规定，仅对通过资格性审查和符合性审查的投标文件进行综合比较与评价。</w:t>
      </w:r>
    </w:p>
    <w:p>
      <w:pPr>
        <w:pStyle w:val="328"/>
        <w:rPr>
          <w:highlight w:val="none"/>
        </w:rPr>
      </w:pPr>
      <w:r>
        <w:rPr>
          <w:rFonts w:hint="eastAsia"/>
          <w:highlight w:val="none"/>
        </w:rPr>
        <w:t>评标委员会应当根据招标文件，审查并逐项列出投标文件的全部投标偏离。投标偏离分为重大偏离和细微偏离。</w:t>
      </w:r>
    </w:p>
    <w:p>
      <w:pPr>
        <w:pStyle w:val="328"/>
        <w:rPr>
          <w:highlight w:val="none"/>
        </w:rPr>
      </w:pPr>
      <w:r>
        <w:rPr>
          <w:rFonts w:hint="eastAsia"/>
          <w:highlight w:val="none"/>
        </w:rPr>
        <w:t>评标委员会应当对投标人的投标文件进行分析和比较。</w:t>
      </w:r>
    </w:p>
    <w:p>
      <w:pPr>
        <w:pStyle w:val="328"/>
        <w:rPr>
          <w:highlight w:val="none"/>
        </w:rPr>
      </w:pPr>
      <w:r>
        <w:rPr>
          <w:rFonts w:hint="eastAsia"/>
          <w:highlight w:val="none"/>
        </w:rPr>
        <w:t>评标委员会应当根据招标文件规定，对投标文件中的每项评审内容进行评审。</w:t>
      </w:r>
    </w:p>
    <w:p>
      <w:pPr>
        <w:pStyle w:val="328"/>
        <w:rPr>
          <w:highlight w:val="none"/>
        </w:rPr>
      </w:pPr>
      <w:r>
        <w:rPr>
          <w:rFonts w:hint="eastAsia"/>
          <w:highlight w:val="none"/>
        </w:rPr>
        <w:t>投标文件存在重大偏离的，应作投标无效处理。下列情况属于重大偏离：</w:t>
      </w:r>
    </w:p>
    <w:p>
      <w:pPr>
        <w:pStyle w:val="329"/>
        <w:rPr>
          <w:highlight w:val="none"/>
        </w:rPr>
      </w:pPr>
      <w:r>
        <w:rPr>
          <w:rFonts w:hint="eastAsia"/>
          <w:highlight w:val="none"/>
        </w:rPr>
        <w:t>投标人以他人的名义投标或出现下列串通投标、弄虚作假投标嫌疑的：</w:t>
      </w:r>
    </w:p>
    <w:p>
      <w:pPr>
        <w:pStyle w:val="305"/>
        <w:rPr>
          <w:highlight w:val="none"/>
        </w:rPr>
      </w:pPr>
      <w:r>
        <w:rPr>
          <w:rFonts w:hint="eastAsia"/>
          <w:highlight w:val="none"/>
        </w:rPr>
        <w:t>（1）</w:t>
      </w:r>
      <w:r>
        <w:rPr>
          <w:highlight w:val="none"/>
        </w:rPr>
        <w:t>不同投标人的投标文件内容存在非正常一致</w:t>
      </w:r>
      <w:r>
        <w:rPr>
          <w:rFonts w:hint="eastAsia"/>
          <w:highlight w:val="none"/>
        </w:rPr>
        <w:t>的</w:t>
      </w:r>
      <w:r>
        <w:rPr>
          <w:highlight w:val="none"/>
        </w:rPr>
        <w:t>；</w:t>
      </w:r>
    </w:p>
    <w:p>
      <w:pPr>
        <w:pStyle w:val="305"/>
        <w:rPr>
          <w:highlight w:val="none"/>
        </w:rPr>
      </w:pPr>
      <w:r>
        <w:rPr>
          <w:rFonts w:hint="eastAsia"/>
          <w:highlight w:val="none"/>
        </w:rPr>
        <w:t>（2）</w:t>
      </w:r>
      <w:r>
        <w:rPr>
          <w:highlight w:val="none"/>
        </w:rPr>
        <w:t>不同投标人的投标文件错漏之处一致的；</w:t>
      </w:r>
    </w:p>
    <w:p>
      <w:pPr>
        <w:pStyle w:val="305"/>
        <w:rPr>
          <w:highlight w:val="none"/>
        </w:rPr>
      </w:pPr>
      <w:r>
        <w:rPr>
          <w:rFonts w:hint="eastAsia"/>
          <w:highlight w:val="none"/>
        </w:rPr>
        <w:t>（3）</w:t>
      </w:r>
      <w:r>
        <w:rPr>
          <w:highlight w:val="none"/>
        </w:rPr>
        <w:t>不同投标人的投标报价或者报价组成异常一致或者呈规律性变化的；</w:t>
      </w:r>
    </w:p>
    <w:p>
      <w:pPr>
        <w:pStyle w:val="305"/>
        <w:rPr>
          <w:highlight w:val="none"/>
        </w:rPr>
      </w:pPr>
      <w:r>
        <w:rPr>
          <w:rFonts w:hint="eastAsia"/>
          <w:highlight w:val="none"/>
        </w:rPr>
        <w:t>（4）</w:t>
      </w:r>
      <w:r>
        <w:rPr>
          <w:highlight w:val="none"/>
        </w:rPr>
        <w:t>不同投标人的投标文件由同一单位或者同一个人编制的；</w:t>
      </w:r>
    </w:p>
    <w:p>
      <w:pPr>
        <w:pStyle w:val="305"/>
        <w:rPr>
          <w:highlight w:val="none"/>
        </w:rPr>
      </w:pPr>
      <w:r>
        <w:rPr>
          <w:rFonts w:hint="eastAsia"/>
          <w:highlight w:val="none"/>
        </w:rPr>
        <w:t>（5）</w:t>
      </w:r>
      <w:r>
        <w:rPr>
          <w:highlight w:val="none"/>
        </w:rPr>
        <w:t>不同投标人的投标文件载明的</w:t>
      </w:r>
      <w:r>
        <w:rPr>
          <w:rFonts w:hint="eastAsia"/>
          <w:highlight w:val="none"/>
        </w:rPr>
        <w:t>项目负责人与主要技术人员</w:t>
      </w:r>
      <w:r>
        <w:rPr>
          <w:highlight w:val="none"/>
        </w:rPr>
        <w:t>出现同一人的；</w:t>
      </w:r>
    </w:p>
    <w:p>
      <w:pPr>
        <w:pStyle w:val="305"/>
        <w:rPr>
          <w:highlight w:val="none"/>
        </w:rPr>
      </w:pPr>
      <w:r>
        <w:rPr>
          <w:rFonts w:hint="eastAsia"/>
          <w:highlight w:val="none"/>
        </w:rPr>
        <w:t>（6）</w:t>
      </w:r>
      <w:r>
        <w:rPr>
          <w:highlight w:val="none"/>
        </w:rPr>
        <w:t>不同投标人的投标文件相互混装的；</w:t>
      </w:r>
    </w:p>
    <w:p>
      <w:pPr>
        <w:pStyle w:val="305"/>
        <w:rPr>
          <w:highlight w:val="none"/>
        </w:rPr>
      </w:pPr>
      <w:r>
        <w:rPr>
          <w:rFonts w:hint="eastAsia"/>
          <w:highlight w:val="none"/>
        </w:rPr>
        <w:t>（7）</w:t>
      </w:r>
      <w:r>
        <w:rPr>
          <w:highlight w:val="none"/>
        </w:rPr>
        <w:t>不同投标人委托同一人投标的</w:t>
      </w:r>
      <w:r>
        <w:rPr>
          <w:rFonts w:hint="eastAsia"/>
          <w:highlight w:val="none"/>
        </w:rPr>
        <w:t>；</w:t>
      </w:r>
    </w:p>
    <w:p>
      <w:pPr>
        <w:pStyle w:val="305"/>
        <w:rPr>
          <w:highlight w:val="none"/>
        </w:rPr>
      </w:pPr>
      <w:r>
        <w:rPr>
          <w:rFonts w:hint="eastAsia"/>
          <w:highlight w:val="none"/>
        </w:rPr>
        <w:t>（8）不同投标人聘请同一人为其投标提供技术或者经济咨询服务的，但招标工程本身要求采用专有技术的除外；</w:t>
      </w:r>
    </w:p>
    <w:p>
      <w:pPr>
        <w:pStyle w:val="305"/>
        <w:rPr>
          <w:highlight w:val="none"/>
        </w:rPr>
      </w:pPr>
      <w:r>
        <w:rPr>
          <w:rFonts w:hint="eastAsia"/>
          <w:highlight w:val="none"/>
        </w:rPr>
        <w:t>（9）</w:t>
      </w:r>
      <w:r>
        <w:rPr>
          <w:highlight w:val="none"/>
        </w:rPr>
        <w:t>评标委员会认定的其他串通投标情形。</w:t>
      </w:r>
    </w:p>
    <w:p>
      <w:pPr>
        <w:pStyle w:val="329"/>
        <w:rPr>
          <w:highlight w:val="none"/>
        </w:rPr>
      </w:pPr>
      <w:r>
        <w:rPr>
          <w:rFonts w:hint="eastAsia"/>
          <w:highlight w:val="none"/>
        </w:rPr>
        <w:t>投标文件不满足招标文件规定的任何一项实质性要求的；</w:t>
      </w:r>
    </w:p>
    <w:p>
      <w:pPr>
        <w:pStyle w:val="329"/>
        <w:rPr>
          <w:highlight w:val="none"/>
        </w:rPr>
      </w:pPr>
      <w:r>
        <w:rPr>
          <w:rFonts w:hint="eastAsia"/>
          <w:highlight w:val="none"/>
        </w:rPr>
        <w:t>投标文件对招标文件规定的非实质性要求的偏离，超出允许偏离的最大范围或最高项数的；</w:t>
      </w:r>
    </w:p>
    <w:p>
      <w:pPr>
        <w:pStyle w:val="329"/>
        <w:rPr>
          <w:highlight w:val="none"/>
        </w:rPr>
      </w:pPr>
      <w:r>
        <w:rPr>
          <w:rFonts w:hint="eastAsia"/>
          <w:highlight w:val="none"/>
        </w:rPr>
        <w:t>评标委员会根据招标文件的规定对投标文件的投标价格进行调整，投标人不接受调整方式的，或不接受调整后的价格的；</w:t>
      </w:r>
    </w:p>
    <w:p>
      <w:pPr>
        <w:pStyle w:val="328"/>
        <w:rPr>
          <w:highlight w:val="none"/>
        </w:rPr>
      </w:pPr>
      <w:r>
        <w:rPr>
          <w:rFonts w:hint="eastAsia"/>
          <w:highlight w:val="none"/>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pStyle w:val="328"/>
        <w:rPr>
          <w:highlight w:val="none"/>
        </w:rPr>
      </w:pPr>
      <w:r>
        <w:rPr>
          <w:rFonts w:hint="eastAsia"/>
          <w:highlight w:val="none"/>
        </w:rPr>
        <w:t>评标委员会应书面要求存在细微偏离的投标人在评标结束前予以补正。拒不补正的，在详细评审时可以对细微偏离按照不利于该投标人的原则进行调整，且投标人不得因此提出任何异议。</w:t>
      </w:r>
    </w:p>
    <w:p>
      <w:pPr>
        <w:pStyle w:val="326"/>
        <w:rPr>
          <w:highlight w:val="none"/>
        </w:rPr>
      </w:pPr>
      <w:r>
        <w:rPr>
          <w:rFonts w:hint="eastAsia"/>
          <w:highlight w:val="none"/>
        </w:rPr>
        <w:t>实地考察、演示或设备测试</w:t>
      </w:r>
    </w:p>
    <w:p>
      <w:pPr>
        <w:pStyle w:val="328"/>
        <w:rPr>
          <w:highlight w:val="none"/>
        </w:rPr>
      </w:pPr>
      <w:r>
        <w:rPr>
          <w:rFonts w:hint="eastAsia"/>
          <w:highlight w:val="none"/>
        </w:rPr>
        <w:t>在招标过程中，评标委员会有权决定是否对本项目投标人进行现场勘察或实地考察或检验有关证明材料的原件。投标人应随时做好接受检查的准备。</w:t>
      </w:r>
    </w:p>
    <w:p>
      <w:pPr>
        <w:pStyle w:val="328"/>
        <w:rPr>
          <w:highlight w:val="none"/>
        </w:rPr>
      </w:pPr>
      <w:r>
        <w:rPr>
          <w:rFonts w:hint="eastAsia"/>
          <w:highlight w:val="none"/>
        </w:rPr>
        <w:t>若招标文件要求进行现场演示或设备测试的，投标人应做好相应准备。</w:t>
      </w:r>
    </w:p>
    <w:p>
      <w:pPr>
        <w:pStyle w:val="326"/>
        <w:rPr>
          <w:highlight w:val="none"/>
        </w:rPr>
      </w:pPr>
      <w:r>
        <w:rPr>
          <w:rFonts w:hint="eastAsia"/>
          <w:highlight w:val="none"/>
        </w:rPr>
        <w:t>评标方法</w:t>
      </w:r>
    </w:p>
    <w:p>
      <w:pPr>
        <w:pStyle w:val="328"/>
        <w:rPr>
          <w:highlight w:val="none"/>
        </w:rPr>
      </w:pPr>
      <w:r>
        <w:rPr>
          <w:rFonts w:hint="eastAsia"/>
          <w:highlight w:val="none"/>
        </w:rPr>
        <w:t>根据《财政部关于加强政府采购货物和服务项目价格评审管理的通知》（财库</w:t>
      </w:r>
      <w:r>
        <w:rPr>
          <w:highlight w:val="none"/>
        </w:rPr>
        <w:t>[2007]2号）</w:t>
      </w:r>
      <w:r>
        <w:rPr>
          <w:rFonts w:hint="eastAsia"/>
          <w:highlight w:val="none"/>
        </w:rPr>
        <w:t>、《政府采购货物和服务招标投标管理办法》（中华人民共和国财政部令第</w:t>
      </w:r>
      <w:r>
        <w:rPr>
          <w:highlight w:val="none"/>
        </w:rPr>
        <w:t>87号）</w:t>
      </w:r>
      <w:r>
        <w:rPr>
          <w:rFonts w:hint="eastAsia"/>
          <w:highlight w:val="none"/>
        </w:rPr>
        <w:t>、《</w:t>
      </w:r>
      <w:r>
        <w:rPr>
          <w:highlight w:val="none"/>
        </w:rPr>
        <w:t>深圳市财政局关于印发</w:t>
      </w:r>
      <w:r>
        <w:rPr>
          <w:rFonts w:hint="eastAsia"/>
          <w:highlight w:val="none"/>
        </w:rPr>
        <w:t>&lt;</w:t>
      </w:r>
      <w:r>
        <w:rPr>
          <w:highlight w:val="none"/>
        </w:rPr>
        <w:t>深圳市政府采购评标定标分离管理办法</w:t>
      </w:r>
      <w:r>
        <w:rPr>
          <w:rFonts w:hint="eastAsia"/>
          <w:highlight w:val="none"/>
        </w:rPr>
        <w:t>&gt;</w:t>
      </w:r>
      <w:r>
        <w:rPr>
          <w:highlight w:val="none"/>
        </w:rPr>
        <w:t>的通知</w:t>
      </w:r>
      <w:r>
        <w:rPr>
          <w:rFonts w:hint="eastAsia"/>
          <w:highlight w:val="none"/>
        </w:rPr>
        <w:t>》（深财规〔</w:t>
      </w:r>
      <w:r>
        <w:rPr>
          <w:highlight w:val="none"/>
        </w:rPr>
        <w:t>2020〕1号</w:t>
      </w:r>
      <w:r>
        <w:rPr>
          <w:rFonts w:hint="eastAsia"/>
          <w:highlight w:val="none"/>
        </w:rPr>
        <w:t>）关要求，评标办法分为非评定分离项目和评定分离项目。评审方法分为最低评标价法、综合评标法、定性评审法及法律、法规允许的其它评审方法，定标方法为自定法。</w:t>
      </w:r>
    </w:p>
    <w:p>
      <w:pPr>
        <w:pStyle w:val="329"/>
        <w:rPr>
          <w:highlight w:val="none"/>
        </w:rPr>
      </w:pPr>
      <w:r>
        <w:rPr>
          <w:rFonts w:hint="eastAsia"/>
          <w:highlight w:val="none"/>
        </w:rPr>
        <w:t>最低评标价法</w:t>
      </w:r>
    </w:p>
    <w:p>
      <w:pPr>
        <w:pStyle w:val="305"/>
        <w:rPr>
          <w:highlight w:val="none"/>
        </w:rPr>
      </w:pPr>
      <w:r>
        <w:rPr>
          <w:rFonts w:hint="eastAsia"/>
          <w:highlight w:val="none"/>
        </w:rPr>
        <w:t>最低评标价法是指以价格因素确定中标候选供应商的评标方法，即在满足招标文件实质性要求前提下，以报价最低的投标人作为中标候选供应商或中标人的评标方法。</w:t>
      </w:r>
    </w:p>
    <w:p>
      <w:pPr>
        <w:pStyle w:val="329"/>
        <w:rPr>
          <w:highlight w:val="none"/>
        </w:rPr>
      </w:pPr>
      <w:r>
        <w:rPr>
          <w:rFonts w:hint="eastAsia"/>
          <w:highlight w:val="none"/>
        </w:rPr>
        <w:t>综合评分法</w:t>
      </w:r>
    </w:p>
    <w:p>
      <w:pPr>
        <w:pStyle w:val="305"/>
        <w:rPr>
          <w:highlight w:val="none"/>
        </w:rPr>
      </w:pPr>
      <w:r>
        <w:rPr>
          <w:rFonts w:hint="eastAsia"/>
          <w:highlight w:val="none"/>
        </w:rPr>
        <w:t>综合评分法是指投标文件满足招标文件全部实质性要求，且按照评审因素的量化指标评审得分由高到低排名前列的投标人作为推荐的候选中标供应商的评标方法。</w:t>
      </w:r>
    </w:p>
    <w:p>
      <w:pPr>
        <w:pStyle w:val="329"/>
        <w:rPr>
          <w:highlight w:val="none"/>
        </w:rPr>
      </w:pPr>
      <w:r>
        <w:rPr>
          <w:rFonts w:hint="eastAsia"/>
          <w:highlight w:val="none"/>
        </w:rPr>
        <w:t>定性评审法</w:t>
      </w:r>
    </w:p>
    <w:p>
      <w:pPr>
        <w:pStyle w:val="305"/>
        <w:rPr>
          <w:highlight w:val="none"/>
        </w:rPr>
      </w:pPr>
      <w:r>
        <w:rPr>
          <w:rFonts w:hint="eastAsia"/>
          <w:highlight w:val="none"/>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投标无效的投标人，均推荐为候选中标供应商。</w:t>
      </w:r>
    </w:p>
    <w:p>
      <w:pPr>
        <w:pStyle w:val="328"/>
        <w:rPr>
          <w:highlight w:val="none"/>
        </w:rPr>
      </w:pPr>
      <w:r>
        <w:rPr>
          <w:rFonts w:hint="eastAsia"/>
          <w:highlight w:val="none"/>
        </w:rPr>
        <w:t>本项目采用的评标方法见本项目招标文件专用条款的相关内容。</w:t>
      </w:r>
    </w:p>
    <w:p>
      <w:pPr>
        <w:pStyle w:val="309"/>
        <w:rPr>
          <w:highlight w:val="none"/>
        </w:rPr>
      </w:pPr>
      <w:bookmarkStart w:id="110" w:name="_Toc41557715"/>
      <w:bookmarkStart w:id="111" w:name="_Toc67387152"/>
      <w:r>
        <w:rPr>
          <w:rFonts w:hint="eastAsia"/>
          <w:highlight w:val="none"/>
        </w:rPr>
        <w:t>第七章 定标及公示</w:t>
      </w:r>
      <w:bookmarkEnd w:id="110"/>
      <w:bookmarkEnd w:id="111"/>
    </w:p>
    <w:p>
      <w:pPr>
        <w:pStyle w:val="326"/>
        <w:rPr>
          <w:highlight w:val="none"/>
        </w:rPr>
      </w:pPr>
      <w:r>
        <w:rPr>
          <w:rFonts w:hint="eastAsia"/>
          <w:highlight w:val="none"/>
        </w:rPr>
        <w:t>定标方法</w:t>
      </w:r>
    </w:p>
    <w:p>
      <w:pPr>
        <w:pStyle w:val="328"/>
        <w:rPr>
          <w:highlight w:val="none"/>
        </w:rPr>
      </w:pPr>
      <w:r>
        <w:rPr>
          <w:rFonts w:hint="eastAsia"/>
          <w:highlight w:val="none"/>
        </w:rPr>
        <w:t>项目定标方法根据是否是评定分离项目进行选择。</w:t>
      </w:r>
    </w:p>
    <w:p>
      <w:pPr>
        <w:pStyle w:val="328"/>
        <w:rPr>
          <w:highlight w:val="none"/>
        </w:rPr>
      </w:pPr>
      <w:r>
        <w:rPr>
          <w:rFonts w:hint="eastAsia"/>
          <w:highlight w:val="none"/>
        </w:rPr>
        <w:t>非评定分离项目</w:t>
      </w:r>
    </w:p>
    <w:p>
      <w:pPr>
        <w:pStyle w:val="305"/>
        <w:rPr>
          <w:highlight w:val="none"/>
        </w:rPr>
      </w:pPr>
      <w:r>
        <w:rPr>
          <w:rFonts w:hint="eastAsia"/>
          <w:highlight w:val="none"/>
        </w:rPr>
        <w:t>评标委员会依据本项目招标文件所约定的评标方法进行评审和比较，向采购代理机构提交书面评标报告，并根据评标方法比较评价结果从优到劣进行排序，并推荐候选中标供应商或确定中标人；</w:t>
      </w:r>
    </w:p>
    <w:p>
      <w:pPr>
        <w:pStyle w:val="329"/>
        <w:rPr>
          <w:highlight w:val="none"/>
        </w:rPr>
      </w:pPr>
      <w:r>
        <w:rPr>
          <w:rFonts w:hint="eastAsia"/>
          <w:highlight w:val="none"/>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pStyle w:val="329"/>
        <w:rPr>
          <w:highlight w:val="none"/>
        </w:rPr>
      </w:pPr>
      <w:r>
        <w:rPr>
          <w:rFonts w:hint="eastAsia"/>
          <w:highlight w:val="none"/>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pPr>
        <w:pStyle w:val="329"/>
        <w:rPr>
          <w:highlight w:val="none"/>
        </w:rPr>
      </w:pPr>
      <w:r>
        <w:rPr>
          <w:highlight w:val="none"/>
        </w:rPr>
        <w:t>采用</w:t>
      </w:r>
      <w:r>
        <w:rPr>
          <w:rFonts w:hint="eastAsia"/>
          <w:highlight w:val="none"/>
        </w:rPr>
        <w:t>定性评审</w:t>
      </w:r>
      <w:r>
        <w:rPr>
          <w:highlight w:val="none"/>
        </w:rPr>
        <w:t>法的</w:t>
      </w:r>
      <w:r>
        <w:rPr>
          <w:rFonts w:hint="eastAsia"/>
          <w:highlight w:val="none"/>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pPr>
        <w:pStyle w:val="328"/>
        <w:rPr>
          <w:highlight w:val="none"/>
        </w:rPr>
      </w:pPr>
      <w:r>
        <w:rPr>
          <w:rFonts w:hint="eastAsia"/>
          <w:highlight w:val="none"/>
        </w:rPr>
        <w:t>评定分离项目</w:t>
      </w:r>
    </w:p>
    <w:p>
      <w:pPr>
        <w:pStyle w:val="329"/>
        <w:rPr>
          <w:highlight w:val="none"/>
        </w:rPr>
      </w:pPr>
      <w:r>
        <w:rPr>
          <w:rFonts w:hint="eastAsia"/>
          <w:highlight w:val="none"/>
        </w:rPr>
        <w:t>适用评定分离的政府采购项目，采购人应当根据不同的项目选用自定法或者法律、法规及规章规定的其他定标方法确定中标人。</w:t>
      </w:r>
    </w:p>
    <w:p>
      <w:pPr>
        <w:pStyle w:val="329"/>
        <w:rPr>
          <w:highlight w:val="none"/>
        </w:rPr>
      </w:pPr>
      <w:r>
        <w:rPr>
          <w:rFonts w:hint="eastAsia"/>
          <w:highlight w:val="none"/>
        </w:rPr>
        <w:t>自定法是指采购人组织定标委员会，由定标委员会在候选中标供应商中确定中标人。定标流程如下：</w:t>
      </w:r>
    </w:p>
    <w:p>
      <w:pPr>
        <w:pStyle w:val="305"/>
        <w:rPr>
          <w:highlight w:val="none"/>
        </w:rPr>
      </w:pPr>
      <w:r>
        <w:rPr>
          <w:rFonts w:hint="eastAsia"/>
          <w:highlight w:val="none"/>
        </w:rPr>
        <w:t>（1）评审委员会完成评审后，应当出具书面评审报告，推荐三个合格的候选中标供应商，候选中标供应商不标明排序。</w:t>
      </w:r>
    </w:p>
    <w:p>
      <w:pPr>
        <w:pStyle w:val="305"/>
        <w:rPr>
          <w:highlight w:val="none"/>
        </w:rPr>
      </w:pPr>
      <w:r>
        <w:rPr>
          <w:rFonts w:hint="eastAsia"/>
          <w:highlight w:val="none"/>
        </w:rPr>
        <w:t>（2）评审报告应当包含各评审专家个人意见和评审委员会结论意见，报告内容包括但不限于对每个候选中标供应商的总体评价、供应商对招标文件的响应程度、技术（服务）方案优劣对比、报价合理性等内容。</w:t>
      </w:r>
    </w:p>
    <w:p>
      <w:pPr>
        <w:pStyle w:val="305"/>
        <w:rPr>
          <w:highlight w:val="none"/>
        </w:rPr>
      </w:pPr>
      <w:r>
        <w:rPr>
          <w:rFonts w:hint="eastAsia"/>
          <w:highlight w:val="none"/>
        </w:rPr>
        <w:t>（3）评审专家在评审过程中，判定投标供应商的投标文件为无效的，评审专家应当详细说明投标无效的原因，列举出投标文件存在的问题并署名。</w:t>
      </w:r>
    </w:p>
    <w:p>
      <w:pPr>
        <w:pStyle w:val="305"/>
        <w:rPr>
          <w:highlight w:val="none"/>
        </w:rPr>
      </w:pPr>
      <w:r>
        <w:rPr>
          <w:rFonts w:hint="eastAsia"/>
          <w:highlight w:val="none"/>
        </w:rPr>
        <w:t>（4）招标机构应当自评审结束之日起2个工作日内将候选中标供应商名单及其投标文件、评审报告送交采购人。</w:t>
      </w:r>
    </w:p>
    <w:p>
      <w:pPr>
        <w:pStyle w:val="305"/>
        <w:rPr>
          <w:highlight w:val="none"/>
        </w:rPr>
      </w:pPr>
      <w:r>
        <w:rPr>
          <w:rFonts w:hint="eastAsia"/>
          <w:highlight w:val="none"/>
        </w:rPr>
        <w:t>（5）采购人应当在自收到评审报告后，组成定标委员会，召开定标会并确定中标人。</w:t>
      </w:r>
    </w:p>
    <w:p>
      <w:pPr>
        <w:pStyle w:val="305"/>
        <w:rPr>
          <w:highlight w:val="none"/>
        </w:rPr>
      </w:pPr>
      <w:r>
        <w:rPr>
          <w:rFonts w:hint="eastAsia"/>
          <w:highlight w:val="none"/>
        </w:rPr>
        <w:t>（6）定标委员会应当由</w:t>
      </w:r>
      <w:r>
        <w:rPr>
          <w:highlight w:val="none"/>
        </w:rPr>
        <w:t>5人或以上单数组成，采购人应当按照以下要求组成定标委员会：</w:t>
      </w:r>
    </w:p>
    <w:p>
      <w:pPr>
        <w:pStyle w:val="305"/>
        <w:rPr>
          <w:highlight w:val="none"/>
        </w:rPr>
      </w:pPr>
      <w:r>
        <w:rPr>
          <w:rFonts w:hint="eastAsia"/>
          <w:highlight w:val="none"/>
        </w:rPr>
        <w:t>①重大项目由采购人领导班子成员组成定标委员会，有半数以上班子成员到会方可在候选中标供应商中确定中标供应商。</w:t>
      </w:r>
    </w:p>
    <w:p>
      <w:pPr>
        <w:pStyle w:val="305"/>
        <w:rPr>
          <w:highlight w:val="none"/>
        </w:rPr>
      </w:pPr>
      <w:r>
        <w:rPr>
          <w:rFonts w:hint="eastAsia"/>
          <w:highlight w:val="none"/>
        </w:rPr>
        <w:t>②特定品目项目的定标委员会应当由</w:t>
      </w:r>
      <w:r>
        <w:rPr>
          <w:highlight w:val="none"/>
        </w:rPr>
        <w:t>5</w:t>
      </w:r>
      <w:r>
        <w:rPr>
          <w:rFonts w:hint="eastAsia"/>
          <w:highlight w:val="none"/>
        </w:rPr>
        <w:t>人或以上单数的领导班子成员，或者单位中层以上管理人员、具有与所采购项目专业领域中级以上职称人员、采购责任机构负责人等组成。</w:t>
      </w:r>
    </w:p>
    <w:p>
      <w:pPr>
        <w:pStyle w:val="305"/>
        <w:rPr>
          <w:highlight w:val="none"/>
        </w:rPr>
      </w:pPr>
      <w:r>
        <w:rPr>
          <w:rFonts w:hint="eastAsia"/>
          <w:highlight w:val="none"/>
        </w:rPr>
        <w:t>（7）采购人讨论决定定标事项时应保证与会成员有足够时间听取情况介绍、充分发表意见。在充分讨论的基础上，采取口头表决、举手表决或者无记名投票等方式进行表决。</w:t>
      </w:r>
    </w:p>
    <w:p>
      <w:pPr>
        <w:pStyle w:val="305"/>
        <w:rPr>
          <w:highlight w:val="none"/>
        </w:rPr>
      </w:pPr>
      <w:r>
        <w:rPr>
          <w:rFonts w:hint="eastAsia"/>
          <w:highlight w:val="none"/>
        </w:rPr>
        <w:t>候选中标供应商的得票数超过定标委员会成员人数半数的，方可确定为中标供应商。在表决中，各候选中标供应商得票数比较分散且没有供应商得票数超过定标委员会成员半数的，可以剔除得票数最少的供应商后再次表决，直至表决出符合得票数要求的中标供应商。</w:t>
      </w:r>
    </w:p>
    <w:p>
      <w:pPr>
        <w:pStyle w:val="305"/>
        <w:rPr>
          <w:highlight w:val="none"/>
        </w:rPr>
      </w:pPr>
      <w:r>
        <w:rPr>
          <w:rFonts w:hint="eastAsia"/>
          <w:highlight w:val="none"/>
        </w:rPr>
        <w:t>（8）采购人讨论决定定标事项，应当按照下列程序进行：</w:t>
      </w:r>
    </w:p>
    <w:p>
      <w:pPr>
        <w:pStyle w:val="305"/>
        <w:rPr>
          <w:highlight w:val="none"/>
        </w:rPr>
      </w:pPr>
      <w:r>
        <w:rPr>
          <w:rFonts w:hint="eastAsia"/>
          <w:highlight w:val="none"/>
        </w:rPr>
        <w:t>①采购人的采购责任机构负责人或者采购项目需求部门负责人，结合项目需求和评审专家的评审意见，逐个介绍候选中标供应商的情况；</w:t>
      </w:r>
    </w:p>
    <w:p>
      <w:pPr>
        <w:pStyle w:val="305"/>
        <w:rPr>
          <w:highlight w:val="none"/>
        </w:rPr>
      </w:pPr>
      <w:r>
        <w:rPr>
          <w:rFonts w:hint="eastAsia"/>
          <w:highlight w:val="none"/>
        </w:rPr>
        <w:t>②参加会议人员进行充分讨论；</w:t>
      </w:r>
    </w:p>
    <w:p>
      <w:pPr>
        <w:pStyle w:val="305"/>
        <w:rPr>
          <w:highlight w:val="none"/>
        </w:rPr>
      </w:pPr>
      <w:r>
        <w:rPr>
          <w:rFonts w:hint="eastAsia"/>
          <w:highlight w:val="none"/>
        </w:rPr>
        <w:t>③进行表决。</w:t>
      </w:r>
    </w:p>
    <w:p>
      <w:pPr>
        <w:pStyle w:val="305"/>
        <w:rPr>
          <w:highlight w:val="none"/>
        </w:rPr>
      </w:pPr>
      <w:r>
        <w:rPr>
          <w:rFonts w:hint="eastAsia"/>
          <w:highlight w:val="none"/>
        </w:rPr>
        <w:t>（9）采购人定标时应当坚持择优与竞价相结合，择优为主。综合考虑候选中标供应商的企业实力、企业信誉、投标文件响应情况、投标报价等多方面因素，分析采购项目实际情况，选择履约能力较强、价格合理的供应商。</w:t>
      </w:r>
    </w:p>
    <w:p>
      <w:pPr>
        <w:pStyle w:val="305"/>
        <w:rPr>
          <w:highlight w:val="none"/>
        </w:rPr>
      </w:pPr>
      <w:r>
        <w:rPr>
          <w:rFonts w:hint="eastAsia"/>
          <w:highlight w:val="none"/>
        </w:rPr>
        <w:t>（1</w:t>
      </w:r>
      <w:r>
        <w:rPr>
          <w:highlight w:val="none"/>
        </w:rPr>
        <w:t>0</w:t>
      </w:r>
      <w:r>
        <w:rPr>
          <w:rFonts w:hint="eastAsia"/>
          <w:highlight w:val="none"/>
        </w:rPr>
        <w:t>）采购人应当安排专人对定标过程进行书面记录，形成《定标报告》，作为采购文件的组成部分存档，并及时将定标结果反馈招标机构。</w:t>
      </w:r>
    </w:p>
    <w:p>
      <w:pPr>
        <w:pStyle w:val="305"/>
        <w:rPr>
          <w:highlight w:val="none"/>
        </w:rPr>
      </w:pPr>
      <w:r>
        <w:rPr>
          <w:rFonts w:hint="eastAsia"/>
          <w:highlight w:val="none"/>
        </w:rPr>
        <w:t>（1</w:t>
      </w:r>
      <w:r>
        <w:rPr>
          <w:highlight w:val="none"/>
        </w:rPr>
        <w:t>1</w:t>
      </w:r>
      <w:r>
        <w:rPr>
          <w:rFonts w:hint="eastAsia"/>
          <w:highlight w:val="none"/>
        </w:rPr>
        <w:t>）采购人应当在定标会结束后，及时将《定标报告》反馈招标机构。定标报告应当包括但不限于定标时间及地点、定标委员会成员及职务、对候选中标供应商的讨论意见、表决情况、定标结果、会议纪要等内容。</w:t>
      </w:r>
    </w:p>
    <w:p>
      <w:pPr>
        <w:pStyle w:val="328"/>
        <w:rPr>
          <w:highlight w:val="none"/>
        </w:rPr>
      </w:pPr>
      <w:r>
        <w:rPr>
          <w:rFonts w:hint="eastAsia"/>
          <w:highlight w:val="none"/>
        </w:rPr>
        <w:t>本项目采用的定标方法见本项目招标文件专用条款的相关内容。</w:t>
      </w:r>
    </w:p>
    <w:p>
      <w:pPr>
        <w:pStyle w:val="326"/>
        <w:rPr>
          <w:highlight w:val="none"/>
        </w:rPr>
      </w:pPr>
      <w:r>
        <w:rPr>
          <w:rFonts w:hint="eastAsia"/>
          <w:highlight w:val="none"/>
        </w:rPr>
        <w:t>编写评标报告</w:t>
      </w:r>
    </w:p>
    <w:p>
      <w:pPr>
        <w:pStyle w:val="328"/>
        <w:rPr>
          <w:highlight w:val="none"/>
        </w:rPr>
      </w:pPr>
      <w:r>
        <w:rPr>
          <w:rFonts w:hint="eastAsia"/>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Style w:val="326"/>
        <w:rPr>
          <w:highlight w:val="none"/>
        </w:rPr>
      </w:pPr>
      <w:r>
        <w:rPr>
          <w:rFonts w:hint="eastAsia"/>
          <w:highlight w:val="none"/>
        </w:rPr>
        <w:t>中标公告</w:t>
      </w:r>
    </w:p>
    <w:p>
      <w:pPr>
        <w:pStyle w:val="328"/>
        <w:rPr>
          <w:highlight w:val="none"/>
        </w:rPr>
      </w:pPr>
      <w:r>
        <w:rPr>
          <w:rFonts w:hint="eastAsia"/>
          <w:highlight w:val="none"/>
        </w:rPr>
        <w:t>为体现“公开、公平、公正”的原则，评标结束后，采购代理机构将在“深圳交易集团有限公司政府采购业务分公司网”（</w:t>
      </w:r>
      <w:r>
        <w:rPr>
          <w:highlight w:val="none"/>
        </w:rPr>
        <w:t>http://www.szggzy.com/fwdh/fwdhzfcg/</w:t>
      </w:r>
      <w:r>
        <w:rPr>
          <w:rFonts w:hint="eastAsia"/>
          <w:highlight w:val="none"/>
        </w:rPr>
        <w:t>）及采购代理机构官网：（</w:t>
      </w:r>
      <w:r>
        <w:rPr>
          <w:highlight w:val="none"/>
        </w:rPr>
        <w:t>http：//www.szsszx.com/</w:t>
      </w:r>
      <w:r>
        <w:rPr>
          <w:rFonts w:hint="eastAsia"/>
          <w:highlight w:val="none"/>
        </w:rPr>
        <w:t>）上发布中标结果公告，公示期为72小时。供应商如对评标结果有异议，请于公示期内，以书面的形式向我公司反映。若在公示期内未提出异议，则视为认同该评标结果。</w:t>
      </w:r>
    </w:p>
    <w:p>
      <w:pPr>
        <w:pStyle w:val="328"/>
        <w:rPr>
          <w:highlight w:val="none"/>
        </w:rPr>
      </w:pPr>
      <w:r>
        <w:rPr>
          <w:rFonts w:hint="eastAsia"/>
          <w:highlight w:val="none"/>
        </w:rPr>
        <w:t>质疑投诉人应保证质疑投诉内容的真实性和可靠性，并承担相应的法律责任。</w:t>
      </w:r>
    </w:p>
    <w:p>
      <w:pPr>
        <w:pStyle w:val="326"/>
        <w:rPr>
          <w:highlight w:val="none"/>
        </w:rPr>
      </w:pPr>
      <w:r>
        <w:rPr>
          <w:rFonts w:hint="eastAsia"/>
          <w:highlight w:val="none"/>
        </w:rPr>
        <w:t>中标通知书</w:t>
      </w:r>
    </w:p>
    <w:p>
      <w:pPr>
        <w:pStyle w:val="328"/>
        <w:rPr>
          <w:highlight w:val="none"/>
        </w:rPr>
      </w:pPr>
      <w:r>
        <w:rPr>
          <w:rFonts w:hint="eastAsia"/>
          <w:highlight w:val="none"/>
        </w:rPr>
        <w:t>中标公告公布后,公示期内无人投诉,请中标人凭单位证明及本人身份证到采购代理机构领取《中标通知书》。</w:t>
      </w:r>
    </w:p>
    <w:p>
      <w:pPr>
        <w:pStyle w:val="328"/>
        <w:rPr>
          <w:highlight w:val="none"/>
        </w:rPr>
      </w:pPr>
      <w:r>
        <w:rPr>
          <w:rFonts w:hint="eastAsia"/>
          <w:highlight w:val="none"/>
        </w:rPr>
        <w:t>中标通知书是合同的重要组成部分。</w:t>
      </w:r>
    </w:p>
    <w:p>
      <w:pPr>
        <w:pStyle w:val="328"/>
        <w:rPr>
          <w:highlight w:val="none"/>
        </w:rPr>
      </w:pPr>
      <w:r>
        <w:rPr>
          <w:rFonts w:hint="eastAsia"/>
          <w:highlight w:val="none"/>
        </w:rPr>
        <w:t>因质疑投诉或其它原因导致项目结果变更或采购终止的，我公司有权收回中标通知书或终止采购合同。</w:t>
      </w:r>
    </w:p>
    <w:p>
      <w:pPr>
        <w:pStyle w:val="309"/>
        <w:rPr>
          <w:highlight w:val="none"/>
        </w:rPr>
      </w:pPr>
      <w:bookmarkStart w:id="112" w:name="_Toc67387153"/>
      <w:bookmarkStart w:id="113" w:name="_Toc41557716"/>
      <w:r>
        <w:rPr>
          <w:rFonts w:hint="eastAsia"/>
          <w:highlight w:val="none"/>
        </w:rPr>
        <w:t>第八章 公开招标失败的后续处理</w:t>
      </w:r>
      <w:bookmarkEnd w:id="112"/>
      <w:bookmarkEnd w:id="113"/>
    </w:p>
    <w:p>
      <w:pPr>
        <w:pStyle w:val="326"/>
        <w:rPr>
          <w:highlight w:val="none"/>
        </w:rPr>
      </w:pPr>
      <w:r>
        <w:rPr>
          <w:rFonts w:hint="eastAsia"/>
          <w:highlight w:val="none"/>
        </w:rPr>
        <w:t>公开招标失败的处理</w:t>
      </w:r>
    </w:p>
    <w:p>
      <w:pPr>
        <w:pStyle w:val="328"/>
        <w:rPr>
          <w:highlight w:val="none"/>
        </w:rPr>
      </w:pPr>
      <w:r>
        <w:rPr>
          <w:rFonts w:hint="eastAsia"/>
          <w:highlight w:val="none"/>
        </w:rPr>
        <w:t>本项目公开招标过程中若由于投标截止后实际递交</w:t>
      </w:r>
      <w:r>
        <w:rPr>
          <w:highlight w:val="none"/>
        </w:rPr>
        <w:t>投标</w:t>
      </w:r>
      <w:r>
        <w:rPr>
          <w:rFonts w:hint="eastAsia"/>
          <w:highlight w:val="none"/>
        </w:rPr>
        <w:t>文件的供应商数量不足、经评标委员会评审对招标文件作实质响应的供应商不足等原因造成公开招标失败，可由采购代理机构重新组织采购。</w:t>
      </w:r>
    </w:p>
    <w:p>
      <w:pPr>
        <w:pStyle w:val="328"/>
        <w:rPr>
          <w:highlight w:val="none"/>
        </w:rPr>
      </w:pPr>
      <w:r>
        <w:rPr>
          <w:rFonts w:hint="eastAsia"/>
          <w:highlight w:val="none"/>
        </w:rPr>
        <w:t>对公开招标失败的项目，评标委员会在出具该项目招标失败结论的同时，提出重新采购组织形式的建议，以及进一步完善招标文件的资格、技术、商务要求的修改建议。</w:t>
      </w:r>
    </w:p>
    <w:p>
      <w:pPr>
        <w:pStyle w:val="328"/>
        <w:rPr>
          <w:highlight w:val="none"/>
        </w:rPr>
      </w:pPr>
      <w:r>
        <w:rPr>
          <w:rFonts w:hint="eastAsia"/>
          <w:highlight w:val="none"/>
        </w:rPr>
        <w:t>重新组织采购有以下两种组织形式：</w:t>
      </w:r>
    </w:p>
    <w:p>
      <w:pPr>
        <w:pStyle w:val="305"/>
        <w:rPr>
          <w:highlight w:val="none"/>
        </w:rPr>
      </w:pPr>
      <w:r>
        <w:rPr>
          <w:rFonts w:hint="eastAsia"/>
          <w:highlight w:val="none"/>
        </w:rPr>
        <w:t>（1）由采购代理机构重新组织公开招标；</w:t>
      </w:r>
    </w:p>
    <w:p>
      <w:pPr>
        <w:pStyle w:val="305"/>
        <w:rPr>
          <w:highlight w:val="none"/>
        </w:rPr>
      </w:pPr>
      <w:r>
        <w:rPr>
          <w:rFonts w:hint="eastAsia"/>
          <w:highlight w:val="none"/>
        </w:rPr>
        <w:t>（2）根据实际情况需要向政府采购监督管理部门提出非公开招标方式申请，经政府采购监督管理部门批准公开招标失败采购项目可转为竞争性谈判或单一来源谈判方式采购。</w:t>
      </w:r>
    </w:p>
    <w:p>
      <w:pPr>
        <w:pStyle w:val="328"/>
        <w:rPr>
          <w:highlight w:val="none"/>
        </w:rPr>
      </w:pPr>
      <w:r>
        <w:rPr>
          <w:rFonts w:hint="eastAsia"/>
          <w:highlight w:val="none"/>
        </w:rPr>
        <w:t>公开招标失败的采购项目重新组织公开招标，采购代理机构要重新按公开招标流程发布采购公告和招标文件、组成评标委员会等组织采购活动。</w:t>
      </w:r>
    </w:p>
    <w:p>
      <w:pPr>
        <w:pStyle w:val="328"/>
        <w:rPr>
          <w:highlight w:val="none"/>
        </w:rPr>
      </w:pPr>
      <w:r>
        <w:rPr>
          <w:rFonts w:hint="eastAsia"/>
          <w:highlight w:val="none"/>
        </w:rPr>
        <w:t>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pStyle w:val="326"/>
        <w:rPr>
          <w:highlight w:val="none"/>
        </w:rPr>
      </w:pPr>
      <w:r>
        <w:rPr>
          <w:rFonts w:hint="eastAsia"/>
          <w:highlight w:val="none"/>
        </w:rPr>
        <w:t>公开招标失败项目转为竞争性谈判方式采购的</w:t>
      </w:r>
    </w:p>
    <w:p>
      <w:pPr>
        <w:pStyle w:val="328"/>
        <w:rPr>
          <w:highlight w:val="none"/>
        </w:rPr>
      </w:pPr>
      <w:r>
        <w:rPr>
          <w:rFonts w:hint="eastAsia"/>
          <w:highlight w:val="none"/>
        </w:rPr>
        <w:t>谈判文件</w:t>
      </w:r>
    </w:p>
    <w:p>
      <w:pPr>
        <w:pStyle w:val="329"/>
        <w:rPr>
          <w:highlight w:val="none"/>
        </w:rPr>
      </w:pPr>
      <w:r>
        <w:rPr>
          <w:rFonts w:hint="eastAsia"/>
          <w:highlight w:val="none"/>
        </w:rPr>
        <w:t>公开招标失败项目转为竞争性谈判方式采购的，原招标文件转为谈判文件。</w:t>
      </w:r>
    </w:p>
    <w:p>
      <w:pPr>
        <w:pStyle w:val="328"/>
        <w:rPr>
          <w:highlight w:val="none"/>
        </w:rPr>
      </w:pPr>
      <w:r>
        <w:rPr>
          <w:rFonts w:hint="eastAsia"/>
          <w:highlight w:val="none"/>
        </w:rPr>
        <w:t>谈判小组</w:t>
      </w:r>
    </w:p>
    <w:p>
      <w:pPr>
        <w:pStyle w:val="329"/>
        <w:rPr>
          <w:highlight w:val="none"/>
        </w:rPr>
      </w:pPr>
      <w:r>
        <w:rPr>
          <w:rFonts w:hint="eastAsia"/>
          <w:highlight w:val="none"/>
        </w:rPr>
        <w:t>公开招标失败项目转为竞争性谈判方式采购后，评标委员会转为谈判小组；专家可重新抽取也可继续采用评标委员会内专家。</w:t>
      </w:r>
    </w:p>
    <w:p>
      <w:pPr>
        <w:pStyle w:val="329"/>
        <w:rPr>
          <w:highlight w:val="none"/>
        </w:rPr>
      </w:pPr>
      <w:r>
        <w:rPr>
          <w:rFonts w:hint="eastAsia"/>
          <w:highlight w:val="none"/>
        </w:rPr>
        <w:t>谈判前，谈判小组将对各供应商的谈判应答文件进行审查，当谈判应答文件出现下列情况之一的将视为无效，按投标无效处理，不得进入谈判，具体内容见原招标文件中“资格、符合性评审”部分以及谈判邀请中相应的变动部分。</w:t>
      </w:r>
    </w:p>
    <w:p>
      <w:pPr>
        <w:pStyle w:val="328"/>
        <w:rPr>
          <w:highlight w:val="none"/>
        </w:rPr>
      </w:pPr>
      <w:r>
        <w:rPr>
          <w:rFonts w:hint="eastAsia"/>
          <w:highlight w:val="none"/>
        </w:rPr>
        <w:t>谈判程序</w:t>
      </w:r>
    </w:p>
    <w:p>
      <w:pPr>
        <w:pStyle w:val="329"/>
        <w:rPr>
          <w:highlight w:val="none"/>
        </w:rPr>
      </w:pPr>
      <w:r>
        <w:rPr>
          <w:rFonts w:hint="eastAsia"/>
          <w:highlight w:val="none"/>
        </w:rPr>
        <w:t>参加谈判的供应商和谈判小组成员填写谈判登记表，并交验证明文件（法定代表人证明书、法人授权委托书、被授权的谈判代表身份证原件）。</w:t>
      </w:r>
    </w:p>
    <w:p>
      <w:pPr>
        <w:pStyle w:val="329"/>
        <w:rPr>
          <w:highlight w:val="none"/>
        </w:rPr>
      </w:pPr>
      <w:r>
        <w:rPr>
          <w:rFonts w:hint="eastAsia"/>
          <w:highlight w:val="none"/>
        </w:rPr>
        <w:t>谈判小组主持人宣布谈判规则和谈判纪律。</w:t>
      </w:r>
    </w:p>
    <w:p>
      <w:pPr>
        <w:pStyle w:val="329"/>
        <w:rPr>
          <w:highlight w:val="none"/>
        </w:rPr>
      </w:pPr>
      <w:r>
        <w:rPr>
          <w:rFonts w:hint="eastAsia"/>
          <w:highlight w:val="none"/>
        </w:rPr>
        <w:t>在谈判中，谈判小组将就以下谈判内容跟供应商进行谈判：</w:t>
      </w:r>
    </w:p>
    <w:p>
      <w:pPr>
        <w:pStyle w:val="305"/>
        <w:rPr>
          <w:highlight w:val="none"/>
        </w:rPr>
      </w:pPr>
      <w:r>
        <w:rPr>
          <w:rFonts w:hint="eastAsia"/>
          <w:highlight w:val="none"/>
        </w:rPr>
        <w:t>（</w:t>
      </w:r>
      <w:r>
        <w:rPr>
          <w:highlight w:val="none"/>
        </w:rPr>
        <w:t>1</w:t>
      </w:r>
      <w:r>
        <w:rPr>
          <w:rFonts w:hint="eastAsia"/>
          <w:highlight w:val="none"/>
        </w:rPr>
        <w:t>）项目方案；</w:t>
      </w:r>
    </w:p>
    <w:p>
      <w:pPr>
        <w:pStyle w:val="305"/>
        <w:rPr>
          <w:highlight w:val="none"/>
        </w:rPr>
      </w:pPr>
      <w:r>
        <w:rPr>
          <w:rFonts w:hint="eastAsia"/>
          <w:highlight w:val="none"/>
        </w:rPr>
        <w:t>（2）报价；</w:t>
      </w:r>
    </w:p>
    <w:p>
      <w:pPr>
        <w:pStyle w:val="305"/>
        <w:rPr>
          <w:highlight w:val="none"/>
        </w:rPr>
      </w:pPr>
      <w:r>
        <w:rPr>
          <w:rFonts w:hint="eastAsia"/>
          <w:highlight w:val="none"/>
        </w:rPr>
        <w:t>（3）其它相关事项。</w:t>
      </w:r>
    </w:p>
    <w:p>
      <w:pPr>
        <w:pStyle w:val="329"/>
        <w:rPr>
          <w:highlight w:val="none"/>
        </w:rPr>
      </w:pPr>
      <w:r>
        <w:rPr>
          <w:rFonts w:hint="eastAsia"/>
          <w:highlight w:val="none"/>
        </w:rPr>
        <w:t>原招标文件或谈判邀请文件有实质性变动的，谈判小组应当通过采购代理机构通知所有参加谈判的供应商。</w:t>
      </w:r>
    </w:p>
    <w:p>
      <w:pPr>
        <w:pStyle w:val="329"/>
        <w:rPr>
          <w:highlight w:val="none"/>
        </w:rPr>
      </w:pPr>
      <w:r>
        <w:rPr>
          <w:rFonts w:hint="eastAsia"/>
          <w:highlight w:val="none"/>
        </w:rPr>
        <w:t>谈判小组可以用书面形式要求各供应商对其谈判应答文件含义不明确的内容作必要的澄清或者说明，重要问题供应商应以书面形式进行澄清、说明。</w:t>
      </w:r>
    </w:p>
    <w:p>
      <w:pPr>
        <w:pStyle w:val="329"/>
        <w:rPr>
          <w:highlight w:val="none"/>
        </w:rPr>
      </w:pPr>
      <w:r>
        <w:rPr>
          <w:rFonts w:hint="eastAsia"/>
          <w:highlight w:val="none"/>
        </w:rPr>
        <w:t>允许供应商在谈判结束之前根据谈判小组提出的内容进行澄清、修改或完善，或对项目方案进行相应的调整。</w:t>
      </w:r>
    </w:p>
    <w:p>
      <w:pPr>
        <w:pStyle w:val="329"/>
        <w:rPr>
          <w:highlight w:val="none"/>
        </w:rPr>
      </w:pPr>
      <w:r>
        <w:rPr>
          <w:rFonts w:hint="eastAsia"/>
          <w:highlight w:val="none"/>
        </w:rPr>
        <w:t>供应商对谈判应答文件进行修改，都应形成文字材料，并经供应商谈判授权人签字认可。</w:t>
      </w:r>
    </w:p>
    <w:p>
      <w:pPr>
        <w:pStyle w:val="329"/>
        <w:rPr>
          <w:highlight w:val="none"/>
        </w:rPr>
      </w:pPr>
      <w:r>
        <w:rPr>
          <w:rFonts w:hint="eastAsia"/>
          <w:highlight w:val="none"/>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pStyle w:val="329"/>
        <w:rPr>
          <w:highlight w:val="none"/>
        </w:rPr>
      </w:pPr>
      <w:r>
        <w:rPr>
          <w:rFonts w:hint="eastAsia"/>
          <w:highlight w:val="none"/>
        </w:rPr>
        <w:t>有下列情形之一的，该供应商的谈判结果按投标无效处理，具体内容见原招标文件中不符合“资格、符合性评审条款”部分以及谈判邀请中相应的变动部分。</w:t>
      </w:r>
    </w:p>
    <w:p>
      <w:pPr>
        <w:pStyle w:val="329"/>
        <w:rPr>
          <w:highlight w:val="none"/>
        </w:rPr>
      </w:pPr>
      <w:r>
        <w:rPr>
          <w:rFonts w:hint="eastAsia"/>
          <w:highlight w:val="none"/>
        </w:rPr>
        <w:t>谈判结束后，谈判小组根据供应商提供的谈判应答文件、谈判过程中产生的相关资料，对供应商谈判应答文件进行评估与比较，提出书面评审意见。</w:t>
      </w:r>
    </w:p>
    <w:p>
      <w:pPr>
        <w:pStyle w:val="329"/>
        <w:rPr>
          <w:highlight w:val="none"/>
        </w:rPr>
      </w:pPr>
      <w:r>
        <w:rPr>
          <w:rFonts w:hint="eastAsia"/>
          <w:highlight w:val="none"/>
        </w:rPr>
        <w:t>谈判小组将对谈判过程进行记录，以存档备查。</w:t>
      </w:r>
    </w:p>
    <w:p>
      <w:pPr>
        <w:pStyle w:val="328"/>
        <w:rPr>
          <w:highlight w:val="none"/>
        </w:rPr>
      </w:pPr>
      <w:r>
        <w:rPr>
          <w:rFonts w:hint="eastAsia"/>
          <w:highlight w:val="none"/>
        </w:rPr>
        <w:t>评标方法和定标原则</w:t>
      </w:r>
    </w:p>
    <w:p>
      <w:pPr>
        <w:pStyle w:val="329"/>
        <w:rPr>
          <w:highlight w:val="none"/>
        </w:rPr>
      </w:pPr>
      <w:r>
        <w:rPr>
          <w:rFonts w:hint="eastAsia"/>
          <w:highlight w:val="none"/>
        </w:rPr>
        <w:t>根据《政府采购非招标采购方式管理办法》（中华人民共和国财政部令第</w:t>
      </w:r>
      <w:r>
        <w:rPr>
          <w:highlight w:val="none"/>
        </w:rPr>
        <w:t>74号）</w:t>
      </w:r>
      <w:r>
        <w:rPr>
          <w:rFonts w:hint="eastAsia"/>
          <w:highlight w:val="none"/>
        </w:rPr>
        <w:t>、《财政部关于加强政府采购货物和服务项目价格评审管理的通知》（财库</w:t>
      </w:r>
      <w:r>
        <w:rPr>
          <w:highlight w:val="none"/>
        </w:rPr>
        <w:t>[2007]2号）</w:t>
      </w:r>
      <w:r>
        <w:rPr>
          <w:rFonts w:hint="eastAsia"/>
          <w:highlight w:val="none"/>
        </w:rPr>
        <w:t>，竞争性谈判采购项目的评标方法要比照最低评标价法规定执行。如确因实际情况需要采用其他评标方法的，应报经同级政府采购监督管理部门批准。原招标文件若采用最低评标价法以外的评标方法，转为竞争性谈判后，评标方法应采用最低评标价法。</w:t>
      </w:r>
    </w:p>
    <w:p>
      <w:pPr>
        <w:pStyle w:val="329"/>
        <w:rPr>
          <w:highlight w:val="none"/>
        </w:rPr>
      </w:pPr>
      <w:r>
        <w:rPr>
          <w:rFonts w:hint="eastAsia"/>
          <w:highlight w:val="none"/>
        </w:rPr>
        <w:t>对公开招标失败转为竞争性谈判方式采购的项目，谈判小组对谈判应答文件进行评审和比较，综合各家供应商最终的方案、服务和投资等谈判结果并按本通用条款第37.1.1款的最低评标价法进行评审。</w:t>
      </w:r>
    </w:p>
    <w:p>
      <w:pPr>
        <w:pStyle w:val="329"/>
        <w:rPr>
          <w:highlight w:val="none"/>
        </w:rPr>
      </w:pPr>
      <w:r>
        <w:rPr>
          <w:rFonts w:hint="eastAsia"/>
          <w:highlight w:val="none"/>
        </w:rPr>
        <w:t>若要采用其他评标方法的，必须报经政府采购监督管理部门批准，谈判小组按批准的评标方法进行评审。谈判邀请文件中应注明批准的评标方法。</w:t>
      </w:r>
    </w:p>
    <w:p>
      <w:pPr>
        <w:pStyle w:val="329"/>
        <w:rPr>
          <w:highlight w:val="none"/>
        </w:rPr>
      </w:pPr>
      <w:r>
        <w:rPr>
          <w:rFonts w:hint="eastAsia"/>
          <w:highlight w:val="none"/>
        </w:rPr>
        <w:t>谈判小组向采购代理机构提交书面评标报告，并推荐候选中标供应商或确定中标人。</w:t>
      </w:r>
    </w:p>
    <w:p>
      <w:pPr>
        <w:pStyle w:val="326"/>
        <w:rPr>
          <w:highlight w:val="none"/>
        </w:rPr>
      </w:pPr>
      <w:r>
        <w:rPr>
          <w:rFonts w:hint="eastAsia"/>
          <w:highlight w:val="none"/>
        </w:rPr>
        <w:t>公开招标失败项目转为单一来源谈判方式采购</w:t>
      </w:r>
    </w:p>
    <w:p>
      <w:pPr>
        <w:pStyle w:val="328"/>
        <w:rPr>
          <w:highlight w:val="none"/>
        </w:rPr>
      </w:pPr>
      <w:r>
        <w:rPr>
          <w:rFonts w:hint="eastAsia"/>
          <w:highlight w:val="none"/>
        </w:rPr>
        <w:t>谈判文件</w:t>
      </w:r>
    </w:p>
    <w:p>
      <w:pPr>
        <w:pStyle w:val="329"/>
        <w:rPr>
          <w:highlight w:val="none"/>
        </w:rPr>
      </w:pPr>
      <w:r>
        <w:rPr>
          <w:rFonts w:hint="eastAsia"/>
          <w:highlight w:val="none"/>
        </w:rPr>
        <w:t>公开招标失败项目转为单一来源谈判方式采购的，原招标文件转为谈判文件。</w:t>
      </w:r>
    </w:p>
    <w:p>
      <w:pPr>
        <w:pStyle w:val="328"/>
        <w:rPr>
          <w:highlight w:val="none"/>
        </w:rPr>
      </w:pPr>
      <w:r>
        <w:rPr>
          <w:rFonts w:hint="eastAsia"/>
          <w:highlight w:val="none"/>
        </w:rPr>
        <w:t>谈判小组</w:t>
      </w:r>
    </w:p>
    <w:p>
      <w:pPr>
        <w:pStyle w:val="329"/>
        <w:rPr>
          <w:highlight w:val="none"/>
        </w:rPr>
      </w:pPr>
      <w:r>
        <w:rPr>
          <w:rFonts w:hint="eastAsia"/>
          <w:highlight w:val="none"/>
        </w:rPr>
        <w:t>公开招标失败项目转为单一来源谈判方式采购后，评标委员会转为谈判小组，专家可重新抽取也可继续采用评标委员会内专家。</w:t>
      </w:r>
    </w:p>
    <w:p>
      <w:pPr>
        <w:pStyle w:val="329"/>
        <w:rPr>
          <w:highlight w:val="none"/>
        </w:rPr>
      </w:pPr>
      <w:r>
        <w:rPr>
          <w:rFonts w:hint="eastAsia"/>
          <w:highlight w:val="none"/>
        </w:rPr>
        <w:t>谈判前，谈判小组将对单一来源供应商的谈判应答文件进行审查，当谈判应答文件出现下列情况之一的将视为无效，按投标无效处理，不得进入谈判，具体内容见原招标文件中“资格、符合性评审条款”部分以及谈判邀请中相应的变动部分。</w:t>
      </w:r>
    </w:p>
    <w:p>
      <w:pPr>
        <w:pStyle w:val="328"/>
        <w:rPr>
          <w:highlight w:val="none"/>
        </w:rPr>
      </w:pPr>
      <w:r>
        <w:rPr>
          <w:rFonts w:hint="eastAsia"/>
          <w:highlight w:val="none"/>
        </w:rPr>
        <w:t>谈判程序</w:t>
      </w:r>
    </w:p>
    <w:p>
      <w:pPr>
        <w:pStyle w:val="329"/>
        <w:rPr>
          <w:highlight w:val="none"/>
        </w:rPr>
      </w:pPr>
      <w:r>
        <w:rPr>
          <w:rFonts w:hint="eastAsia"/>
          <w:highlight w:val="none"/>
        </w:rPr>
        <w:t>参加谈判的供应商和谈判小组成员填写谈判登记表，并交验证明文件（法定代表人证明书、法人授权委托书、被授权的谈判代表身份证原件）。</w:t>
      </w:r>
    </w:p>
    <w:p>
      <w:pPr>
        <w:pStyle w:val="329"/>
        <w:rPr>
          <w:highlight w:val="none"/>
        </w:rPr>
      </w:pPr>
      <w:r>
        <w:rPr>
          <w:rFonts w:hint="eastAsia"/>
          <w:highlight w:val="none"/>
        </w:rPr>
        <w:t>谈判小组主持人宣布谈判规则和谈判纪律。</w:t>
      </w:r>
    </w:p>
    <w:p>
      <w:pPr>
        <w:pStyle w:val="329"/>
        <w:rPr>
          <w:highlight w:val="none"/>
        </w:rPr>
      </w:pPr>
      <w:r>
        <w:rPr>
          <w:rFonts w:hint="eastAsia"/>
          <w:highlight w:val="none"/>
        </w:rPr>
        <w:t>在谈判中，谈判小组将就以下谈判内容跟供应商进行谈判：</w:t>
      </w:r>
    </w:p>
    <w:p>
      <w:pPr>
        <w:pStyle w:val="305"/>
        <w:rPr>
          <w:highlight w:val="none"/>
        </w:rPr>
      </w:pPr>
      <w:r>
        <w:rPr>
          <w:rFonts w:hint="eastAsia"/>
          <w:highlight w:val="none"/>
        </w:rPr>
        <w:t>（</w:t>
      </w:r>
      <w:r>
        <w:rPr>
          <w:highlight w:val="none"/>
        </w:rPr>
        <w:t>1</w:t>
      </w:r>
      <w:r>
        <w:rPr>
          <w:rFonts w:hint="eastAsia"/>
          <w:highlight w:val="none"/>
        </w:rPr>
        <w:t>）项目方案；</w:t>
      </w:r>
    </w:p>
    <w:p>
      <w:pPr>
        <w:pStyle w:val="305"/>
        <w:rPr>
          <w:highlight w:val="none"/>
        </w:rPr>
      </w:pPr>
      <w:r>
        <w:rPr>
          <w:rFonts w:hint="eastAsia"/>
          <w:highlight w:val="none"/>
        </w:rPr>
        <w:t>（2）报价；</w:t>
      </w:r>
    </w:p>
    <w:p>
      <w:pPr>
        <w:pStyle w:val="305"/>
        <w:rPr>
          <w:highlight w:val="none"/>
        </w:rPr>
      </w:pPr>
      <w:r>
        <w:rPr>
          <w:rFonts w:hint="eastAsia"/>
          <w:highlight w:val="none"/>
        </w:rPr>
        <w:t>（3）其它相关事项。</w:t>
      </w:r>
    </w:p>
    <w:p>
      <w:pPr>
        <w:pStyle w:val="329"/>
        <w:rPr>
          <w:highlight w:val="none"/>
        </w:rPr>
      </w:pPr>
      <w:r>
        <w:rPr>
          <w:rFonts w:hint="eastAsia"/>
          <w:highlight w:val="none"/>
        </w:rPr>
        <w:t>原招标文件或谈判邀请文件有实质性变动的，谈判小组应当通过采购代理机构通知供应商。</w:t>
      </w:r>
    </w:p>
    <w:p>
      <w:pPr>
        <w:pStyle w:val="329"/>
        <w:rPr>
          <w:highlight w:val="none"/>
        </w:rPr>
      </w:pPr>
      <w:r>
        <w:rPr>
          <w:rFonts w:hint="eastAsia"/>
          <w:highlight w:val="none"/>
        </w:rPr>
        <w:t>谈判小组可以用书面形式要求供应商对其谈判应答文件含义不明确的内容作必要的澄清或者说明，重要问题供应商应以书面形式进行澄清、说明。</w:t>
      </w:r>
    </w:p>
    <w:p>
      <w:pPr>
        <w:pStyle w:val="329"/>
        <w:rPr>
          <w:highlight w:val="none"/>
        </w:rPr>
      </w:pPr>
      <w:r>
        <w:rPr>
          <w:rFonts w:hint="eastAsia"/>
          <w:highlight w:val="none"/>
        </w:rPr>
        <w:t>允许供应商在谈判结束之前根据谈判小组提出的内容进行澄清、修改或完善，或对项目方案进行相应的调整。</w:t>
      </w:r>
    </w:p>
    <w:p>
      <w:pPr>
        <w:pStyle w:val="329"/>
        <w:rPr>
          <w:highlight w:val="none"/>
        </w:rPr>
      </w:pPr>
      <w:r>
        <w:rPr>
          <w:rFonts w:hint="eastAsia"/>
          <w:highlight w:val="none"/>
        </w:rPr>
        <w:t>供应商对谈判应答文件进行修改，都应形成文字材料，并经供应商谈判授权人签字认可。</w:t>
      </w:r>
    </w:p>
    <w:p>
      <w:pPr>
        <w:pStyle w:val="329"/>
        <w:rPr>
          <w:highlight w:val="none"/>
        </w:rPr>
      </w:pPr>
      <w:r>
        <w:rPr>
          <w:rFonts w:hint="eastAsia"/>
          <w:highlight w:val="none"/>
        </w:rPr>
        <w:t>谈判小组与单一来源供应商进行谈判。供应商有两次更改机会；供应商应在规定的时间内提出最后更改及书面承诺。</w:t>
      </w:r>
    </w:p>
    <w:p>
      <w:pPr>
        <w:pStyle w:val="329"/>
        <w:rPr>
          <w:highlight w:val="none"/>
        </w:rPr>
      </w:pPr>
      <w:r>
        <w:rPr>
          <w:rFonts w:hint="eastAsia"/>
          <w:highlight w:val="none"/>
        </w:rPr>
        <w:t>有下列情形之一的，供应商的谈判结果作投标无效处理，具体内容见原招标文件中不符合“资格、符合性评审条款”部分以及谈判邀请中相应的变动部分。</w:t>
      </w:r>
    </w:p>
    <w:p>
      <w:pPr>
        <w:pStyle w:val="329"/>
        <w:rPr>
          <w:highlight w:val="none"/>
        </w:rPr>
      </w:pPr>
      <w:r>
        <w:rPr>
          <w:rFonts w:hint="eastAsia"/>
          <w:highlight w:val="none"/>
        </w:rPr>
        <w:t>谈判结束后，谈判小组根据供应商提供的谈判应答文件、谈判过程中产生的相关资料，对供应商谈判应答文件进行评估与比较，提出书面评审意见。</w:t>
      </w:r>
    </w:p>
    <w:p>
      <w:pPr>
        <w:pStyle w:val="329"/>
        <w:rPr>
          <w:highlight w:val="none"/>
        </w:rPr>
      </w:pPr>
      <w:r>
        <w:rPr>
          <w:rFonts w:hint="eastAsia"/>
          <w:highlight w:val="none"/>
        </w:rPr>
        <w:t>谈判小组将对谈判过程进行记录，以存档备查。</w:t>
      </w:r>
    </w:p>
    <w:p>
      <w:pPr>
        <w:pStyle w:val="328"/>
        <w:rPr>
          <w:highlight w:val="none"/>
        </w:rPr>
      </w:pPr>
      <w:r>
        <w:rPr>
          <w:rFonts w:hint="eastAsia"/>
          <w:highlight w:val="none"/>
        </w:rPr>
        <w:t>45.4评标方法和定标原则</w:t>
      </w:r>
    </w:p>
    <w:p>
      <w:pPr>
        <w:pStyle w:val="329"/>
        <w:rPr>
          <w:highlight w:val="none"/>
        </w:rPr>
      </w:pPr>
      <w:r>
        <w:rPr>
          <w:rFonts w:hint="eastAsia"/>
          <w:highlight w:val="none"/>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pStyle w:val="329"/>
        <w:rPr>
          <w:highlight w:val="none"/>
        </w:rPr>
      </w:pPr>
      <w:r>
        <w:rPr>
          <w:rFonts w:hint="eastAsia"/>
          <w:highlight w:val="none"/>
        </w:rPr>
        <w:t>谈判小组向采购代理机构提交书面评标报告，并推荐候选中标供应商或确定中标人。</w:t>
      </w:r>
    </w:p>
    <w:p>
      <w:pPr>
        <w:pStyle w:val="309"/>
        <w:rPr>
          <w:highlight w:val="none"/>
        </w:rPr>
      </w:pPr>
      <w:bookmarkStart w:id="114" w:name="_Toc41557717"/>
      <w:bookmarkStart w:id="115" w:name="_Toc67387154"/>
      <w:r>
        <w:rPr>
          <w:rFonts w:hint="eastAsia"/>
          <w:highlight w:val="none"/>
        </w:rPr>
        <w:t>第九章 合同的授予与备案</w:t>
      </w:r>
      <w:bookmarkEnd w:id="114"/>
      <w:bookmarkEnd w:id="115"/>
    </w:p>
    <w:p>
      <w:pPr>
        <w:pStyle w:val="326"/>
        <w:rPr>
          <w:highlight w:val="none"/>
        </w:rPr>
      </w:pPr>
      <w:r>
        <w:rPr>
          <w:rFonts w:hint="eastAsia"/>
          <w:highlight w:val="none"/>
        </w:rPr>
        <w:t>履约担保</w:t>
      </w:r>
    </w:p>
    <w:p>
      <w:pPr>
        <w:pStyle w:val="328"/>
        <w:rPr>
          <w:highlight w:val="none"/>
        </w:rPr>
      </w:pPr>
      <w:r>
        <w:rPr>
          <w:rFonts w:hint="eastAsia"/>
          <w:highlight w:val="none"/>
        </w:rPr>
        <w:t>本项目履约担保的相关要求：详见“投标须知前附表”。</w:t>
      </w:r>
    </w:p>
    <w:p>
      <w:pPr>
        <w:pStyle w:val="328"/>
        <w:rPr>
          <w:highlight w:val="none"/>
        </w:rPr>
      </w:pPr>
      <w:r>
        <w:rPr>
          <w:rFonts w:hint="eastAsia"/>
          <w:highlight w:val="none"/>
        </w:rPr>
        <w:t>在签订合同前，中标人应按规定向采购人提交履约担保，采用履约保函形式的可参照使用本招标文件提供的格式。</w:t>
      </w:r>
    </w:p>
    <w:p>
      <w:pPr>
        <w:pStyle w:val="328"/>
        <w:rPr>
          <w:highlight w:val="none"/>
        </w:rPr>
      </w:pPr>
      <w:r>
        <w:rPr>
          <w:rFonts w:hint="eastAsia"/>
          <w:highlight w:val="none"/>
        </w:rPr>
        <w:t>联合体中标的，其履约担保由联合体牵头人提交，并应符合本节第42.1条、第45.2条的规定。</w:t>
      </w:r>
    </w:p>
    <w:p>
      <w:pPr>
        <w:pStyle w:val="328"/>
        <w:rPr>
          <w:highlight w:val="none"/>
        </w:rPr>
      </w:pPr>
      <w:r>
        <w:rPr>
          <w:rFonts w:hint="eastAsia"/>
          <w:highlight w:val="none"/>
        </w:rPr>
        <w:t>如果中标人拒不提交本节第42.1条、第42.2条要求的履约担保的，采购人可取消其中标资格，并没收其投标担保。</w:t>
      </w:r>
    </w:p>
    <w:p>
      <w:pPr>
        <w:pStyle w:val="326"/>
        <w:rPr>
          <w:highlight w:val="none"/>
        </w:rPr>
      </w:pPr>
      <w:r>
        <w:rPr>
          <w:rFonts w:hint="eastAsia"/>
          <w:highlight w:val="none"/>
        </w:rPr>
        <w:t>签订合同</w:t>
      </w:r>
    </w:p>
    <w:p>
      <w:pPr>
        <w:pStyle w:val="328"/>
        <w:rPr>
          <w:highlight w:val="none"/>
        </w:rPr>
      </w:pPr>
      <w:r>
        <w:rPr>
          <w:rFonts w:hint="eastAsia"/>
          <w:highlight w:val="none"/>
        </w:rPr>
        <w:t>采购人和中标人应当按“投标须知前附表”的规定，依据招标文件和中标人的投标文件订立书面合同。</w:t>
      </w:r>
    </w:p>
    <w:p>
      <w:pPr>
        <w:pStyle w:val="328"/>
        <w:rPr>
          <w:highlight w:val="none"/>
        </w:rPr>
      </w:pPr>
      <w:r>
        <w:rPr>
          <w:rFonts w:hint="eastAsia"/>
          <w:highlight w:val="none"/>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309"/>
        <w:rPr>
          <w:highlight w:val="none"/>
        </w:rPr>
      </w:pPr>
      <w:bookmarkStart w:id="116" w:name="_Toc67387155"/>
      <w:bookmarkStart w:id="117" w:name="_Toc41557718"/>
      <w:r>
        <w:rPr>
          <w:rFonts w:hint="eastAsia"/>
          <w:highlight w:val="none"/>
        </w:rPr>
        <w:t>第十章 质疑受理</w:t>
      </w:r>
      <w:bookmarkEnd w:id="116"/>
      <w:bookmarkEnd w:id="117"/>
    </w:p>
    <w:p>
      <w:pPr>
        <w:pStyle w:val="326"/>
        <w:rPr>
          <w:highlight w:val="none"/>
        </w:rPr>
      </w:pPr>
      <w:r>
        <w:rPr>
          <w:rFonts w:hint="eastAsia"/>
          <w:highlight w:val="none"/>
        </w:rPr>
        <w:t>质疑受理机构</w:t>
      </w:r>
    </w:p>
    <w:p>
      <w:pPr>
        <w:pStyle w:val="328"/>
        <w:rPr>
          <w:highlight w:val="none"/>
        </w:rPr>
      </w:pPr>
      <w:r>
        <w:rPr>
          <w:rFonts w:hint="eastAsia"/>
          <w:highlight w:val="none"/>
        </w:rPr>
        <w:t>采购代理机构及采购人</w:t>
      </w:r>
      <w:r>
        <w:rPr>
          <w:highlight w:val="none"/>
        </w:rPr>
        <w:t>负责受理和答复质疑。</w:t>
      </w:r>
    </w:p>
    <w:p>
      <w:pPr>
        <w:pStyle w:val="326"/>
        <w:rPr>
          <w:highlight w:val="none"/>
        </w:rPr>
      </w:pPr>
      <w:r>
        <w:rPr>
          <w:rFonts w:hint="eastAsia"/>
          <w:highlight w:val="none"/>
        </w:rPr>
        <w:t>质疑处理原则</w:t>
      </w:r>
    </w:p>
    <w:p>
      <w:pPr>
        <w:pStyle w:val="328"/>
        <w:rPr>
          <w:highlight w:val="none"/>
        </w:rPr>
      </w:pPr>
      <w:r>
        <w:rPr>
          <w:highlight w:val="none"/>
        </w:rPr>
        <w:t>质疑处理遵循公平、公正、规范、高效的原则。</w:t>
      </w:r>
    </w:p>
    <w:p>
      <w:pPr>
        <w:pStyle w:val="328"/>
        <w:rPr>
          <w:highlight w:val="none"/>
        </w:rPr>
      </w:pPr>
      <w:r>
        <w:rPr>
          <w:highlight w:val="none"/>
        </w:rPr>
        <w:t>供应商质疑实行实名制和“谁质疑，谁举证”的原则，质疑应有具体的事项及事实根据。</w:t>
      </w:r>
    </w:p>
    <w:p>
      <w:pPr>
        <w:pStyle w:val="326"/>
        <w:rPr>
          <w:highlight w:val="none"/>
        </w:rPr>
      </w:pPr>
      <w:r>
        <w:rPr>
          <w:rFonts w:hint="eastAsia"/>
          <w:highlight w:val="none"/>
        </w:rPr>
        <w:t>质疑受理的时效和范围</w:t>
      </w:r>
    </w:p>
    <w:p>
      <w:pPr>
        <w:pStyle w:val="328"/>
        <w:rPr>
          <w:highlight w:val="none"/>
        </w:rPr>
      </w:pPr>
      <w:r>
        <w:rPr>
          <w:rFonts w:hint="eastAsia"/>
          <w:highlight w:val="none"/>
        </w:rPr>
        <w:t>供应商认为采购文件、采购过程和中标、成交结果使自己权益受到损害的，可以在知道或者应知其权益受到损害之日起七个工作日内，以书面形式向采购代理机构提出质疑。</w:t>
      </w:r>
    </w:p>
    <w:p>
      <w:pPr>
        <w:pStyle w:val="328"/>
        <w:rPr>
          <w:highlight w:val="none"/>
        </w:rPr>
      </w:pPr>
      <w:r>
        <w:rPr>
          <w:rFonts w:hint="eastAsia"/>
          <w:highlight w:val="none"/>
        </w:rPr>
        <w:t>供应商对采购文件有疑问的，采购代理机构及采购人按答疑程序处理；供应商对采购文件有异议的，按质疑程序处理。</w:t>
      </w:r>
    </w:p>
    <w:p>
      <w:pPr>
        <w:pStyle w:val="326"/>
        <w:rPr>
          <w:highlight w:val="none"/>
        </w:rPr>
      </w:pPr>
      <w:r>
        <w:rPr>
          <w:rFonts w:hint="eastAsia"/>
          <w:highlight w:val="none"/>
        </w:rPr>
        <w:t>质疑条件</w:t>
      </w:r>
    </w:p>
    <w:p>
      <w:pPr>
        <w:pStyle w:val="328"/>
        <w:rPr>
          <w:highlight w:val="none"/>
        </w:rPr>
      </w:pPr>
      <w:r>
        <w:rPr>
          <w:rFonts w:hint="eastAsia"/>
          <w:highlight w:val="none"/>
        </w:rPr>
        <w:t>提出质疑的应是直接参与相应采购项目的供应商。以联合体形式参与的，由联合体共同提出；</w:t>
      </w:r>
    </w:p>
    <w:p>
      <w:pPr>
        <w:pStyle w:val="328"/>
        <w:rPr>
          <w:highlight w:val="none"/>
        </w:rPr>
      </w:pPr>
      <w:r>
        <w:rPr>
          <w:rFonts w:hint="eastAsia"/>
          <w:highlight w:val="none"/>
        </w:rPr>
        <w:t>提供质疑的项目名称和编号、质疑供应商的单位名称、详细地址、邮政编码、联系人及联系电话等基本情况；</w:t>
      </w:r>
    </w:p>
    <w:p>
      <w:pPr>
        <w:pStyle w:val="328"/>
        <w:rPr>
          <w:highlight w:val="none"/>
        </w:rPr>
      </w:pPr>
      <w:r>
        <w:rPr>
          <w:rFonts w:hint="eastAsia"/>
          <w:highlight w:val="none"/>
        </w:rPr>
        <w:t>有质疑的具体事项、请求及理由，并附相关证据材料；</w:t>
      </w:r>
    </w:p>
    <w:p>
      <w:pPr>
        <w:pStyle w:val="328"/>
        <w:rPr>
          <w:highlight w:val="none"/>
        </w:rPr>
      </w:pPr>
      <w:r>
        <w:rPr>
          <w:rFonts w:hint="eastAsia"/>
          <w:highlight w:val="none"/>
        </w:rPr>
        <w:t>质疑书加盖公章，被授权人进行质疑的同时提交法人授权委托书；</w:t>
      </w:r>
    </w:p>
    <w:p>
      <w:pPr>
        <w:pStyle w:val="328"/>
        <w:rPr>
          <w:highlight w:val="none"/>
        </w:rPr>
      </w:pPr>
      <w:r>
        <w:rPr>
          <w:rFonts w:hint="eastAsia"/>
          <w:highlight w:val="none"/>
        </w:rPr>
        <w:t>质疑材料中有外文资料的，应一并附上中文译本，并以中文译本为准。</w:t>
      </w:r>
    </w:p>
    <w:p>
      <w:pPr>
        <w:pStyle w:val="328"/>
        <w:rPr>
          <w:highlight w:val="none"/>
        </w:rPr>
      </w:pPr>
      <w:r>
        <w:rPr>
          <w:rFonts w:hint="eastAsia"/>
          <w:highlight w:val="none"/>
        </w:rPr>
        <w:t>质疑不得超过质疑受理的时效和范围。</w:t>
      </w:r>
    </w:p>
    <w:p>
      <w:pPr>
        <w:pStyle w:val="328"/>
        <w:rPr>
          <w:highlight w:val="none"/>
        </w:rPr>
      </w:pPr>
      <w:r>
        <w:rPr>
          <w:rFonts w:hint="eastAsia"/>
          <w:highlight w:val="none"/>
        </w:rPr>
        <w:t>不符合上述条件的，我采购代理机构不予受理。</w:t>
      </w:r>
    </w:p>
    <w:p>
      <w:pPr>
        <w:pStyle w:val="326"/>
        <w:rPr>
          <w:highlight w:val="none"/>
        </w:rPr>
      </w:pPr>
      <w:r>
        <w:rPr>
          <w:rFonts w:hint="eastAsia"/>
          <w:highlight w:val="none"/>
        </w:rPr>
        <w:t>受理质疑办理程序</w:t>
      </w:r>
    </w:p>
    <w:p>
      <w:pPr>
        <w:pStyle w:val="328"/>
        <w:rPr>
          <w:highlight w:val="none"/>
        </w:rPr>
      </w:pPr>
      <w:r>
        <w:rPr>
          <w:rFonts w:hint="eastAsia"/>
          <w:highlight w:val="none"/>
        </w:rPr>
        <w:t>先与质疑供应商进行沟通，以消除因误解或对采购规则和程序的不了解而引起的质疑。对沟通情况满意的，供应商撤回质疑，质疑处理程序终止。</w:t>
      </w:r>
    </w:p>
    <w:p>
      <w:pPr>
        <w:pStyle w:val="328"/>
        <w:rPr>
          <w:highlight w:val="none"/>
        </w:rPr>
      </w:pPr>
      <w:r>
        <w:rPr>
          <w:rFonts w:hint="eastAsia"/>
          <w:highlight w:val="none"/>
        </w:rPr>
        <w:t>处理质疑一般进行书面审查；必要时听取各方当事人的陈述和申辩、进行相关调查；组织原评标委员会或谈判小组进行复议。</w:t>
      </w:r>
    </w:p>
    <w:p>
      <w:pPr>
        <w:pStyle w:val="328"/>
        <w:rPr>
          <w:highlight w:val="none"/>
        </w:rPr>
      </w:pPr>
      <w:r>
        <w:rPr>
          <w:rFonts w:hint="eastAsia"/>
          <w:highlight w:val="none"/>
        </w:rPr>
        <w:t>在质疑处理期间，采购代理机构视情形决定暂停采购活动。</w:t>
      </w:r>
    </w:p>
    <w:p>
      <w:pPr>
        <w:pStyle w:val="328"/>
        <w:rPr>
          <w:highlight w:val="none"/>
        </w:rPr>
      </w:pPr>
      <w:r>
        <w:rPr>
          <w:rFonts w:hint="eastAsia"/>
          <w:highlight w:val="none"/>
        </w:rPr>
        <w:t>采购代理机构原则上在质疑受理之日起十个工作日内书面答复质疑供应商。答复函以直接领取、传真或邮寄方式送达。</w:t>
      </w:r>
    </w:p>
    <w:p>
      <w:pPr>
        <w:pStyle w:val="328"/>
        <w:rPr>
          <w:highlight w:val="none"/>
        </w:rPr>
      </w:pPr>
      <w:r>
        <w:rPr>
          <w:rFonts w:hint="eastAsia"/>
          <w:highlight w:val="none"/>
        </w:rPr>
        <w:t>供应商向采购代理机构提出质疑后，在质疑处理期限内，不得同时向其他方面提起同一质疑。质疑供应商如已就同一事项提起投诉、提请行政复议或诉讼的，质疑程序终止。</w:t>
      </w:r>
    </w:p>
    <w:p>
      <w:pPr>
        <w:pStyle w:val="326"/>
        <w:rPr>
          <w:highlight w:val="none"/>
        </w:rPr>
      </w:pPr>
      <w:r>
        <w:rPr>
          <w:rFonts w:hint="eastAsia"/>
          <w:highlight w:val="none"/>
        </w:rPr>
        <w:t>相关责任与义务</w:t>
      </w:r>
    </w:p>
    <w:p>
      <w:pPr>
        <w:pStyle w:val="328"/>
        <w:rPr>
          <w:highlight w:val="none"/>
        </w:rPr>
      </w:pPr>
      <w:r>
        <w:rPr>
          <w:rFonts w:hint="eastAsia"/>
          <w:highlight w:val="none"/>
        </w:rPr>
        <w:t>采购单位、评标专家和相关供应商等当事人应积极配合采购代理机构进行质疑调查，如实反映情况，及时提供证明材料。</w:t>
      </w:r>
    </w:p>
    <w:p>
      <w:pPr>
        <w:pStyle w:val="328"/>
        <w:rPr>
          <w:highlight w:val="none"/>
        </w:rPr>
      </w:pPr>
      <w:r>
        <w:rPr>
          <w:rFonts w:hint="eastAsia"/>
          <w:highlight w:val="none"/>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pStyle w:val="329"/>
        <w:rPr>
          <w:highlight w:val="none"/>
        </w:rPr>
      </w:pPr>
      <w:r>
        <w:rPr>
          <w:rFonts w:hint="eastAsia"/>
          <w:highlight w:val="none"/>
        </w:rPr>
        <w:t>捏造事实或提供虚假证明材料的；</w:t>
      </w:r>
    </w:p>
    <w:p>
      <w:pPr>
        <w:pStyle w:val="329"/>
        <w:rPr>
          <w:highlight w:val="none"/>
        </w:rPr>
      </w:pPr>
      <w:r>
        <w:rPr>
          <w:rFonts w:hint="eastAsia"/>
          <w:highlight w:val="none"/>
        </w:rPr>
        <w:t>假冒他人名义进行质疑的；</w:t>
      </w:r>
    </w:p>
    <w:p>
      <w:pPr>
        <w:pStyle w:val="329"/>
        <w:rPr>
          <w:highlight w:val="none"/>
        </w:rPr>
      </w:pPr>
      <w:r>
        <w:rPr>
          <w:rFonts w:hint="eastAsia"/>
          <w:highlight w:val="none"/>
        </w:rPr>
        <w:t>拒不配合进行有关调查、情节严重的。</w:t>
      </w:r>
    </w:p>
    <w:p>
      <w:pPr>
        <w:pStyle w:val="326"/>
        <w:rPr>
          <w:highlight w:val="none"/>
        </w:rPr>
      </w:pPr>
      <w:r>
        <w:rPr>
          <w:rFonts w:hint="eastAsia"/>
          <w:highlight w:val="none"/>
        </w:rPr>
        <w:t>其他</w:t>
      </w:r>
    </w:p>
    <w:p>
      <w:pPr>
        <w:pStyle w:val="328"/>
        <w:rPr>
          <w:highlight w:val="none"/>
        </w:rPr>
      </w:pPr>
      <w:r>
        <w:rPr>
          <w:rFonts w:hint="eastAsia"/>
          <w:highlight w:val="none"/>
        </w:rPr>
        <w:t>本招标文件的解释权归采购代理机构所有，采购代理机构在征得采购人或相关主管部门同意后，有权在法律允许范围内调整本次招标活动的细节及保留最终解释权。</w:t>
      </w:r>
    </w:p>
    <w:p>
      <w:pPr>
        <w:pStyle w:val="328"/>
        <w:rPr>
          <w:highlight w:val="none"/>
        </w:rPr>
      </w:pPr>
      <w:r>
        <w:rPr>
          <w:rFonts w:hint="eastAsia"/>
          <w:highlight w:val="none"/>
        </w:rPr>
        <w:t>采购代理机构向投标人提供的资料和数据，是采购代理机构现有的能供投标人利用的资料，采购代理机构对投标人由此而作出的推论、理解和结论概不负责。</w:t>
      </w:r>
    </w:p>
    <w:p>
      <w:pPr>
        <w:pStyle w:val="328"/>
        <w:rPr>
          <w:highlight w:val="none"/>
        </w:rPr>
      </w:pPr>
      <w:r>
        <w:rPr>
          <w:rFonts w:hint="eastAsia"/>
          <w:highlight w:val="none"/>
        </w:rPr>
        <w:t>如果投标人实质上不符合投标资格，即使已购买招标文件、参加投标并缴纳各种费用，采购代理机构或采购人可以随时取消其投标或中标资格，采购代理机构或采购人对该投标人的一切损失概不责任。</w:t>
      </w:r>
    </w:p>
    <w:p>
      <w:pPr>
        <w:pStyle w:val="328"/>
        <w:rPr>
          <w:highlight w:val="none"/>
        </w:rPr>
      </w:pPr>
      <w:r>
        <w:rPr>
          <w:rFonts w:hint="eastAsia"/>
          <w:highlight w:val="none"/>
        </w:rPr>
        <w:t>中标无效的，发出的中标通知书和签订的合同自始没有法律约束力，但不影响合同中存在的有关解决争议方法的条款的效力。</w:t>
      </w:r>
    </w:p>
    <w:p>
      <w:pPr>
        <w:pStyle w:val="328"/>
        <w:rPr>
          <w:highlight w:val="none"/>
        </w:rPr>
      </w:pPr>
      <w:r>
        <w:rPr>
          <w:rFonts w:hint="eastAsia"/>
          <w:highlight w:val="none"/>
        </w:rPr>
        <w:t>本招标文件所有的附件与本招标文件具有同等效力。</w:t>
      </w:r>
    </w:p>
    <w:sectPr>
      <w:pgSz w:w="11906" w:h="16838"/>
      <w:pgMar w:top="1134" w:right="1134" w:bottom="1134" w:left="1418" w:header="851" w:footer="992" w:gutter="0"/>
      <w:cols w:space="425" w:num="1"/>
      <w:titlePg/>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94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27</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3"/>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EC8EF"/>
    <w:multiLevelType w:val="singleLevel"/>
    <w:tmpl w:val="BBDEC8EF"/>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06C154E2"/>
    <w:multiLevelType w:val="multilevel"/>
    <w:tmpl w:val="06C154E2"/>
    <w:lvl w:ilvl="0" w:tentative="0">
      <w:start w:val="1"/>
      <w:numFmt w:val="chineseCountingThousand"/>
      <w:pStyle w:val="315"/>
      <w:suff w:val="nothing"/>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F0412C"/>
    <w:multiLevelType w:val="multilevel"/>
    <w:tmpl w:val="12F0412C"/>
    <w:lvl w:ilvl="0" w:tentative="0">
      <w:start w:val="1"/>
      <w:numFmt w:val="decimal"/>
      <w:suff w:val="nothing"/>
      <w:lvlText w:val="%1"/>
      <w:lvlJc w:val="left"/>
      <w:pPr>
        <w:ind w:left="0" w:firstLine="0"/>
      </w:pPr>
      <w:rPr>
        <w:rFonts w:hint="eastAsia" w:ascii="宋体" w:hAns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96850B8"/>
    <w:multiLevelType w:val="multilevel"/>
    <w:tmpl w:val="196850B8"/>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9881A83"/>
    <w:multiLevelType w:val="multilevel"/>
    <w:tmpl w:val="19881A83"/>
    <w:lvl w:ilvl="0" w:tentative="0">
      <w:start w:val="1"/>
      <w:numFmt w:val="decimal"/>
      <w:pStyle w:val="326"/>
      <w:suff w:val="nothing"/>
      <w:lvlText w:val="%1."/>
      <w:lvlJc w:val="left"/>
      <w:pPr>
        <w:ind w:left="0" w:firstLine="403"/>
      </w:pPr>
      <w:rPr>
        <w:rFonts w:hint="eastAsia"/>
      </w:rPr>
    </w:lvl>
    <w:lvl w:ilvl="1" w:tentative="0">
      <w:start w:val="1"/>
      <w:numFmt w:val="decimal"/>
      <w:pStyle w:val="328"/>
      <w:suff w:val="nothing"/>
      <w:lvlText w:val="%1.%2."/>
      <w:lvlJc w:val="left"/>
      <w:pPr>
        <w:ind w:left="0" w:firstLine="403"/>
      </w:pPr>
      <w:rPr>
        <w:rFonts w:hint="eastAsia"/>
      </w:rPr>
    </w:lvl>
    <w:lvl w:ilvl="2" w:tentative="0">
      <w:start w:val="1"/>
      <w:numFmt w:val="decimal"/>
      <w:pStyle w:val="329"/>
      <w:suff w:val="nothing"/>
      <w:lvlText w:val="%1.%2.%3."/>
      <w:lvlJc w:val="left"/>
      <w:pPr>
        <w:ind w:left="0" w:firstLine="403"/>
      </w:pPr>
      <w:rPr>
        <w:rFonts w:hint="eastAsia"/>
      </w:rPr>
    </w:lvl>
    <w:lvl w:ilvl="3" w:tentative="0">
      <w:start w:val="1"/>
      <w:numFmt w:val="decimal"/>
      <w:lvlText w:val="%1.%2.%3.%4."/>
      <w:lvlJc w:val="left"/>
      <w:pPr>
        <w:tabs>
          <w:tab w:val="left" w:pos="851"/>
        </w:tabs>
        <w:ind w:left="0" w:firstLine="403"/>
      </w:pPr>
      <w:rPr>
        <w:rFonts w:hint="eastAsia"/>
      </w:rPr>
    </w:lvl>
    <w:lvl w:ilvl="4" w:tentative="0">
      <w:start w:val="1"/>
      <w:numFmt w:val="decimal"/>
      <w:lvlText w:val="%1.%2.%3.%4.%5."/>
      <w:lvlJc w:val="left"/>
      <w:pPr>
        <w:tabs>
          <w:tab w:val="left" w:pos="992"/>
        </w:tabs>
        <w:ind w:left="0" w:firstLine="403"/>
      </w:pPr>
      <w:rPr>
        <w:rFonts w:hint="eastAsia"/>
      </w:rPr>
    </w:lvl>
    <w:lvl w:ilvl="5" w:tentative="0">
      <w:start w:val="1"/>
      <w:numFmt w:val="decimal"/>
      <w:lvlText w:val="%1.%2.%3.%4.%5.%6."/>
      <w:lvlJc w:val="left"/>
      <w:pPr>
        <w:tabs>
          <w:tab w:val="left" w:pos="1134"/>
        </w:tabs>
        <w:ind w:left="0" w:firstLine="403"/>
      </w:pPr>
      <w:rPr>
        <w:rFonts w:hint="eastAsia"/>
      </w:rPr>
    </w:lvl>
    <w:lvl w:ilvl="6" w:tentative="0">
      <w:start w:val="1"/>
      <w:numFmt w:val="decimal"/>
      <w:lvlText w:val="%1.%2.%3.%4.%5.%6.%7."/>
      <w:lvlJc w:val="left"/>
      <w:pPr>
        <w:tabs>
          <w:tab w:val="left" w:pos="1276"/>
        </w:tabs>
        <w:ind w:left="0" w:firstLine="403"/>
      </w:pPr>
      <w:rPr>
        <w:rFonts w:hint="eastAsia"/>
      </w:rPr>
    </w:lvl>
    <w:lvl w:ilvl="7" w:tentative="0">
      <w:start w:val="1"/>
      <w:numFmt w:val="decimal"/>
      <w:lvlText w:val="%1.%2.%3.%4.%5.%6.%7.%8."/>
      <w:lvlJc w:val="left"/>
      <w:pPr>
        <w:tabs>
          <w:tab w:val="left" w:pos="1418"/>
        </w:tabs>
        <w:ind w:left="0" w:firstLine="403"/>
      </w:pPr>
      <w:rPr>
        <w:rFonts w:hint="eastAsia"/>
      </w:rPr>
    </w:lvl>
    <w:lvl w:ilvl="8" w:tentative="0">
      <w:start w:val="1"/>
      <w:numFmt w:val="decimal"/>
      <w:lvlText w:val="%1.%2.%3.%4.%5.%6.%7.%8.%9."/>
      <w:lvlJc w:val="left"/>
      <w:pPr>
        <w:tabs>
          <w:tab w:val="left" w:pos="1559"/>
        </w:tabs>
        <w:ind w:left="0" w:firstLine="403"/>
      </w:pPr>
      <w:rPr>
        <w:rFonts w:hint="eastAsia"/>
      </w:rPr>
    </w:lvl>
  </w:abstractNum>
  <w:abstractNum w:abstractNumId="10">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17F3F51"/>
    <w:multiLevelType w:val="multilevel"/>
    <w:tmpl w:val="217F3F51"/>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840"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6">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7">
    <w:nsid w:val="367A1BE0"/>
    <w:multiLevelType w:val="singleLevel"/>
    <w:tmpl w:val="367A1BE0"/>
    <w:lvl w:ilvl="0" w:tentative="0">
      <w:start w:val="1"/>
      <w:numFmt w:val="decimal"/>
      <w:suff w:val="space"/>
      <w:lvlText w:val="%1."/>
      <w:lvlJc w:val="left"/>
    </w:lvl>
  </w:abstractNum>
  <w:abstractNum w:abstractNumId="18">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1">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2">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8B015B3"/>
    <w:multiLevelType w:val="multilevel"/>
    <w:tmpl w:val="58B015B3"/>
    <w:lvl w:ilvl="0" w:tentative="0">
      <w:start w:val="1"/>
      <w:numFmt w:val="decimal"/>
      <w:suff w:val="nothing"/>
      <w:lvlText w:val="%1"/>
      <w:lvlJc w:val="left"/>
      <w:pPr>
        <w:ind w:left="0" w:firstLine="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5">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6">
    <w:nsid w:val="64253DA1"/>
    <w:multiLevelType w:val="multilevel"/>
    <w:tmpl w:val="64253DA1"/>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7">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8">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9">
    <w:nsid w:val="6FAA0F15"/>
    <w:multiLevelType w:val="multilevel"/>
    <w:tmpl w:val="6FAA0F15"/>
    <w:lvl w:ilvl="0" w:tentative="0">
      <w:start w:val="1"/>
      <w:numFmt w:val="chineseCountingThousand"/>
      <w:pStyle w:val="332"/>
      <w:suff w:val="space"/>
      <w:lvlText w:val="第%1条"/>
      <w:lvlJc w:val="left"/>
      <w:pPr>
        <w:ind w:left="0" w:firstLine="422"/>
      </w:pPr>
      <w:rPr>
        <w:rFonts w:hint="eastAsia" w:ascii="宋体" w:hAnsi="宋体" w:eastAsia="宋体"/>
        <w:b/>
        <w:bCs/>
        <w:sz w:val="21"/>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0">
    <w:nsid w:val="726C71F1"/>
    <w:multiLevelType w:val="multilevel"/>
    <w:tmpl w:val="726C71F1"/>
    <w:lvl w:ilvl="0" w:tentative="0">
      <w:start w:val="1"/>
      <w:numFmt w:val="chineseCountingThousand"/>
      <w:pStyle w:val="319"/>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1">
    <w:nsid w:val="734F656C"/>
    <w:multiLevelType w:val="multilevel"/>
    <w:tmpl w:val="734F65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79F5A3E"/>
    <w:multiLevelType w:val="multilevel"/>
    <w:tmpl w:val="779F5A3E"/>
    <w:lvl w:ilvl="0" w:tentative="0">
      <w:start w:val="1"/>
      <w:numFmt w:val="decimal"/>
      <w:suff w:val="nothing"/>
      <w:lvlText w:val="%1"/>
      <w:lvlJc w:val="left"/>
      <w:pPr>
        <w:ind w:left="0" w:firstLine="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1"/>
  </w:num>
  <w:num w:numId="2">
    <w:abstractNumId w:val="18"/>
  </w:num>
  <w:num w:numId="3">
    <w:abstractNumId w:val="7"/>
  </w:num>
  <w:num w:numId="4">
    <w:abstractNumId w:val="10"/>
  </w:num>
  <w:num w:numId="5">
    <w:abstractNumId w:val="3"/>
  </w:num>
  <w:num w:numId="6">
    <w:abstractNumId w:val="13"/>
  </w:num>
  <w:num w:numId="7">
    <w:abstractNumId w:val="16"/>
    <w:lvlOverride w:ilvl="0">
      <w:lvl w:ilvl="0" w:tentative="1">
        <w:start w:val="1"/>
        <w:numFmt w:val="decimal"/>
        <w:pStyle w:val="115"/>
        <w:lvlText w:val="%1."/>
        <w:lvlJc w:val="left"/>
        <w:pPr>
          <w:tabs>
            <w:tab w:val="left" w:pos="420"/>
          </w:tabs>
          <w:ind w:left="0" w:firstLine="420"/>
        </w:pPr>
        <w:rPr>
          <w:rFonts w:hint="eastAsia"/>
        </w:rPr>
      </w:lvl>
    </w:lvlOverride>
    <w:lvlOverride w:ilvl="1">
      <w:lvl w:ilvl="1" w:tentative="1">
        <w:start w:val="1"/>
        <w:numFmt w:val="decimal"/>
        <w:pStyle w:val="116"/>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33"/>
  </w:num>
  <w:num w:numId="10">
    <w:abstractNumId w:val="4"/>
  </w:num>
  <w:num w:numId="11">
    <w:abstractNumId w:val="22"/>
  </w:num>
  <w:num w:numId="12">
    <w:abstractNumId w:val="25"/>
  </w:num>
  <w:num w:numId="13">
    <w:abstractNumId w:val="2"/>
  </w:num>
  <w:num w:numId="14">
    <w:abstractNumId w:val="34"/>
  </w:num>
  <w:num w:numId="15">
    <w:abstractNumId w:val="27"/>
  </w:num>
  <w:num w:numId="16">
    <w:abstractNumId w:val="15"/>
  </w:num>
  <w:num w:numId="17">
    <w:abstractNumId w:val="24"/>
  </w:num>
  <w:num w:numId="18">
    <w:abstractNumId w:val="28"/>
  </w:num>
  <w:num w:numId="19">
    <w:abstractNumId w:val="19"/>
  </w:num>
  <w:num w:numId="20">
    <w:abstractNumId w:val="14"/>
  </w:num>
  <w:num w:numId="21">
    <w:abstractNumId w:val="5"/>
  </w:num>
  <w:num w:numId="22">
    <w:abstractNumId w:val="30"/>
  </w:num>
  <w:num w:numId="23">
    <w:abstractNumId w:val="9"/>
  </w:num>
  <w:num w:numId="24">
    <w:abstractNumId w:val="29"/>
  </w:num>
  <w:num w:numId="25">
    <w:abstractNumId w:val="31"/>
  </w:num>
  <w:num w:numId="26">
    <w:abstractNumId w:val="26"/>
  </w:num>
  <w:num w:numId="27">
    <w:abstractNumId w:val="32"/>
  </w:num>
  <w:num w:numId="28">
    <w:abstractNumId w:val="23"/>
  </w:num>
  <w:num w:numId="29">
    <w:abstractNumId w:val="8"/>
  </w:num>
  <w:num w:numId="30">
    <w:abstractNumId w:val="6"/>
  </w:num>
  <w:num w:numId="31">
    <w:abstractNumId w:val="0"/>
  </w:num>
  <w:num w:numId="32">
    <w:abstractNumId w:val="17"/>
  </w:num>
  <w:num w:numId="33">
    <w:abstractNumId w:val="1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8E6"/>
    <w:rsid w:val="00000915"/>
    <w:rsid w:val="00000941"/>
    <w:rsid w:val="00000AFB"/>
    <w:rsid w:val="00000D22"/>
    <w:rsid w:val="00000DA4"/>
    <w:rsid w:val="000011F7"/>
    <w:rsid w:val="0000145B"/>
    <w:rsid w:val="0000159C"/>
    <w:rsid w:val="00001AEA"/>
    <w:rsid w:val="00001CE0"/>
    <w:rsid w:val="00002C01"/>
    <w:rsid w:val="00002DB5"/>
    <w:rsid w:val="00002F9F"/>
    <w:rsid w:val="00003242"/>
    <w:rsid w:val="000036F7"/>
    <w:rsid w:val="000038EB"/>
    <w:rsid w:val="00003CC2"/>
    <w:rsid w:val="00004225"/>
    <w:rsid w:val="00004251"/>
    <w:rsid w:val="00004654"/>
    <w:rsid w:val="00004677"/>
    <w:rsid w:val="0000488C"/>
    <w:rsid w:val="00004952"/>
    <w:rsid w:val="00004C87"/>
    <w:rsid w:val="00005215"/>
    <w:rsid w:val="00005790"/>
    <w:rsid w:val="00005A10"/>
    <w:rsid w:val="00005AB7"/>
    <w:rsid w:val="00005AFC"/>
    <w:rsid w:val="00006255"/>
    <w:rsid w:val="00006839"/>
    <w:rsid w:val="00006D66"/>
    <w:rsid w:val="00007531"/>
    <w:rsid w:val="00007E0C"/>
    <w:rsid w:val="00007FCD"/>
    <w:rsid w:val="00010102"/>
    <w:rsid w:val="00010129"/>
    <w:rsid w:val="00010A6F"/>
    <w:rsid w:val="00010CED"/>
    <w:rsid w:val="00011500"/>
    <w:rsid w:val="0001175B"/>
    <w:rsid w:val="000124E2"/>
    <w:rsid w:val="0001275D"/>
    <w:rsid w:val="000128AD"/>
    <w:rsid w:val="00012C0A"/>
    <w:rsid w:val="000132C1"/>
    <w:rsid w:val="00013FCB"/>
    <w:rsid w:val="00014026"/>
    <w:rsid w:val="00014E10"/>
    <w:rsid w:val="00014F58"/>
    <w:rsid w:val="000151D5"/>
    <w:rsid w:val="00015204"/>
    <w:rsid w:val="00015433"/>
    <w:rsid w:val="000154D8"/>
    <w:rsid w:val="00015968"/>
    <w:rsid w:val="00015E98"/>
    <w:rsid w:val="0001634A"/>
    <w:rsid w:val="00016D58"/>
    <w:rsid w:val="00017112"/>
    <w:rsid w:val="0001716B"/>
    <w:rsid w:val="0001792D"/>
    <w:rsid w:val="0001794C"/>
    <w:rsid w:val="00020150"/>
    <w:rsid w:val="00020321"/>
    <w:rsid w:val="000207D0"/>
    <w:rsid w:val="0002080C"/>
    <w:rsid w:val="0002084D"/>
    <w:rsid w:val="000208EF"/>
    <w:rsid w:val="000211EA"/>
    <w:rsid w:val="000218B0"/>
    <w:rsid w:val="000218B8"/>
    <w:rsid w:val="00021FA4"/>
    <w:rsid w:val="00022196"/>
    <w:rsid w:val="00022548"/>
    <w:rsid w:val="00022E19"/>
    <w:rsid w:val="000234B2"/>
    <w:rsid w:val="0002382E"/>
    <w:rsid w:val="00023975"/>
    <w:rsid w:val="0002401D"/>
    <w:rsid w:val="000244E1"/>
    <w:rsid w:val="000245FE"/>
    <w:rsid w:val="00024AF9"/>
    <w:rsid w:val="000252D1"/>
    <w:rsid w:val="00025429"/>
    <w:rsid w:val="00025673"/>
    <w:rsid w:val="00025E39"/>
    <w:rsid w:val="000265CD"/>
    <w:rsid w:val="00026A09"/>
    <w:rsid w:val="00027D88"/>
    <w:rsid w:val="000301E0"/>
    <w:rsid w:val="0003053A"/>
    <w:rsid w:val="000306B1"/>
    <w:rsid w:val="0003072D"/>
    <w:rsid w:val="00031196"/>
    <w:rsid w:val="0003142E"/>
    <w:rsid w:val="0003148B"/>
    <w:rsid w:val="00031700"/>
    <w:rsid w:val="00031D94"/>
    <w:rsid w:val="00031E25"/>
    <w:rsid w:val="00031F18"/>
    <w:rsid w:val="00031F6E"/>
    <w:rsid w:val="00032001"/>
    <w:rsid w:val="00032090"/>
    <w:rsid w:val="000325A7"/>
    <w:rsid w:val="00032AF9"/>
    <w:rsid w:val="00032B23"/>
    <w:rsid w:val="00032BA5"/>
    <w:rsid w:val="00032C22"/>
    <w:rsid w:val="0003373D"/>
    <w:rsid w:val="000339DE"/>
    <w:rsid w:val="00033B7B"/>
    <w:rsid w:val="00034B41"/>
    <w:rsid w:val="0003503F"/>
    <w:rsid w:val="00035163"/>
    <w:rsid w:val="00035A15"/>
    <w:rsid w:val="0003617B"/>
    <w:rsid w:val="00036E72"/>
    <w:rsid w:val="0003705B"/>
    <w:rsid w:val="00037281"/>
    <w:rsid w:val="000372DD"/>
    <w:rsid w:val="000377F6"/>
    <w:rsid w:val="00037F52"/>
    <w:rsid w:val="00037F54"/>
    <w:rsid w:val="0004000A"/>
    <w:rsid w:val="00040715"/>
    <w:rsid w:val="00040A4B"/>
    <w:rsid w:val="00040D3C"/>
    <w:rsid w:val="0004120F"/>
    <w:rsid w:val="000412AB"/>
    <w:rsid w:val="0004154A"/>
    <w:rsid w:val="00041B72"/>
    <w:rsid w:val="00041B9A"/>
    <w:rsid w:val="00041E1A"/>
    <w:rsid w:val="00041E58"/>
    <w:rsid w:val="00042BE4"/>
    <w:rsid w:val="00042CE2"/>
    <w:rsid w:val="00043131"/>
    <w:rsid w:val="0004348E"/>
    <w:rsid w:val="00043819"/>
    <w:rsid w:val="00043956"/>
    <w:rsid w:val="00043A89"/>
    <w:rsid w:val="00043F34"/>
    <w:rsid w:val="00044204"/>
    <w:rsid w:val="00044591"/>
    <w:rsid w:val="00044926"/>
    <w:rsid w:val="00044F3A"/>
    <w:rsid w:val="00045167"/>
    <w:rsid w:val="000451DF"/>
    <w:rsid w:val="0004538E"/>
    <w:rsid w:val="00045739"/>
    <w:rsid w:val="000457A8"/>
    <w:rsid w:val="00045AD6"/>
    <w:rsid w:val="0004685B"/>
    <w:rsid w:val="00046F68"/>
    <w:rsid w:val="0004790E"/>
    <w:rsid w:val="00047A43"/>
    <w:rsid w:val="00047EF0"/>
    <w:rsid w:val="0005087F"/>
    <w:rsid w:val="000510B6"/>
    <w:rsid w:val="0005157F"/>
    <w:rsid w:val="00051D3E"/>
    <w:rsid w:val="00051F3F"/>
    <w:rsid w:val="0005204E"/>
    <w:rsid w:val="00052798"/>
    <w:rsid w:val="00052BC1"/>
    <w:rsid w:val="000530A4"/>
    <w:rsid w:val="0005328F"/>
    <w:rsid w:val="00053715"/>
    <w:rsid w:val="0005381C"/>
    <w:rsid w:val="000538BE"/>
    <w:rsid w:val="00053A25"/>
    <w:rsid w:val="00054E27"/>
    <w:rsid w:val="0005506C"/>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095"/>
    <w:rsid w:val="000601F6"/>
    <w:rsid w:val="0006026B"/>
    <w:rsid w:val="000602D1"/>
    <w:rsid w:val="0006039A"/>
    <w:rsid w:val="00060CA8"/>
    <w:rsid w:val="00060E5A"/>
    <w:rsid w:val="000612D5"/>
    <w:rsid w:val="0006171E"/>
    <w:rsid w:val="00061AC1"/>
    <w:rsid w:val="00061BBA"/>
    <w:rsid w:val="00061BDE"/>
    <w:rsid w:val="00061DCB"/>
    <w:rsid w:val="0006267A"/>
    <w:rsid w:val="0006269C"/>
    <w:rsid w:val="00062882"/>
    <w:rsid w:val="00062BA0"/>
    <w:rsid w:val="00062C42"/>
    <w:rsid w:val="00062E92"/>
    <w:rsid w:val="00063131"/>
    <w:rsid w:val="000638E3"/>
    <w:rsid w:val="00063BC7"/>
    <w:rsid w:val="00063CD3"/>
    <w:rsid w:val="00063F40"/>
    <w:rsid w:val="00063FD9"/>
    <w:rsid w:val="00064AF3"/>
    <w:rsid w:val="00065FC1"/>
    <w:rsid w:val="00066377"/>
    <w:rsid w:val="0006640B"/>
    <w:rsid w:val="0006670C"/>
    <w:rsid w:val="00067317"/>
    <w:rsid w:val="00067390"/>
    <w:rsid w:val="00067A02"/>
    <w:rsid w:val="00067B7F"/>
    <w:rsid w:val="00067D5E"/>
    <w:rsid w:val="000702E0"/>
    <w:rsid w:val="00070409"/>
    <w:rsid w:val="0007051D"/>
    <w:rsid w:val="00070736"/>
    <w:rsid w:val="000709E4"/>
    <w:rsid w:val="00071793"/>
    <w:rsid w:val="00072DD1"/>
    <w:rsid w:val="00073180"/>
    <w:rsid w:val="000732C9"/>
    <w:rsid w:val="00073489"/>
    <w:rsid w:val="000736F6"/>
    <w:rsid w:val="00073E77"/>
    <w:rsid w:val="000740B8"/>
    <w:rsid w:val="0007455E"/>
    <w:rsid w:val="000750DC"/>
    <w:rsid w:val="0007542D"/>
    <w:rsid w:val="00075C4A"/>
    <w:rsid w:val="00076380"/>
    <w:rsid w:val="000764D8"/>
    <w:rsid w:val="00077188"/>
    <w:rsid w:val="0007777F"/>
    <w:rsid w:val="000777B6"/>
    <w:rsid w:val="00080925"/>
    <w:rsid w:val="0008103C"/>
    <w:rsid w:val="00081A6E"/>
    <w:rsid w:val="000820FF"/>
    <w:rsid w:val="00082667"/>
    <w:rsid w:val="00083479"/>
    <w:rsid w:val="0008398E"/>
    <w:rsid w:val="00083A13"/>
    <w:rsid w:val="00083AAF"/>
    <w:rsid w:val="00083DA4"/>
    <w:rsid w:val="00083DC6"/>
    <w:rsid w:val="0008409D"/>
    <w:rsid w:val="00084A85"/>
    <w:rsid w:val="00085023"/>
    <w:rsid w:val="0008505A"/>
    <w:rsid w:val="00085592"/>
    <w:rsid w:val="00085624"/>
    <w:rsid w:val="00085B5B"/>
    <w:rsid w:val="000862AC"/>
    <w:rsid w:val="000864B8"/>
    <w:rsid w:val="000869D8"/>
    <w:rsid w:val="00086A1E"/>
    <w:rsid w:val="00086C4F"/>
    <w:rsid w:val="00087A08"/>
    <w:rsid w:val="00090A99"/>
    <w:rsid w:val="00090F71"/>
    <w:rsid w:val="00091179"/>
    <w:rsid w:val="0009141A"/>
    <w:rsid w:val="0009154A"/>
    <w:rsid w:val="00091843"/>
    <w:rsid w:val="00091BDA"/>
    <w:rsid w:val="00091DAC"/>
    <w:rsid w:val="000924E5"/>
    <w:rsid w:val="00092590"/>
    <w:rsid w:val="0009269A"/>
    <w:rsid w:val="000927D9"/>
    <w:rsid w:val="00092CD0"/>
    <w:rsid w:val="00092FC7"/>
    <w:rsid w:val="00093003"/>
    <w:rsid w:val="00094373"/>
    <w:rsid w:val="00094A99"/>
    <w:rsid w:val="00094EB7"/>
    <w:rsid w:val="000950A7"/>
    <w:rsid w:val="00095368"/>
    <w:rsid w:val="00095480"/>
    <w:rsid w:val="000954D5"/>
    <w:rsid w:val="0009550F"/>
    <w:rsid w:val="00095747"/>
    <w:rsid w:val="00095778"/>
    <w:rsid w:val="00095A25"/>
    <w:rsid w:val="0009618D"/>
    <w:rsid w:val="000961F2"/>
    <w:rsid w:val="00096ED1"/>
    <w:rsid w:val="0009709B"/>
    <w:rsid w:val="00097545"/>
    <w:rsid w:val="0009778F"/>
    <w:rsid w:val="000A0441"/>
    <w:rsid w:val="000A0B8E"/>
    <w:rsid w:val="000A1206"/>
    <w:rsid w:val="000A15F4"/>
    <w:rsid w:val="000A1DFD"/>
    <w:rsid w:val="000A1ECE"/>
    <w:rsid w:val="000A21E9"/>
    <w:rsid w:val="000A2346"/>
    <w:rsid w:val="000A2470"/>
    <w:rsid w:val="000A2927"/>
    <w:rsid w:val="000A2B24"/>
    <w:rsid w:val="000A2C6D"/>
    <w:rsid w:val="000A48A7"/>
    <w:rsid w:val="000A5537"/>
    <w:rsid w:val="000A599B"/>
    <w:rsid w:val="000A63BC"/>
    <w:rsid w:val="000A6B4F"/>
    <w:rsid w:val="000A6BCB"/>
    <w:rsid w:val="000A6BD4"/>
    <w:rsid w:val="000A6EE8"/>
    <w:rsid w:val="000A6F39"/>
    <w:rsid w:val="000A71B6"/>
    <w:rsid w:val="000A7726"/>
    <w:rsid w:val="000A7F87"/>
    <w:rsid w:val="000B00F8"/>
    <w:rsid w:val="000B05E2"/>
    <w:rsid w:val="000B10EB"/>
    <w:rsid w:val="000B11E0"/>
    <w:rsid w:val="000B1345"/>
    <w:rsid w:val="000B2568"/>
    <w:rsid w:val="000B2BAE"/>
    <w:rsid w:val="000B2BB0"/>
    <w:rsid w:val="000B381C"/>
    <w:rsid w:val="000B3AFE"/>
    <w:rsid w:val="000B3E2A"/>
    <w:rsid w:val="000B3E92"/>
    <w:rsid w:val="000B428A"/>
    <w:rsid w:val="000B44C8"/>
    <w:rsid w:val="000B456B"/>
    <w:rsid w:val="000B4591"/>
    <w:rsid w:val="000B4777"/>
    <w:rsid w:val="000B4988"/>
    <w:rsid w:val="000B4A23"/>
    <w:rsid w:val="000B524E"/>
    <w:rsid w:val="000B5447"/>
    <w:rsid w:val="000B56CC"/>
    <w:rsid w:val="000B5B15"/>
    <w:rsid w:val="000B6142"/>
    <w:rsid w:val="000B6616"/>
    <w:rsid w:val="000B6961"/>
    <w:rsid w:val="000B69EB"/>
    <w:rsid w:val="000B6B59"/>
    <w:rsid w:val="000B6DE4"/>
    <w:rsid w:val="000B738D"/>
    <w:rsid w:val="000B73D3"/>
    <w:rsid w:val="000B7745"/>
    <w:rsid w:val="000B7AF7"/>
    <w:rsid w:val="000C0173"/>
    <w:rsid w:val="000C01EA"/>
    <w:rsid w:val="000C0559"/>
    <w:rsid w:val="000C0A07"/>
    <w:rsid w:val="000C1C71"/>
    <w:rsid w:val="000C1E5E"/>
    <w:rsid w:val="000C1EE4"/>
    <w:rsid w:val="000C2377"/>
    <w:rsid w:val="000C2446"/>
    <w:rsid w:val="000C2722"/>
    <w:rsid w:val="000C2983"/>
    <w:rsid w:val="000C2FC5"/>
    <w:rsid w:val="000C3224"/>
    <w:rsid w:val="000C32DF"/>
    <w:rsid w:val="000C3360"/>
    <w:rsid w:val="000C37DA"/>
    <w:rsid w:val="000C3C43"/>
    <w:rsid w:val="000C3D9C"/>
    <w:rsid w:val="000C427C"/>
    <w:rsid w:val="000C4425"/>
    <w:rsid w:val="000C5044"/>
    <w:rsid w:val="000C50BE"/>
    <w:rsid w:val="000C5129"/>
    <w:rsid w:val="000C580F"/>
    <w:rsid w:val="000C5B89"/>
    <w:rsid w:val="000C5F59"/>
    <w:rsid w:val="000C61EA"/>
    <w:rsid w:val="000C6975"/>
    <w:rsid w:val="000C6BA7"/>
    <w:rsid w:val="000C70F7"/>
    <w:rsid w:val="000C7CA5"/>
    <w:rsid w:val="000C7D81"/>
    <w:rsid w:val="000D056E"/>
    <w:rsid w:val="000D1003"/>
    <w:rsid w:val="000D1055"/>
    <w:rsid w:val="000D1275"/>
    <w:rsid w:val="000D12AA"/>
    <w:rsid w:val="000D1A7D"/>
    <w:rsid w:val="000D1C28"/>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3C2"/>
    <w:rsid w:val="000E27E1"/>
    <w:rsid w:val="000E2EC0"/>
    <w:rsid w:val="000E2F34"/>
    <w:rsid w:val="000E301B"/>
    <w:rsid w:val="000E34E1"/>
    <w:rsid w:val="000E35D4"/>
    <w:rsid w:val="000E3626"/>
    <w:rsid w:val="000E3B90"/>
    <w:rsid w:val="000E4687"/>
    <w:rsid w:val="000E4C05"/>
    <w:rsid w:val="000E4DE8"/>
    <w:rsid w:val="000E5CC7"/>
    <w:rsid w:val="000E60B2"/>
    <w:rsid w:val="000E69FE"/>
    <w:rsid w:val="000E6C5E"/>
    <w:rsid w:val="000E6C9A"/>
    <w:rsid w:val="000E6EC0"/>
    <w:rsid w:val="000E7D2D"/>
    <w:rsid w:val="000F0300"/>
    <w:rsid w:val="000F087F"/>
    <w:rsid w:val="000F179C"/>
    <w:rsid w:val="000F1FA3"/>
    <w:rsid w:val="000F2065"/>
    <w:rsid w:val="000F2359"/>
    <w:rsid w:val="000F2A88"/>
    <w:rsid w:val="000F2D1B"/>
    <w:rsid w:val="000F353A"/>
    <w:rsid w:val="000F3A80"/>
    <w:rsid w:val="000F3ADB"/>
    <w:rsid w:val="000F3FA1"/>
    <w:rsid w:val="000F4200"/>
    <w:rsid w:val="000F4351"/>
    <w:rsid w:val="000F45A9"/>
    <w:rsid w:val="000F4752"/>
    <w:rsid w:val="000F48D9"/>
    <w:rsid w:val="000F4B7E"/>
    <w:rsid w:val="000F4C57"/>
    <w:rsid w:val="000F4E82"/>
    <w:rsid w:val="000F4FAD"/>
    <w:rsid w:val="000F514E"/>
    <w:rsid w:val="000F51DA"/>
    <w:rsid w:val="000F5577"/>
    <w:rsid w:val="000F565B"/>
    <w:rsid w:val="000F57BF"/>
    <w:rsid w:val="000F5A30"/>
    <w:rsid w:val="000F5F3F"/>
    <w:rsid w:val="000F6124"/>
    <w:rsid w:val="000F67AA"/>
    <w:rsid w:val="000F7D24"/>
    <w:rsid w:val="000F7F23"/>
    <w:rsid w:val="0010004A"/>
    <w:rsid w:val="001005C3"/>
    <w:rsid w:val="001018E7"/>
    <w:rsid w:val="00101ACF"/>
    <w:rsid w:val="00101C3F"/>
    <w:rsid w:val="00101DD0"/>
    <w:rsid w:val="00102555"/>
    <w:rsid w:val="00102F06"/>
    <w:rsid w:val="00103308"/>
    <w:rsid w:val="0010339A"/>
    <w:rsid w:val="00103DFC"/>
    <w:rsid w:val="001047E8"/>
    <w:rsid w:val="00104B2A"/>
    <w:rsid w:val="00104BD5"/>
    <w:rsid w:val="00104F15"/>
    <w:rsid w:val="001051A9"/>
    <w:rsid w:val="001055FD"/>
    <w:rsid w:val="0010562D"/>
    <w:rsid w:val="00105B3E"/>
    <w:rsid w:val="00105BA0"/>
    <w:rsid w:val="00105CCD"/>
    <w:rsid w:val="001061D3"/>
    <w:rsid w:val="00106748"/>
    <w:rsid w:val="001068B3"/>
    <w:rsid w:val="001075B1"/>
    <w:rsid w:val="001078A4"/>
    <w:rsid w:val="00107958"/>
    <w:rsid w:val="00107D54"/>
    <w:rsid w:val="00110079"/>
    <w:rsid w:val="00110173"/>
    <w:rsid w:val="00110614"/>
    <w:rsid w:val="00110A90"/>
    <w:rsid w:val="0011108B"/>
    <w:rsid w:val="001111F7"/>
    <w:rsid w:val="00111A14"/>
    <w:rsid w:val="00111AE0"/>
    <w:rsid w:val="001123DA"/>
    <w:rsid w:val="00112E7A"/>
    <w:rsid w:val="00113890"/>
    <w:rsid w:val="001138DA"/>
    <w:rsid w:val="00113D88"/>
    <w:rsid w:val="00114744"/>
    <w:rsid w:val="00115711"/>
    <w:rsid w:val="001157B1"/>
    <w:rsid w:val="0011585F"/>
    <w:rsid w:val="00115A55"/>
    <w:rsid w:val="00115AD7"/>
    <w:rsid w:val="001167F1"/>
    <w:rsid w:val="00116971"/>
    <w:rsid w:val="00116C1E"/>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0"/>
    <w:rsid w:val="00125E74"/>
    <w:rsid w:val="00126080"/>
    <w:rsid w:val="001264D8"/>
    <w:rsid w:val="00126953"/>
    <w:rsid w:val="00126AD5"/>
    <w:rsid w:val="00126C43"/>
    <w:rsid w:val="00126E4A"/>
    <w:rsid w:val="00126EEB"/>
    <w:rsid w:val="00127777"/>
    <w:rsid w:val="00127D68"/>
    <w:rsid w:val="001305BF"/>
    <w:rsid w:val="001307D9"/>
    <w:rsid w:val="00130827"/>
    <w:rsid w:val="001308A2"/>
    <w:rsid w:val="00130C56"/>
    <w:rsid w:val="00131668"/>
    <w:rsid w:val="001318C4"/>
    <w:rsid w:val="001319AB"/>
    <w:rsid w:val="001321FC"/>
    <w:rsid w:val="0013288F"/>
    <w:rsid w:val="00132A32"/>
    <w:rsid w:val="00132C86"/>
    <w:rsid w:val="00132F55"/>
    <w:rsid w:val="00132FAF"/>
    <w:rsid w:val="001330B3"/>
    <w:rsid w:val="0013315D"/>
    <w:rsid w:val="001333A3"/>
    <w:rsid w:val="00133D2B"/>
    <w:rsid w:val="00133D89"/>
    <w:rsid w:val="00133F4C"/>
    <w:rsid w:val="001342FB"/>
    <w:rsid w:val="00134374"/>
    <w:rsid w:val="001343C8"/>
    <w:rsid w:val="00134AF9"/>
    <w:rsid w:val="00134B47"/>
    <w:rsid w:val="00134B53"/>
    <w:rsid w:val="00134C5F"/>
    <w:rsid w:val="00134D6D"/>
    <w:rsid w:val="0013562E"/>
    <w:rsid w:val="00135640"/>
    <w:rsid w:val="00135771"/>
    <w:rsid w:val="00136467"/>
    <w:rsid w:val="00136543"/>
    <w:rsid w:val="00136648"/>
    <w:rsid w:val="001375DE"/>
    <w:rsid w:val="00137694"/>
    <w:rsid w:val="00137D09"/>
    <w:rsid w:val="001400C7"/>
    <w:rsid w:val="0014046D"/>
    <w:rsid w:val="00140F01"/>
    <w:rsid w:val="00141596"/>
    <w:rsid w:val="00141CCD"/>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5C26"/>
    <w:rsid w:val="00146AE7"/>
    <w:rsid w:val="001471ED"/>
    <w:rsid w:val="00147350"/>
    <w:rsid w:val="00147AE8"/>
    <w:rsid w:val="00147B3F"/>
    <w:rsid w:val="00150829"/>
    <w:rsid w:val="00151B71"/>
    <w:rsid w:val="001520F3"/>
    <w:rsid w:val="00152CBF"/>
    <w:rsid w:val="0015305A"/>
    <w:rsid w:val="001530CC"/>
    <w:rsid w:val="001530FC"/>
    <w:rsid w:val="00153212"/>
    <w:rsid w:val="00153237"/>
    <w:rsid w:val="00153387"/>
    <w:rsid w:val="0015340E"/>
    <w:rsid w:val="0015359C"/>
    <w:rsid w:val="00154156"/>
    <w:rsid w:val="00154845"/>
    <w:rsid w:val="00154A21"/>
    <w:rsid w:val="00154CC9"/>
    <w:rsid w:val="00155965"/>
    <w:rsid w:val="001559C0"/>
    <w:rsid w:val="001560BF"/>
    <w:rsid w:val="001560F0"/>
    <w:rsid w:val="00156D80"/>
    <w:rsid w:val="00157361"/>
    <w:rsid w:val="0015788F"/>
    <w:rsid w:val="00157A54"/>
    <w:rsid w:val="00157BDA"/>
    <w:rsid w:val="00157E23"/>
    <w:rsid w:val="00157F18"/>
    <w:rsid w:val="00157FC3"/>
    <w:rsid w:val="0016005F"/>
    <w:rsid w:val="0016028E"/>
    <w:rsid w:val="00160352"/>
    <w:rsid w:val="00160819"/>
    <w:rsid w:val="00160854"/>
    <w:rsid w:val="00160B8F"/>
    <w:rsid w:val="00160DD2"/>
    <w:rsid w:val="00160EAC"/>
    <w:rsid w:val="001610A3"/>
    <w:rsid w:val="00161B15"/>
    <w:rsid w:val="00161C84"/>
    <w:rsid w:val="0016221D"/>
    <w:rsid w:val="001623F2"/>
    <w:rsid w:val="00162651"/>
    <w:rsid w:val="001626BD"/>
    <w:rsid w:val="00163075"/>
    <w:rsid w:val="001635AE"/>
    <w:rsid w:val="001635DB"/>
    <w:rsid w:val="00163604"/>
    <w:rsid w:val="0016379F"/>
    <w:rsid w:val="00163812"/>
    <w:rsid w:val="00163865"/>
    <w:rsid w:val="0016482C"/>
    <w:rsid w:val="0016483A"/>
    <w:rsid w:val="00164A38"/>
    <w:rsid w:val="00164E23"/>
    <w:rsid w:val="001650F8"/>
    <w:rsid w:val="00165222"/>
    <w:rsid w:val="00165768"/>
    <w:rsid w:val="0016595F"/>
    <w:rsid w:val="00165A06"/>
    <w:rsid w:val="00166372"/>
    <w:rsid w:val="00166A2C"/>
    <w:rsid w:val="00167E9C"/>
    <w:rsid w:val="00170E88"/>
    <w:rsid w:val="00171077"/>
    <w:rsid w:val="001715B6"/>
    <w:rsid w:val="0017276E"/>
    <w:rsid w:val="00172D74"/>
    <w:rsid w:val="0017320F"/>
    <w:rsid w:val="0017350C"/>
    <w:rsid w:val="001735A6"/>
    <w:rsid w:val="001739D1"/>
    <w:rsid w:val="001746C2"/>
    <w:rsid w:val="0017584B"/>
    <w:rsid w:val="00175AE4"/>
    <w:rsid w:val="00175B85"/>
    <w:rsid w:val="00175E0B"/>
    <w:rsid w:val="00175E43"/>
    <w:rsid w:val="00175EEA"/>
    <w:rsid w:val="00176286"/>
    <w:rsid w:val="00176657"/>
    <w:rsid w:val="00176BC7"/>
    <w:rsid w:val="00176EED"/>
    <w:rsid w:val="00176F9F"/>
    <w:rsid w:val="00177167"/>
    <w:rsid w:val="001775A3"/>
    <w:rsid w:val="00180511"/>
    <w:rsid w:val="00180E64"/>
    <w:rsid w:val="00180F96"/>
    <w:rsid w:val="00181682"/>
    <w:rsid w:val="00181F4B"/>
    <w:rsid w:val="0018205E"/>
    <w:rsid w:val="00182A09"/>
    <w:rsid w:val="00183354"/>
    <w:rsid w:val="001834DC"/>
    <w:rsid w:val="00183959"/>
    <w:rsid w:val="00183C79"/>
    <w:rsid w:val="00183C8B"/>
    <w:rsid w:val="00183E75"/>
    <w:rsid w:val="00183F5D"/>
    <w:rsid w:val="0018405F"/>
    <w:rsid w:val="00184465"/>
    <w:rsid w:val="001845CF"/>
    <w:rsid w:val="00184BF0"/>
    <w:rsid w:val="00184D10"/>
    <w:rsid w:val="001857BB"/>
    <w:rsid w:val="001865BB"/>
    <w:rsid w:val="001868B4"/>
    <w:rsid w:val="00186919"/>
    <w:rsid w:val="00187339"/>
    <w:rsid w:val="00187438"/>
    <w:rsid w:val="00187518"/>
    <w:rsid w:val="00187941"/>
    <w:rsid w:val="00187A32"/>
    <w:rsid w:val="001902DD"/>
    <w:rsid w:val="00190FB6"/>
    <w:rsid w:val="001912E3"/>
    <w:rsid w:val="001913D0"/>
    <w:rsid w:val="00191C85"/>
    <w:rsid w:val="00192A33"/>
    <w:rsid w:val="00193368"/>
    <w:rsid w:val="001933A1"/>
    <w:rsid w:val="00193911"/>
    <w:rsid w:val="001939F6"/>
    <w:rsid w:val="00194444"/>
    <w:rsid w:val="00194852"/>
    <w:rsid w:val="00194FD4"/>
    <w:rsid w:val="001952F2"/>
    <w:rsid w:val="0019560F"/>
    <w:rsid w:val="00195AC6"/>
    <w:rsid w:val="00195B0A"/>
    <w:rsid w:val="00195C22"/>
    <w:rsid w:val="00195D58"/>
    <w:rsid w:val="00195DE8"/>
    <w:rsid w:val="00195DED"/>
    <w:rsid w:val="00196B4E"/>
    <w:rsid w:val="0019785B"/>
    <w:rsid w:val="00197BE9"/>
    <w:rsid w:val="00197F24"/>
    <w:rsid w:val="00197F3E"/>
    <w:rsid w:val="001A01E7"/>
    <w:rsid w:val="001A0210"/>
    <w:rsid w:val="001A027A"/>
    <w:rsid w:val="001A0922"/>
    <w:rsid w:val="001A0926"/>
    <w:rsid w:val="001A0C05"/>
    <w:rsid w:val="001A0D2C"/>
    <w:rsid w:val="001A0E40"/>
    <w:rsid w:val="001A1039"/>
    <w:rsid w:val="001A30FB"/>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863"/>
    <w:rsid w:val="001A6A4F"/>
    <w:rsid w:val="001A6DDD"/>
    <w:rsid w:val="001A7298"/>
    <w:rsid w:val="001A76B7"/>
    <w:rsid w:val="001A7B3F"/>
    <w:rsid w:val="001B0379"/>
    <w:rsid w:val="001B0973"/>
    <w:rsid w:val="001B0C8A"/>
    <w:rsid w:val="001B0DE7"/>
    <w:rsid w:val="001B1339"/>
    <w:rsid w:val="001B13B3"/>
    <w:rsid w:val="001B17D4"/>
    <w:rsid w:val="001B197E"/>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DE"/>
    <w:rsid w:val="001C2140"/>
    <w:rsid w:val="001C2369"/>
    <w:rsid w:val="001C2493"/>
    <w:rsid w:val="001C2A9D"/>
    <w:rsid w:val="001C2C77"/>
    <w:rsid w:val="001C3021"/>
    <w:rsid w:val="001C3737"/>
    <w:rsid w:val="001C3A06"/>
    <w:rsid w:val="001C3CC2"/>
    <w:rsid w:val="001C3ECC"/>
    <w:rsid w:val="001C3F78"/>
    <w:rsid w:val="001C44BE"/>
    <w:rsid w:val="001C4592"/>
    <w:rsid w:val="001C49A3"/>
    <w:rsid w:val="001C4BD7"/>
    <w:rsid w:val="001C4D4E"/>
    <w:rsid w:val="001C5137"/>
    <w:rsid w:val="001C578F"/>
    <w:rsid w:val="001C5839"/>
    <w:rsid w:val="001C61B1"/>
    <w:rsid w:val="001C6AF5"/>
    <w:rsid w:val="001C6FFB"/>
    <w:rsid w:val="001C725D"/>
    <w:rsid w:val="001C753A"/>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58E1"/>
    <w:rsid w:val="001D58E5"/>
    <w:rsid w:val="001D5FAE"/>
    <w:rsid w:val="001D6191"/>
    <w:rsid w:val="001D650B"/>
    <w:rsid w:val="001D65A3"/>
    <w:rsid w:val="001D6CA4"/>
    <w:rsid w:val="001D7185"/>
    <w:rsid w:val="001D73A7"/>
    <w:rsid w:val="001D76AD"/>
    <w:rsid w:val="001D7A5C"/>
    <w:rsid w:val="001E086E"/>
    <w:rsid w:val="001E08AE"/>
    <w:rsid w:val="001E0B26"/>
    <w:rsid w:val="001E226F"/>
    <w:rsid w:val="001E24A9"/>
    <w:rsid w:val="001E2502"/>
    <w:rsid w:val="001E292F"/>
    <w:rsid w:val="001E2B56"/>
    <w:rsid w:val="001E3202"/>
    <w:rsid w:val="001E3448"/>
    <w:rsid w:val="001E3AB7"/>
    <w:rsid w:val="001E3C2F"/>
    <w:rsid w:val="001E474D"/>
    <w:rsid w:val="001E47E9"/>
    <w:rsid w:val="001E4CBA"/>
    <w:rsid w:val="001E4F0E"/>
    <w:rsid w:val="001E5210"/>
    <w:rsid w:val="001E53B7"/>
    <w:rsid w:val="001E5580"/>
    <w:rsid w:val="001E582A"/>
    <w:rsid w:val="001E5A81"/>
    <w:rsid w:val="001E5AFC"/>
    <w:rsid w:val="001E6263"/>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40A5"/>
    <w:rsid w:val="001F41F6"/>
    <w:rsid w:val="001F4EB8"/>
    <w:rsid w:val="001F59B4"/>
    <w:rsid w:val="001F59DC"/>
    <w:rsid w:val="001F6D9D"/>
    <w:rsid w:val="001F6E89"/>
    <w:rsid w:val="001F6F6A"/>
    <w:rsid w:val="001F7595"/>
    <w:rsid w:val="002001D6"/>
    <w:rsid w:val="0020064E"/>
    <w:rsid w:val="00200B34"/>
    <w:rsid w:val="00200B4C"/>
    <w:rsid w:val="00201290"/>
    <w:rsid w:val="00201810"/>
    <w:rsid w:val="002019F2"/>
    <w:rsid w:val="00201C2A"/>
    <w:rsid w:val="00201CDA"/>
    <w:rsid w:val="0020207C"/>
    <w:rsid w:val="002021A8"/>
    <w:rsid w:val="00202326"/>
    <w:rsid w:val="002027C7"/>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369"/>
    <w:rsid w:val="00207466"/>
    <w:rsid w:val="00207BDB"/>
    <w:rsid w:val="00207C8F"/>
    <w:rsid w:val="00210771"/>
    <w:rsid w:val="00210BDA"/>
    <w:rsid w:val="00210EF8"/>
    <w:rsid w:val="00211885"/>
    <w:rsid w:val="00211AB7"/>
    <w:rsid w:val="00211C59"/>
    <w:rsid w:val="00212B38"/>
    <w:rsid w:val="0021428F"/>
    <w:rsid w:val="00214715"/>
    <w:rsid w:val="00214CBB"/>
    <w:rsid w:val="002154D6"/>
    <w:rsid w:val="00215693"/>
    <w:rsid w:val="00215699"/>
    <w:rsid w:val="002159DE"/>
    <w:rsid w:val="00215C67"/>
    <w:rsid w:val="00215CE6"/>
    <w:rsid w:val="00215E99"/>
    <w:rsid w:val="00215F8F"/>
    <w:rsid w:val="0021637C"/>
    <w:rsid w:val="002166A6"/>
    <w:rsid w:val="002166D5"/>
    <w:rsid w:val="00216A61"/>
    <w:rsid w:val="00216BB6"/>
    <w:rsid w:val="00216C30"/>
    <w:rsid w:val="00217B45"/>
    <w:rsid w:val="00217F26"/>
    <w:rsid w:val="0022048B"/>
    <w:rsid w:val="00220692"/>
    <w:rsid w:val="00222078"/>
    <w:rsid w:val="002220D9"/>
    <w:rsid w:val="00222103"/>
    <w:rsid w:val="00222261"/>
    <w:rsid w:val="002223F5"/>
    <w:rsid w:val="00222616"/>
    <w:rsid w:val="00222D3C"/>
    <w:rsid w:val="002237D3"/>
    <w:rsid w:val="00223960"/>
    <w:rsid w:val="00223B07"/>
    <w:rsid w:val="0022435D"/>
    <w:rsid w:val="0022436A"/>
    <w:rsid w:val="00224E52"/>
    <w:rsid w:val="00225736"/>
    <w:rsid w:val="00225884"/>
    <w:rsid w:val="0022590D"/>
    <w:rsid w:val="00225E64"/>
    <w:rsid w:val="002267CE"/>
    <w:rsid w:val="00227018"/>
    <w:rsid w:val="002272AB"/>
    <w:rsid w:val="00227605"/>
    <w:rsid w:val="00227663"/>
    <w:rsid w:val="00227D47"/>
    <w:rsid w:val="00227D49"/>
    <w:rsid w:val="00227FC7"/>
    <w:rsid w:val="002304F9"/>
    <w:rsid w:val="00230C43"/>
    <w:rsid w:val="002314FD"/>
    <w:rsid w:val="00231740"/>
    <w:rsid w:val="002319E6"/>
    <w:rsid w:val="002325A8"/>
    <w:rsid w:val="00232DA1"/>
    <w:rsid w:val="00232E18"/>
    <w:rsid w:val="00232EED"/>
    <w:rsid w:val="002341F6"/>
    <w:rsid w:val="0023440D"/>
    <w:rsid w:val="0023451E"/>
    <w:rsid w:val="00234753"/>
    <w:rsid w:val="002347B1"/>
    <w:rsid w:val="00234DDE"/>
    <w:rsid w:val="00235059"/>
    <w:rsid w:val="0023552A"/>
    <w:rsid w:val="00235A21"/>
    <w:rsid w:val="00235B72"/>
    <w:rsid w:val="00235BBF"/>
    <w:rsid w:val="00235C11"/>
    <w:rsid w:val="00235D25"/>
    <w:rsid w:val="00235DF4"/>
    <w:rsid w:val="00235E13"/>
    <w:rsid w:val="00236E72"/>
    <w:rsid w:val="00236F13"/>
    <w:rsid w:val="0023706D"/>
    <w:rsid w:val="00237095"/>
    <w:rsid w:val="002372F4"/>
    <w:rsid w:val="002376FB"/>
    <w:rsid w:val="002377D2"/>
    <w:rsid w:val="00237B47"/>
    <w:rsid w:val="00237FEC"/>
    <w:rsid w:val="0024029A"/>
    <w:rsid w:val="002407C8"/>
    <w:rsid w:val="00240E2B"/>
    <w:rsid w:val="00240F69"/>
    <w:rsid w:val="00241699"/>
    <w:rsid w:val="002417F8"/>
    <w:rsid w:val="00241FC8"/>
    <w:rsid w:val="00242328"/>
    <w:rsid w:val="0024283F"/>
    <w:rsid w:val="00243011"/>
    <w:rsid w:val="0024324A"/>
    <w:rsid w:val="0024393F"/>
    <w:rsid w:val="00243D7D"/>
    <w:rsid w:val="002440FD"/>
    <w:rsid w:val="002446A3"/>
    <w:rsid w:val="0024472B"/>
    <w:rsid w:val="002449D0"/>
    <w:rsid w:val="00244E56"/>
    <w:rsid w:val="002452E7"/>
    <w:rsid w:val="002454BE"/>
    <w:rsid w:val="00245C4C"/>
    <w:rsid w:val="00246221"/>
    <w:rsid w:val="002463E0"/>
    <w:rsid w:val="00246447"/>
    <w:rsid w:val="00246971"/>
    <w:rsid w:val="00246A8C"/>
    <w:rsid w:val="00246CCD"/>
    <w:rsid w:val="00246D03"/>
    <w:rsid w:val="00246F8B"/>
    <w:rsid w:val="00247705"/>
    <w:rsid w:val="0024786E"/>
    <w:rsid w:val="002478E5"/>
    <w:rsid w:val="00247EE0"/>
    <w:rsid w:val="0025073C"/>
    <w:rsid w:val="00250F42"/>
    <w:rsid w:val="00250FAD"/>
    <w:rsid w:val="00250FD2"/>
    <w:rsid w:val="002518B6"/>
    <w:rsid w:val="00251A8F"/>
    <w:rsid w:val="00252488"/>
    <w:rsid w:val="002525D4"/>
    <w:rsid w:val="00253EA0"/>
    <w:rsid w:val="00254B44"/>
    <w:rsid w:val="00254E99"/>
    <w:rsid w:val="0025597B"/>
    <w:rsid w:val="00255BAF"/>
    <w:rsid w:val="00255C41"/>
    <w:rsid w:val="00256277"/>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D8"/>
    <w:rsid w:val="00262341"/>
    <w:rsid w:val="00262EB0"/>
    <w:rsid w:val="00262FD2"/>
    <w:rsid w:val="00263081"/>
    <w:rsid w:val="002632C8"/>
    <w:rsid w:val="00263607"/>
    <w:rsid w:val="00263874"/>
    <w:rsid w:val="00263D34"/>
    <w:rsid w:val="00263EF1"/>
    <w:rsid w:val="0026411A"/>
    <w:rsid w:val="002649C2"/>
    <w:rsid w:val="00264FC8"/>
    <w:rsid w:val="002654BF"/>
    <w:rsid w:val="002654E8"/>
    <w:rsid w:val="002656E1"/>
    <w:rsid w:val="00265CFF"/>
    <w:rsid w:val="002661CB"/>
    <w:rsid w:val="002662F8"/>
    <w:rsid w:val="002674E3"/>
    <w:rsid w:val="00267755"/>
    <w:rsid w:val="00267B24"/>
    <w:rsid w:val="002700B1"/>
    <w:rsid w:val="002705FE"/>
    <w:rsid w:val="00270649"/>
    <w:rsid w:val="002706F0"/>
    <w:rsid w:val="00270F75"/>
    <w:rsid w:val="00271224"/>
    <w:rsid w:val="002713DB"/>
    <w:rsid w:val="002715AC"/>
    <w:rsid w:val="00271B95"/>
    <w:rsid w:val="002720B4"/>
    <w:rsid w:val="00272219"/>
    <w:rsid w:val="0027238C"/>
    <w:rsid w:val="00272D7E"/>
    <w:rsid w:val="00273278"/>
    <w:rsid w:val="00273AFD"/>
    <w:rsid w:val="002741A0"/>
    <w:rsid w:val="00274502"/>
    <w:rsid w:val="002746D8"/>
    <w:rsid w:val="00275343"/>
    <w:rsid w:val="00275641"/>
    <w:rsid w:val="00275705"/>
    <w:rsid w:val="00275EDC"/>
    <w:rsid w:val="002762E6"/>
    <w:rsid w:val="00276AE0"/>
    <w:rsid w:val="00276D6A"/>
    <w:rsid w:val="002774A6"/>
    <w:rsid w:val="00277E64"/>
    <w:rsid w:val="0028002C"/>
    <w:rsid w:val="00280AB5"/>
    <w:rsid w:val="00280B32"/>
    <w:rsid w:val="00280BB5"/>
    <w:rsid w:val="002811A8"/>
    <w:rsid w:val="00281BD0"/>
    <w:rsid w:val="0028218E"/>
    <w:rsid w:val="002821E9"/>
    <w:rsid w:val="002822EF"/>
    <w:rsid w:val="00282360"/>
    <w:rsid w:val="00282B10"/>
    <w:rsid w:val="002832CE"/>
    <w:rsid w:val="00283329"/>
    <w:rsid w:val="00283707"/>
    <w:rsid w:val="00283A8F"/>
    <w:rsid w:val="00283CAD"/>
    <w:rsid w:val="002854FB"/>
    <w:rsid w:val="00285523"/>
    <w:rsid w:val="0028562A"/>
    <w:rsid w:val="002857C6"/>
    <w:rsid w:val="002857F9"/>
    <w:rsid w:val="0028643C"/>
    <w:rsid w:val="002868A6"/>
    <w:rsid w:val="002868BE"/>
    <w:rsid w:val="00286BA1"/>
    <w:rsid w:val="00286D26"/>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AA6"/>
    <w:rsid w:val="00293D6E"/>
    <w:rsid w:val="00293E79"/>
    <w:rsid w:val="0029421A"/>
    <w:rsid w:val="0029449E"/>
    <w:rsid w:val="00294C71"/>
    <w:rsid w:val="00294C8B"/>
    <w:rsid w:val="00294E8F"/>
    <w:rsid w:val="0029504D"/>
    <w:rsid w:val="0029570C"/>
    <w:rsid w:val="002959B8"/>
    <w:rsid w:val="00295AC9"/>
    <w:rsid w:val="0029618D"/>
    <w:rsid w:val="002965E0"/>
    <w:rsid w:val="00296F46"/>
    <w:rsid w:val="00296F8A"/>
    <w:rsid w:val="00297184"/>
    <w:rsid w:val="002A05C9"/>
    <w:rsid w:val="002A1143"/>
    <w:rsid w:val="002A12BA"/>
    <w:rsid w:val="002A1465"/>
    <w:rsid w:val="002A180F"/>
    <w:rsid w:val="002A1873"/>
    <w:rsid w:val="002A1954"/>
    <w:rsid w:val="002A1AE1"/>
    <w:rsid w:val="002A2060"/>
    <w:rsid w:val="002A276F"/>
    <w:rsid w:val="002A2857"/>
    <w:rsid w:val="002A2D7B"/>
    <w:rsid w:val="002A353A"/>
    <w:rsid w:val="002A367A"/>
    <w:rsid w:val="002A391D"/>
    <w:rsid w:val="002A3B40"/>
    <w:rsid w:val="002A40BC"/>
    <w:rsid w:val="002A4404"/>
    <w:rsid w:val="002A51E9"/>
    <w:rsid w:val="002A52E3"/>
    <w:rsid w:val="002A5353"/>
    <w:rsid w:val="002A5425"/>
    <w:rsid w:val="002A547D"/>
    <w:rsid w:val="002A556E"/>
    <w:rsid w:val="002A5B44"/>
    <w:rsid w:val="002A5C27"/>
    <w:rsid w:val="002A5CA0"/>
    <w:rsid w:val="002A63AF"/>
    <w:rsid w:val="002A65B9"/>
    <w:rsid w:val="002A6953"/>
    <w:rsid w:val="002A6A32"/>
    <w:rsid w:val="002A6AD1"/>
    <w:rsid w:val="002A6FBE"/>
    <w:rsid w:val="002A755A"/>
    <w:rsid w:val="002A7869"/>
    <w:rsid w:val="002A7B81"/>
    <w:rsid w:val="002A7BB5"/>
    <w:rsid w:val="002A7F5B"/>
    <w:rsid w:val="002B0D78"/>
    <w:rsid w:val="002B0D89"/>
    <w:rsid w:val="002B0F46"/>
    <w:rsid w:val="002B12E2"/>
    <w:rsid w:val="002B1BB2"/>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DA2"/>
    <w:rsid w:val="002B5A23"/>
    <w:rsid w:val="002B5C84"/>
    <w:rsid w:val="002B62C8"/>
    <w:rsid w:val="002B6450"/>
    <w:rsid w:val="002B65D8"/>
    <w:rsid w:val="002B6702"/>
    <w:rsid w:val="002B6B22"/>
    <w:rsid w:val="002B73B2"/>
    <w:rsid w:val="002B777D"/>
    <w:rsid w:val="002B7969"/>
    <w:rsid w:val="002C0500"/>
    <w:rsid w:val="002C06D1"/>
    <w:rsid w:val="002C0A48"/>
    <w:rsid w:val="002C0BB1"/>
    <w:rsid w:val="002C1CB2"/>
    <w:rsid w:val="002C1E38"/>
    <w:rsid w:val="002C282B"/>
    <w:rsid w:val="002C2DB8"/>
    <w:rsid w:val="002C3066"/>
    <w:rsid w:val="002C31E5"/>
    <w:rsid w:val="002C36FA"/>
    <w:rsid w:val="002C3BB3"/>
    <w:rsid w:val="002C3D9B"/>
    <w:rsid w:val="002C41DC"/>
    <w:rsid w:val="002C423C"/>
    <w:rsid w:val="002C4822"/>
    <w:rsid w:val="002C4CA9"/>
    <w:rsid w:val="002C5178"/>
    <w:rsid w:val="002C56C8"/>
    <w:rsid w:val="002C5736"/>
    <w:rsid w:val="002C59A7"/>
    <w:rsid w:val="002C5A63"/>
    <w:rsid w:val="002C5C77"/>
    <w:rsid w:val="002C5D55"/>
    <w:rsid w:val="002C5F30"/>
    <w:rsid w:val="002C612D"/>
    <w:rsid w:val="002C63F6"/>
    <w:rsid w:val="002C65FF"/>
    <w:rsid w:val="002C666D"/>
    <w:rsid w:val="002C6A32"/>
    <w:rsid w:val="002C6B9F"/>
    <w:rsid w:val="002C754B"/>
    <w:rsid w:val="002C763E"/>
    <w:rsid w:val="002C79D7"/>
    <w:rsid w:val="002C7D72"/>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F9B"/>
    <w:rsid w:val="002D32EB"/>
    <w:rsid w:val="002D33D8"/>
    <w:rsid w:val="002D34D0"/>
    <w:rsid w:val="002D3B3F"/>
    <w:rsid w:val="002D3D61"/>
    <w:rsid w:val="002D3EC8"/>
    <w:rsid w:val="002D403E"/>
    <w:rsid w:val="002D4325"/>
    <w:rsid w:val="002D45BF"/>
    <w:rsid w:val="002D4776"/>
    <w:rsid w:val="002D4A85"/>
    <w:rsid w:val="002D4E7E"/>
    <w:rsid w:val="002D5157"/>
    <w:rsid w:val="002D553B"/>
    <w:rsid w:val="002D5653"/>
    <w:rsid w:val="002D5900"/>
    <w:rsid w:val="002D5DBE"/>
    <w:rsid w:val="002D64DF"/>
    <w:rsid w:val="002D6857"/>
    <w:rsid w:val="002D6EBB"/>
    <w:rsid w:val="002D6FCE"/>
    <w:rsid w:val="002D71F8"/>
    <w:rsid w:val="002D7C91"/>
    <w:rsid w:val="002E000C"/>
    <w:rsid w:val="002E02AA"/>
    <w:rsid w:val="002E0BB3"/>
    <w:rsid w:val="002E0C9F"/>
    <w:rsid w:val="002E0F44"/>
    <w:rsid w:val="002E13E0"/>
    <w:rsid w:val="002E1937"/>
    <w:rsid w:val="002E1950"/>
    <w:rsid w:val="002E1A4F"/>
    <w:rsid w:val="002E23A9"/>
    <w:rsid w:val="002E2864"/>
    <w:rsid w:val="002E2900"/>
    <w:rsid w:val="002E29F9"/>
    <w:rsid w:val="002E2D4A"/>
    <w:rsid w:val="002E38DB"/>
    <w:rsid w:val="002E39E2"/>
    <w:rsid w:val="002E3BFB"/>
    <w:rsid w:val="002E43C7"/>
    <w:rsid w:val="002E4708"/>
    <w:rsid w:val="002E4F35"/>
    <w:rsid w:val="002E5223"/>
    <w:rsid w:val="002E5256"/>
    <w:rsid w:val="002E5271"/>
    <w:rsid w:val="002E538F"/>
    <w:rsid w:val="002E539A"/>
    <w:rsid w:val="002E558D"/>
    <w:rsid w:val="002E55DD"/>
    <w:rsid w:val="002E5995"/>
    <w:rsid w:val="002E5AB7"/>
    <w:rsid w:val="002E5E77"/>
    <w:rsid w:val="002E5F31"/>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20C7"/>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327"/>
    <w:rsid w:val="002F79CC"/>
    <w:rsid w:val="002F7AE0"/>
    <w:rsid w:val="002F7BE7"/>
    <w:rsid w:val="002F7C59"/>
    <w:rsid w:val="002F7F8F"/>
    <w:rsid w:val="00300149"/>
    <w:rsid w:val="00300212"/>
    <w:rsid w:val="00300264"/>
    <w:rsid w:val="003013D7"/>
    <w:rsid w:val="003014B1"/>
    <w:rsid w:val="003019D9"/>
    <w:rsid w:val="0030242B"/>
    <w:rsid w:val="00302595"/>
    <w:rsid w:val="00303041"/>
    <w:rsid w:val="003030F5"/>
    <w:rsid w:val="0030363A"/>
    <w:rsid w:val="003036F3"/>
    <w:rsid w:val="00303F4C"/>
    <w:rsid w:val="00304222"/>
    <w:rsid w:val="0030463E"/>
    <w:rsid w:val="00304852"/>
    <w:rsid w:val="00304AB6"/>
    <w:rsid w:val="00304ED6"/>
    <w:rsid w:val="00305096"/>
    <w:rsid w:val="0030521B"/>
    <w:rsid w:val="00305987"/>
    <w:rsid w:val="00305999"/>
    <w:rsid w:val="00306080"/>
    <w:rsid w:val="003062A7"/>
    <w:rsid w:val="003062F3"/>
    <w:rsid w:val="003064BF"/>
    <w:rsid w:val="00306521"/>
    <w:rsid w:val="0030672E"/>
    <w:rsid w:val="00307223"/>
    <w:rsid w:val="00307B47"/>
    <w:rsid w:val="0031034B"/>
    <w:rsid w:val="003107C6"/>
    <w:rsid w:val="00310825"/>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E2"/>
    <w:rsid w:val="00314410"/>
    <w:rsid w:val="00314547"/>
    <w:rsid w:val="00314D28"/>
    <w:rsid w:val="00315212"/>
    <w:rsid w:val="00315A06"/>
    <w:rsid w:val="00315CD2"/>
    <w:rsid w:val="00315F74"/>
    <w:rsid w:val="0031656F"/>
    <w:rsid w:val="00316600"/>
    <w:rsid w:val="003166C1"/>
    <w:rsid w:val="003167AA"/>
    <w:rsid w:val="00316A36"/>
    <w:rsid w:val="00316A8B"/>
    <w:rsid w:val="00316BF6"/>
    <w:rsid w:val="0031733B"/>
    <w:rsid w:val="00317E87"/>
    <w:rsid w:val="0032081F"/>
    <w:rsid w:val="00320912"/>
    <w:rsid w:val="00320E6F"/>
    <w:rsid w:val="003215F4"/>
    <w:rsid w:val="00322050"/>
    <w:rsid w:val="003220E2"/>
    <w:rsid w:val="00322121"/>
    <w:rsid w:val="003222C2"/>
    <w:rsid w:val="003225FB"/>
    <w:rsid w:val="00322853"/>
    <w:rsid w:val="00322CC6"/>
    <w:rsid w:val="00323503"/>
    <w:rsid w:val="003235CB"/>
    <w:rsid w:val="00323759"/>
    <w:rsid w:val="00323A7C"/>
    <w:rsid w:val="00323C32"/>
    <w:rsid w:val="00323FC7"/>
    <w:rsid w:val="00324071"/>
    <w:rsid w:val="003244EE"/>
    <w:rsid w:val="00324A1D"/>
    <w:rsid w:val="003251C9"/>
    <w:rsid w:val="00325742"/>
    <w:rsid w:val="00325B63"/>
    <w:rsid w:val="003260BB"/>
    <w:rsid w:val="00326196"/>
    <w:rsid w:val="00326240"/>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69FF"/>
    <w:rsid w:val="00336AEA"/>
    <w:rsid w:val="00336B35"/>
    <w:rsid w:val="00336BEB"/>
    <w:rsid w:val="003373AC"/>
    <w:rsid w:val="0033758C"/>
    <w:rsid w:val="0033764B"/>
    <w:rsid w:val="00337A00"/>
    <w:rsid w:val="00337FC6"/>
    <w:rsid w:val="00340131"/>
    <w:rsid w:val="0034044E"/>
    <w:rsid w:val="0034053B"/>
    <w:rsid w:val="00340632"/>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BDF"/>
    <w:rsid w:val="00343F41"/>
    <w:rsid w:val="0034459F"/>
    <w:rsid w:val="00344FD2"/>
    <w:rsid w:val="00345107"/>
    <w:rsid w:val="00345167"/>
    <w:rsid w:val="00345300"/>
    <w:rsid w:val="00345424"/>
    <w:rsid w:val="003459F3"/>
    <w:rsid w:val="00345EA7"/>
    <w:rsid w:val="0034625F"/>
    <w:rsid w:val="0034652C"/>
    <w:rsid w:val="00347635"/>
    <w:rsid w:val="0034765D"/>
    <w:rsid w:val="003478BD"/>
    <w:rsid w:val="0034791B"/>
    <w:rsid w:val="00347CBB"/>
    <w:rsid w:val="00347D0E"/>
    <w:rsid w:val="00347D22"/>
    <w:rsid w:val="00347F10"/>
    <w:rsid w:val="003500E4"/>
    <w:rsid w:val="0035067B"/>
    <w:rsid w:val="00350764"/>
    <w:rsid w:val="00350D8B"/>
    <w:rsid w:val="00350E0D"/>
    <w:rsid w:val="00351B01"/>
    <w:rsid w:val="00351FB4"/>
    <w:rsid w:val="003528EA"/>
    <w:rsid w:val="00352B65"/>
    <w:rsid w:val="00352C63"/>
    <w:rsid w:val="00352D54"/>
    <w:rsid w:val="003530E5"/>
    <w:rsid w:val="00353878"/>
    <w:rsid w:val="00353A00"/>
    <w:rsid w:val="00353ECD"/>
    <w:rsid w:val="0035470F"/>
    <w:rsid w:val="00354A1F"/>
    <w:rsid w:val="00355567"/>
    <w:rsid w:val="00355822"/>
    <w:rsid w:val="00355B11"/>
    <w:rsid w:val="00355B28"/>
    <w:rsid w:val="00356117"/>
    <w:rsid w:val="00357248"/>
    <w:rsid w:val="00357943"/>
    <w:rsid w:val="00357DFD"/>
    <w:rsid w:val="00357E85"/>
    <w:rsid w:val="00360494"/>
    <w:rsid w:val="00360A6C"/>
    <w:rsid w:val="003611A0"/>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C8"/>
    <w:rsid w:val="003652EA"/>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B40"/>
    <w:rsid w:val="00371679"/>
    <w:rsid w:val="0037240A"/>
    <w:rsid w:val="00373085"/>
    <w:rsid w:val="003730D6"/>
    <w:rsid w:val="00373411"/>
    <w:rsid w:val="00373D40"/>
    <w:rsid w:val="00373F7A"/>
    <w:rsid w:val="00374251"/>
    <w:rsid w:val="003744B3"/>
    <w:rsid w:val="003745C3"/>
    <w:rsid w:val="003745F4"/>
    <w:rsid w:val="00376E2B"/>
    <w:rsid w:val="00377259"/>
    <w:rsid w:val="0037769E"/>
    <w:rsid w:val="00377BE4"/>
    <w:rsid w:val="00380094"/>
    <w:rsid w:val="003800F0"/>
    <w:rsid w:val="00381180"/>
    <w:rsid w:val="00381AE9"/>
    <w:rsid w:val="00382306"/>
    <w:rsid w:val="00382586"/>
    <w:rsid w:val="0038292B"/>
    <w:rsid w:val="00382B86"/>
    <w:rsid w:val="00382FE3"/>
    <w:rsid w:val="00383071"/>
    <w:rsid w:val="003831AB"/>
    <w:rsid w:val="003832EF"/>
    <w:rsid w:val="003837F4"/>
    <w:rsid w:val="00383C06"/>
    <w:rsid w:val="003845A4"/>
    <w:rsid w:val="003846D9"/>
    <w:rsid w:val="00384F9D"/>
    <w:rsid w:val="00385101"/>
    <w:rsid w:val="0038564A"/>
    <w:rsid w:val="0038576C"/>
    <w:rsid w:val="00385800"/>
    <w:rsid w:val="00385B99"/>
    <w:rsid w:val="00385F39"/>
    <w:rsid w:val="00386492"/>
    <w:rsid w:val="003865F9"/>
    <w:rsid w:val="0038676E"/>
    <w:rsid w:val="00386D08"/>
    <w:rsid w:val="0038743E"/>
    <w:rsid w:val="003879DF"/>
    <w:rsid w:val="00387DFA"/>
    <w:rsid w:val="003900B7"/>
    <w:rsid w:val="0039083F"/>
    <w:rsid w:val="00390D65"/>
    <w:rsid w:val="00391374"/>
    <w:rsid w:val="00391472"/>
    <w:rsid w:val="00391A42"/>
    <w:rsid w:val="00391D3B"/>
    <w:rsid w:val="00391FAB"/>
    <w:rsid w:val="00392050"/>
    <w:rsid w:val="00392286"/>
    <w:rsid w:val="00392539"/>
    <w:rsid w:val="00392677"/>
    <w:rsid w:val="0039365B"/>
    <w:rsid w:val="003936EA"/>
    <w:rsid w:val="00393987"/>
    <w:rsid w:val="00393997"/>
    <w:rsid w:val="00393E25"/>
    <w:rsid w:val="00393F57"/>
    <w:rsid w:val="003940F7"/>
    <w:rsid w:val="0039451D"/>
    <w:rsid w:val="00394981"/>
    <w:rsid w:val="003953A8"/>
    <w:rsid w:val="00395E7E"/>
    <w:rsid w:val="003965D8"/>
    <w:rsid w:val="00396766"/>
    <w:rsid w:val="003968D5"/>
    <w:rsid w:val="00396D6E"/>
    <w:rsid w:val="00396EE8"/>
    <w:rsid w:val="00396FF0"/>
    <w:rsid w:val="0039788E"/>
    <w:rsid w:val="00397F3C"/>
    <w:rsid w:val="00397FED"/>
    <w:rsid w:val="003A0145"/>
    <w:rsid w:val="003A0257"/>
    <w:rsid w:val="003A0529"/>
    <w:rsid w:val="003A0614"/>
    <w:rsid w:val="003A0962"/>
    <w:rsid w:val="003A0CDD"/>
    <w:rsid w:val="003A1112"/>
    <w:rsid w:val="003A1B34"/>
    <w:rsid w:val="003A20B8"/>
    <w:rsid w:val="003A2385"/>
    <w:rsid w:val="003A2904"/>
    <w:rsid w:val="003A3551"/>
    <w:rsid w:val="003A36BA"/>
    <w:rsid w:val="003A37E9"/>
    <w:rsid w:val="003A38F0"/>
    <w:rsid w:val="003A42F3"/>
    <w:rsid w:val="003A443D"/>
    <w:rsid w:val="003A447D"/>
    <w:rsid w:val="003A486A"/>
    <w:rsid w:val="003A4932"/>
    <w:rsid w:val="003A556D"/>
    <w:rsid w:val="003A5723"/>
    <w:rsid w:val="003A5DD2"/>
    <w:rsid w:val="003A6495"/>
    <w:rsid w:val="003A6627"/>
    <w:rsid w:val="003A66A6"/>
    <w:rsid w:val="003A6A5A"/>
    <w:rsid w:val="003A6E1E"/>
    <w:rsid w:val="003A7025"/>
    <w:rsid w:val="003A72E9"/>
    <w:rsid w:val="003A7460"/>
    <w:rsid w:val="003A7BD3"/>
    <w:rsid w:val="003B0173"/>
    <w:rsid w:val="003B0398"/>
    <w:rsid w:val="003B05C4"/>
    <w:rsid w:val="003B0DA5"/>
    <w:rsid w:val="003B0E74"/>
    <w:rsid w:val="003B1583"/>
    <w:rsid w:val="003B1EE4"/>
    <w:rsid w:val="003B2CB8"/>
    <w:rsid w:val="003B2E55"/>
    <w:rsid w:val="003B30C6"/>
    <w:rsid w:val="003B3879"/>
    <w:rsid w:val="003B4A4A"/>
    <w:rsid w:val="003B4C1D"/>
    <w:rsid w:val="003B53A5"/>
    <w:rsid w:val="003B59EE"/>
    <w:rsid w:val="003B5B72"/>
    <w:rsid w:val="003B5C06"/>
    <w:rsid w:val="003B5E4C"/>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3460"/>
    <w:rsid w:val="003C346B"/>
    <w:rsid w:val="003C3CE0"/>
    <w:rsid w:val="003C4038"/>
    <w:rsid w:val="003C40EE"/>
    <w:rsid w:val="003C4206"/>
    <w:rsid w:val="003C42F7"/>
    <w:rsid w:val="003C44FF"/>
    <w:rsid w:val="003C479F"/>
    <w:rsid w:val="003C4884"/>
    <w:rsid w:val="003C4BB4"/>
    <w:rsid w:val="003C4F80"/>
    <w:rsid w:val="003C5092"/>
    <w:rsid w:val="003C5137"/>
    <w:rsid w:val="003C57B3"/>
    <w:rsid w:val="003C592E"/>
    <w:rsid w:val="003C5A73"/>
    <w:rsid w:val="003C5DEF"/>
    <w:rsid w:val="003C641E"/>
    <w:rsid w:val="003C6C81"/>
    <w:rsid w:val="003C6F33"/>
    <w:rsid w:val="003C718E"/>
    <w:rsid w:val="003C76F7"/>
    <w:rsid w:val="003C78A6"/>
    <w:rsid w:val="003C7C03"/>
    <w:rsid w:val="003D047F"/>
    <w:rsid w:val="003D0748"/>
    <w:rsid w:val="003D0FBC"/>
    <w:rsid w:val="003D1989"/>
    <w:rsid w:val="003D2333"/>
    <w:rsid w:val="003D251A"/>
    <w:rsid w:val="003D2FBA"/>
    <w:rsid w:val="003D3161"/>
    <w:rsid w:val="003D3227"/>
    <w:rsid w:val="003D36B8"/>
    <w:rsid w:val="003D3A55"/>
    <w:rsid w:val="003D4010"/>
    <w:rsid w:val="003D408F"/>
    <w:rsid w:val="003D4347"/>
    <w:rsid w:val="003D4601"/>
    <w:rsid w:val="003D5269"/>
    <w:rsid w:val="003D5272"/>
    <w:rsid w:val="003D5393"/>
    <w:rsid w:val="003D5413"/>
    <w:rsid w:val="003D54E0"/>
    <w:rsid w:val="003D56A1"/>
    <w:rsid w:val="003D5996"/>
    <w:rsid w:val="003D5D5D"/>
    <w:rsid w:val="003D5F1C"/>
    <w:rsid w:val="003D6407"/>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14F0"/>
    <w:rsid w:val="003E2042"/>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F95"/>
    <w:rsid w:val="003E61FD"/>
    <w:rsid w:val="003E6470"/>
    <w:rsid w:val="003E6F0B"/>
    <w:rsid w:val="003E7790"/>
    <w:rsid w:val="003F0031"/>
    <w:rsid w:val="003F00D4"/>
    <w:rsid w:val="003F00DF"/>
    <w:rsid w:val="003F018C"/>
    <w:rsid w:val="003F058E"/>
    <w:rsid w:val="003F09CB"/>
    <w:rsid w:val="003F10D3"/>
    <w:rsid w:val="003F1150"/>
    <w:rsid w:val="003F11FD"/>
    <w:rsid w:val="003F140D"/>
    <w:rsid w:val="003F143C"/>
    <w:rsid w:val="003F1548"/>
    <w:rsid w:val="003F176D"/>
    <w:rsid w:val="003F19E3"/>
    <w:rsid w:val="003F1CE6"/>
    <w:rsid w:val="003F228F"/>
    <w:rsid w:val="003F274F"/>
    <w:rsid w:val="003F2B3D"/>
    <w:rsid w:val="003F3105"/>
    <w:rsid w:val="003F319D"/>
    <w:rsid w:val="003F3303"/>
    <w:rsid w:val="003F3328"/>
    <w:rsid w:val="003F35A4"/>
    <w:rsid w:val="003F3700"/>
    <w:rsid w:val="003F3769"/>
    <w:rsid w:val="003F3C34"/>
    <w:rsid w:val="003F3ED7"/>
    <w:rsid w:val="003F3F0F"/>
    <w:rsid w:val="003F4108"/>
    <w:rsid w:val="003F4172"/>
    <w:rsid w:val="003F4222"/>
    <w:rsid w:val="003F4249"/>
    <w:rsid w:val="003F4251"/>
    <w:rsid w:val="003F461D"/>
    <w:rsid w:val="003F47C1"/>
    <w:rsid w:val="003F4940"/>
    <w:rsid w:val="003F4C90"/>
    <w:rsid w:val="003F5071"/>
    <w:rsid w:val="003F5086"/>
    <w:rsid w:val="003F550A"/>
    <w:rsid w:val="003F619A"/>
    <w:rsid w:val="003F6D6A"/>
    <w:rsid w:val="003F6ECC"/>
    <w:rsid w:val="003F6FC9"/>
    <w:rsid w:val="003F7417"/>
    <w:rsid w:val="003F75A9"/>
    <w:rsid w:val="003F7EFA"/>
    <w:rsid w:val="0040003D"/>
    <w:rsid w:val="004000D0"/>
    <w:rsid w:val="00400873"/>
    <w:rsid w:val="00400C90"/>
    <w:rsid w:val="004015EE"/>
    <w:rsid w:val="004019E3"/>
    <w:rsid w:val="00402018"/>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760"/>
    <w:rsid w:val="00407D2B"/>
    <w:rsid w:val="00410A27"/>
    <w:rsid w:val="00410CB2"/>
    <w:rsid w:val="00410E8B"/>
    <w:rsid w:val="00411285"/>
    <w:rsid w:val="00411BB1"/>
    <w:rsid w:val="004124A7"/>
    <w:rsid w:val="004126A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202A7"/>
    <w:rsid w:val="00420819"/>
    <w:rsid w:val="00420C4D"/>
    <w:rsid w:val="004210AA"/>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0B2"/>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6C0"/>
    <w:rsid w:val="00440599"/>
    <w:rsid w:val="004405B0"/>
    <w:rsid w:val="004409C3"/>
    <w:rsid w:val="00440CCD"/>
    <w:rsid w:val="00440D3E"/>
    <w:rsid w:val="0044110B"/>
    <w:rsid w:val="004417BD"/>
    <w:rsid w:val="00441A35"/>
    <w:rsid w:val="00441FF9"/>
    <w:rsid w:val="00442A49"/>
    <w:rsid w:val="00442B54"/>
    <w:rsid w:val="004431D7"/>
    <w:rsid w:val="0044363A"/>
    <w:rsid w:val="004436E9"/>
    <w:rsid w:val="004437B2"/>
    <w:rsid w:val="0044382F"/>
    <w:rsid w:val="00443D71"/>
    <w:rsid w:val="00443DE8"/>
    <w:rsid w:val="00443E2C"/>
    <w:rsid w:val="0044408A"/>
    <w:rsid w:val="0044415B"/>
    <w:rsid w:val="004442EB"/>
    <w:rsid w:val="004443A5"/>
    <w:rsid w:val="004448B1"/>
    <w:rsid w:val="00444C64"/>
    <w:rsid w:val="00445012"/>
    <w:rsid w:val="0044507C"/>
    <w:rsid w:val="00445331"/>
    <w:rsid w:val="00445A50"/>
    <w:rsid w:val="00445DF5"/>
    <w:rsid w:val="00446393"/>
    <w:rsid w:val="00447269"/>
    <w:rsid w:val="00447F00"/>
    <w:rsid w:val="00450BC0"/>
    <w:rsid w:val="00450CDA"/>
    <w:rsid w:val="004510A4"/>
    <w:rsid w:val="0045135E"/>
    <w:rsid w:val="00451544"/>
    <w:rsid w:val="004515FF"/>
    <w:rsid w:val="00451A50"/>
    <w:rsid w:val="00452933"/>
    <w:rsid w:val="004535B0"/>
    <w:rsid w:val="00453A9A"/>
    <w:rsid w:val="00453E31"/>
    <w:rsid w:val="0045403E"/>
    <w:rsid w:val="00454597"/>
    <w:rsid w:val="004548E6"/>
    <w:rsid w:val="0045493D"/>
    <w:rsid w:val="00454A6F"/>
    <w:rsid w:val="004552F4"/>
    <w:rsid w:val="0045541F"/>
    <w:rsid w:val="0045543A"/>
    <w:rsid w:val="004556D9"/>
    <w:rsid w:val="0045606C"/>
    <w:rsid w:val="004561F9"/>
    <w:rsid w:val="0045637C"/>
    <w:rsid w:val="0045653A"/>
    <w:rsid w:val="0045695D"/>
    <w:rsid w:val="00456B05"/>
    <w:rsid w:val="00457DC6"/>
    <w:rsid w:val="00460E9A"/>
    <w:rsid w:val="004610C6"/>
    <w:rsid w:val="00461BF2"/>
    <w:rsid w:val="00461D4B"/>
    <w:rsid w:val="00462582"/>
    <w:rsid w:val="00462637"/>
    <w:rsid w:val="004626F8"/>
    <w:rsid w:val="00462D35"/>
    <w:rsid w:val="00463416"/>
    <w:rsid w:val="004634B0"/>
    <w:rsid w:val="00463869"/>
    <w:rsid w:val="00463CD6"/>
    <w:rsid w:val="00463CF9"/>
    <w:rsid w:val="00463EAF"/>
    <w:rsid w:val="0046421B"/>
    <w:rsid w:val="00464A9C"/>
    <w:rsid w:val="00464E8F"/>
    <w:rsid w:val="00464F23"/>
    <w:rsid w:val="004657B3"/>
    <w:rsid w:val="00465A08"/>
    <w:rsid w:val="00466810"/>
    <w:rsid w:val="004668D8"/>
    <w:rsid w:val="00466C93"/>
    <w:rsid w:val="004678C8"/>
    <w:rsid w:val="00467BC2"/>
    <w:rsid w:val="00467C44"/>
    <w:rsid w:val="00467CFB"/>
    <w:rsid w:val="00470418"/>
    <w:rsid w:val="004709AE"/>
    <w:rsid w:val="00471720"/>
    <w:rsid w:val="00471E81"/>
    <w:rsid w:val="0047242B"/>
    <w:rsid w:val="004724AF"/>
    <w:rsid w:val="00472770"/>
    <w:rsid w:val="004727C4"/>
    <w:rsid w:val="004727E8"/>
    <w:rsid w:val="0047302D"/>
    <w:rsid w:val="0047322A"/>
    <w:rsid w:val="00473379"/>
    <w:rsid w:val="004733FB"/>
    <w:rsid w:val="0047352D"/>
    <w:rsid w:val="004743CB"/>
    <w:rsid w:val="00474B50"/>
    <w:rsid w:val="0047578B"/>
    <w:rsid w:val="00475B48"/>
    <w:rsid w:val="004760FD"/>
    <w:rsid w:val="00476442"/>
    <w:rsid w:val="0047652F"/>
    <w:rsid w:val="004767DC"/>
    <w:rsid w:val="0047698C"/>
    <w:rsid w:val="00476FE9"/>
    <w:rsid w:val="00477194"/>
    <w:rsid w:val="00477FAF"/>
    <w:rsid w:val="00480205"/>
    <w:rsid w:val="0048027B"/>
    <w:rsid w:val="00481213"/>
    <w:rsid w:val="00481272"/>
    <w:rsid w:val="00481314"/>
    <w:rsid w:val="004817B5"/>
    <w:rsid w:val="00481E94"/>
    <w:rsid w:val="00481F32"/>
    <w:rsid w:val="00482199"/>
    <w:rsid w:val="0048231B"/>
    <w:rsid w:val="00482478"/>
    <w:rsid w:val="00482592"/>
    <w:rsid w:val="00482CCE"/>
    <w:rsid w:val="00482CCF"/>
    <w:rsid w:val="00483131"/>
    <w:rsid w:val="00483170"/>
    <w:rsid w:val="00483196"/>
    <w:rsid w:val="00483588"/>
    <w:rsid w:val="0048383D"/>
    <w:rsid w:val="00484315"/>
    <w:rsid w:val="004844AC"/>
    <w:rsid w:val="00484B21"/>
    <w:rsid w:val="004851E8"/>
    <w:rsid w:val="0048548F"/>
    <w:rsid w:val="00485580"/>
    <w:rsid w:val="0048578F"/>
    <w:rsid w:val="00485811"/>
    <w:rsid w:val="00485E3C"/>
    <w:rsid w:val="004864B4"/>
    <w:rsid w:val="00486A68"/>
    <w:rsid w:val="00486B09"/>
    <w:rsid w:val="00486EFC"/>
    <w:rsid w:val="00487CFA"/>
    <w:rsid w:val="00490187"/>
    <w:rsid w:val="004901CA"/>
    <w:rsid w:val="00490A03"/>
    <w:rsid w:val="00490A10"/>
    <w:rsid w:val="00490A62"/>
    <w:rsid w:val="00490E9E"/>
    <w:rsid w:val="004913B2"/>
    <w:rsid w:val="00491BC4"/>
    <w:rsid w:val="00491F9F"/>
    <w:rsid w:val="00491FBC"/>
    <w:rsid w:val="004920D9"/>
    <w:rsid w:val="0049234C"/>
    <w:rsid w:val="0049242A"/>
    <w:rsid w:val="00492735"/>
    <w:rsid w:val="00492A93"/>
    <w:rsid w:val="00492AF7"/>
    <w:rsid w:val="00492B25"/>
    <w:rsid w:val="00492EC7"/>
    <w:rsid w:val="0049319C"/>
    <w:rsid w:val="00493304"/>
    <w:rsid w:val="004933F5"/>
    <w:rsid w:val="00493C96"/>
    <w:rsid w:val="0049429F"/>
    <w:rsid w:val="004945E8"/>
    <w:rsid w:val="00494932"/>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48D"/>
    <w:rsid w:val="004A57EB"/>
    <w:rsid w:val="004A5824"/>
    <w:rsid w:val="004A6211"/>
    <w:rsid w:val="004A67CA"/>
    <w:rsid w:val="004A6C4B"/>
    <w:rsid w:val="004A76FC"/>
    <w:rsid w:val="004A7EC4"/>
    <w:rsid w:val="004B0095"/>
    <w:rsid w:val="004B0416"/>
    <w:rsid w:val="004B0857"/>
    <w:rsid w:val="004B181D"/>
    <w:rsid w:val="004B1CAB"/>
    <w:rsid w:val="004B1ECC"/>
    <w:rsid w:val="004B204F"/>
    <w:rsid w:val="004B2806"/>
    <w:rsid w:val="004B36ED"/>
    <w:rsid w:val="004B398F"/>
    <w:rsid w:val="004B3A9F"/>
    <w:rsid w:val="004B3B1B"/>
    <w:rsid w:val="004B3D44"/>
    <w:rsid w:val="004B3E66"/>
    <w:rsid w:val="004B41B5"/>
    <w:rsid w:val="004B45F8"/>
    <w:rsid w:val="004B47A1"/>
    <w:rsid w:val="004B4F79"/>
    <w:rsid w:val="004B5171"/>
    <w:rsid w:val="004B57A6"/>
    <w:rsid w:val="004B5DB7"/>
    <w:rsid w:val="004B5F75"/>
    <w:rsid w:val="004B612E"/>
    <w:rsid w:val="004B623B"/>
    <w:rsid w:val="004B63F2"/>
    <w:rsid w:val="004B6685"/>
    <w:rsid w:val="004B6EC6"/>
    <w:rsid w:val="004B7F83"/>
    <w:rsid w:val="004C1025"/>
    <w:rsid w:val="004C1315"/>
    <w:rsid w:val="004C1931"/>
    <w:rsid w:val="004C1BAB"/>
    <w:rsid w:val="004C1E13"/>
    <w:rsid w:val="004C1E18"/>
    <w:rsid w:val="004C1EA7"/>
    <w:rsid w:val="004C21B7"/>
    <w:rsid w:val="004C2A0C"/>
    <w:rsid w:val="004C2A81"/>
    <w:rsid w:val="004C2B60"/>
    <w:rsid w:val="004C3E02"/>
    <w:rsid w:val="004C3EE4"/>
    <w:rsid w:val="004C4010"/>
    <w:rsid w:val="004C422D"/>
    <w:rsid w:val="004C427C"/>
    <w:rsid w:val="004C440F"/>
    <w:rsid w:val="004C4AA9"/>
    <w:rsid w:val="004C4CEB"/>
    <w:rsid w:val="004C5972"/>
    <w:rsid w:val="004C5CF1"/>
    <w:rsid w:val="004C667A"/>
    <w:rsid w:val="004C66A9"/>
    <w:rsid w:val="004C6D8E"/>
    <w:rsid w:val="004C71DF"/>
    <w:rsid w:val="004C76FA"/>
    <w:rsid w:val="004C7A27"/>
    <w:rsid w:val="004C7CAC"/>
    <w:rsid w:val="004C7CE4"/>
    <w:rsid w:val="004C7D2D"/>
    <w:rsid w:val="004C7F7C"/>
    <w:rsid w:val="004D000F"/>
    <w:rsid w:val="004D0538"/>
    <w:rsid w:val="004D0551"/>
    <w:rsid w:val="004D0571"/>
    <w:rsid w:val="004D0757"/>
    <w:rsid w:val="004D0855"/>
    <w:rsid w:val="004D0D3E"/>
    <w:rsid w:val="004D0F03"/>
    <w:rsid w:val="004D121C"/>
    <w:rsid w:val="004D17CC"/>
    <w:rsid w:val="004D1B13"/>
    <w:rsid w:val="004D1ECA"/>
    <w:rsid w:val="004D28EF"/>
    <w:rsid w:val="004D2A4E"/>
    <w:rsid w:val="004D2C36"/>
    <w:rsid w:val="004D3733"/>
    <w:rsid w:val="004D466E"/>
    <w:rsid w:val="004D49C4"/>
    <w:rsid w:val="004D4AC6"/>
    <w:rsid w:val="004D4AE0"/>
    <w:rsid w:val="004D4C4C"/>
    <w:rsid w:val="004D4CF1"/>
    <w:rsid w:val="004D56B6"/>
    <w:rsid w:val="004D5A88"/>
    <w:rsid w:val="004D5DEC"/>
    <w:rsid w:val="004D60A0"/>
    <w:rsid w:val="004D63A1"/>
    <w:rsid w:val="004D69A2"/>
    <w:rsid w:val="004D7BE9"/>
    <w:rsid w:val="004D7BF4"/>
    <w:rsid w:val="004D7C41"/>
    <w:rsid w:val="004D7C92"/>
    <w:rsid w:val="004D7FE3"/>
    <w:rsid w:val="004E028C"/>
    <w:rsid w:val="004E0471"/>
    <w:rsid w:val="004E077B"/>
    <w:rsid w:val="004E09D1"/>
    <w:rsid w:val="004E0A57"/>
    <w:rsid w:val="004E0E95"/>
    <w:rsid w:val="004E19BA"/>
    <w:rsid w:val="004E1AF8"/>
    <w:rsid w:val="004E216F"/>
    <w:rsid w:val="004E23D0"/>
    <w:rsid w:val="004E24ED"/>
    <w:rsid w:val="004E3061"/>
    <w:rsid w:val="004E35BF"/>
    <w:rsid w:val="004E38B2"/>
    <w:rsid w:val="004E3936"/>
    <w:rsid w:val="004E41F5"/>
    <w:rsid w:val="004E45B6"/>
    <w:rsid w:val="004E4BB5"/>
    <w:rsid w:val="004E50CC"/>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48D9"/>
    <w:rsid w:val="004F4ACD"/>
    <w:rsid w:val="004F4F1C"/>
    <w:rsid w:val="004F578B"/>
    <w:rsid w:val="004F5BE5"/>
    <w:rsid w:val="004F5E1F"/>
    <w:rsid w:val="004F63F8"/>
    <w:rsid w:val="004F713A"/>
    <w:rsid w:val="004F71AF"/>
    <w:rsid w:val="004F72AD"/>
    <w:rsid w:val="004F7362"/>
    <w:rsid w:val="004F7408"/>
    <w:rsid w:val="004F7BA5"/>
    <w:rsid w:val="00500035"/>
    <w:rsid w:val="00500632"/>
    <w:rsid w:val="005007FD"/>
    <w:rsid w:val="00500BDE"/>
    <w:rsid w:val="00500D8E"/>
    <w:rsid w:val="00500E97"/>
    <w:rsid w:val="00500F7A"/>
    <w:rsid w:val="005010F3"/>
    <w:rsid w:val="005011A4"/>
    <w:rsid w:val="005012AD"/>
    <w:rsid w:val="00501849"/>
    <w:rsid w:val="0050198C"/>
    <w:rsid w:val="00501ED8"/>
    <w:rsid w:val="00501F97"/>
    <w:rsid w:val="00502122"/>
    <w:rsid w:val="0050241C"/>
    <w:rsid w:val="005027BB"/>
    <w:rsid w:val="00502AC5"/>
    <w:rsid w:val="0050319C"/>
    <w:rsid w:val="005037E1"/>
    <w:rsid w:val="00503B1A"/>
    <w:rsid w:val="00503B5C"/>
    <w:rsid w:val="00503B96"/>
    <w:rsid w:val="00503D2C"/>
    <w:rsid w:val="0050456A"/>
    <w:rsid w:val="00505E1D"/>
    <w:rsid w:val="00506463"/>
    <w:rsid w:val="005068E1"/>
    <w:rsid w:val="00506CE0"/>
    <w:rsid w:val="00506E02"/>
    <w:rsid w:val="005070EA"/>
    <w:rsid w:val="0050760D"/>
    <w:rsid w:val="005077C5"/>
    <w:rsid w:val="00510870"/>
    <w:rsid w:val="00510893"/>
    <w:rsid w:val="00510AD9"/>
    <w:rsid w:val="005110BA"/>
    <w:rsid w:val="0051168A"/>
    <w:rsid w:val="00512085"/>
    <w:rsid w:val="005122F4"/>
    <w:rsid w:val="0051390F"/>
    <w:rsid w:val="005141DA"/>
    <w:rsid w:val="005141DD"/>
    <w:rsid w:val="00514E36"/>
    <w:rsid w:val="00515307"/>
    <w:rsid w:val="00515316"/>
    <w:rsid w:val="005156A6"/>
    <w:rsid w:val="005158CE"/>
    <w:rsid w:val="0051636C"/>
    <w:rsid w:val="00516393"/>
    <w:rsid w:val="00516AD8"/>
    <w:rsid w:val="0052054F"/>
    <w:rsid w:val="00520B4F"/>
    <w:rsid w:val="00520D42"/>
    <w:rsid w:val="00521511"/>
    <w:rsid w:val="00521AFB"/>
    <w:rsid w:val="00522423"/>
    <w:rsid w:val="00522B33"/>
    <w:rsid w:val="00522DB0"/>
    <w:rsid w:val="00523306"/>
    <w:rsid w:val="00523686"/>
    <w:rsid w:val="00523B66"/>
    <w:rsid w:val="00523EF2"/>
    <w:rsid w:val="00523F51"/>
    <w:rsid w:val="00524016"/>
    <w:rsid w:val="0052437C"/>
    <w:rsid w:val="005244A4"/>
    <w:rsid w:val="00524AD7"/>
    <w:rsid w:val="005254E1"/>
    <w:rsid w:val="005255A4"/>
    <w:rsid w:val="00525727"/>
    <w:rsid w:val="005258CF"/>
    <w:rsid w:val="0052591E"/>
    <w:rsid w:val="00525B43"/>
    <w:rsid w:val="00525F07"/>
    <w:rsid w:val="00525F40"/>
    <w:rsid w:val="0052639A"/>
    <w:rsid w:val="00526477"/>
    <w:rsid w:val="00526691"/>
    <w:rsid w:val="00526C46"/>
    <w:rsid w:val="00526E3D"/>
    <w:rsid w:val="00527007"/>
    <w:rsid w:val="00527E5C"/>
    <w:rsid w:val="0053027E"/>
    <w:rsid w:val="00531240"/>
    <w:rsid w:val="005312E8"/>
    <w:rsid w:val="005313F7"/>
    <w:rsid w:val="00531F39"/>
    <w:rsid w:val="00532607"/>
    <w:rsid w:val="00532767"/>
    <w:rsid w:val="005328BA"/>
    <w:rsid w:val="00532B70"/>
    <w:rsid w:val="00532B82"/>
    <w:rsid w:val="005331F1"/>
    <w:rsid w:val="00533920"/>
    <w:rsid w:val="005339AA"/>
    <w:rsid w:val="00533DC4"/>
    <w:rsid w:val="0053480E"/>
    <w:rsid w:val="00534ED5"/>
    <w:rsid w:val="00535324"/>
    <w:rsid w:val="0053540E"/>
    <w:rsid w:val="00535521"/>
    <w:rsid w:val="005358E0"/>
    <w:rsid w:val="00535969"/>
    <w:rsid w:val="00535C15"/>
    <w:rsid w:val="00535F4E"/>
    <w:rsid w:val="0053658F"/>
    <w:rsid w:val="005366F8"/>
    <w:rsid w:val="0053678B"/>
    <w:rsid w:val="00536DEF"/>
    <w:rsid w:val="005371C4"/>
    <w:rsid w:val="0053749F"/>
    <w:rsid w:val="005378B7"/>
    <w:rsid w:val="005404B0"/>
    <w:rsid w:val="005410E8"/>
    <w:rsid w:val="0054125E"/>
    <w:rsid w:val="00541317"/>
    <w:rsid w:val="0054170F"/>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34"/>
    <w:rsid w:val="00544B7A"/>
    <w:rsid w:val="005450E2"/>
    <w:rsid w:val="005452E2"/>
    <w:rsid w:val="005456F8"/>
    <w:rsid w:val="0054576E"/>
    <w:rsid w:val="00545E01"/>
    <w:rsid w:val="00545E91"/>
    <w:rsid w:val="00545F3B"/>
    <w:rsid w:val="0054644C"/>
    <w:rsid w:val="005467C6"/>
    <w:rsid w:val="00546D2D"/>
    <w:rsid w:val="00547033"/>
    <w:rsid w:val="0054750F"/>
    <w:rsid w:val="00547AC8"/>
    <w:rsid w:val="0055001C"/>
    <w:rsid w:val="005500B1"/>
    <w:rsid w:val="00550502"/>
    <w:rsid w:val="0055054D"/>
    <w:rsid w:val="0055086B"/>
    <w:rsid w:val="005508E3"/>
    <w:rsid w:val="005508EB"/>
    <w:rsid w:val="00550D43"/>
    <w:rsid w:val="00550DD7"/>
    <w:rsid w:val="00550ECE"/>
    <w:rsid w:val="0055106C"/>
    <w:rsid w:val="005510A0"/>
    <w:rsid w:val="005512D5"/>
    <w:rsid w:val="0055175A"/>
    <w:rsid w:val="00551DEC"/>
    <w:rsid w:val="00552096"/>
    <w:rsid w:val="0055245B"/>
    <w:rsid w:val="0055255F"/>
    <w:rsid w:val="00552717"/>
    <w:rsid w:val="005529FC"/>
    <w:rsid w:val="005531D8"/>
    <w:rsid w:val="0055321F"/>
    <w:rsid w:val="00553D54"/>
    <w:rsid w:val="00553F9F"/>
    <w:rsid w:val="005546BF"/>
    <w:rsid w:val="00554CB6"/>
    <w:rsid w:val="00554E36"/>
    <w:rsid w:val="00554FC3"/>
    <w:rsid w:val="0055541D"/>
    <w:rsid w:val="00555523"/>
    <w:rsid w:val="00555827"/>
    <w:rsid w:val="00555E0D"/>
    <w:rsid w:val="00556E02"/>
    <w:rsid w:val="0055764E"/>
    <w:rsid w:val="0055783F"/>
    <w:rsid w:val="00557CF4"/>
    <w:rsid w:val="005602B5"/>
    <w:rsid w:val="00560528"/>
    <w:rsid w:val="00560A5E"/>
    <w:rsid w:val="00560D92"/>
    <w:rsid w:val="005616D9"/>
    <w:rsid w:val="00561740"/>
    <w:rsid w:val="00561923"/>
    <w:rsid w:val="00561D24"/>
    <w:rsid w:val="0056295E"/>
    <w:rsid w:val="0056310A"/>
    <w:rsid w:val="005636AB"/>
    <w:rsid w:val="00563C49"/>
    <w:rsid w:val="00564A64"/>
    <w:rsid w:val="00564CB0"/>
    <w:rsid w:val="00565452"/>
    <w:rsid w:val="00565888"/>
    <w:rsid w:val="00565AC1"/>
    <w:rsid w:val="005666B8"/>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165"/>
    <w:rsid w:val="00572225"/>
    <w:rsid w:val="00572E3E"/>
    <w:rsid w:val="00572FB0"/>
    <w:rsid w:val="00573207"/>
    <w:rsid w:val="00573335"/>
    <w:rsid w:val="0057338B"/>
    <w:rsid w:val="00573619"/>
    <w:rsid w:val="005737F5"/>
    <w:rsid w:val="00573BA4"/>
    <w:rsid w:val="00574182"/>
    <w:rsid w:val="005741C2"/>
    <w:rsid w:val="00574209"/>
    <w:rsid w:val="0057420B"/>
    <w:rsid w:val="005750E9"/>
    <w:rsid w:val="0057538F"/>
    <w:rsid w:val="0057541F"/>
    <w:rsid w:val="0057571E"/>
    <w:rsid w:val="00575951"/>
    <w:rsid w:val="00575CDD"/>
    <w:rsid w:val="00576330"/>
    <w:rsid w:val="0057657F"/>
    <w:rsid w:val="0057673C"/>
    <w:rsid w:val="00576B07"/>
    <w:rsid w:val="005773F5"/>
    <w:rsid w:val="005777A5"/>
    <w:rsid w:val="00577A21"/>
    <w:rsid w:val="00577E70"/>
    <w:rsid w:val="00580280"/>
    <w:rsid w:val="0058031C"/>
    <w:rsid w:val="0058135A"/>
    <w:rsid w:val="005813C3"/>
    <w:rsid w:val="005815FE"/>
    <w:rsid w:val="0058163B"/>
    <w:rsid w:val="00582C36"/>
    <w:rsid w:val="00582D44"/>
    <w:rsid w:val="005838DD"/>
    <w:rsid w:val="00583AA1"/>
    <w:rsid w:val="00583AB1"/>
    <w:rsid w:val="00583BF0"/>
    <w:rsid w:val="00583FDC"/>
    <w:rsid w:val="00584058"/>
    <w:rsid w:val="005847E2"/>
    <w:rsid w:val="00584925"/>
    <w:rsid w:val="00584DC2"/>
    <w:rsid w:val="00585571"/>
    <w:rsid w:val="005855F8"/>
    <w:rsid w:val="00585991"/>
    <w:rsid w:val="00585B91"/>
    <w:rsid w:val="00586978"/>
    <w:rsid w:val="005869CA"/>
    <w:rsid w:val="005869E2"/>
    <w:rsid w:val="00586BF1"/>
    <w:rsid w:val="005872CC"/>
    <w:rsid w:val="0058745C"/>
    <w:rsid w:val="00587AE1"/>
    <w:rsid w:val="00587C78"/>
    <w:rsid w:val="00590097"/>
    <w:rsid w:val="005903E4"/>
    <w:rsid w:val="00590888"/>
    <w:rsid w:val="00590954"/>
    <w:rsid w:val="00591256"/>
    <w:rsid w:val="00591447"/>
    <w:rsid w:val="005917DF"/>
    <w:rsid w:val="00591CB0"/>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8D0"/>
    <w:rsid w:val="0059594B"/>
    <w:rsid w:val="005962B6"/>
    <w:rsid w:val="00596ED3"/>
    <w:rsid w:val="00596F70"/>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2533"/>
    <w:rsid w:val="005A2C5F"/>
    <w:rsid w:val="005A2FCE"/>
    <w:rsid w:val="005A3ACA"/>
    <w:rsid w:val="005A3B1B"/>
    <w:rsid w:val="005A42FD"/>
    <w:rsid w:val="005A4385"/>
    <w:rsid w:val="005A45E5"/>
    <w:rsid w:val="005A4707"/>
    <w:rsid w:val="005A496B"/>
    <w:rsid w:val="005A4BDD"/>
    <w:rsid w:val="005A5171"/>
    <w:rsid w:val="005A54B5"/>
    <w:rsid w:val="005A5CC8"/>
    <w:rsid w:val="005A5D1A"/>
    <w:rsid w:val="005A5F78"/>
    <w:rsid w:val="005A6089"/>
    <w:rsid w:val="005A61B8"/>
    <w:rsid w:val="005A63D8"/>
    <w:rsid w:val="005A64E5"/>
    <w:rsid w:val="005A73D7"/>
    <w:rsid w:val="005A7DBE"/>
    <w:rsid w:val="005A7E63"/>
    <w:rsid w:val="005A7F81"/>
    <w:rsid w:val="005B075B"/>
    <w:rsid w:val="005B1082"/>
    <w:rsid w:val="005B1A5E"/>
    <w:rsid w:val="005B1C50"/>
    <w:rsid w:val="005B1EB5"/>
    <w:rsid w:val="005B2218"/>
    <w:rsid w:val="005B2C3A"/>
    <w:rsid w:val="005B32CE"/>
    <w:rsid w:val="005B33DC"/>
    <w:rsid w:val="005B34EE"/>
    <w:rsid w:val="005B3568"/>
    <w:rsid w:val="005B3606"/>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AB"/>
    <w:rsid w:val="005B7A22"/>
    <w:rsid w:val="005C00C1"/>
    <w:rsid w:val="005C03FA"/>
    <w:rsid w:val="005C047D"/>
    <w:rsid w:val="005C0602"/>
    <w:rsid w:val="005C0A73"/>
    <w:rsid w:val="005C0AC6"/>
    <w:rsid w:val="005C0B86"/>
    <w:rsid w:val="005C123C"/>
    <w:rsid w:val="005C1AC4"/>
    <w:rsid w:val="005C2114"/>
    <w:rsid w:val="005C2362"/>
    <w:rsid w:val="005C25C7"/>
    <w:rsid w:val="005C25DD"/>
    <w:rsid w:val="005C2766"/>
    <w:rsid w:val="005C2E28"/>
    <w:rsid w:val="005C300C"/>
    <w:rsid w:val="005C3015"/>
    <w:rsid w:val="005C3069"/>
    <w:rsid w:val="005C343C"/>
    <w:rsid w:val="005C37F5"/>
    <w:rsid w:val="005C40C7"/>
    <w:rsid w:val="005C42B0"/>
    <w:rsid w:val="005C42DA"/>
    <w:rsid w:val="005C438F"/>
    <w:rsid w:val="005C44D5"/>
    <w:rsid w:val="005C4A96"/>
    <w:rsid w:val="005C4C7F"/>
    <w:rsid w:val="005C4E3A"/>
    <w:rsid w:val="005C5042"/>
    <w:rsid w:val="005C5AF9"/>
    <w:rsid w:val="005C63FA"/>
    <w:rsid w:val="005C737D"/>
    <w:rsid w:val="005C75D1"/>
    <w:rsid w:val="005C773A"/>
    <w:rsid w:val="005C7C28"/>
    <w:rsid w:val="005C7F98"/>
    <w:rsid w:val="005D03A5"/>
    <w:rsid w:val="005D0512"/>
    <w:rsid w:val="005D058E"/>
    <w:rsid w:val="005D082B"/>
    <w:rsid w:val="005D0976"/>
    <w:rsid w:val="005D097F"/>
    <w:rsid w:val="005D0E7C"/>
    <w:rsid w:val="005D1576"/>
    <w:rsid w:val="005D1762"/>
    <w:rsid w:val="005D1AF3"/>
    <w:rsid w:val="005D1D9F"/>
    <w:rsid w:val="005D2217"/>
    <w:rsid w:val="005D2667"/>
    <w:rsid w:val="005D3485"/>
    <w:rsid w:val="005D34BF"/>
    <w:rsid w:val="005D3E22"/>
    <w:rsid w:val="005D3EBB"/>
    <w:rsid w:val="005D42B4"/>
    <w:rsid w:val="005D4CF7"/>
    <w:rsid w:val="005D51D9"/>
    <w:rsid w:val="005D5347"/>
    <w:rsid w:val="005D53A2"/>
    <w:rsid w:val="005D570F"/>
    <w:rsid w:val="005D576A"/>
    <w:rsid w:val="005D5A70"/>
    <w:rsid w:val="005D5CC5"/>
    <w:rsid w:val="005D5E85"/>
    <w:rsid w:val="005D6732"/>
    <w:rsid w:val="005D6E0D"/>
    <w:rsid w:val="005D74DD"/>
    <w:rsid w:val="005D7572"/>
    <w:rsid w:val="005D787B"/>
    <w:rsid w:val="005D7E4A"/>
    <w:rsid w:val="005D7E93"/>
    <w:rsid w:val="005E03A7"/>
    <w:rsid w:val="005E0516"/>
    <w:rsid w:val="005E0949"/>
    <w:rsid w:val="005E0C83"/>
    <w:rsid w:val="005E0E3F"/>
    <w:rsid w:val="005E12BE"/>
    <w:rsid w:val="005E1467"/>
    <w:rsid w:val="005E305A"/>
    <w:rsid w:val="005E319D"/>
    <w:rsid w:val="005E3ACB"/>
    <w:rsid w:val="005E3DF8"/>
    <w:rsid w:val="005E3F55"/>
    <w:rsid w:val="005E4660"/>
    <w:rsid w:val="005E4B27"/>
    <w:rsid w:val="005E515C"/>
    <w:rsid w:val="005E6499"/>
    <w:rsid w:val="005E6505"/>
    <w:rsid w:val="005E6F77"/>
    <w:rsid w:val="005E75E3"/>
    <w:rsid w:val="005E7B9C"/>
    <w:rsid w:val="005E7BE6"/>
    <w:rsid w:val="005E7ECD"/>
    <w:rsid w:val="005F0215"/>
    <w:rsid w:val="005F0523"/>
    <w:rsid w:val="005F1267"/>
    <w:rsid w:val="005F1C97"/>
    <w:rsid w:val="005F1D43"/>
    <w:rsid w:val="005F2EA8"/>
    <w:rsid w:val="005F322F"/>
    <w:rsid w:val="005F3322"/>
    <w:rsid w:val="005F3751"/>
    <w:rsid w:val="005F3A56"/>
    <w:rsid w:val="005F3EC3"/>
    <w:rsid w:val="005F4136"/>
    <w:rsid w:val="005F42F2"/>
    <w:rsid w:val="005F446D"/>
    <w:rsid w:val="005F488D"/>
    <w:rsid w:val="005F5005"/>
    <w:rsid w:val="005F5117"/>
    <w:rsid w:val="005F584B"/>
    <w:rsid w:val="005F5F7B"/>
    <w:rsid w:val="005F61E1"/>
    <w:rsid w:val="005F637A"/>
    <w:rsid w:val="005F64C6"/>
    <w:rsid w:val="005F76FB"/>
    <w:rsid w:val="005F784D"/>
    <w:rsid w:val="005F7A0B"/>
    <w:rsid w:val="0060054F"/>
    <w:rsid w:val="0060081A"/>
    <w:rsid w:val="006008F1"/>
    <w:rsid w:val="00600C01"/>
    <w:rsid w:val="006014DB"/>
    <w:rsid w:val="00601735"/>
    <w:rsid w:val="006018B5"/>
    <w:rsid w:val="00601BE4"/>
    <w:rsid w:val="006022AD"/>
    <w:rsid w:val="006022E0"/>
    <w:rsid w:val="006023AE"/>
    <w:rsid w:val="006025F2"/>
    <w:rsid w:val="0060279C"/>
    <w:rsid w:val="00602AC4"/>
    <w:rsid w:val="00602B46"/>
    <w:rsid w:val="00602BD2"/>
    <w:rsid w:val="00602C37"/>
    <w:rsid w:val="006031A6"/>
    <w:rsid w:val="00603383"/>
    <w:rsid w:val="00603480"/>
    <w:rsid w:val="0060376C"/>
    <w:rsid w:val="00603817"/>
    <w:rsid w:val="006039B8"/>
    <w:rsid w:val="00603B25"/>
    <w:rsid w:val="00603D7A"/>
    <w:rsid w:val="0060408F"/>
    <w:rsid w:val="00604174"/>
    <w:rsid w:val="006043F3"/>
    <w:rsid w:val="006049ED"/>
    <w:rsid w:val="00604B87"/>
    <w:rsid w:val="00605275"/>
    <w:rsid w:val="00605529"/>
    <w:rsid w:val="00605A3E"/>
    <w:rsid w:val="00605CAB"/>
    <w:rsid w:val="00605D1D"/>
    <w:rsid w:val="00605DAE"/>
    <w:rsid w:val="00605DB9"/>
    <w:rsid w:val="00605DE2"/>
    <w:rsid w:val="0060650E"/>
    <w:rsid w:val="006065CF"/>
    <w:rsid w:val="00606C41"/>
    <w:rsid w:val="00606E5D"/>
    <w:rsid w:val="006076EF"/>
    <w:rsid w:val="006079C8"/>
    <w:rsid w:val="006103A8"/>
    <w:rsid w:val="00610F39"/>
    <w:rsid w:val="006112C2"/>
    <w:rsid w:val="0061150D"/>
    <w:rsid w:val="00611D9C"/>
    <w:rsid w:val="00612E59"/>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200B8"/>
    <w:rsid w:val="00620272"/>
    <w:rsid w:val="0062040C"/>
    <w:rsid w:val="00620422"/>
    <w:rsid w:val="0062058A"/>
    <w:rsid w:val="006205BF"/>
    <w:rsid w:val="006208F9"/>
    <w:rsid w:val="00620A9B"/>
    <w:rsid w:val="00620CE4"/>
    <w:rsid w:val="0062100C"/>
    <w:rsid w:val="00621343"/>
    <w:rsid w:val="00621BA6"/>
    <w:rsid w:val="00621F46"/>
    <w:rsid w:val="0062224C"/>
    <w:rsid w:val="00622CD5"/>
    <w:rsid w:val="00622FEA"/>
    <w:rsid w:val="0062349B"/>
    <w:rsid w:val="006235BB"/>
    <w:rsid w:val="00623B67"/>
    <w:rsid w:val="00623C19"/>
    <w:rsid w:val="00623CDF"/>
    <w:rsid w:val="00623DB1"/>
    <w:rsid w:val="00623EB3"/>
    <w:rsid w:val="00623F6A"/>
    <w:rsid w:val="006241D2"/>
    <w:rsid w:val="006245F3"/>
    <w:rsid w:val="00624ABF"/>
    <w:rsid w:val="00624B63"/>
    <w:rsid w:val="00624E6F"/>
    <w:rsid w:val="006252E6"/>
    <w:rsid w:val="0062552F"/>
    <w:rsid w:val="00625A17"/>
    <w:rsid w:val="00625B47"/>
    <w:rsid w:val="00625BE6"/>
    <w:rsid w:val="00625D54"/>
    <w:rsid w:val="00626337"/>
    <w:rsid w:val="006268E4"/>
    <w:rsid w:val="00626A11"/>
    <w:rsid w:val="00626A1D"/>
    <w:rsid w:val="00626BE7"/>
    <w:rsid w:val="0062726B"/>
    <w:rsid w:val="0062767B"/>
    <w:rsid w:val="0062770D"/>
    <w:rsid w:val="00627ED6"/>
    <w:rsid w:val="006304D2"/>
    <w:rsid w:val="00630C76"/>
    <w:rsid w:val="00630CC5"/>
    <w:rsid w:val="0063196A"/>
    <w:rsid w:val="006319CA"/>
    <w:rsid w:val="00631B1B"/>
    <w:rsid w:val="00631D45"/>
    <w:rsid w:val="00632B41"/>
    <w:rsid w:val="00633107"/>
    <w:rsid w:val="006338BC"/>
    <w:rsid w:val="00633AA9"/>
    <w:rsid w:val="00633FDE"/>
    <w:rsid w:val="00634932"/>
    <w:rsid w:val="00634EC0"/>
    <w:rsid w:val="0063627F"/>
    <w:rsid w:val="006362FE"/>
    <w:rsid w:val="006364D6"/>
    <w:rsid w:val="006370A6"/>
    <w:rsid w:val="00637A76"/>
    <w:rsid w:val="00637CE2"/>
    <w:rsid w:val="00637EE5"/>
    <w:rsid w:val="00640125"/>
    <w:rsid w:val="00640F42"/>
    <w:rsid w:val="006411E4"/>
    <w:rsid w:val="0064140B"/>
    <w:rsid w:val="006419A2"/>
    <w:rsid w:val="0064266A"/>
    <w:rsid w:val="00642ADE"/>
    <w:rsid w:val="00642D72"/>
    <w:rsid w:val="0064303A"/>
    <w:rsid w:val="006431BC"/>
    <w:rsid w:val="00643671"/>
    <w:rsid w:val="00643819"/>
    <w:rsid w:val="00643B4C"/>
    <w:rsid w:val="00643F85"/>
    <w:rsid w:val="006442FD"/>
    <w:rsid w:val="006443CB"/>
    <w:rsid w:val="00644A19"/>
    <w:rsid w:val="00644F80"/>
    <w:rsid w:val="0064532F"/>
    <w:rsid w:val="00645874"/>
    <w:rsid w:val="006466E1"/>
    <w:rsid w:val="006479E0"/>
    <w:rsid w:val="00647A43"/>
    <w:rsid w:val="00647D78"/>
    <w:rsid w:val="00647F7B"/>
    <w:rsid w:val="0065074A"/>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95A"/>
    <w:rsid w:val="00653FE6"/>
    <w:rsid w:val="0065446A"/>
    <w:rsid w:val="00654671"/>
    <w:rsid w:val="00654C11"/>
    <w:rsid w:val="00654EB9"/>
    <w:rsid w:val="006551F6"/>
    <w:rsid w:val="0065552B"/>
    <w:rsid w:val="006558F8"/>
    <w:rsid w:val="00655AC6"/>
    <w:rsid w:val="006561E4"/>
    <w:rsid w:val="006564DF"/>
    <w:rsid w:val="006566ED"/>
    <w:rsid w:val="00656B4B"/>
    <w:rsid w:val="0065746E"/>
    <w:rsid w:val="00657594"/>
    <w:rsid w:val="00657DFC"/>
    <w:rsid w:val="00660024"/>
    <w:rsid w:val="00660B46"/>
    <w:rsid w:val="00660EF1"/>
    <w:rsid w:val="00660F6F"/>
    <w:rsid w:val="006610B6"/>
    <w:rsid w:val="00661918"/>
    <w:rsid w:val="00661C74"/>
    <w:rsid w:val="00661D51"/>
    <w:rsid w:val="00661E1C"/>
    <w:rsid w:val="00661F08"/>
    <w:rsid w:val="00662130"/>
    <w:rsid w:val="00662A5A"/>
    <w:rsid w:val="00662B7E"/>
    <w:rsid w:val="00662F7D"/>
    <w:rsid w:val="0066318E"/>
    <w:rsid w:val="0066356C"/>
    <w:rsid w:val="00663C58"/>
    <w:rsid w:val="00663CEF"/>
    <w:rsid w:val="00664205"/>
    <w:rsid w:val="00664264"/>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0932"/>
    <w:rsid w:val="00671091"/>
    <w:rsid w:val="00671524"/>
    <w:rsid w:val="00671AC7"/>
    <w:rsid w:val="00671BCF"/>
    <w:rsid w:val="00672154"/>
    <w:rsid w:val="0067257F"/>
    <w:rsid w:val="0067426D"/>
    <w:rsid w:val="00674321"/>
    <w:rsid w:val="00674701"/>
    <w:rsid w:val="00674713"/>
    <w:rsid w:val="0067472B"/>
    <w:rsid w:val="00675001"/>
    <w:rsid w:val="0067512B"/>
    <w:rsid w:val="00675294"/>
    <w:rsid w:val="0067545E"/>
    <w:rsid w:val="006758D1"/>
    <w:rsid w:val="00675907"/>
    <w:rsid w:val="00675A65"/>
    <w:rsid w:val="00676556"/>
    <w:rsid w:val="00676E43"/>
    <w:rsid w:val="00677435"/>
    <w:rsid w:val="00677571"/>
    <w:rsid w:val="00677682"/>
    <w:rsid w:val="00677C33"/>
    <w:rsid w:val="00680262"/>
    <w:rsid w:val="006803B4"/>
    <w:rsid w:val="00680936"/>
    <w:rsid w:val="00680D8C"/>
    <w:rsid w:val="0068165C"/>
    <w:rsid w:val="006818B4"/>
    <w:rsid w:val="00681C66"/>
    <w:rsid w:val="00681FA8"/>
    <w:rsid w:val="006820E0"/>
    <w:rsid w:val="00682221"/>
    <w:rsid w:val="006826B4"/>
    <w:rsid w:val="00682725"/>
    <w:rsid w:val="00682A97"/>
    <w:rsid w:val="00682AED"/>
    <w:rsid w:val="00682D87"/>
    <w:rsid w:val="006831AD"/>
    <w:rsid w:val="00683502"/>
    <w:rsid w:val="00683641"/>
    <w:rsid w:val="00683A1C"/>
    <w:rsid w:val="00683E86"/>
    <w:rsid w:val="0068413E"/>
    <w:rsid w:val="006841A6"/>
    <w:rsid w:val="00684387"/>
    <w:rsid w:val="006845A2"/>
    <w:rsid w:val="00684C8C"/>
    <w:rsid w:val="00684E97"/>
    <w:rsid w:val="006853A4"/>
    <w:rsid w:val="006856B8"/>
    <w:rsid w:val="006857EE"/>
    <w:rsid w:val="006862B9"/>
    <w:rsid w:val="006864E1"/>
    <w:rsid w:val="00686546"/>
    <w:rsid w:val="00686DB4"/>
    <w:rsid w:val="00686E73"/>
    <w:rsid w:val="006876CE"/>
    <w:rsid w:val="006877FF"/>
    <w:rsid w:val="0068793A"/>
    <w:rsid w:val="00687B34"/>
    <w:rsid w:val="00690781"/>
    <w:rsid w:val="006907A1"/>
    <w:rsid w:val="00690B17"/>
    <w:rsid w:val="00690DDF"/>
    <w:rsid w:val="00691076"/>
    <w:rsid w:val="0069128F"/>
    <w:rsid w:val="00691404"/>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4A91"/>
    <w:rsid w:val="00694AAE"/>
    <w:rsid w:val="00695396"/>
    <w:rsid w:val="006954A0"/>
    <w:rsid w:val="00695528"/>
    <w:rsid w:val="00695620"/>
    <w:rsid w:val="00695659"/>
    <w:rsid w:val="0069591C"/>
    <w:rsid w:val="00695D76"/>
    <w:rsid w:val="00696A0F"/>
    <w:rsid w:val="00696D66"/>
    <w:rsid w:val="006971D2"/>
    <w:rsid w:val="00697669"/>
    <w:rsid w:val="00697AE8"/>
    <w:rsid w:val="00697F01"/>
    <w:rsid w:val="006A023E"/>
    <w:rsid w:val="006A056F"/>
    <w:rsid w:val="006A0F98"/>
    <w:rsid w:val="006A15BA"/>
    <w:rsid w:val="006A1749"/>
    <w:rsid w:val="006A1AAE"/>
    <w:rsid w:val="006A1EEA"/>
    <w:rsid w:val="006A20F5"/>
    <w:rsid w:val="006A2150"/>
    <w:rsid w:val="006A241D"/>
    <w:rsid w:val="006A24EA"/>
    <w:rsid w:val="006A2B0C"/>
    <w:rsid w:val="006A2C61"/>
    <w:rsid w:val="006A3054"/>
    <w:rsid w:val="006A3288"/>
    <w:rsid w:val="006A35A2"/>
    <w:rsid w:val="006A3C54"/>
    <w:rsid w:val="006A43E6"/>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9F"/>
    <w:rsid w:val="006B134D"/>
    <w:rsid w:val="006B1A20"/>
    <w:rsid w:val="006B1C7C"/>
    <w:rsid w:val="006B1EC8"/>
    <w:rsid w:val="006B2136"/>
    <w:rsid w:val="006B3063"/>
    <w:rsid w:val="006B3086"/>
    <w:rsid w:val="006B34BA"/>
    <w:rsid w:val="006B362F"/>
    <w:rsid w:val="006B3BD8"/>
    <w:rsid w:val="006B3DD0"/>
    <w:rsid w:val="006B43AB"/>
    <w:rsid w:val="006B4547"/>
    <w:rsid w:val="006B4750"/>
    <w:rsid w:val="006B494C"/>
    <w:rsid w:val="006B5752"/>
    <w:rsid w:val="006B590C"/>
    <w:rsid w:val="006B63D8"/>
    <w:rsid w:val="006B6CA8"/>
    <w:rsid w:val="006B6F32"/>
    <w:rsid w:val="006B7092"/>
    <w:rsid w:val="006B7130"/>
    <w:rsid w:val="006B7A80"/>
    <w:rsid w:val="006B7D4A"/>
    <w:rsid w:val="006B7DA9"/>
    <w:rsid w:val="006B7DC1"/>
    <w:rsid w:val="006B7EF5"/>
    <w:rsid w:val="006C04F5"/>
    <w:rsid w:val="006C0A72"/>
    <w:rsid w:val="006C0A96"/>
    <w:rsid w:val="006C0CF5"/>
    <w:rsid w:val="006C1A5C"/>
    <w:rsid w:val="006C201C"/>
    <w:rsid w:val="006C211C"/>
    <w:rsid w:val="006C24B6"/>
    <w:rsid w:val="006C397B"/>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C6FF4"/>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95A"/>
    <w:rsid w:val="006D39F3"/>
    <w:rsid w:val="006D3B4A"/>
    <w:rsid w:val="006D3C4F"/>
    <w:rsid w:val="006D4391"/>
    <w:rsid w:val="006D43D1"/>
    <w:rsid w:val="006D44D0"/>
    <w:rsid w:val="006D4B84"/>
    <w:rsid w:val="006D5373"/>
    <w:rsid w:val="006D548C"/>
    <w:rsid w:val="006D5625"/>
    <w:rsid w:val="006D57CB"/>
    <w:rsid w:val="006D5A82"/>
    <w:rsid w:val="006D5D92"/>
    <w:rsid w:val="006D60EE"/>
    <w:rsid w:val="006D6CDD"/>
    <w:rsid w:val="006D6DB3"/>
    <w:rsid w:val="006D6F13"/>
    <w:rsid w:val="006D700B"/>
    <w:rsid w:val="006D719D"/>
    <w:rsid w:val="006D7444"/>
    <w:rsid w:val="006D7BA6"/>
    <w:rsid w:val="006D7F3E"/>
    <w:rsid w:val="006E044C"/>
    <w:rsid w:val="006E0A61"/>
    <w:rsid w:val="006E0AF6"/>
    <w:rsid w:val="006E2251"/>
    <w:rsid w:val="006E36D4"/>
    <w:rsid w:val="006E3711"/>
    <w:rsid w:val="006E3992"/>
    <w:rsid w:val="006E3AAD"/>
    <w:rsid w:val="006E3B0D"/>
    <w:rsid w:val="006E4118"/>
    <w:rsid w:val="006E4238"/>
    <w:rsid w:val="006E447A"/>
    <w:rsid w:val="006E44E5"/>
    <w:rsid w:val="006E44FF"/>
    <w:rsid w:val="006E4560"/>
    <w:rsid w:val="006E474E"/>
    <w:rsid w:val="006E481A"/>
    <w:rsid w:val="006E5068"/>
    <w:rsid w:val="006E665F"/>
    <w:rsid w:val="006E6948"/>
    <w:rsid w:val="006E720E"/>
    <w:rsid w:val="006E7426"/>
    <w:rsid w:val="006E780B"/>
    <w:rsid w:val="006E7B25"/>
    <w:rsid w:val="006E7B97"/>
    <w:rsid w:val="006E7C1C"/>
    <w:rsid w:val="006E7CF8"/>
    <w:rsid w:val="006E7D23"/>
    <w:rsid w:val="006E7EEF"/>
    <w:rsid w:val="006F01F8"/>
    <w:rsid w:val="006F05FD"/>
    <w:rsid w:val="006F063E"/>
    <w:rsid w:val="006F0B83"/>
    <w:rsid w:val="006F15F3"/>
    <w:rsid w:val="006F1BBB"/>
    <w:rsid w:val="006F2173"/>
    <w:rsid w:val="006F2318"/>
    <w:rsid w:val="006F2550"/>
    <w:rsid w:val="006F2CA3"/>
    <w:rsid w:val="006F2F26"/>
    <w:rsid w:val="006F32BE"/>
    <w:rsid w:val="006F3B10"/>
    <w:rsid w:val="006F3EA8"/>
    <w:rsid w:val="006F41E7"/>
    <w:rsid w:val="006F4645"/>
    <w:rsid w:val="006F4740"/>
    <w:rsid w:val="006F49A7"/>
    <w:rsid w:val="006F4ACD"/>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32D"/>
    <w:rsid w:val="00700423"/>
    <w:rsid w:val="00701590"/>
    <w:rsid w:val="007015A2"/>
    <w:rsid w:val="00701AE8"/>
    <w:rsid w:val="00701CF4"/>
    <w:rsid w:val="00702150"/>
    <w:rsid w:val="0070231E"/>
    <w:rsid w:val="00702B1B"/>
    <w:rsid w:val="00702C43"/>
    <w:rsid w:val="00702CFE"/>
    <w:rsid w:val="00703026"/>
    <w:rsid w:val="0070395E"/>
    <w:rsid w:val="00703C2B"/>
    <w:rsid w:val="00703C76"/>
    <w:rsid w:val="00703E61"/>
    <w:rsid w:val="00704164"/>
    <w:rsid w:val="0070430C"/>
    <w:rsid w:val="00704473"/>
    <w:rsid w:val="0070457A"/>
    <w:rsid w:val="00704730"/>
    <w:rsid w:val="00704E3D"/>
    <w:rsid w:val="00705031"/>
    <w:rsid w:val="0070508A"/>
    <w:rsid w:val="00705134"/>
    <w:rsid w:val="0070537D"/>
    <w:rsid w:val="007053D4"/>
    <w:rsid w:val="00705931"/>
    <w:rsid w:val="00706277"/>
    <w:rsid w:val="00706514"/>
    <w:rsid w:val="00706A58"/>
    <w:rsid w:val="00707228"/>
    <w:rsid w:val="007075DD"/>
    <w:rsid w:val="007110E1"/>
    <w:rsid w:val="00711CFE"/>
    <w:rsid w:val="00711E3C"/>
    <w:rsid w:val="0071262B"/>
    <w:rsid w:val="0071266C"/>
    <w:rsid w:val="007127F4"/>
    <w:rsid w:val="00712AF8"/>
    <w:rsid w:val="00712CB6"/>
    <w:rsid w:val="00712E98"/>
    <w:rsid w:val="00713400"/>
    <w:rsid w:val="007134AF"/>
    <w:rsid w:val="00713662"/>
    <w:rsid w:val="00713847"/>
    <w:rsid w:val="0071394E"/>
    <w:rsid w:val="007139C3"/>
    <w:rsid w:val="00714394"/>
    <w:rsid w:val="007143BC"/>
    <w:rsid w:val="00714AAD"/>
    <w:rsid w:val="00714B6D"/>
    <w:rsid w:val="007150B9"/>
    <w:rsid w:val="00715AAC"/>
    <w:rsid w:val="007160F0"/>
    <w:rsid w:val="007163F8"/>
    <w:rsid w:val="00716AB6"/>
    <w:rsid w:val="00716B9D"/>
    <w:rsid w:val="00716CFA"/>
    <w:rsid w:val="00716D40"/>
    <w:rsid w:val="00716FC7"/>
    <w:rsid w:val="0071729C"/>
    <w:rsid w:val="00717418"/>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273"/>
    <w:rsid w:val="00723377"/>
    <w:rsid w:val="007238C5"/>
    <w:rsid w:val="00724348"/>
    <w:rsid w:val="00724606"/>
    <w:rsid w:val="00724E85"/>
    <w:rsid w:val="007252D3"/>
    <w:rsid w:val="00725318"/>
    <w:rsid w:val="00725860"/>
    <w:rsid w:val="007258B6"/>
    <w:rsid w:val="00725FAE"/>
    <w:rsid w:val="007266DD"/>
    <w:rsid w:val="0072671E"/>
    <w:rsid w:val="00726815"/>
    <w:rsid w:val="00726B00"/>
    <w:rsid w:val="00726B1B"/>
    <w:rsid w:val="00726D0F"/>
    <w:rsid w:val="00726DA7"/>
    <w:rsid w:val="00727152"/>
    <w:rsid w:val="00727583"/>
    <w:rsid w:val="00727C5F"/>
    <w:rsid w:val="00727DAC"/>
    <w:rsid w:val="00727DDC"/>
    <w:rsid w:val="00730073"/>
    <w:rsid w:val="00730DAF"/>
    <w:rsid w:val="00730F89"/>
    <w:rsid w:val="00731296"/>
    <w:rsid w:val="00731542"/>
    <w:rsid w:val="0073161B"/>
    <w:rsid w:val="007319F7"/>
    <w:rsid w:val="00732E20"/>
    <w:rsid w:val="00733025"/>
    <w:rsid w:val="00733094"/>
    <w:rsid w:val="007334DC"/>
    <w:rsid w:val="00733B19"/>
    <w:rsid w:val="00733BA3"/>
    <w:rsid w:val="007343BB"/>
    <w:rsid w:val="00734887"/>
    <w:rsid w:val="00734994"/>
    <w:rsid w:val="007349C0"/>
    <w:rsid w:val="007361B1"/>
    <w:rsid w:val="007362FB"/>
    <w:rsid w:val="0073642E"/>
    <w:rsid w:val="007365B6"/>
    <w:rsid w:val="007367D8"/>
    <w:rsid w:val="00736824"/>
    <w:rsid w:val="00736960"/>
    <w:rsid w:val="00736966"/>
    <w:rsid w:val="00736B84"/>
    <w:rsid w:val="00736BBD"/>
    <w:rsid w:val="00737049"/>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FA3"/>
    <w:rsid w:val="00745BCD"/>
    <w:rsid w:val="007467B8"/>
    <w:rsid w:val="00746951"/>
    <w:rsid w:val="0074722C"/>
    <w:rsid w:val="0074791E"/>
    <w:rsid w:val="00747B2E"/>
    <w:rsid w:val="00747D28"/>
    <w:rsid w:val="0075001A"/>
    <w:rsid w:val="00750376"/>
    <w:rsid w:val="0075047D"/>
    <w:rsid w:val="00750904"/>
    <w:rsid w:val="00750A08"/>
    <w:rsid w:val="00750A66"/>
    <w:rsid w:val="00750B28"/>
    <w:rsid w:val="00750D30"/>
    <w:rsid w:val="00750E3B"/>
    <w:rsid w:val="0075115D"/>
    <w:rsid w:val="007512CA"/>
    <w:rsid w:val="007514A4"/>
    <w:rsid w:val="00751984"/>
    <w:rsid w:val="00751995"/>
    <w:rsid w:val="007524D7"/>
    <w:rsid w:val="007525FF"/>
    <w:rsid w:val="0075283C"/>
    <w:rsid w:val="00752BB7"/>
    <w:rsid w:val="00753069"/>
    <w:rsid w:val="0075381D"/>
    <w:rsid w:val="00753890"/>
    <w:rsid w:val="00753A02"/>
    <w:rsid w:val="00753B7D"/>
    <w:rsid w:val="00754EEC"/>
    <w:rsid w:val="0075500C"/>
    <w:rsid w:val="0075501A"/>
    <w:rsid w:val="00755283"/>
    <w:rsid w:val="007555DF"/>
    <w:rsid w:val="00755818"/>
    <w:rsid w:val="00755B12"/>
    <w:rsid w:val="00755D21"/>
    <w:rsid w:val="00755E75"/>
    <w:rsid w:val="007565B5"/>
    <w:rsid w:val="00756C14"/>
    <w:rsid w:val="0076001F"/>
    <w:rsid w:val="0076063F"/>
    <w:rsid w:val="00760C40"/>
    <w:rsid w:val="00760F74"/>
    <w:rsid w:val="00761434"/>
    <w:rsid w:val="0076150F"/>
    <w:rsid w:val="00761721"/>
    <w:rsid w:val="007618EF"/>
    <w:rsid w:val="00761A82"/>
    <w:rsid w:val="00761FD5"/>
    <w:rsid w:val="00762065"/>
    <w:rsid w:val="007624BB"/>
    <w:rsid w:val="00762725"/>
    <w:rsid w:val="007627E6"/>
    <w:rsid w:val="00763DB6"/>
    <w:rsid w:val="007643D1"/>
    <w:rsid w:val="00764B49"/>
    <w:rsid w:val="00764F70"/>
    <w:rsid w:val="00765714"/>
    <w:rsid w:val="00765CC3"/>
    <w:rsid w:val="00765DD8"/>
    <w:rsid w:val="00766122"/>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138"/>
    <w:rsid w:val="00772FA4"/>
    <w:rsid w:val="00773503"/>
    <w:rsid w:val="007735C4"/>
    <w:rsid w:val="00773874"/>
    <w:rsid w:val="0077477A"/>
    <w:rsid w:val="007747A9"/>
    <w:rsid w:val="00774B83"/>
    <w:rsid w:val="00774EB9"/>
    <w:rsid w:val="00774FDC"/>
    <w:rsid w:val="00775048"/>
    <w:rsid w:val="00775273"/>
    <w:rsid w:val="0077555B"/>
    <w:rsid w:val="00775716"/>
    <w:rsid w:val="00775861"/>
    <w:rsid w:val="00775952"/>
    <w:rsid w:val="00775B52"/>
    <w:rsid w:val="00775EED"/>
    <w:rsid w:val="0077648B"/>
    <w:rsid w:val="007765DF"/>
    <w:rsid w:val="0077695E"/>
    <w:rsid w:val="00776AD1"/>
    <w:rsid w:val="007770B9"/>
    <w:rsid w:val="0078008D"/>
    <w:rsid w:val="007801D0"/>
    <w:rsid w:val="00780661"/>
    <w:rsid w:val="00780A4F"/>
    <w:rsid w:val="00780D88"/>
    <w:rsid w:val="00780F42"/>
    <w:rsid w:val="0078126C"/>
    <w:rsid w:val="007814DD"/>
    <w:rsid w:val="00781934"/>
    <w:rsid w:val="0078195C"/>
    <w:rsid w:val="00781AD1"/>
    <w:rsid w:val="00782A0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678"/>
    <w:rsid w:val="0078781B"/>
    <w:rsid w:val="00787ACB"/>
    <w:rsid w:val="00790739"/>
    <w:rsid w:val="00790DFB"/>
    <w:rsid w:val="00791B10"/>
    <w:rsid w:val="0079218E"/>
    <w:rsid w:val="00792447"/>
    <w:rsid w:val="00792659"/>
    <w:rsid w:val="00792679"/>
    <w:rsid w:val="0079270E"/>
    <w:rsid w:val="00792855"/>
    <w:rsid w:val="007937CB"/>
    <w:rsid w:val="007942D0"/>
    <w:rsid w:val="00794A05"/>
    <w:rsid w:val="00794F1A"/>
    <w:rsid w:val="007951C6"/>
    <w:rsid w:val="007954A5"/>
    <w:rsid w:val="00795782"/>
    <w:rsid w:val="007957C7"/>
    <w:rsid w:val="007957FE"/>
    <w:rsid w:val="00795908"/>
    <w:rsid w:val="00795B64"/>
    <w:rsid w:val="00795B83"/>
    <w:rsid w:val="0079694C"/>
    <w:rsid w:val="00796CBE"/>
    <w:rsid w:val="00796DBD"/>
    <w:rsid w:val="0079726A"/>
    <w:rsid w:val="00797EA5"/>
    <w:rsid w:val="00797FAD"/>
    <w:rsid w:val="007A0271"/>
    <w:rsid w:val="007A04F9"/>
    <w:rsid w:val="007A0AF5"/>
    <w:rsid w:val="007A1A4E"/>
    <w:rsid w:val="007A354D"/>
    <w:rsid w:val="007A38D8"/>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6896"/>
    <w:rsid w:val="007B6AAE"/>
    <w:rsid w:val="007B6EF4"/>
    <w:rsid w:val="007B7764"/>
    <w:rsid w:val="007B79F5"/>
    <w:rsid w:val="007B7BE9"/>
    <w:rsid w:val="007C04D4"/>
    <w:rsid w:val="007C0A01"/>
    <w:rsid w:val="007C0B60"/>
    <w:rsid w:val="007C0C9A"/>
    <w:rsid w:val="007C0E04"/>
    <w:rsid w:val="007C0EA1"/>
    <w:rsid w:val="007C123B"/>
    <w:rsid w:val="007C13DF"/>
    <w:rsid w:val="007C21F1"/>
    <w:rsid w:val="007C2827"/>
    <w:rsid w:val="007C2B1F"/>
    <w:rsid w:val="007C30E0"/>
    <w:rsid w:val="007C3224"/>
    <w:rsid w:val="007C32E9"/>
    <w:rsid w:val="007C344C"/>
    <w:rsid w:val="007C3813"/>
    <w:rsid w:val="007C3858"/>
    <w:rsid w:val="007C39AF"/>
    <w:rsid w:val="007C39ED"/>
    <w:rsid w:val="007C3A26"/>
    <w:rsid w:val="007C40FE"/>
    <w:rsid w:val="007C41F0"/>
    <w:rsid w:val="007C4228"/>
    <w:rsid w:val="007C42C0"/>
    <w:rsid w:val="007C5029"/>
    <w:rsid w:val="007C543F"/>
    <w:rsid w:val="007C5EE3"/>
    <w:rsid w:val="007C6DD2"/>
    <w:rsid w:val="007C6E85"/>
    <w:rsid w:val="007C6F36"/>
    <w:rsid w:val="007C70A7"/>
    <w:rsid w:val="007C73B0"/>
    <w:rsid w:val="007C74E5"/>
    <w:rsid w:val="007C76FB"/>
    <w:rsid w:val="007D060B"/>
    <w:rsid w:val="007D0E43"/>
    <w:rsid w:val="007D13E7"/>
    <w:rsid w:val="007D1991"/>
    <w:rsid w:val="007D1A22"/>
    <w:rsid w:val="007D1A4E"/>
    <w:rsid w:val="007D1E37"/>
    <w:rsid w:val="007D2037"/>
    <w:rsid w:val="007D232F"/>
    <w:rsid w:val="007D2385"/>
    <w:rsid w:val="007D2821"/>
    <w:rsid w:val="007D2E2D"/>
    <w:rsid w:val="007D3D9D"/>
    <w:rsid w:val="007D3DC7"/>
    <w:rsid w:val="007D4220"/>
    <w:rsid w:val="007D48B3"/>
    <w:rsid w:val="007D4985"/>
    <w:rsid w:val="007D52CA"/>
    <w:rsid w:val="007D563E"/>
    <w:rsid w:val="007D577F"/>
    <w:rsid w:val="007D5B51"/>
    <w:rsid w:val="007D5F71"/>
    <w:rsid w:val="007D5FC1"/>
    <w:rsid w:val="007D7071"/>
    <w:rsid w:val="007D715A"/>
    <w:rsid w:val="007D740C"/>
    <w:rsid w:val="007E0153"/>
    <w:rsid w:val="007E08BE"/>
    <w:rsid w:val="007E0DFE"/>
    <w:rsid w:val="007E0E9E"/>
    <w:rsid w:val="007E10A9"/>
    <w:rsid w:val="007E1681"/>
    <w:rsid w:val="007E17B3"/>
    <w:rsid w:val="007E19DC"/>
    <w:rsid w:val="007E1BA5"/>
    <w:rsid w:val="007E218C"/>
    <w:rsid w:val="007E21FB"/>
    <w:rsid w:val="007E2347"/>
    <w:rsid w:val="007E26A8"/>
    <w:rsid w:val="007E26BB"/>
    <w:rsid w:val="007E2E3F"/>
    <w:rsid w:val="007E3283"/>
    <w:rsid w:val="007E329D"/>
    <w:rsid w:val="007E32F4"/>
    <w:rsid w:val="007E39BF"/>
    <w:rsid w:val="007E39E7"/>
    <w:rsid w:val="007E420B"/>
    <w:rsid w:val="007E4381"/>
    <w:rsid w:val="007E47AA"/>
    <w:rsid w:val="007E47D2"/>
    <w:rsid w:val="007E4927"/>
    <w:rsid w:val="007E4932"/>
    <w:rsid w:val="007E49D4"/>
    <w:rsid w:val="007E502C"/>
    <w:rsid w:val="007E55B0"/>
    <w:rsid w:val="007E598A"/>
    <w:rsid w:val="007E5A74"/>
    <w:rsid w:val="007E5BD7"/>
    <w:rsid w:val="007E6023"/>
    <w:rsid w:val="007E740B"/>
    <w:rsid w:val="007E75F0"/>
    <w:rsid w:val="007E7968"/>
    <w:rsid w:val="007E7A47"/>
    <w:rsid w:val="007F013A"/>
    <w:rsid w:val="007F040B"/>
    <w:rsid w:val="007F067A"/>
    <w:rsid w:val="007F0691"/>
    <w:rsid w:val="007F088F"/>
    <w:rsid w:val="007F1FB0"/>
    <w:rsid w:val="007F212B"/>
    <w:rsid w:val="007F2488"/>
    <w:rsid w:val="007F2D90"/>
    <w:rsid w:val="007F3190"/>
    <w:rsid w:val="007F4211"/>
    <w:rsid w:val="007F4F51"/>
    <w:rsid w:val="007F4F82"/>
    <w:rsid w:val="007F53A5"/>
    <w:rsid w:val="007F54DB"/>
    <w:rsid w:val="007F5FC7"/>
    <w:rsid w:val="007F6736"/>
    <w:rsid w:val="007F6A9A"/>
    <w:rsid w:val="007F6B93"/>
    <w:rsid w:val="007F6B9F"/>
    <w:rsid w:val="007F6DC8"/>
    <w:rsid w:val="007F709F"/>
    <w:rsid w:val="007F712B"/>
    <w:rsid w:val="007F73DA"/>
    <w:rsid w:val="007F77D5"/>
    <w:rsid w:val="007F78FA"/>
    <w:rsid w:val="0080042A"/>
    <w:rsid w:val="008008F3"/>
    <w:rsid w:val="0080096B"/>
    <w:rsid w:val="008009C8"/>
    <w:rsid w:val="00801050"/>
    <w:rsid w:val="00801373"/>
    <w:rsid w:val="008013D6"/>
    <w:rsid w:val="008014FC"/>
    <w:rsid w:val="00801804"/>
    <w:rsid w:val="00801B3E"/>
    <w:rsid w:val="00801CA0"/>
    <w:rsid w:val="00801EEA"/>
    <w:rsid w:val="0080221D"/>
    <w:rsid w:val="00802493"/>
    <w:rsid w:val="00802785"/>
    <w:rsid w:val="0080280C"/>
    <w:rsid w:val="00802D6D"/>
    <w:rsid w:val="0080378F"/>
    <w:rsid w:val="008039FE"/>
    <w:rsid w:val="008041D5"/>
    <w:rsid w:val="00804653"/>
    <w:rsid w:val="00804A2E"/>
    <w:rsid w:val="0080514A"/>
    <w:rsid w:val="00805178"/>
    <w:rsid w:val="00805337"/>
    <w:rsid w:val="008054F6"/>
    <w:rsid w:val="00805D36"/>
    <w:rsid w:val="00806336"/>
    <w:rsid w:val="008066F8"/>
    <w:rsid w:val="00806A84"/>
    <w:rsid w:val="00806F66"/>
    <w:rsid w:val="008073D2"/>
    <w:rsid w:val="0080750E"/>
    <w:rsid w:val="00807C6C"/>
    <w:rsid w:val="0081034B"/>
    <w:rsid w:val="0081035F"/>
    <w:rsid w:val="00810C67"/>
    <w:rsid w:val="008112CE"/>
    <w:rsid w:val="00811F8C"/>
    <w:rsid w:val="0081243E"/>
    <w:rsid w:val="00812531"/>
    <w:rsid w:val="00812825"/>
    <w:rsid w:val="00812B10"/>
    <w:rsid w:val="00812BC0"/>
    <w:rsid w:val="00812F11"/>
    <w:rsid w:val="00813278"/>
    <w:rsid w:val="00813385"/>
    <w:rsid w:val="0081340B"/>
    <w:rsid w:val="00813869"/>
    <w:rsid w:val="0081393C"/>
    <w:rsid w:val="00813D52"/>
    <w:rsid w:val="00813DA5"/>
    <w:rsid w:val="00813E59"/>
    <w:rsid w:val="008143D8"/>
    <w:rsid w:val="00814626"/>
    <w:rsid w:val="00814C53"/>
    <w:rsid w:val="00814DAF"/>
    <w:rsid w:val="00815400"/>
    <w:rsid w:val="00815DA1"/>
    <w:rsid w:val="00816273"/>
    <w:rsid w:val="0081628A"/>
    <w:rsid w:val="00816304"/>
    <w:rsid w:val="0081632F"/>
    <w:rsid w:val="00816703"/>
    <w:rsid w:val="00816BD8"/>
    <w:rsid w:val="00816C39"/>
    <w:rsid w:val="00816E37"/>
    <w:rsid w:val="00817BB4"/>
    <w:rsid w:val="00817E89"/>
    <w:rsid w:val="00817E9F"/>
    <w:rsid w:val="008202F5"/>
    <w:rsid w:val="00821021"/>
    <w:rsid w:val="008214BB"/>
    <w:rsid w:val="00821609"/>
    <w:rsid w:val="00821A5B"/>
    <w:rsid w:val="00821B58"/>
    <w:rsid w:val="00821C0C"/>
    <w:rsid w:val="0082201B"/>
    <w:rsid w:val="0082202C"/>
    <w:rsid w:val="0082210E"/>
    <w:rsid w:val="00822117"/>
    <w:rsid w:val="008225E3"/>
    <w:rsid w:val="00822922"/>
    <w:rsid w:val="00822D06"/>
    <w:rsid w:val="00822D4E"/>
    <w:rsid w:val="00823329"/>
    <w:rsid w:val="00823822"/>
    <w:rsid w:val="00823A10"/>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79B"/>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26E"/>
    <w:rsid w:val="00833014"/>
    <w:rsid w:val="00833970"/>
    <w:rsid w:val="00833FBB"/>
    <w:rsid w:val="008340BF"/>
    <w:rsid w:val="008342EA"/>
    <w:rsid w:val="00834846"/>
    <w:rsid w:val="00834A99"/>
    <w:rsid w:val="00834BCA"/>
    <w:rsid w:val="00834D0E"/>
    <w:rsid w:val="00834F10"/>
    <w:rsid w:val="008350BD"/>
    <w:rsid w:val="00835237"/>
    <w:rsid w:val="0083544C"/>
    <w:rsid w:val="008356E1"/>
    <w:rsid w:val="00836281"/>
    <w:rsid w:val="00836A4D"/>
    <w:rsid w:val="00836E45"/>
    <w:rsid w:val="00836F94"/>
    <w:rsid w:val="0083737F"/>
    <w:rsid w:val="00837699"/>
    <w:rsid w:val="008377DA"/>
    <w:rsid w:val="00837FEE"/>
    <w:rsid w:val="0084069B"/>
    <w:rsid w:val="008409B9"/>
    <w:rsid w:val="00840AFF"/>
    <w:rsid w:val="00841252"/>
    <w:rsid w:val="00841D50"/>
    <w:rsid w:val="00842A25"/>
    <w:rsid w:val="00843122"/>
    <w:rsid w:val="008431C3"/>
    <w:rsid w:val="00843427"/>
    <w:rsid w:val="00843842"/>
    <w:rsid w:val="0084389C"/>
    <w:rsid w:val="00843D17"/>
    <w:rsid w:val="00843FCE"/>
    <w:rsid w:val="0084459B"/>
    <w:rsid w:val="008448DD"/>
    <w:rsid w:val="00844D06"/>
    <w:rsid w:val="00844EC9"/>
    <w:rsid w:val="00845811"/>
    <w:rsid w:val="00845A15"/>
    <w:rsid w:val="0084632F"/>
    <w:rsid w:val="008468F8"/>
    <w:rsid w:val="0084708B"/>
    <w:rsid w:val="00847121"/>
    <w:rsid w:val="00847309"/>
    <w:rsid w:val="0084765F"/>
    <w:rsid w:val="00847998"/>
    <w:rsid w:val="00847C0D"/>
    <w:rsid w:val="00847C2B"/>
    <w:rsid w:val="00847DA7"/>
    <w:rsid w:val="00850C0F"/>
    <w:rsid w:val="00850EF7"/>
    <w:rsid w:val="0085106A"/>
    <w:rsid w:val="00851F2B"/>
    <w:rsid w:val="008523F6"/>
    <w:rsid w:val="008527AB"/>
    <w:rsid w:val="00852A1F"/>
    <w:rsid w:val="00853C37"/>
    <w:rsid w:val="00853F10"/>
    <w:rsid w:val="00853F6C"/>
    <w:rsid w:val="008541E3"/>
    <w:rsid w:val="0085468B"/>
    <w:rsid w:val="00854EA0"/>
    <w:rsid w:val="008552FC"/>
    <w:rsid w:val="0085538A"/>
    <w:rsid w:val="00855423"/>
    <w:rsid w:val="008556B3"/>
    <w:rsid w:val="00855767"/>
    <w:rsid w:val="00855785"/>
    <w:rsid w:val="00855B06"/>
    <w:rsid w:val="008561BB"/>
    <w:rsid w:val="008565AA"/>
    <w:rsid w:val="00856CC4"/>
    <w:rsid w:val="008575F9"/>
    <w:rsid w:val="0085792C"/>
    <w:rsid w:val="00857936"/>
    <w:rsid w:val="00857D29"/>
    <w:rsid w:val="00857E25"/>
    <w:rsid w:val="00860071"/>
    <w:rsid w:val="00860A30"/>
    <w:rsid w:val="0086100E"/>
    <w:rsid w:val="0086138B"/>
    <w:rsid w:val="00861747"/>
    <w:rsid w:val="00861B5B"/>
    <w:rsid w:val="00861B6C"/>
    <w:rsid w:val="00862095"/>
    <w:rsid w:val="0086214C"/>
    <w:rsid w:val="008623D5"/>
    <w:rsid w:val="008629A8"/>
    <w:rsid w:val="00862ACF"/>
    <w:rsid w:val="00863089"/>
    <w:rsid w:val="00863198"/>
    <w:rsid w:val="00863544"/>
    <w:rsid w:val="00863B3D"/>
    <w:rsid w:val="008640B5"/>
    <w:rsid w:val="00864C32"/>
    <w:rsid w:val="00864C9F"/>
    <w:rsid w:val="00864D55"/>
    <w:rsid w:val="0086513A"/>
    <w:rsid w:val="00865199"/>
    <w:rsid w:val="00865426"/>
    <w:rsid w:val="008655BA"/>
    <w:rsid w:val="008658C0"/>
    <w:rsid w:val="008659F0"/>
    <w:rsid w:val="00865DB6"/>
    <w:rsid w:val="00865F44"/>
    <w:rsid w:val="0086605D"/>
    <w:rsid w:val="00866572"/>
    <w:rsid w:val="00866630"/>
    <w:rsid w:val="008679BC"/>
    <w:rsid w:val="008679DC"/>
    <w:rsid w:val="00870272"/>
    <w:rsid w:val="008706AE"/>
    <w:rsid w:val="00870C09"/>
    <w:rsid w:val="00870CB6"/>
    <w:rsid w:val="00870D76"/>
    <w:rsid w:val="00871421"/>
    <w:rsid w:val="00871499"/>
    <w:rsid w:val="008719AC"/>
    <w:rsid w:val="00871DC7"/>
    <w:rsid w:val="0087270F"/>
    <w:rsid w:val="00872882"/>
    <w:rsid w:val="00872B66"/>
    <w:rsid w:val="008734F5"/>
    <w:rsid w:val="0087367B"/>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ADE"/>
    <w:rsid w:val="00875CE5"/>
    <w:rsid w:val="00875E1F"/>
    <w:rsid w:val="00875E91"/>
    <w:rsid w:val="008777A6"/>
    <w:rsid w:val="008778FD"/>
    <w:rsid w:val="00877C0D"/>
    <w:rsid w:val="00877C43"/>
    <w:rsid w:val="0088028E"/>
    <w:rsid w:val="00880702"/>
    <w:rsid w:val="008807EE"/>
    <w:rsid w:val="00880A96"/>
    <w:rsid w:val="008810EE"/>
    <w:rsid w:val="008816F0"/>
    <w:rsid w:val="008818F6"/>
    <w:rsid w:val="00881D88"/>
    <w:rsid w:val="00881FFE"/>
    <w:rsid w:val="00882EC4"/>
    <w:rsid w:val="00882F6D"/>
    <w:rsid w:val="00883059"/>
    <w:rsid w:val="008833BB"/>
    <w:rsid w:val="0088398E"/>
    <w:rsid w:val="008842F2"/>
    <w:rsid w:val="008844D7"/>
    <w:rsid w:val="00884526"/>
    <w:rsid w:val="00884B9F"/>
    <w:rsid w:val="00885BEA"/>
    <w:rsid w:val="00885C12"/>
    <w:rsid w:val="00885C52"/>
    <w:rsid w:val="008864AD"/>
    <w:rsid w:val="00886AC5"/>
    <w:rsid w:val="00887705"/>
    <w:rsid w:val="00887887"/>
    <w:rsid w:val="00887AA0"/>
    <w:rsid w:val="00887E02"/>
    <w:rsid w:val="00890220"/>
    <w:rsid w:val="00890237"/>
    <w:rsid w:val="00890535"/>
    <w:rsid w:val="00890698"/>
    <w:rsid w:val="008907B0"/>
    <w:rsid w:val="008909F3"/>
    <w:rsid w:val="00891E92"/>
    <w:rsid w:val="00892580"/>
    <w:rsid w:val="00892ADF"/>
    <w:rsid w:val="0089305C"/>
    <w:rsid w:val="00893263"/>
    <w:rsid w:val="008933A7"/>
    <w:rsid w:val="00893479"/>
    <w:rsid w:val="008934F3"/>
    <w:rsid w:val="008936E7"/>
    <w:rsid w:val="00893BB3"/>
    <w:rsid w:val="00893EC7"/>
    <w:rsid w:val="00893F73"/>
    <w:rsid w:val="0089429A"/>
    <w:rsid w:val="008943CB"/>
    <w:rsid w:val="0089442A"/>
    <w:rsid w:val="00894A90"/>
    <w:rsid w:val="00894B87"/>
    <w:rsid w:val="00894EAA"/>
    <w:rsid w:val="00894FC1"/>
    <w:rsid w:val="00895FCB"/>
    <w:rsid w:val="00896291"/>
    <w:rsid w:val="00896A98"/>
    <w:rsid w:val="0089729F"/>
    <w:rsid w:val="008977CD"/>
    <w:rsid w:val="00897E03"/>
    <w:rsid w:val="00897E9E"/>
    <w:rsid w:val="00897F77"/>
    <w:rsid w:val="008A05BB"/>
    <w:rsid w:val="008A05E0"/>
    <w:rsid w:val="008A1186"/>
    <w:rsid w:val="008A1517"/>
    <w:rsid w:val="008A198D"/>
    <w:rsid w:val="008A1C47"/>
    <w:rsid w:val="008A212A"/>
    <w:rsid w:val="008A34BF"/>
    <w:rsid w:val="008A35E7"/>
    <w:rsid w:val="008A37DD"/>
    <w:rsid w:val="008A3CFB"/>
    <w:rsid w:val="008A4CBF"/>
    <w:rsid w:val="008A4D7E"/>
    <w:rsid w:val="008A5290"/>
    <w:rsid w:val="008A5549"/>
    <w:rsid w:val="008A593A"/>
    <w:rsid w:val="008A59F8"/>
    <w:rsid w:val="008A5A27"/>
    <w:rsid w:val="008A6B82"/>
    <w:rsid w:val="008A6C2C"/>
    <w:rsid w:val="008A6C5A"/>
    <w:rsid w:val="008A777A"/>
    <w:rsid w:val="008A7D1D"/>
    <w:rsid w:val="008B0061"/>
    <w:rsid w:val="008B0EAD"/>
    <w:rsid w:val="008B102C"/>
    <w:rsid w:val="008B121D"/>
    <w:rsid w:val="008B1718"/>
    <w:rsid w:val="008B17AA"/>
    <w:rsid w:val="008B18C6"/>
    <w:rsid w:val="008B190C"/>
    <w:rsid w:val="008B1E83"/>
    <w:rsid w:val="008B1EF5"/>
    <w:rsid w:val="008B1EF9"/>
    <w:rsid w:val="008B20A4"/>
    <w:rsid w:val="008B219A"/>
    <w:rsid w:val="008B2483"/>
    <w:rsid w:val="008B2537"/>
    <w:rsid w:val="008B27A3"/>
    <w:rsid w:val="008B2C9C"/>
    <w:rsid w:val="008B2DF3"/>
    <w:rsid w:val="008B2E4C"/>
    <w:rsid w:val="008B3013"/>
    <w:rsid w:val="008B32BC"/>
    <w:rsid w:val="008B349C"/>
    <w:rsid w:val="008B3531"/>
    <w:rsid w:val="008B376A"/>
    <w:rsid w:val="008B38AD"/>
    <w:rsid w:val="008B39FD"/>
    <w:rsid w:val="008B3F57"/>
    <w:rsid w:val="008B4969"/>
    <w:rsid w:val="008B4F9D"/>
    <w:rsid w:val="008B5660"/>
    <w:rsid w:val="008B6488"/>
    <w:rsid w:val="008B6576"/>
    <w:rsid w:val="008B6CDC"/>
    <w:rsid w:val="008B7220"/>
    <w:rsid w:val="008B75D5"/>
    <w:rsid w:val="008B78BE"/>
    <w:rsid w:val="008B78D8"/>
    <w:rsid w:val="008B7BAA"/>
    <w:rsid w:val="008C00CA"/>
    <w:rsid w:val="008C0246"/>
    <w:rsid w:val="008C031A"/>
    <w:rsid w:val="008C05F4"/>
    <w:rsid w:val="008C08A5"/>
    <w:rsid w:val="008C1349"/>
    <w:rsid w:val="008C144D"/>
    <w:rsid w:val="008C1678"/>
    <w:rsid w:val="008C1856"/>
    <w:rsid w:val="008C2F3D"/>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741"/>
    <w:rsid w:val="008C7883"/>
    <w:rsid w:val="008C78F9"/>
    <w:rsid w:val="008C7B5C"/>
    <w:rsid w:val="008C7F11"/>
    <w:rsid w:val="008D007F"/>
    <w:rsid w:val="008D044B"/>
    <w:rsid w:val="008D0611"/>
    <w:rsid w:val="008D0D1E"/>
    <w:rsid w:val="008D10E6"/>
    <w:rsid w:val="008D110C"/>
    <w:rsid w:val="008D119E"/>
    <w:rsid w:val="008D1B47"/>
    <w:rsid w:val="008D1E79"/>
    <w:rsid w:val="008D2207"/>
    <w:rsid w:val="008D29A6"/>
    <w:rsid w:val="008D3064"/>
    <w:rsid w:val="008D32AF"/>
    <w:rsid w:val="008D345F"/>
    <w:rsid w:val="008D35E0"/>
    <w:rsid w:val="008D3735"/>
    <w:rsid w:val="008D393A"/>
    <w:rsid w:val="008D3C16"/>
    <w:rsid w:val="008D49A4"/>
    <w:rsid w:val="008D5693"/>
    <w:rsid w:val="008D5904"/>
    <w:rsid w:val="008D592A"/>
    <w:rsid w:val="008D5BAA"/>
    <w:rsid w:val="008D6ECF"/>
    <w:rsid w:val="008D72D4"/>
    <w:rsid w:val="008D776F"/>
    <w:rsid w:val="008D7A19"/>
    <w:rsid w:val="008D7E13"/>
    <w:rsid w:val="008E016A"/>
    <w:rsid w:val="008E02FD"/>
    <w:rsid w:val="008E034A"/>
    <w:rsid w:val="008E06C4"/>
    <w:rsid w:val="008E08F0"/>
    <w:rsid w:val="008E1068"/>
    <w:rsid w:val="008E18A0"/>
    <w:rsid w:val="008E1AB4"/>
    <w:rsid w:val="008E1CC0"/>
    <w:rsid w:val="008E1E54"/>
    <w:rsid w:val="008E2AA2"/>
    <w:rsid w:val="008E2BE4"/>
    <w:rsid w:val="008E3596"/>
    <w:rsid w:val="008E3732"/>
    <w:rsid w:val="008E3921"/>
    <w:rsid w:val="008E3B7C"/>
    <w:rsid w:val="008E3C88"/>
    <w:rsid w:val="008E43B5"/>
    <w:rsid w:val="008E47E0"/>
    <w:rsid w:val="008E4880"/>
    <w:rsid w:val="008E48A2"/>
    <w:rsid w:val="008E5643"/>
    <w:rsid w:val="008E5A8C"/>
    <w:rsid w:val="008E5DA4"/>
    <w:rsid w:val="008E6C1B"/>
    <w:rsid w:val="008E7211"/>
    <w:rsid w:val="008E73BC"/>
    <w:rsid w:val="008E7558"/>
    <w:rsid w:val="008E7679"/>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6CB"/>
    <w:rsid w:val="008F5988"/>
    <w:rsid w:val="008F6667"/>
    <w:rsid w:val="008F6794"/>
    <w:rsid w:val="008F7295"/>
    <w:rsid w:val="008F75EB"/>
    <w:rsid w:val="008F783D"/>
    <w:rsid w:val="008F7853"/>
    <w:rsid w:val="008F7AA3"/>
    <w:rsid w:val="008F7D9B"/>
    <w:rsid w:val="0090002C"/>
    <w:rsid w:val="009003DD"/>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47A"/>
    <w:rsid w:val="00906619"/>
    <w:rsid w:val="00906A71"/>
    <w:rsid w:val="00906F35"/>
    <w:rsid w:val="0090727F"/>
    <w:rsid w:val="009075A0"/>
    <w:rsid w:val="00907955"/>
    <w:rsid w:val="0090799A"/>
    <w:rsid w:val="00907B8B"/>
    <w:rsid w:val="00907F11"/>
    <w:rsid w:val="00910809"/>
    <w:rsid w:val="009115BA"/>
    <w:rsid w:val="0091270C"/>
    <w:rsid w:val="00912DE0"/>
    <w:rsid w:val="00913421"/>
    <w:rsid w:val="00913652"/>
    <w:rsid w:val="009139F7"/>
    <w:rsid w:val="009140D4"/>
    <w:rsid w:val="00914316"/>
    <w:rsid w:val="0091481B"/>
    <w:rsid w:val="00914825"/>
    <w:rsid w:val="00915246"/>
    <w:rsid w:val="009154F6"/>
    <w:rsid w:val="009158A4"/>
    <w:rsid w:val="00915B81"/>
    <w:rsid w:val="00916A15"/>
    <w:rsid w:val="00916E58"/>
    <w:rsid w:val="00916EB9"/>
    <w:rsid w:val="00916F7B"/>
    <w:rsid w:val="00916FE3"/>
    <w:rsid w:val="00917380"/>
    <w:rsid w:val="00917433"/>
    <w:rsid w:val="00917887"/>
    <w:rsid w:val="00917E45"/>
    <w:rsid w:val="009207DB"/>
    <w:rsid w:val="009218B6"/>
    <w:rsid w:val="00922024"/>
    <w:rsid w:val="00922AF6"/>
    <w:rsid w:val="00922FE4"/>
    <w:rsid w:val="00923275"/>
    <w:rsid w:val="0092353A"/>
    <w:rsid w:val="00923FEF"/>
    <w:rsid w:val="009244A4"/>
    <w:rsid w:val="00924627"/>
    <w:rsid w:val="009246F6"/>
    <w:rsid w:val="00924B93"/>
    <w:rsid w:val="00924BF3"/>
    <w:rsid w:val="00924E99"/>
    <w:rsid w:val="00924EED"/>
    <w:rsid w:val="009254AC"/>
    <w:rsid w:val="00925501"/>
    <w:rsid w:val="00925C4F"/>
    <w:rsid w:val="00925C8C"/>
    <w:rsid w:val="00925E32"/>
    <w:rsid w:val="00926301"/>
    <w:rsid w:val="00926580"/>
    <w:rsid w:val="00926982"/>
    <w:rsid w:val="00926BC8"/>
    <w:rsid w:val="00926BF2"/>
    <w:rsid w:val="00926C5C"/>
    <w:rsid w:val="009270C4"/>
    <w:rsid w:val="009270DF"/>
    <w:rsid w:val="00927D39"/>
    <w:rsid w:val="00930C08"/>
    <w:rsid w:val="00930F71"/>
    <w:rsid w:val="00931B25"/>
    <w:rsid w:val="00931C34"/>
    <w:rsid w:val="0093200A"/>
    <w:rsid w:val="00932196"/>
    <w:rsid w:val="0093226D"/>
    <w:rsid w:val="00932459"/>
    <w:rsid w:val="00932752"/>
    <w:rsid w:val="00932B16"/>
    <w:rsid w:val="00932E25"/>
    <w:rsid w:val="00932FE6"/>
    <w:rsid w:val="00933252"/>
    <w:rsid w:val="00933AD8"/>
    <w:rsid w:val="00933F8E"/>
    <w:rsid w:val="0093412A"/>
    <w:rsid w:val="00934AA1"/>
    <w:rsid w:val="00934FA8"/>
    <w:rsid w:val="009353A5"/>
    <w:rsid w:val="00935434"/>
    <w:rsid w:val="00935C35"/>
    <w:rsid w:val="00936535"/>
    <w:rsid w:val="0093740F"/>
    <w:rsid w:val="00937B4A"/>
    <w:rsid w:val="00937C1D"/>
    <w:rsid w:val="00937DC2"/>
    <w:rsid w:val="00937F9B"/>
    <w:rsid w:val="0094028A"/>
    <w:rsid w:val="009405AC"/>
    <w:rsid w:val="009405DB"/>
    <w:rsid w:val="00940A7B"/>
    <w:rsid w:val="00940CD3"/>
    <w:rsid w:val="00940DED"/>
    <w:rsid w:val="00940F58"/>
    <w:rsid w:val="00940FC3"/>
    <w:rsid w:val="00941140"/>
    <w:rsid w:val="0094131D"/>
    <w:rsid w:val="0094185C"/>
    <w:rsid w:val="00941C49"/>
    <w:rsid w:val="00941F1B"/>
    <w:rsid w:val="00942120"/>
    <w:rsid w:val="00942316"/>
    <w:rsid w:val="009425F7"/>
    <w:rsid w:val="00942A91"/>
    <w:rsid w:val="00942DF7"/>
    <w:rsid w:val="00942F09"/>
    <w:rsid w:val="00942FE3"/>
    <w:rsid w:val="009437F6"/>
    <w:rsid w:val="00943DD5"/>
    <w:rsid w:val="00944637"/>
    <w:rsid w:val="00944BC7"/>
    <w:rsid w:val="00944BF0"/>
    <w:rsid w:val="00945072"/>
    <w:rsid w:val="009450E6"/>
    <w:rsid w:val="00945FFF"/>
    <w:rsid w:val="00946136"/>
    <w:rsid w:val="00946208"/>
    <w:rsid w:val="00946807"/>
    <w:rsid w:val="00946A2F"/>
    <w:rsid w:val="00946D70"/>
    <w:rsid w:val="00947241"/>
    <w:rsid w:val="0094776D"/>
    <w:rsid w:val="00947B25"/>
    <w:rsid w:val="00947F94"/>
    <w:rsid w:val="00950230"/>
    <w:rsid w:val="00950B62"/>
    <w:rsid w:val="00950BB7"/>
    <w:rsid w:val="009512B1"/>
    <w:rsid w:val="009512F4"/>
    <w:rsid w:val="009519C6"/>
    <w:rsid w:val="00951A3E"/>
    <w:rsid w:val="00951FA8"/>
    <w:rsid w:val="00951FD8"/>
    <w:rsid w:val="009525F2"/>
    <w:rsid w:val="0095348B"/>
    <w:rsid w:val="00953BA0"/>
    <w:rsid w:val="00953BB4"/>
    <w:rsid w:val="00954282"/>
    <w:rsid w:val="00954427"/>
    <w:rsid w:val="0095453C"/>
    <w:rsid w:val="0095467D"/>
    <w:rsid w:val="00954E74"/>
    <w:rsid w:val="00954FD6"/>
    <w:rsid w:val="00955150"/>
    <w:rsid w:val="009555AB"/>
    <w:rsid w:val="00955C45"/>
    <w:rsid w:val="009562BF"/>
    <w:rsid w:val="00956BBB"/>
    <w:rsid w:val="009570C1"/>
    <w:rsid w:val="009575F4"/>
    <w:rsid w:val="00957A1B"/>
    <w:rsid w:val="009601D4"/>
    <w:rsid w:val="0096064F"/>
    <w:rsid w:val="009607DA"/>
    <w:rsid w:val="009614B2"/>
    <w:rsid w:val="00961505"/>
    <w:rsid w:val="009618F2"/>
    <w:rsid w:val="00961B3E"/>
    <w:rsid w:val="00961E14"/>
    <w:rsid w:val="0096205F"/>
    <w:rsid w:val="00962EE2"/>
    <w:rsid w:val="0096323E"/>
    <w:rsid w:val="00963285"/>
    <w:rsid w:val="009634B3"/>
    <w:rsid w:val="00963B1C"/>
    <w:rsid w:val="00963B6B"/>
    <w:rsid w:val="00963B77"/>
    <w:rsid w:val="0096475C"/>
    <w:rsid w:val="00964924"/>
    <w:rsid w:val="00964BAD"/>
    <w:rsid w:val="00964C19"/>
    <w:rsid w:val="00964D06"/>
    <w:rsid w:val="00965161"/>
    <w:rsid w:val="00965401"/>
    <w:rsid w:val="00965D46"/>
    <w:rsid w:val="00965D84"/>
    <w:rsid w:val="00965E37"/>
    <w:rsid w:val="00965F51"/>
    <w:rsid w:val="0096646C"/>
    <w:rsid w:val="009666AA"/>
    <w:rsid w:val="009666FE"/>
    <w:rsid w:val="00966ABE"/>
    <w:rsid w:val="00966C1A"/>
    <w:rsid w:val="00966E16"/>
    <w:rsid w:val="0096797D"/>
    <w:rsid w:val="00967C2F"/>
    <w:rsid w:val="00970294"/>
    <w:rsid w:val="0097036B"/>
    <w:rsid w:val="00970F27"/>
    <w:rsid w:val="009710C3"/>
    <w:rsid w:val="009713DD"/>
    <w:rsid w:val="00971647"/>
    <w:rsid w:val="00971C53"/>
    <w:rsid w:val="009721D3"/>
    <w:rsid w:val="00972347"/>
    <w:rsid w:val="009725F2"/>
    <w:rsid w:val="00972DC6"/>
    <w:rsid w:val="00972F2E"/>
    <w:rsid w:val="0097311D"/>
    <w:rsid w:val="00973179"/>
    <w:rsid w:val="00973C04"/>
    <w:rsid w:val="00973F4F"/>
    <w:rsid w:val="00974105"/>
    <w:rsid w:val="00974795"/>
    <w:rsid w:val="0097549B"/>
    <w:rsid w:val="00975C75"/>
    <w:rsid w:val="009761B8"/>
    <w:rsid w:val="009761BB"/>
    <w:rsid w:val="00976390"/>
    <w:rsid w:val="00976582"/>
    <w:rsid w:val="0097766C"/>
    <w:rsid w:val="00977BCA"/>
    <w:rsid w:val="00977CA3"/>
    <w:rsid w:val="00977F9B"/>
    <w:rsid w:val="0098052F"/>
    <w:rsid w:val="009805FB"/>
    <w:rsid w:val="0098177A"/>
    <w:rsid w:val="00983183"/>
    <w:rsid w:val="009833A5"/>
    <w:rsid w:val="00983A3C"/>
    <w:rsid w:val="00983CE9"/>
    <w:rsid w:val="00983EFD"/>
    <w:rsid w:val="00984A8A"/>
    <w:rsid w:val="00985360"/>
    <w:rsid w:val="00985855"/>
    <w:rsid w:val="00985D58"/>
    <w:rsid w:val="00985DFA"/>
    <w:rsid w:val="00986257"/>
    <w:rsid w:val="00986348"/>
    <w:rsid w:val="0098643B"/>
    <w:rsid w:val="00986861"/>
    <w:rsid w:val="009868C9"/>
    <w:rsid w:val="009868E0"/>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FC"/>
    <w:rsid w:val="0099408F"/>
    <w:rsid w:val="009943CA"/>
    <w:rsid w:val="00994EA1"/>
    <w:rsid w:val="00995141"/>
    <w:rsid w:val="009956E2"/>
    <w:rsid w:val="0099589D"/>
    <w:rsid w:val="00995E04"/>
    <w:rsid w:val="009961D6"/>
    <w:rsid w:val="00996326"/>
    <w:rsid w:val="00996349"/>
    <w:rsid w:val="00996415"/>
    <w:rsid w:val="00996546"/>
    <w:rsid w:val="009966A8"/>
    <w:rsid w:val="009969AB"/>
    <w:rsid w:val="00996C6A"/>
    <w:rsid w:val="0099723F"/>
    <w:rsid w:val="00997798"/>
    <w:rsid w:val="009978A9"/>
    <w:rsid w:val="00997C99"/>
    <w:rsid w:val="00997F98"/>
    <w:rsid w:val="009A007F"/>
    <w:rsid w:val="009A011D"/>
    <w:rsid w:val="009A038E"/>
    <w:rsid w:val="009A09B4"/>
    <w:rsid w:val="009A0A12"/>
    <w:rsid w:val="009A1138"/>
    <w:rsid w:val="009A1347"/>
    <w:rsid w:val="009A1C9E"/>
    <w:rsid w:val="009A1CD8"/>
    <w:rsid w:val="009A1CE8"/>
    <w:rsid w:val="009A1CF6"/>
    <w:rsid w:val="009A2838"/>
    <w:rsid w:val="009A299F"/>
    <w:rsid w:val="009A2EFF"/>
    <w:rsid w:val="009A2FDF"/>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DE"/>
    <w:rsid w:val="009A74CB"/>
    <w:rsid w:val="009A775A"/>
    <w:rsid w:val="009A7A01"/>
    <w:rsid w:val="009A7C99"/>
    <w:rsid w:val="009A7CC2"/>
    <w:rsid w:val="009B0638"/>
    <w:rsid w:val="009B0DF6"/>
    <w:rsid w:val="009B0FAA"/>
    <w:rsid w:val="009B112A"/>
    <w:rsid w:val="009B1570"/>
    <w:rsid w:val="009B1D07"/>
    <w:rsid w:val="009B1DA5"/>
    <w:rsid w:val="009B223A"/>
    <w:rsid w:val="009B2453"/>
    <w:rsid w:val="009B28FD"/>
    <w:rsid w:val="009B2925"/>
    <w:rsid w:val="009B2AD6"/>
    <w:rsid w:val="009B2B64"/>
    <w:rsid w:val="009B3161"/>
    <w:rsid w:val="009B34B9"/>
    <w:rsid w:val="009B34D2"/>
    <w:rsid w:val="009B34F6"/>
    <w:rsid w:val="009B35D6"/>
    <w:rsid w:val="009B4BDC"/>
    <w:rsid w:val="009B4FBD"/>
    <w:rsid w:val="009B5241"/>
    <w:rsid w:val="009B5594"/>
    <w:rsid w:val="009B57DF"/>
    <w:rsid w:val="009B5879"/>
    <w:rsid w:val="009B5A37"/>
    <w:rsid w:val="009B64FA"/>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78B"/>
    <w:rsid w:val="009C17E8"/>
    <w:rsid w:val="009C1CED"/>
    <w:rsid w:val="009C21B2"/>
    <w:rsid w:val="009C221F"/>
    <w:rsid w:val="009C27F8"/>
    <w:rsid w:val="009C34CB"/>
    <w:rsid w:val="009C3600"/>
    <w:rsid w:val="009C3BFC"/>
    <w:rsid w:val="009C3D84"/>
    <w:rsid w:val="009C411A"/>
    <w:rsid w:val="009C4228"/>
    <w:rsid w:val="009C42B4"/>
    <w:rsid w:val="009C443A"/>
    <w:rsid w:val="009C469D"/>
    <w:rsid w:val="009C50B7"/>
    <w:rsid w:val="009C51B3"/>
    <w:rsid w:val="009C52F6"/>
    <w:rsid w:val="009C5923"/>
    <w:rsid w:val="009C598C"/>
    <w:rsid w:val="009C6283"/>
    <w:rsid w:val="009C6967"/>
    <w:rsid w:val="009C6981"/>
    <w:rsid w:val="009C7773"/>
    <w:rsid w:val="009C79FD"/>
    <w:rsid w:val="009C7A50"/>
    <w:rsid w:val="009C7B1D"/>
    <w:rsid w:val="009C7CD7"/>
    <w:rsid w:val="009C7F5A"/>
    <w:rsid w:val="009D03F1"/>
    <w:rsid w:val="009D0A08"/>
    <w:rsid w:val="009D12B2"/>
    <w:rsid w:val="009D13D2"/>
    <w:rsid w:val="009D1A8B"/>
    <w:rsid w:val="009D1CF4"/>
    <w:rsid w:val="009D23C1"/>
    <w:rsid w:val="009D2DA7"/>
    <w:rsid w:val="009D2E19"/>
    <w:rsid w:val="009D2E2B"/>
    <w:rsid w:val="009D3305"/>
    <w:rsid w:val="009D3528"/>
    <w:rsid w:val="009D380F"/>
    <w:rsid w:val="009D3C8D"/>
    <w:rsid w:val="009D402B"/>
    <w:rsid w:val="009D49AF"/>
    <w:rsid w:val="009D4AC6"/>
    <w:rsid w:val="009D5001"/>
    <w:rsid w:val="009D57A7"/>
    <w:rsid w:val="009D5A1E"/>
    <w:rsid w:val="009D6EAE"/>
    <w:rsid w:val="009D7353"/>
    <w:rsid w:val="009D77C9"/>
    <w:rsid w:val="009D79E5"/>
    <w:rsid w:val="009D7CC2"/>
    <w:rsid w:val="009D7D14"/>
    <w:rsid w:val="009D7D70"/>
    <w:rsid w:val="009E0410"/>
    <w:rsid w:val="009E044A"/>
    <w:rsid w:val="009E04A5"/>
    <w:rsid w:val="009E0B59"/>
    <w:rsid w:val="009E0BFF"/>
    <w:rsid w:val="009E0D95"/>
    <w:rsid w:val="009E1125"/>
    <w:rsid w:val="009E13FA"/>
    <w:rsid w:val="009E1607"/>
    <w:rsid w:val="009E1AD6"/>
    <w:rsid w:val="009E2543"/>
    <w:rsid w:val="009E2E06"/>
    <w:rsid w:val="009E2E5A"/>
    <w:rsid w:val="009E33D1"/>
    <w:rsid w:val="009E4459"/>
    <w:rsid w:val="009E466E"/>
    <w:rsid w:val="009E52D3"/>
    <w:rsid w:val="009E6A55"/>
    <w:rsid w:val="009E6DD0"/>
    <w:rsid w:val="009E6F5C"/>
    <w:rsid w:val="009E7562"/>
    <w:rsid w:val="009E7ADC"/>
    <w:rsid w:val="009E7ED5"/>
    <w:rsid w:val="009F04EB"/>
    <w:rsid w:val="009F0861"/>
    <w:rsid w:val="009F09F4"/>
    <w:rsid w:val="009F0BD9"/>
    <w:rsid w:val="009F0C98"/>
    <w:rsid w:val="009F1474"/>
    <w:rsid w:val="009F1A0A"/>
    <w:rsid w:val="009F21DC"/>
    <w:rsid w:val="009F240A"/>
    <w:rsid w:val="009F2803"/>
    <w:rsid w:val="009F2859"/>
    <w:rsid w:val="009F2900"/>
    <w:rsid w:val="009F293D"/>
    <w:rsid w:val="009F2BA2"/>
    <w:rsid w:val="009F31A9"/>
    <w:rsid w:val="009F3332"/>
    <w:rsid w:val="009F33FA"/>
    <w:rsid w:val="009F344F"/>
    <w:rsid w:val="009F3645"/>
    <w:rsid w:val="009F3AC7"/>
    <w:rsid w:val="009F3F99"/>
    <w:rsid w:val="009F4283"/>
    <w:rsid w:val="009F42F3"/>
    <w:rsid w:val="009F449B"/>
    <w:rsid w:val="009F4C2B"/>
    <w:rsid w:val="009F4E26"/>
    <w:rsid w:val="009F5105"/>
    <w:rsid w:val="009F5259"/>
    <w:rsid w:val="009F5DC4"/>
    <w:rsid w:val="009F5E53"/>
    <w:rsid w:val="009F6769"/>
    <w:rsid w:val="009F6903"/>
    <w:rsid w:val="009F7107"/>
    <w:rsid w:val="009F768A"/>
    <w:rsid w:val="009F78D9"/>
    <w:rsid w:val="009F7CA8"/>
    <w:rsid w:val="00A002F3"/>
    <w:rsid w:val="00A006BD"/>
    <w:rsid w:val="00A006E1"/>
    <w:rsid w:val="00A0082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EE0"/>
    <w:rsid w:val="00A035F2"/>
    <w:rsid w:val="00A03C90"/>
    <w:rsid w:val="00A04B48"/>
    <w:rsid w:val="00A04C41"/>
    <w:rsid w:val="00A051FC"/>
    <w:rsid w:val="00A0540A"/>
    <w:rsid w:val="00A05A92"/>
    <w:rsid w:val="00A05ACF"/>
    <w:rsid w:val="00A05D66"/>
    <w:rsid w:val="00A06297"/>
    <w:rsid w:val="00A06A54"/>
    <w:rsid w:val="00A06B8B"/>
    <w:rsid w:val="00A06E22"/>
    <w:rsid w:val="00A06EFA"/>
    <w:rsid w:val="00A100C6"/>
    <w:rsid w:val="00A10207"/>
    <w:rsid w:val="00A10423"/>
    <w:rsid w:val="00A1042B"/>
    <w:rsid w:val="00A10D02"/>
    <w:rsid w:val="00A10FC4"/>
    <w:rsid w:val="00A1124A"/>
    <w:rsid w:val="00A1160F"/>
    <w:rsid w:val="00A11911"/>
    <w:rsid w:val="00A1227D"/>
    <w:rsid w:val="00A122D2"/>
    <w:rsid w:val="00A1238B"/>
    <w:rsid w:val="00A1260D"/>
    <w:rsid w:val="00A12CAC"/>
    <w:rsid w:val="00A13081"/>
    <w:rsid w:val="00A137EE"/>
    <w:rsid w:val="00A13D9F"/>
    <w:rsid w:val="00A14AA2"/>
    <w:rsid w:val="00A15402"/>
    <w:rsid w:val="00A1548E"/>
    <w:rsid w:val="00A15A52"/>
    <w:rsid w:val="00A15DE0"/>
    <w:rsid w:val="00A1614F"/>
    <w:rsid w:val="00A162F2"/>
    <w:rsid w:val="00A16A33"/>
    <w:rsid w:val="00A171E1"/>
    <w:rsid w:val="00A1727C"/>
    <w:rsid w:val="00A172FD"/>
    <w:rsid w:val="00A179AD"/>
    <w:rsid w:val="00A17AEF"/>
    <w:rsid w:val="00A17C62"/>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272"/>
    <w:rsid w:val="00A2446B"/>
    <w:rsid w:val="00A24B17"/>
    <w:rsid w:val="00A25A12"/>
    <w:rsid w:val="00A25D2F"/>
    <w:rsid w:val="00A26090"/>
    <w:rsid w:val="00A266C7"/>
    <w:rsid w:val="00A26C96"/>
    <w:rsid w:val="00A270AB"/>
    <w:rsid w:val="00A2732C"/>
    <w:rsid w:val="00A27564"/>
    <w:rsid w:val="00A277C7"/>
    <w:rsid w:val="00A278DD"/>
    <w:rsid w:val="00A27A71"/>
    <w:rsid w:val="00A27F02"/>
    <w:rsid w:val="00A311A8"/>
    <w:rsid w:val="00A31CC5"/>
    <w:rsid w:val="00A31DF9"/>
    <w:rsid w:val="00A32078"/>
    <w:rsid w:val="00A32211"/>
    <w:rsid w:val="00A32462"/>
    <w:rsid w:val="00A32B0E"/>
    <w:rsid w:val="00A32D14"/>
    <w:rsid w:val="00A335A6"/>
    <w:rsid w:val="00A33876"/>
    <w:rsid w:val="00A33D3A"/>
    <w:rsid w:val="00A34114"/>
    <w:rsid w:val="00A341F3"/>
    <w:rsid w:val="00A34B29"/>
    <w:rsid w:val="00A34BEA"/>
    <w:rsid w:val="00A34C81"/>
    <w:rsid w:val="00A34E19"/>
    <w:rsid w:val="00A34FB9"/>
    <w:rsid w:val="00A34FC2"/>
    <w:rsid w:val="00A353D8"/>
    <w:rsid w:val="00A3567D"/>
    <w:rsid w:val="00A35B31"/>
    <w:rsid w:val="00A3664B"/>
    <w:rsid w:val="00A36B46"/>
    <w:rsid w:val="00A36BD5"/>
    <w:rsid w:val="00A36FB3"/>
    <w:rsid w:val="00A374B1"/>
    <w:rsid w:val="00A40014"/>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712"/>
    <w:rsid w:val="00A44BAB"/>
    <w:rsid w:val="00A455B1"/>
    <w:rsid w:val="00A459D9"/>
    <w:rsid w:val="00A45BF7"/>
    <w:rsid w:val="00A45FF8"/>
    <w:rsid w:val="00A461D0"/>
    <w:rsid w:val="00A46249"/>
    <w:rsid w:val="00A46385"/>
    <w:rsid w:val="00A463EB"/>
    <w:rsid w:val="00A466BC"/>
    <w:rsid w:val="00A469C6"/>
    <w:rsid w:val="00A47029"/>
    <w:rsid w:val="00A47341"/>
    <w:rsid w:val="00A50299"/>
    <w:rsid w:val="00A503CF"/>
    <w:rsid w:val="00A50F4B"/>
    <w:rsid w:val="00A510C2"/>
    <w:rsid w:val="00A51D1A"/>
    <w:rsid w:val="00A51D94"/>
    <w:rsid w:val="00A51DC7"/>
    <w:rsid w:val="00A52100"/>
    <w:rsid w:val="00A523FB"/>
    <w:rsid w:val="00A52885"/>
    <w:rsid w:val="00A53048"/>
    <w:rsid w:val="00A535DB"/>
    <w:rsid w:val="00A536D5"/>
    <w:rsid w:val="00A53919"/>
    <w:rsid w:val="00A53F09"/>
    <w:rsid w:val="00A53FCE"/>
    <w:rsid w:val="00A5425D"/>
    <w:rsid w:val="00A54DAA"/>
    <w:rsid w:val="00A5510E"/>
    <w:rsid w:val="00A559F4"/>
    <w:rsid w:val="00A55A51"/>
    <w:rsid w:val="00A5654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406"/>
    <w:rsid w:val="00A65B54"/>
    <w:rsid w:val="00A65E52"/>
    <w:rsid w:val="00A6616B"/>
    <w:rsid w:val="00A6662E"/>
    <w:rsid w:val="00A66B3D"/>
    <w:rsid w:val="00A66E04"/>
    <w:rsid w:val="00A671B3"/>
    <w:rsid w:val="00A6775B"/>
    <w:rsid w:val="00A67816"/>
    <w:rsid w:val="00A67E84"/>
    <w:rsid w:val="00A67F13"/>
    <w:rsid w:val="00A7001F"/>
    <w:rsid w:val="00A70B12"/>
    <w:rsid w:val="00A71084"/>
    <w:rsid w:val="00A71181"/>
    <w:rsid w:val="00A71996"/>
    <w:rsid w:val="00A71CC9"/>
    <w:rsid w:val="00A71E69"/>
    <w:rsid w:val="00A7269D"/>
    <w:rsid w:val="00A7290C"/>
    <w:rsid w:val="00A72ADA"/>
    <w:rsid w:val="00A733CD"/>
    <w:rsid w:val="00A73642"/>
    <w:rsid w:val="00A73647"/>
    <w:rsid w:val="00A73915"/>
    <w:rsid w:val="00A73AC8"/>
    <w:rsid w:val="00A740A9"/>
    <w:rsid w:val="00A740DC"/>
    <w:rsid w:val="00A74C0B"/>
    <w:rsid w:val="00A74CED"/>
    <w:rsid w:val="00A74E03"/>
    <w:rsid w:val="00A75085"/>
    <w:rsid w:val="00A753C1"/>
    <w:rsid w:val="00A7588B"/>
    <w:rsid w:val="00A76063"/>
    <w:rsid w:val="00A7661A"/>
    <w:rsid w:val="00A767A1"/>
    <w:rsid w:val="00A767FD"/>
    <w:rsid w:val="00A76B3E"/>
    <w:rsid w:val="00A771BF"/>
    <w:rsid w:val="00A77A3F"/>
    <w:rsid w:val="00A801BC"/>
    <w:rsid w:val="00A80822"/>
    <w:rsid w:val="00A80B84"/>
    <w:rsid w:val="00A80D67"/>
    <w:rsid w:val="00A812D8"/>
    <w:rsid w:val="00A815D0"/>
    <w:rsid w:val="00A81953"/>
    <w:rsid w:val="00A81B67"/>
    <w:rsid w:val="00A81D09"/>
    <w:rsid w:val="00A823AB"/>
    <w:rsid w:val="00A82C6D"/>
    <w:rsid w:val="00A83046"/>
    <w:rsid w:val="00A83DB0"/>
    <w:rsid w:val="00A84155"/>
    <w:rsid w:val="00A84AE2"/>
    <w:rsid w:val="00A84AEB"/>
    <w:rsid w:val="00A84DD3"/>
    <w:rsid w:val="00A85C62"/>
    <w:rsid w:val="00A85D25"/>
    <w:rsid w:val="00A861F3"/>
    <w:rsid w:val="00A8677F"/>
    <w:rsid w:val="00A867C4"/>
    <w:rsid w:val="00A86BD8"/>
    <w:rsid w:val="00A86F1A"/>
    <w:rsid w:val="00A879C1"/>
    <w:rsid w:val="00A87A3E"/>
    <w:rsid w:val="00A87B18"/>
    <w:rsid w:val="00A90283"/>
    <w:rsid w:val="00A90686"/>
    <w:rsid w:val="00A9074A"/>
    <w:rsid w:val="00A90888"/>
    <w:rsid w:val="00A90B04"/>
    <w:rsid w:val="00A90B1F"/>
    <w:rsid w:val="00A90B26"/>
    <w:rsid w:val="00A90DB1"/>
    <w:rsid w:val="00A90DCE"/>
    <w:rsid w:val="00A910CC"/>
    <w:rsid w:val="00A9147B"/>
    <w:rsid w:val="00A9162D"/>
    <w:rsid w:val="00A917A8"/>
    <w:rsid w:val="00A9185E"/>
    <w:rsid w:val="00A91BA8"/>
    <w:rsid w:val="00A91DB9"/>
    <w:rsid w:val="00A91EF1"/>
    <w:rsid w:val="00A91EF2"/>
    <w:rsid w:val="00A91EF4"/>
    <w:rsid w:val="00A9233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B61"/>
    <w:rsid w:val="00AA01DA"/>
    <w:rsid w:val="00AA0220"/>
    <w:rsid w:val="00AA046E"/>
    <w:rsid w:val="00AA04E0"/>
    <w:rsid w:val="00AA05D3"/>
    <w:rsid w:val="00AA0766"/>
    <w:rsid w:val="00AA0891"/>
    <w:rsid w:val="00AA0F42"/>
    <w:rsid w:val="00AA106A"/>
    <w:rsid w:val="00AA115C"/>
    <w:rsid w:val="00AA1211"/>
    <w:rsid w:val="00AA1579"/>
    <w:rsid w:val="00AA2101"/>
    <w:rsid w:val="00AA2195"/>
    <w:rsid w:val="00AA2380"/>
    <w:rsid w:val="00AA2854"/>
    <w:rsid w:val="00AA2CD2"/>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698"/>
    <w:rsid w:val="00AB17E5"/>
    <w:rsid w:val="00AB1CE8"/>
    <w:rsid w:val="00AB1FC9"/>
    <w:rsid w:val="00AB2F20"/>
    <w:rsid w:val="00AB3386"/>
    <w:rsid w:val="00AB367F"/>
    <w:rsid w:val="00AB39BF"/>
    <w:rsid w:val="00AB3A53"/>
    <w:rsid w:val="00AB3F7B"/>
    <w:rsid w:val="00AB4419"/>
    <w:rsid w:val="00AB45DD"/>
    <w:rsid w:val="00AB4976"/>
    <w:rsid w:val="00AB4AD8"/>
    <w:rsid w:val="00AB5222"/>
    <w:rsid w:val="00AB5299"/>
    <w:rsid w:val="00AB5597"/>
    <w:rsid w:val="00AB5FEE"/>
    <w:rsid w:val="00AB6DFC"/>
    <w:rsid w:val="00AB7350"/>
    <w:rsid w:val="00AB7786"/>
    <w:rsid w:val="00AB7A79"/>
    <w:rsid w:val="00AB7C4E"/>
    <w:rsid w:val="00AB7DD2"/>
    <w:rsid w:val="00AC0189"/>
    <w:rsid w:val="00AC0934"/>
    <w:rsid w:val="00AC09CD"/>
    <w:rsid w:val="00AC1004"/>
    <w:rsid w:val="00AC165A"/>
    <w:rsid w:val="00AC2832"/>
    <w:rsid w:val="00AC2885"/>
    <w:rsid w:val="00AC37AF"/>
    <w:rsid w:val="00AC3DB7"/>
    <w:rsid w:val="00AC3DF5"/>
    <w:rsid w:val="00AC400E"/>
    <w:rsid w:val="00AC4293"/>
    <w:rsid w:val="00AC4319"/>
    <w:rsid w:val="00AC47BD"/>
    <w:rsid w:val="00AC4E38"/>
    <w:rsid w:val="00AC561A"/>
    <w:rsid w:val="00AC570E"/>
    <w:rsid w:val="00AC57D2"/>
    <w:rsid w:val="00AC658F"/>
    <w:rsid w:val="00AC6E43"/>
    <w:rsid w:val="00AC7260"/>
    <w:rsid w:val="00AC7593"/>
    <w:rsid w:val="00AC7899"/>
    <w:rsid w:val="00AC7F42"/>
    <w:rsid w:val="00AD0B50"/>
    <w:rsid w:val="00AD0B96"/>
    <w:rsid w:val="00AD1436"/>
    <w:rsid w:val="00AD1A5F"/>
    <w:rsid w:val="00AD1A60"/>
    <w:rsid w:val="00AD1C44"/>
    <w:rsid w:val="00AD1C70"/>
    <w:rsid w:val="00AD2762"/>
    <w:rsid w:val="00AD27FC"/>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F01"/>
    <w:rsid w:val="00AE10C4"/>
    <w:rsid w:val="00AE1152"/>
    <w:rsid w:val="00AE118B"/>
    <w:rsid w:val="00AE1197"/>
    <w:rsid w:val="00AE1524"/>
    <w:rsid w:val="00AE1AE1"/>
    <w:rsid w:val="00AE1FB3"/>
    <w:rsid w:val="00AE254F"/>
    <w:rsid w:val="00AE25B1"/>
    <w:rsid w:val="00AE260E"/>
    <w:rsid w:val="00AE2A7F"/>
    <w:rsid w:val="00AE2C77"/>
    <w:rsid w:val="00AE2D01"/>
    <w:rsid w:val="00AE3AB0"/>
    <w:rsid w:val="00AE3C9F"/>
    <w:rsid w:val="00AE415F"/>
    <w:rsid w:val="00AE4801"/>
    <w:rsid w:val="00AE4E21"/>
    <w:rsid w:val="00AE4F15"/>
    <w:rsid w:val="00AE55BC"/>
    <w:rsid w:val="00AE572E"/>
    <w:rsid w:val="00AE57D2"/>
    <w:rsid w:val="00AE5890"/>
    <w:rsid w:val="00AE5D51"/>
    <w:rsid w:val="00AE638D"/>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3178"/>
    <w:rsid w:val="00AF32F2"/>
    <w:rsid w:val="00AF36B6"/>
    <w:rsid w:val="00AF3702"/>
    <w:rsid w:val="00AF3A61"/>
    <w:rsid w:val="00AF3C6C"/>
    <w:rsid w:val="00AF49AE"/>
    <w:rsid w:val="00AF4A74"/>
    <w:rsid w:val="00AF4AB5"/>
    <w:rsid w:val="00AF4E1B"/>
    <w:rsid w:val="00AF5216"/>
    <w:rsid w:val="00AF527E"/>
    <w:rsid w:val="00AF5407"/>
    <w:rsid w:val="00AF5AC5"/>
    <w:rsid w:val="00AF5D56"/>
    <w:rsid w:val="00AF5E88"/>
    <w:rsid w:val="00AF5F14"/>
    <w:rsid w:val="00AF6595"/>
    <w:rsid w:val="00AF6E63"/>
    <w:rsid w:val="00AF7444"/>
    <w:rsid w:val="00AF76F4"/>
    <w:rsid w:val="00AF780B"/>
    <w:rsid w:val="00AF782D"/>
    <w:rsid w:val="00B00130"/>
    <w:rsid w:val="00B00C7A"/>
    <w:rsid w:val="00B00D08"/>
    <w:rsid w:val="00B00ED5"/>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B34"/>
    <w:rsid w:val="00B05B91"/>
    <w:rsid w:val="00B05FB0"/>
    <w:rsid w:val="00B05FE5"/>
    <w:rsid w:val="00B0613A"/>
    <w:rsid w:val="00B0624B"/>
    <w:rsid w:val="00B062A6"/>
    <w:rsid w:val="00B06382"/>
    <w:rsid w:val="00B0689A"/>
    <w:rsid w:val="00B069B2"/>
    <w:rsid w:val="00B069BA"/>
    <w:rsid w:val="00B06DD5"/>
    <w:rsid w:val="00B06F77"/>
    <w:rsid w:val="00B0711E"/>
    <w:rsid w:val="00B07297"/>
    <w:rsid w:val="00B077CC"/>
    <w:rsid w:val="00B07CD8"/>
    <w:rsid w:val="00B10346"/>
    <w:rsid w:val="00B10762"/>
    <w:rsid w:val="00B10B90"/>
    <w:rsid w:val="00B11197"/>
    <w:rsid w:val="00B119A6"/>
    <w:rsid w:val="00B11D78"/>
    <w:rsid w:val="00B11F38"/>
    <w:rsid w:val="00B123E2"/>
    <w:rsid w:val="00B12BA7"/>
    <w:rsid w:val="00B12FD0"/>
    <w:rsid w:val="00B1390D"/>
    <w:rsid w:val="00B13D07"/>
    <w:rsid w:val="00B13F7C"/>
    <w:rsid w:val="00B141FA"/>
    <w:rsid w:val="00B143C4"/>
    <w:rsid w:val="00B1482F"/>
    <w:rsid w:val="00B148D0"/>
    <w:rsid w:val="00B14E03"/>
    <w:rsid w:val="00B150AC"/>
    <w:rsid w:val="00B1524E"/>
    <w:rsid w:val="00B152C6"/>
    <w:rsid w:val="00B1597B"/>
    <w:rsid w:val="00B15B92"/>
    <w:rsid w:val="00B15BB2"/>
    <w:rsid w:val="00B16611"/>
    <w:rsid w:val="00B17016"/>
    <w:rsid w:val="00B20523"/>
    <w:rsid w:val="00B20AF2"/>
    <w:rsid w:val="00B214DD"/>
    <w:rsid w:val="00B216F9"/>
    <w:rsid w:val="00B21D85"/>
    <w:rsid w:val="00B21ED5"/>
    <w:rsid w:val="00B22864"/>
    <w:rsid w:val="00B229BE"/>
    <w:rsid w:val="00B22AE1"/>
    <w:rsid w:val="00B22D02"/>
    <w:rsid w:val="00B23157"/>
    <w:rsid w:val="00B23C29"/>
    <w:rsid w:val="00B24076"/>
    <w:rsid w:val="00B241E3"/>
    <w:rsid w:val="00B242AB"/>
    <w:rsid w:val="00B2511E"/>
    <w:rsid w:val="00B25819"/>
    <w:rsid w:val="00B2586C"/>
    <w:rsid w:val="00B25988"/>
    <w:rsid w:val="00B25C72"/>
    <w:rsid w:val="00B25E6F"/>
    <w:rsid w:val="00B265BA"/>
    <w:rsid w:val="00B265F4"/>
    <w:rsid w:val="00B27220"/>
    <w:rsid w:val="00B27553"/>
    <w:rsid w:val="00B27A6D"/>
    <w:rsid w:val="00B27CC0"/>
    <w:rsid w:val="00B300B6"/>
    <w:rsid w:val="00B3020F"/>
    <w:rsid w:val="00B3098F"/>
    <w:rsid w:val="00B30A12"/>
    <w:rsid w:val="00B30A2A"/>
    <w:rsid w:val="00B30B07"/>
    <w:rsid w:val="00B30BCF"/>
    <w:rsid w:val="00B31170"/>
    <w:rsid w:val="00B314D0"/>
    <w:rsid w:val="00B31F6E"/>
    <w:rsid w:val="00B324B7"/>
    <w:rsid w:val="00B32C01"/>
    <w:rsid w:val="00B32F1F"/>
    <w:rsid w:val="00B32F2D"/>
    <w:rsid w:val="00B33321"/>
    <w:rsid w:val="00B3341E"/>
    <w:rsid w:val="00B3370B"/>
    <w:rsid w:val="00B34296"/>
    <w:rsid w:val="00B344C2"/>
    <w:rsid w:val="00B34C4E"/>
    <w:rsid w:val="00B3517D"/>
    <w:rsid w:val="00B35221"/>
    <w:rsid w:val="00B35520"/>
    <w:rsid w:val="00B35891"/>
    <w:rsid w:val="00B35EFA"/>
    <w:rsid w:val="00B36421"/>
    <w:rsid w:val="00B3690C"/>
    <w:rsid w:val="00B369FF"/>
    <w:rsid w:val="00B36F74"/>
    <w:rsid w:val="00B37068"/>
    <w:rsid w:val="00B370C8"/>
    <w:rsid w:val="00B371DA"/>
    <w:rsid w:val="00B3763B"/>
    <w:rsid w:val="00B37B57"/>
    <w:rsid w:val="00B40330"/>
    <w:rsid w:val="00B4043D"/>
    <w:rsid w:val="00B406E5"/>
    <w:rsid w:val="00B40FAB"/>
    <w:rsid w:val="00B41674"/>
    <w:rsid w:val="00B4180D"/>
    <w:rsid w:val="00B41B90"/>
    <w:rsid w:val="00B4299A"/>
    <w:rsid w:val="00B42A94"/>
    <w:rsid w:val="00B42B9E"/>
    <w:rsid w:val="00B42C20"/>
    <w:rsid w:val="00B42D98"/>
    <w:rsid w:val="00B42D9A"/>
    <w:rsid w:val="00B42E90"/>
    <w:rsid w:val="00B42EFB"/>
    <w:rsid w:val="00B42F20"/>
    <w:rsid w:val="00B43023"/>
    <w:rsid w:val="00B4329A"/>
    <w:rsid w:val="00B434EA"/>
    <w:rsid w:val="00B43CED"/>
    <w:rsid w:val="00B43D4A"/>
    <w:rsid w:val="00B44A9B"/>
    <w:rsid w:val="00B44D47"/>
    <w:rsid w:val="00B44D96"/>
    <w:rsid w:val="00B44DB5"/>
    <w:rsid w:val="00B44DBD"/>
    <w:rsid w:val="00B4521F"/>
    <w:rsid w:val="00B45928"/>
    <w:rsid w:val="00B45DD7"/>
    <w:rsid w:val="00B45E16"/>
    <w:rsid w:val="00B45E8C"/>
    <w:rsid w:val="00B46B3C"/>
    <w:rsid w:val="00B46B9B"/>
    <w:rsid w:val="00B46D2D"/>
    <w:rsid w:val="00B46F06"/>
    <w:rsid w:val="00B470FE"/>
    <w:rsid w:val="00B47148"/>
    <w:rsid w:val="00B47248"/>
    <w:rsid w:val="00B47B29"/>
    <w:rsid w:val="00B47FE8"/>
    <w:rsid w:val="00B50036"/>
    <w:rsid w:val="00B50378"/>
    <w:rsid w:val="00B5098B"/>
    <w:rsid w:val="00B50B5A"/>
    <w:rsid w:val="00B50F51"/>
    <w:rsid w:val="00B51403"/>
    <w:rsid w:val="00B51A2F"/>
    <w:rsid w:val="00B51B5B"/>
    <w:rsid w:val="00B52111"/>
    <w:rsid w:val="00B5240A"/>
    <w:rsid w:val="00B528D0"/>
    <w:rsid w:val="00B52FAF"/>
    <w:rsid w:val="00B52FDA"/>
    <w:rsid w:val="00B5304F"/>
    <w:rsid w:val="00B5323F"/>
    <w:rsid w:val="00B532CA"/>
    <w:rsid w:val="00B539EB"/>
    <w:rsid w:val="00B53B23"/>
    <w:rsid w:val="00B54550"/>
    <w:rsid w:val="00B547FF"/>
    <w:rsid w:val="00B5495B"/>
    <w:rsid w:val="00B54A5A"/>
    <w:rsid w:val="00B54B7E"/>
    <w:rsid w:val="00B54F0F"/>
    <w:rsid w:val="00B54FEB"/>
    <w:rsid w:val="00B5537A"/>
    <w:rsid w:val="00B5557F"/>
    <w:rsid w:val="00B55695"/>
    <w:rsid w:val="00B562E6"/>
    <w:rsid w:val="00B5639B"/>
    <w:rsid w:val="00B5660B"/>
    <w:rsid w:val="00B57643"/>
    <w:rsid w:val="00B576E1"/>
    <w:rsid w:val="00B579AB"/>
    <w:rsid w:val="00B57A77"/>
    <w:rsid w:val="00B57C68"/>
    <w:rsid w:val="00B6004E"/>
    <w:rsid w:val="00B60477"/>
    <w:rsid w:val="00B6072A"/>
    <w:rsid w:val="00B608F1"/>
    <w:rsid w:val="00B60F79"/>
    <w:rsid w:val="00B611B5"/>
    <w:rsid w:val="00B61337"/>
    <w:rsid w:val="00B61B49"/>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604C"/>
    <w:rsid w:val="00B661F6"/>
    <w:rsid w:val="00B664B0"/>
    <w:rsid w:val="00B66853"/>
    <w:rsid w:val="00B67120"/>
    <w:rsid w:val="00B673CA"/>
    <w:rsid w:val="00B6753E"/>
    <w:rsid w:val="00B67550"/>
    <w:rsid w:val="00B67978"/>
    <w:rsid w:val="00B679F5"/>
    <w:rsid w:val="00B67B36"/>
    <w:rsid w:val="00B7117A"/>
    <w:rsid w:val="00B71203"/>
    <w:rsid w:val="00B71684"/>
    <w:rsid w:val="00B72053"/>
    <w:rsid w:val="00B7234F"/>
    <w:rsid w:val="00B724F4"/>
    <w:rsid w:val="00B72537"/>
    <w:rsid w:val="00B72E76"/>
    <w:rsid w:val="00B73B57"/>
    <w:rsid w:val="00B73CC7"/>
    <w:rsid w:val="00B742BB"/>
    <w:rsid w:val="00B746D5"/>
    <w:rsid w:val="00B74753"/>
    <w:rsid w:val="00B74BDA"/>
    <w:rsid w:val="00B74DEB"/>
    <w:rsid w:val="00B75037"/>
    <w:rsid w:val="00B75159"/>
    <w:rsid w:val="00B759D6"/>
    <w:rsid w:val="00B75AAD"/>
    <w:rsid w:val="00B75D3F"/>
    <w:rsid w:val="00B75FFB"/>
    <w:rsid w:val="00B76584"/>
    <w:rsid w:val="00B7745A"/>
    <w:rsid w:val="00B77723"/>
    <w:rsid w:val="00B77ABB"/>
    <w:rsid w:val="00B77E12"/>
    <w:rsid w:val="00B77E50"/>
    <w:rsid w:val="00B77FA9"/>
    <w:rsid w:val="00B802CA"/>
    <w:rsid w:val="00B809B6"/>
    <w:rsid w:val="00B80B08"/>
    <w:rsid w:val="00B80B0E"/>
    <w:rsid w:val="00B80E0E"/>
    <w:rsid w:val="00B81533"/>
    <w:rsid w:val="00B815D3"/>
    <w:rsid w:val="00B818D4"/>
    <w:rsid w:val="00B827B7"/>
    <w:rsid w:val="00B8288C"/>
    <w:rsid w:val="00B82C39"/>
    <w:rsid w:val="00B82D67"/>
    <w:rsid w:val="00B82DE1"/>
    <w:rsid w:val="00B831B4"/>
    <w:rsid w:val="00B83476"/>
    <w:rsid w:val="00B835D2"/>
    <w:rsid w:val="00B83F32"/>
    <w:rsid w:val="00B842EE"/>
    <w:rsid w:val="00B84396"/>
    <w:rsid w:val="00B843A1"/>
    <w:rsid w:val="00B84410"/>
    <w:rsid w:val="00B84710"/>
    <w:rsid w:val="00B84792"/>
    <w:rsid w:val="00B848BE"/>
    <w:rsid w:val="00B84978"/>
    <w:rsid w:val="00B84FF8"/>
    <w:rsid w:val="00B8573A"/>
    <w:rsid w:val="00B85861"/>
    <w:rsid w:val="00B85AE3"/>
    <w:rsid w:val="00B861A7"/>
    <w:rsid w:val="00B86DA8"/>
    <w:rsid w:val="00B86DDB"/>
    <w:rsid w:val="00B873D5"/>
    <w:rsid w:val="00B8748B"/>
    <w:rsid w:val="00B87BC1"/>
    <w:rsid w:val="00B87F56"/>
    <w:rsid w:val="00B903B9"/>
    <w:rsid w:val="00B911CB"/>
    <w:rsid w:val="00B91504"/>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B17"/>
    <w:rsid w:val="00BA0D2A"/>
    <w:rsid w:val="00BA0F7A"/>
    <w:rsid w:val="00BA0FA7"/>
    <w:rsid w:val="00BA1218"/>
    <w:rsid w:val="00BA14C1"/>
    <w:rsid w:val="00BA16AB"/>
    <w:rsid w:val="00BA1B48"/>
    <w:rsid w:val="00BA1BDC"/>
    <w:rsid w:val="00BA1D32"/>
    <w:rsid w:val="00BA2169"/>
    <w:rsid w:val="00BA256B"/>
    <w:rsid w:val="00BA31A5"/>
    <w:rsid w:val="00BA38A8"/>
    <w:rsid w:val="00BA3DFA"/>
    <w:rsid w:val="00BA4EFE"/>
    <w:rsid w:val="00BA52C1"/>
    <w:rsid w:val="00BA58C0"/>
    <w:rsid w:val="00BA6166"/>
    <w:rsid w:val="00BA683A"/>
    <w:rsid w:val="00BA739B"/>
    <w:rsid w:val="00BA76B1"/>
    <w:rsid w:val="00BA7A38"/>
    <w:rsid w:val="00BA7CCB"/>
    <w:rsid w:val="00BB0423"/>
    <w:rsid w:val="00BB1185"/>
    <w:rsid w:val="00BB17C8"/>
    <w:rsid w:val="00BB1CBD"/>
    <w:rsid w:val="00BB1EA8"/>
    <w:rsid w:val="00BB1FFA"/>
    <w:rsid w:val="00BB29E7"/>
    <w:rsid w:val="00BB2B1F"/>
    <w:rsid w:val="00BB2F0B"/>
    <w:rsid w:val="00BB3326"/>
    <w:rsid w:val="00BB36C5"/>
    <w:rsid w:val="00BB3A60"/>
    <w:rsid w:val="00BB4C56"/>
    <w:rsid w:val="00BB4CF1"/>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8BD"/>
    <w:rsid w:val="00BC0B9D"/>
    <w:rsid w:val="00BC0DE1"/>
    <w:rsid w:val="00BC11CE"/>
    <w:rsid w:val="00BC1286"/>
    <w:rsid w:val="00BC1424"/>
    <w:rsid w:val="00BC162B"/>
    <w:rsid w:val="00BC1765"/>
    <w:rsid w:val="00BC1AF1"/>
    <w:rsid w:val="00BC1CC3"/>
    <w:rsid w:val="00BC1DFC"/>
    <w:rsid w:val="00BC21F3"/>
    <w:rsid w:val="00BC2243"/>
    <w:rsid w:val="00BC24FA"/>
    <w:rsid w:val="00BC28A7"/>
    <w:rsid w:val="00BC2A07"/>
    <w:rsid w:val="00BC2CA6"/>
    <w:rsid w:val="00BC30C1"/>
    <w:rsid w:val="00BC4299"/>
    <w:rsid w:val="00BC44A4"/>
    <w:rsid w:val="00BC475C"/>
    <w:rsid w:val="00BC47D8"/>
    <w:rsid w:val="00BC5454"/>
    <w:rsid w:val="00BC54F6"/>
    <w:rsid w:val="00BC58FB"/>
    <w:rsid w:val="00BC5961"/>
    <w:rsid w:val="00BC5FFD"/>
    <w:rsid w:val="00BC6342"/>
    <w:rsid w:val="00BC6437"/>
    <w:rsid w:val="00BC693E"/>
    <w:rsid w:val="00BC76B5"/>
    <w:rsid w:val="00BC76F1"/>
    <w:rsid w:val="00BC7CCA"/>
    <w:rsid w:val="00BC7DF8"/>
    <w:rsid w:val="00BD0152"/>
    <w:rsid w:val="00BD028F"/>
    <w:rsid w:val="00BD03C9"/>
    <w:rsid w:val="00BD0582"/>
    <w:rsid w:val="00BD07F4"/>
    <w:rsid w:val="00BD0FC3"/>
    <w:rsid w:val="00BD137C"/>
    <w:rsid w:val="00BD1693"/>
    <w:rsid w:val="00BD16D1"/>
    <w:rsid w:val="00BD219A"/>
    <w:rsid w:val="00BD249C"/>
    <w:rsid w:val="00BD2539"/>
    <w:rsid w:val="00BD26D8"/>
    <w:rsid w:val="00BD299D"/>
    <w:rsid w:val="00BD2C2C"/>
    <w:rsid w:val="00BD2C42"/>
    <w:rsid w:val="00BD2DE5"/>
    <w:rsid w:val="00BD307A"/>
    <w:rsid w:val="00BD3698"/>
    <w:rsid w:val="00BD4119"/>
    <w:rsid w:val="00BD44A4"/>
    <w:rsid w:val="00BD4655"/>
    <w:rsid w:val="00BD4D35"/>
    <w:rsid w:val="00BD523B"/>
    <w:rsid w:val="00BD544C"/>
    <w:rsid w:val="00BD55C0"/>
    <w:rsid w:val="00BD58F5"/>
    <w:rsid w:val="00BD5A88"/>
    <w:rsid w:val="00BD65E1"/>
    <w:rsid w:val="00BD67E1"/>
    <w:rsid w:val="00BD6A70"/>
    <w:rsid w:val="00BD6BF2"/>
    <w:rsid w:val="00BD6EF9"/>
    <w:rsid w:val="00BD754C"/>
    <w:rsid w:val="00BD772A"/>
    <w:rsid w:val="00BD7970"/>
    <w:rsid w:val="00BD7E1A"/>
    <w:rsid w:val="00BE0197"/>
    <w:rsid w:val="00BE02E5"/>
    <w:rsid w:val="00BE113F"/>
    <w:rsid w:val="00BE194D"/>
    <w:rsid w:val="00BE1C72"/>
    <w:rsid w:val="00BE1DDD"/>
    <w:rsid w:val="00BE1EB6"/>
    <w:rsid w:val="00BE2172"/>
    <w:rsid w:val="00BE235C"/>
    <w:rsid w:val="00BE29DD"/>
    <w:rsid w:val="00BE2AB1"/>
    <w:rsid w:val="00BE35C9"/>
    <w:rsid w:val="00BE394E"/>
    <w:rsid w:val="00BE3A79"/>
    <w:rsid w:val="00BE3B56"/>
    <w:rsid w:val="00BE3E86"/>
    <w:rsid w:val="00BE418C"/>
    <w:rsid w:val="00BE45F2"/>
    <w:rsid w:val="00BE4602"/>
    <w:rsid w:val="00BE4C3A"/>
    <w:rsid w:val="00BE576A"/>
    <w:rsid w:val="00BE5B3E"/>
    <w:rsid w:val="00BE5B5E"/>
    <w:rsid w:val="00BE6BD2"/>
    <w:rsid w:val="00BE6CFB"/>
    <w:rsid w:val="00BE72FD"/>
    <w:rsid w:val="00BE74D1"/>
    <w:rsid w:val="00BE7863"/>
    <w:rsid w:val="00BE786F"/>
    <w:rsid w:val="00BF07C0"/>
    <w:rsid w:val="00BF07F7"/>
    <w:rsid w:val="00BF0C38"/>
    <w:rsid w:val="00BF139F"/>
    <w:rsid w:val="00BF1728"/>
    <w:rsid w:val="00BF1EF8"/>
    <w:rsid w:val="00BF2674"/>
    <w:rsid w:val="00BF27BD"/>
    <w:rsid w:val="00BF2CE4"/>
    <w:rsid w:val="00BF2DE5"/>
    <w:rsid w:val="00BF2FCF"/>
    <w:rsid w:val="00BF32C6"/>
    <w:rsid w:val="00BF3C29"/>
    <w:rsid w:val="00BF41CE"/>
    <w:rsid w:val="00BF4283"/>
    <w:rsid w:val="00BF4339"/>
    <w:rsid w:val="00BF461B"/>
    <w:rsid w:val="00BF482A"/>
    <w:rsid w:val="00BF4856"/>
    <w:rsid w:val="00BF4AD7"/>
    <w:rsid w:val="00BF4C49"/>
    <w:rsid w:val="00BF5173"/>
    <w:rsid w:val="00BF5DA2"/>
    <w:rsid w:val="00BF5E36"/>
    <w:rsid w:val="00BF61B0"/>
    <w:rsid w:val="00BF623B"/>
    <w:rsid w:val="00BF6338"/>
    <w:rsid w:val="00BF6536"/>
    <w:rsid w:val="00BF6655"/>
    <w:rsid w:val="00BF6679"/>
    <w:rsid w:val="00BF6D56"/>
    <w:rsid w:val="00BF6EA4"/>
    <w:rsid w:val="00BF780C"/>
    <w:rsid w:val="00BF7DFA"/>
    <w:rsid w:val="00BF7E44"/>
    <w:rsid w:val="00C003F5"/>
    <w:rsid w:val="00C0079D"/>
    <w:rsid w:val="00C009DC"/>
    <w:rsid w:val="00C00D03"/>
    <w:rsid w:val="00C01151"/>
    <w:rsid w:val="00C017B2"/>
    <w:rsid w:val="00C01DD3"/>
    <w:rsid w:val="00C01DFC"/>
    <w:rsid w:val="00C02205"/>
    <w:rsid w:val="00C02396"/>
    <w:rsid w:val="00C0282B"/>
    <w:rsid w:val="00C0293A"/>
    <w:rsid w:val="00C02CA7"/>
    <w:rsid w:val="00C02E62"/>
    <w:rsid w:val="00C03D01"/>
    <w:rsid w:val="00C03EBD"/>
    <w:rsid w:val="00C04382"/>
    <w:rsid w:val="00C04648"/>
    <w:rsid w:val="00C05343"/>
    <w:rsid w:val="00C05381"/>
    <w:rsid w:val="00C06023"/>
    <w:rsid w:val="00C0632A"/>
    <w:rsid w:val="00C067E0"/>
    <w:rsid w:val="00C06EEB"/>
    <w:rsid w:val="00C06EF0"/>
    <w:rsid w:val="00C0702E"/>
    <w:rsid w:val="00C074B8"/>
    <w:rsid w:val="00C075D0"/>
    <w:rsid w:val="00C07CD6"/>
    <w:rsid w:val="00C10192"/>
    <w:rsid w:val="00C1025D"/>
    <w:rsid w:val="00C103AB"/>
    <w:rsid w:val="00C103C8"/>
    <w:rsid w:val="00C10CEC"/>
    <w:rsid w:val="00C11131"/>
    <w:rsid w:val="00C11821"/>
    <w:rsid w:val="00C11EDA"/>
    <w:rsid w:val="00C12686"/>
    <w:rsid w:val="00C12CED"/>
    <w:rsid w:val="00C12D93"/>
    <w:rsid w:val="00C12EE2"/>
    <w:rsid w:val="00C13419"/>
    <w:rsid w:val="00C1365D"/>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6F50"/>
    <w:rsid w:val="00C1711E"/>
    <w:rsid w:val="00C1746D"/>
    <w:rsid w:val="00C174C6"/>
    <w:rsid w:val="00C17E6E"/>
    <w:rsid w:val="00C2001A"/>
    <w:rsid w:val="00C20915"/>
    <w:rsid w:val="00C20C3D"/>
    <w:rsid w:val="00C2111F"/>
    <w:rsid w:val="00C2129B"/>
    <w:rsid w:val="00C21A06"/>
    <w:rsid w:val="00C21C4E"/>
    <w:rsid w:val="00C221D0"/>
    <w:rsid w:val="00C22309"/>
    <w:rsid w:val="00C22C7C"/>
    <w:rsid w:val="00C23520"/>
    <w:rsid w:val="00C2366E"/>
    <w:rsid w:val="00C23E35"/>
    <w:rsid w:val="00C24097"/>
    <w:rsid w:val="00C24568"/>
    <w:rsid w:val="00C246D7"/>
    <w:rsid w:val="00C24D75"/>
    <w:rsid w:val="00C24DA9"/>
    <w:rsid w:val="00C24F12"/>
    <w:rsid w:val="00C24F98"/>
    <w:rsid w:val="00C25082"/>
    <w:rsid w:val="00C25260"/>
    <w:rsid w:val="00C25277"/>
    <w:rsid w:val="00C25E6A"/>
    <w:rsid w:val="00C25E7D"/>
    <w:rsid w:val="00C25F06"/>
    <w:rsid w:val="00C265D4"/>
    <w:rsid w:val="00C266C1"/>
    <w:rsid w:val="00C273AE"/>
    <w:rsid w:val="00C275FC"/>
    <w:rsid w:val="00C2789E"/>
    <w:rsid w:val="00C27920"/>
    <w:rsid w:val="00C27D57"/>
    <w:rsid w:val="00C27E01"/>
    <w:rsid w:val="00C30B3D"/>
    <w:rsid w:val="00C30C6A"/>
    <w:rsid w:val="00C30D84"/>
    <w:rsid w:val="00C3106E"/>
    <w:rsid w:val="00C313FD"/>
    <w:rsid w:val="00C3145E"/>
    <w:rsid w:val="00C315AE"/>
    <w:rsid w:val="00C3160C"/>
    <w:rsid w:val="00C317A7"/>
    <w:rsid w:val="00C31812"/>
    <w:rsid w:val="00C31EE1"/>
    <w:rsid w:val="00C32310"/>
    <w:rsid w:val="00C32450"/>
    <w:rsid w:val="00C33431"/>
    <w:rsid w:val="00C3360B"/>
    <w:rsid w:val="00C337A9"/>
    <w:rsid w:val="00C33AEC"/>
    <w:rsid w:val="00C341FB"/>
    <w:rsid w:val="00C34263"/>
    <w:rsid w:val="00C34536"/>
    <w:rsid w:val="00C34919"/>
    <w:rsid w:val="00C34CDD"/>
    <w:rsid w:val="00C3536E"/>
    <w:rsid w:val="00C35629"/>
    <w:rsid w:val="00C3608B"/>
    <w:rsid w:val="00C36203"/>
    <w:rsid w:val="00C36B2D"/>
    <w:rsid w:val="00C36E09"/>
    <w:rsid w:val="00C36EAF"/>
    <w:rsid w:val="00C37CDE"/>
    <w:rsid w:val="00C40256"/>
    <w:rsid w:val="00C40C58"/>
    <w:rsid w:val="00C40C6B"/>
    <w:rsid w:val="00C40E91"/>
    <w:rsid w:val="00C410D2"/>
    <w:rsid w:val="00C4116F"/>
    <w:rsid w:val="00C4140D"/>
    <w:rsid w:val="00C417CD"/>
    <w:rsid w:val="00C41AFB"/>
    <w:rsid w:val="00C41C08"/>
    <w:rsid w:val="00C42A78"/>
    <w:rsid w:val="00C42EAF"/>
    <w:rsid w:val="00C42FB2"/>
    <w:rsid w:val="00C433BA"/>
    <w:rsid w:val="00C435C8"/>
    <w:rsid w:val="00C437D6"/>
    <w:rsid w:val="00C43AE6"/>
    <w:rsid w:val="00C43C0C"/>
    <w:rsid w:val="00C43E13"/>
    <w:rsid w:val="00C43E4C"/>
    <w:rsid w:val="00C4426C"/>
    <w:rsid w:val="00C4471A"/>
    <w:rsid w:val="00C44CC9"/>
    <w:rsid w:val="00C44FD9"/>
    <w:rsid w:val="00C45350"/>
    <w:rsid w:val="00C45DD1"/>
    <w:rsid w:val="00C45FDE"/>
    <w:rsid w:val="00C4601D"/>
    <w:rsid w:val="00C4698B"/>
    <w:rsid w:val="00C46C08"/>
    <w:rsid w:val="00C46FE3"/>
    <w:rsid w:val="00C473E7"/>
    <w:rsid w:val="00C47478"/>
    <w:rsid w:val="00C47BD2"/>
    <w:rsid w:val="00C507C3"/>
    <w:rsid w:val="00C50868"/>
    <w:rsid w:val="00C50DFC"/>
    <w:rsid w:val="00C51880"/>
    <w:rsid w:val="00C51B1B"/>
    <w:rsid w:val="00C51FA8"/>
    <w:rsid w:val="00C51FF0"/>
    <w:rsid w:val="00C52782"/>
    <w:rsid w:val="00C52D4E"/>
    <w:rsid w:val="00C52F1B"/>
    <w:rsid w:val="00C5300F"/>
    <w:rsid w:val="00C53027"/>
    <w:rsid w:val="00C53EE2"/>
    <w:rsid w:val="00C54256"/>
    <w:rsid w:val="00C54377"/>
    <w:rsid w:val="00C54473"/>
    <w:rsid w:val="00C54549"/>
    <w:rsid w:val="00C55A79"/>
    <w:rsid w:val="00C55D94"/>
    <w:rsid w:val="00C57567"/>
    <w:rsid w:val="00C57582"/>
    <w:rsid w:val="00C6017A"/>
    <w:rsid w:val="00C6087E"/>
    <w:rsid w:val="00C608EF"/>
    <w:rsid w:val="00C60CB0"/>
    <w:rsid w:val="00C60FC1"/>
    <w:rsid w:val="00C60FF0"/>
    <w:rsid w:val="00C611A2"/>
    <w:rsid w:val="00C612BB"/>
    <w:rsid w:val="00C612BF"/>
    <w:rsid w:val="00C619EE"/>
    <w:rsid w:val="00C6207E"/>
    <w:rsid w:val="00C625C7"/>
    <w:rsid w:val="00C629C9"/>
    <w:rsid w:val="00C6339B"/>
    <w:rsid w:val="00C63770"/>
    <w:rsid w:val="00C644D9"/>
    <w:rsid w:val="00C64784"/>
    <w:rsid w:val="00C64AB1"/>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972"/>
    <w:rsid w:val="00C70EE7"/>
    <w:rsid w:val="00C716CF"/>
    <w:rsid w:val="00C71730"/>
    <w:rsid w:val="00C717CD"/>
    <w:rsid w:val="00C719A4"/>
    <w:rsid w:val="00C71AC2"/>
    <w:rsid w:val="00C725B9"/>
    <w:rsid w:val="00C726D0"/>
    <w:rsid w:val="00C72AE3"/>
    <w:rsid w:val="00C72F13"/>
    <w:rsid w:val="00C73402"/>
    <w:rsid w:val="00C73645"/>
    <w:rsid w:val="00C739BB"/>
    <w:rsid w:val="00C73D07"/>
    <w:rsid w:val="00C74144"/>
    <w:rsid w:val="00C745D7"/>
    <w:rsid w:val="00C74865"/>
    <w:rsid w:val="00C75196"/>
    <w:rsid w:val="00C75391"/>
    <w:rsid w:val="00C755C8"/>
    <w:rsid w:val="00C7584E"/>
    <w:rsid w:val="00C758E0"/>
    <w:rsid w:val="00C75A25"/>
    <w:rsid w:val="00C76125"/>
    <w:rsid w:val="00C76971"/>
    <w:rsid w:val="00C76C64"/>
    <w:rsid w:val="00C76D24"/>
    <w:rsid w:val="00C76DBB"/>
    <w:rsid w:val="00C7702A"/>
    <w:rsid w:val="00C771F7"/>
    <w:rsid w:val="00C773C8"/>
    <w:rsid w:val="00C77404"/>
    <w:rsid w:val="00C77707"/>
    <w:rsid w:val="00C777C4"/>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E34"/>
    <w:rsid w:val="00C83E74"/>
    <w:rsid w:val="00C83F15"/>
    <w:rsid w:val="00C84687"/>
    <w:rsid w:val="00C84FF2"/>
    <w:rsid w:val="00C85046"/>
    <w:rsid w:val="00C8531E"/>
    <w:rsid w:val="00C853A9"/>
    <w:rsid w:val="00C855FB"/>
    <w:rsid w:val="00C8572E"/>
    <w:rsid w:val="00C85B6C"/>
    <w:rsid w:val="00C85E1F"/>
    <w:rsid w:val="00C8604B"/>
    <w:rsid w:val="00C86BFE"/>
    <w:rsid w:val="00C86C72"/>
    <w:rsid w:val="00C86D8A"/>
    <w:rsid w:val="00C873ED"/>
    <w:rsid w:val="00C87F73"/>
    <w:rsid w:val="00C87F8D"/>
    <w:rsid w:val="00C900B0"/>
    <w:rsid w:val="00C90164"/>
    <w:rsid w:val="00C9019E"/>
    <w:rsid w:val="00C90231"/>
    <w:rsid w:val="00C9080B"/>
    <w:rsid w:val="00C90C4C"/>
    <w:rsid w:val="00C90D8A"/>
    <w:rsid w:val="00C90EF9"/>
    <w:rsid w:val="00C9108F"/>
    <w:rsid w:val="00C91749"/>
    <w:rsid w:val="00C92714"/>
    <w:rsid w:val="00C9286B"/>
    <w:rsid w:val="00C92949"/>
    <w:rsid w:val="00C92AB1"/>
    <w:rsid w:val="00C92B1A"/>
    <w:rsid w:val="00C9312F"/>
    <w:rsid w:val="00C933D8"/>
    <w:rsid w:val="00C93DE5"/>
    <w:rsid w:val="00C93E91"/>
    <w:rsid w:val="00C94024"/>
    <w:rsid w:val="00C9476C"/>
    <w:rsid w:val="00C94AD2"/>
    <w:rsid w:val="00C950CA"/>
    <w:rsid w:val="00C958E9"/>
    <w:rsid w:val="00C95BFF"/>
    <w:rsid w:val="00C95E24"/>
    <w:rsid w:val="00C95ED6"/>
    <w:rsid w:val="00C95FCC"/>
    <w:rsid w:val="00CA0D5F"/>
    <w:rsid w:val="00CA132A"/>
    <w:rsid w:val="00CA1379"/>
    <w:rsid w:val="00CA14DE"/>
    <w:rsid w:val="00CA1B03"/>
    <w:rsid w:val="00CA1DCF"/>
    <w:rsid w:val="00CA1FB0"/>
    <w:rsid w:val="00CA24D1"/>
    <w:rsid w:val="00CA27A0"/>
    <w:rsid w:val="00CA2A4A"/>
    <w:rsid w:val="00CA2E1D"/>
    <w:rsid w:val="00CA324D"/>
    <w:rsid w:val="00CA39CC"/>
    <w:rsid w:val="00CA4743"/>
    <w:rsid w:val="00CA48B2"/>
    <w:rsid w:val="00CA4B38"/>
    <w:rsid w:val="00CA5A8C"/>
    <w:rsid w:val="00CA6014"/>
    <w:rsid w:val="00CA6529"/>
    <w:rsid w:val="00CA6568"/>
    <w:rsid w:val="00CA65FC"/>
    <w:rsid w:val="00CA6B6A"/>
    <w:rsid w:val="00CA735E"/>
    <w:rsid w:val="00CA73DD"/>
    <w:rsid w:val="00CA7931"/>
    <w:rsid w:val="00CA7D8A"/>
    <w:rsid w:val="00CB0599"/>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3934"/>
    <w:rsid w:val="00CB4046"/>
    <w:rsid w:val="00CB43FA"/>
    <w:rsid w:val="00CB4EF9"/>
    <w:rsid w:val="00CB50C5"/>
    <w:rsid w:val="00CB5A89"/>
    <w:rsid w:val="00CB5B31"/>
    <w:rsid w:val="00CB5BE7"/>
    <w:rsid w:val="00CB64D1"/>
    <w:rsid w:val="00CB6533"/>
    <w:rsid w:val="00CB6727"/>
    <w:rsid w:val="00CB6CB0"/>
    <w:rsid w:val="00CB712E"/>
    <w:rsid w:val="00CB7234"/>
    <w:rsid w:val="00CB76B8"/>
    <w:rsid w:val="00CB7703"/>
    <w:rsid w:val="00CB783B"/>
    <w:rsid w:val="00CB7FBA"/>
    <w:rsid w:val="00CC05E6"/>
    <w:rsid w:val="00CC08B5"/>
    <w:rsid w:val="00CC0E6F"/>
    <w:rsid w:val="00CC1189"/>
    <w:rsid w:val="00CC11BB"/>
    <w:rsid w:val="00CC1247"/>
    <w:rsid w:val="00CC1F79"/>
    <w:rsid w:val="00CC23C0"/>
    <w:rsid w:val="00CC23C6"/>
    <w:rsid w:val="00CC24F9"/>
    <w:rsid w:val="00CC2803"/>
    <w:rsid w:val="00CC28D8"/>
    <w:rsid w:val="00CC3489"/>
    <w:rsid w:val="00CC3A68"/>
    <w:rsid w:val="00CC3E3F"/>
    <w:rsid w:val="00CC468B"/>
    <w:rsid w:val="00CC4B5B"/>
    <w:rsid w:val="00CC56AF"/>
    <w:rsid w:val="00CC5F61"/>
    <w:rsid w:val="00CC6423"/>
    <w:rsid w:val="00CC657C"/>
    <w:rsid w:val="00CC68D6"/>
    <w:rsid w:val="00CC6B0C"/>
    <w:rsid w:val="00CC707F"/>
    <w:rsid w:val="00CC79CD"/>
    <w:rsid w:val="00CC7CC8"/>
    <w:rsid w:val="00CD06F8"/>
    <w:rsid w:val="00CD0761"/>
    <w:rsid w:val="00CD0AAD"/>
    <w:rsid w:val="00CD0CEE"/>
    <w:rsid w:val="00CD15AC"/>
    <w:rsid w:val="00CD1841"/>
    <w:rsid w:val="00CD1BF1"/>
    <w:rsid w:val="00CD1CEF"/>
    <w:rsid w:val="00CD1E42"/>
    <w:rsid w:val="00CD1E74"/>
    <w:rsid w:val="00CD1F72"/>
    <w:rsid w:val="00CD2A3E"/>
    <w:rsid w:val="00CD2ED3"/>
    <w:rsid w:val="00CD31C1"/>
    <w:rsid w:val="00CD35F1"/>
    <w:rsid w:val="00CD4704"/>
    <w:rsid w:val="00CD4AE1"/>
    <w:rsid w:val="00CD4B3B"/>
    <w:rsid w:val="00CD4C9C"/>
    <w:rsid w:val="00CD5401"/>
    <w:rsid w:val="00CD5716"/>
    <w:rsid w:val="00CD58E8"/>
    <w:rsid w:val="00CD5927"/>
    <w:rsid w:val="00CD6524"/>
    <w:rsid w:val="00CD667B"/>
    <w:rsid w:val="00CD68DD"/>
    <w:rsid w:val="00CD6C24"/>
    <w:rsid w:val="00CD6C94"/>
    <w:rsid w:val="00CD6E13"/>
    <w:rsid w:val="00CD7649"/>
    <w:rsid w:val="00CD7715"/>
    <w:rsid w:val="00CD7760"/>
    <w:rsid w:val="00CD794A"/>
    <w:rsid w:val="00CD79F0"/>
    <w:rsid w:val="00CD7B8B"/>
    <w:rsid w:val="00CD7D8E"/>
    <w:rsid w:val="00CE0177"/>
    <w:rsid w:val="00CE04AB"/>
    <w:rsid w:val="00CE0513"/>
    <w:rsid w:val="00CE0578"/>
    <w:rsid w:val="00CE067F"/>
    <w:rsid w:val="00CE073C"/>
    <w:rsid w:val="00CE092A"/>
    <w:rsid w:val="00CE0AAE"/>
    <w:rsid w:val="00CE1374"/>
    <w:rsid w:val="00CE16A7"/>
    <w:rsid w:val="00CE2B04"/>
    <w:rsid w:val="00CE3F20"/>
    <w:rsid w:val="00CE4055"/>
    <w:rsid w:val="00CE4270"/>
    <w:rsid w:val="00CE431C"/>
    <w:rsid w:val="00CE4396"/>
    <w:rsid w:val="00CE4582"/>
    <w:rsid w:val="00CE49FD"/>
    <w:rsid w:val="00CE4E5D"/>
    <w:rsid w:val="00CE4F18"/>
    <w:rsid w:val="00CE5298"/>
    <w:rsid w:val="00CE5803"/>
    <w:rsid w:val="00CE58EB"/>
    <w:rsid w:val="00CE596B"/>
    <w:rsid w:val="00CE5F0A"/>
    <w:rsid w:val="00CE643F"/>
    <w:rsid w:val="00CE681D"/>
    <w:rsid w:val="00CE6A32"/>
    <w:rsid w:val="00CE6CB4"/>
    <w:rsid w:val="00CE78C9"/>
    <w:rsid w:val="00CE7968"/>
    <w:rsid w:val="00CF091E"/>
    <w:rsid w:val="00CF0A69"/>
    <w:rsid w:val="00CF10F6"/>
    <w:rsid w:val="00CF1331"/>
    <w:rsid w:val="00CF15AC"/>
    <w:rsid w:val="00CF15E2"/>
    <w:rsid w:val="00CF16E4"/>
    <w:rsid w:val="00CF1E7E"/>
    <w:rsid w:val="00CF1F4A"/>
    <w:rsid w:val="00CF26A8"/>
    <w:rsid w:val="00CF3127"/>
    <w:rsid w:val="00CF35B2"/>
    <w:rsid w:val="00CF38D4"/>
    <w:rsid w:val="00CF3AB9"/>
    <w:rsid w:val="00CF3C86"/>
    <w:rsid w:val="00CF467B"/>
    <w:rsid w:val="00CF472E"/>
    <w:rsid w:val="00CF4D1E"/>
    <w:rsid w:val="00CF4D48"/>
    <w:rsid w:val="00CF50F7"/>
    <w:rsid w:val="00CF54F3"/>
    <w:rsid w:val="00CF5593"/>
    <w:rsid w:val="00CF5672"/>
    <w:rsid w:val="00CF5C9C"/>
    <w:rsid w:val="00CF5CAF"/>
    <w:rsid w:val="00CF5DEA"/>
    <w:rsid w:val="00CF5F7A"/>
    <w:rsid w:val="00CF60B2"/>
    <w:rsid w:val="00CF648A"/>
    <w:rsid w:val="00CF664A"/>
    <w:rsid w:val="00CF6BB9"/>
    <w:rsid w:val="00CF6DD6"/>
    <w:rsid w:val="00CF71A5"/>
    <w:rsid w:val="00CF79F1"/>
    <w:rsid w:val="00CF7CD8"/>
    <w:rsid w:val="00D00CED"/>
    <w:rsid w:val="00D00FDE"/>
    <w:rsid w:val="00D014F1"/>
    <w:rsid w:val="00D022D6"/>
    <w:rsid w:val="00D026EE"/>
    <w:rsid w:val="00D02876"/>
    <w:rsid w:val="00D028EB"/>
    <w:rsid w:val="00D029E9"/>
    <w:rsid w:val="00D02EBA"/>
    <w:rsid w:val="00D0316E"/>
    <w:rsid w:val="00D032E3"/>
    <w:rsid w:val="00D03342"/>
    <w:rsid w:val="00D034A8"/>
    <w:rsid w:val="00D03563"/>
    <w:rsid w:val="00D035C3"/>
    <w:rsid w:val="00D038CF"/>
    <w:rsid w:val="00D03F31"/>
    <w:rsid w:val="00D045FD"/>
    <w:rsid w:val="00D04AE4"/>
    <w:rsid w:val="00D04B78"/>
    <w:rsid w:val="00D0626B"/>
    <w:rsid w:val="00D06446"/>
    <w:rsid w:val="00D0774F"/>
    <w:rsid w:val="00D07DA6"/>
    <w:rsid w:val="00D10303"/>
    <w:rsid w:val="00D103E0"/>
    <w:rsid w:val="00D1060F"/>
    <w:rsid w:val="00D1140B"/>
    <w:rsid w:val="00D11757"/>
    <w:rsid w:val="00D11823"/>
    <w:rsid w:val="00D118F2"/>
    <w:rsid w:val="00D119B1"/>
    <w:rsid w:val="00D12371"/>
    <w:rsid w:val="00D12D32"/>
    <w:rsid w:val="00D12E0E"/>
    <w:rsid w:val="00D12F07"/>
    <w:rsid w:val="00D132C3"/>
    <w:rsid w:val="00D13444"/>
    <w:rsid w:val="00D13573"/>
    <w:rsid w:val="00D13887"/>
    <w:rsid w:val="00D13E24"/>
    <w:rsid w:val="00D14269"/>
    <w:rsid w:val="00D14494"/>
    <w:rsid w:val="00D1452D"/>
    <w:rsid w:val="00D148D1"/>
    <w:rsid w:val="00D149AD"/>
    <w:rsid w:val="00D14CD4"/>
    <w:rsid w:val="00D15416"/>
    <w:rsid w:val="00D159F8"/>
    <w:rsid w:val="00D161C1"/>
    <w:rsid w:val="00D1637D"/>
    <w:rsid w:val="00D16592"/>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D35"/>
    <w:rsid w:val="00D21D89"/>
    <w:rsid w:val="00D22287"/>
    <w:rsid w:val="00D22567"/>
    <w:rsid w:val="00D226B9"/>
    <w:rsid w:val="00D23437"/>
    <w:rsid w:val="00D2381C"/>
    <w:rsid w:val="00D23842"/>
    <w:rsid w:val="00D23A94"/>
    <w:rsid w:val="00D23EC1"/>
    <w:rsid w:val="00D23F38"/>
    <w:rsid w:val="00D242E3"/>
    <w:rsid w:val="00D24346"/>
    <w:rsid w:val="00D244E1"/>
    <w:rsid w:val="00D2459A"/>
    <w:rsid w:val="00D246CC"/>
    <w:rsid w:val="00D24774"/>
    <w:rsid w:val="00D248D9"/>
    <w:rsid w:val="00D24B50"/>
    <w:rsid w:val="00D24CD7"/>
    <w:rsid w:val="00D24D7B"/>
    <w:rsid w:val="00D2502F"/>
    <w:rsid w:val="00D25100"/>
    <w:rsid w:val="00D25450"/>
    <w:rsid w:val="00D25F3E"/>
    <w:rsid w:val="00D2632F"/>
    <w:rsid w:val="00D2654F"/>
    <w:rsid w:val="00D26A63"/>
    <w:rsid w:val="00D26C87"/>
    <w:rsid w:val="00D26CD4"/>
    <w:rsid w:val="00D26D53"/>
    <w:rsid w:val="00D27131"/>
    <w:rsid w:val="00D27908"/>
    <w:rsid w:val="00D27A6A"/>
    <w:rsid w:val="00D300F7"/>
    <w:rsid w:val="00D30336"/>
    <w:rsid w:val="00D30394"/>
    <w:rsid w:val="00D30796"/>
    <w:rsid w:val="00D31BBD"/>
    <w:rsid w:val="00D32104"/>
    <w:rsid w:val="00D329A0"/>
    <w:rsid w:val="00D32CE1"/>
    <w:rsid w:val="00D32E58"/>
    <w:rsid w:val="00D33010"/>
    <w:rsid w:val="00D330F1"/>
    <w:rsid w:val="00D33362"/>
    <w:rsid w:val="00D334CD"/>
    <w:rsid w:val="00D33534"/>
    <w:rsid w:val="00D3395C"/>
    <w:rsid w:val="00D34412"/>
    <w:rsid w:val="00D34AE4"/>
    <w:rsid w:val="00D34D6B"/>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417"/>
    <w:rsid w:val="00D41616"/>
    <w:rsid w:val="00D41FE1"/>
    <w:rsid w:val="00D42A30"/>
    <w:rsid w:val="00D42A8E"/>
    <w:rsid w:val="00D42B1F"/>
    <w:rsid w:val="00D42CD9"/>
    <w:rsid w:val="00D42D2A"/>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673"/>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1F4A"/>
    <w:rsid w:val="00D5227E"/>
    <w:rsid w:val="00D52583"/>
    <w:rsid w:val="00D52D7F"/>
    <w:rsid w:val="00D52F8D"/>
    <w:rsid w:val="00D52FF8"/>
    <w:rsid w:val="00D53034"/>
    <w:rsid w:val="00D532F5"/>
    <w:rsid w:val="00D5331B"/>
    <w:rsid w:val="00D54373"/>
    <w:rsid w:val="00D545E9"/>
    <w:rsid w:val="00D547BC"/>
    <w:rsid w:val="00D54E43"/>
    <w:rsid w:val="00D54F28"/>
    <w:rsid w:val="00D54FCC"/>
    <w:rsid w:val="00D55023"/>
    <w:rsid w:val="00D5522A"/>
    <w:rsid w:val="00D5529D"/>
    <w:rsid w:val="00D554E0"/>
    <w:rsid w:val="00D559DA"/>
    <w:rsid w:val="00D55A05"/>
    <w:rsid w:val="00D55D24"/>
    <w:rsid w:val="00D55DDA"/>
    <w:rsid w:val="00D564A9"/>
    <w:rsid w:val="00D564EF"/>
    <w:rsid w:val="00D5676E"/>
    <w:rsid w:val="00D56CC4"/>
    <w:rsid w:val="00D56DB7"/>
    <w:rsid w:val="00D56F64"/>
    <w:rsid w:val="00D570FB"/>
    <w:rsid w:val="00D57447"/>
    <w:rsid w:val="00D57A21"/>
    <w:rsid w:val="00D605C1"/>
    <w:rsid w:val="00D60E3C"/>
    <w:rsid w:val="00D60FDA"/>
    <w:rsid w:val="00D613B2"/>
    <w:rsid w:val="00D61A9F"/>
    <w:rsid w:val="00D61EDD"/>
    <w:rsid w:val="00D628AF"/>
    <w:rsid w:val="00D6294B"/>
    <w:rsid w:val="00D62AF3"/>
    <w:rsid w:val="00D630BA"/>
    <w:rsid w:val="00D6353D"/>
    <w:rsid w:val="00D636CF"/>
    <w:rsid w:val="00D6429C"/>
    <w:rsid w:val="00D642D7"/>
    <w:rsid w:val="00D64490"/>
    <w:rsid w:val="00D64508"/>
    <w:rsid w:val="00D64A3D"/>
    <w:rsid w:val="00D65D91"/>
    <w:rsid w:val="00D662EE"/>
    <w:rsid w:val="00D66331"/>
    <w:rsid w:val="00D665DB"/>
    <w:rsid w:val="00D66697"/>
    <w:rsid w:val="00D66772"/>
    <w:rsid w:val="00D66ECC"/>
    <w:rsid w:val="00D66EDC"/>
    <w:rsid w:val="00D6751B"/>
    <w:rsid w:val="00D67684"/>
    <w:rsid w:val="00D67A3F"/>
    <w:rsid w:val="00D67ACA"/>
    <w:rsid w:val="00D67EA8"/>
    <w:rsid w:val="00D67F69"/>
    <w:rsid w:val="00D70737"/>
    <w:rsid w:val="00D70E58"/>
    <w:rsid w:val="00D71103"/>
    <w:rsid w:val="00D71E5D"/>
    <w:rsid w:val="00D72420"/>
    <w:rsid w:val="00D72551"/>
    <w:rsid w:val="00D725C6"/>
    <w:rsid w:val="00D72748"/>
    <w:rsid w:val="00D72BED"/>
    <w:rsid w:val="00D72DF4"/>
    <w:rsid w:val="00D73302"/>
    <w:rsid w:val="00D7362F"/>
    <w:rsid w:val="00D73ADE"/>
    <w:rsid w:val="00D73AF1"/>
    <w:rsid w:val="00D73B41"/>
    <w:rsid w:val="00D73B4A"/>
    <w:rsid w:val="00D74504"/>
    <w:rsid w:val="00D74639"/>
    <w:rsid w:val="00D7490E"/>
    <w:rsid w:val="00D74B6F"/>
    <w:rsid w:val="00D74DAF"/>
    <w:rsid w:val="00D74F04"/>
    <w:rsid w:val="00D7551A"/>
    <w:rsid w:val="00D75BC3"/>
    <w:rsid w:val="00D75ECA"/>
    <w:rsid w:val="00D762C4"/>
    <w:rsid w:val="00D7674B"/>
    <w:rsid w:val="00D7764B"/>
    <w:rsid w:val="00D77EF0"/>
    <w:rsid w:val="00D77F35"/>
    <w:rsid w:val="00D800BC"/>
    <w:rsid w:val="00D8093F"/>
    <w:rsid w:val="00D809B7"/>
    <w:rsid w:val="00D8101C"/>
    <w:rsid w:val="00D810C4"/>
    <w:rsid w:val="00D813B0"/>
    <w:rsid w:val="00D8143E"/>
    <w:rsid w:val="00D81A57"/>
    <w:rsid w:val="00D81D6E"/>
    <w:rsid w:val="00D81FFC"/>
    <w:rsid w:val="00D82A4C"/>
    <w:rsid w:val="00D82E01"/>
    <w:rsid w:val="00D8371D"/>
    <w:rsid w:val="00D83A8B"/>
    <w:rsid w:val="00D83EF5"/>
    <w:rsid w:val="00D84061"/>
    <w:rsid w:val="00D8412D"/>
    <w:rsid w:val="00D844E7"/>
    <w:rsid w:val="00D8483A"/>
    <w:rsid w:val="00D84FA4"/>
    <w:rsid w:val="00D85083"/>
    <w:rsid w:val="00D851A0"/>
    <w:rsid w:val="00D85683"/>
    <w:rsid w:val="00D8682D"/>
    <w:rsid w:val="00D86B88"/>
    <w:rsid w:val="00D86B8C"/>
    <w:rsid w:val="00D87125"/>
    <w:rsid w:val="00D87145"/>
    <w:rsid w:val="00D87206"/>
    <w:rsid w:val="00D874FB"/>
    <w:rsid w:val="00D87776"/>
    <w:rsid w:val="00D9075A"/>
    <w:rsid w:val="00D908D7"/>
    <w:rsid w:val="00D909AD"/>
    <w:rsid w:val="00D90EC1"/>
    <w:rsid w:val="00D90F8A"/>
    <w:rsid w:val="00D91621"/>
    <w:rsid w:val="00D918C7"/>
    <w:rsid w:val="00D91B8F"/>
    <w:rsid w:val="00D92122"/>
    <w:rsid w:val="00D92CF0"/>
    <w:rsid w:val="00D930F2"/>
    <w:rsid w:val="00D93342"/>
    <w:rsid w:val="00D93415"/>
    <w:rsid w:val="00D9364E"/>
    <w:rsid w:val="00D94716"/>
    <w:rsid w:val="00D94D4B"/>
    <w:rsid w:val="00D94E0E"/>
    <w:rsid w:val="00D94F54"/>
    <w:rsid w:val="00D950AF"/>
    <w:rsid w:val="00D9545B"/>
    <w:rsid w:val="00D9553A"/>
    <w:rsid w:val="00D957EB"/>
    <w:rsid w:val="00D95BCF"/>
    <w:rsid w:val="00D95FC2"/>
    <w:rsid w:val="00D961EE"/>
    <w:rsid w:val="00D97035"/>
    <w:rsid w:val="00D97077"/>
    <w:rsid w:val="00D971AA"/>
    <w:rsid w:val="00D97308"/>
    <w:rsid w:val="00D9740F"/>
    <w:rsid w:val="00D97A89"/>
    <w:rsid w:val="00D97BA1"/>
    <w:rsid w:val="00D97D8B"/>
    <w:rsid w:val="00DA09FC"/>
    <w:rsid w:val="00DA1779"/>
    <w:rsid w:val="00DA1EE5"/>
    <w:rsid w:val="00DA263F"/>
    <w:rsid w:val="00DA2A54"/>
    <w:rsid w:val="00DA2B4B"/>
    <w:rsid w:val="00DA3D60"/>
    <w:rsid w:val="00DA44CF"/>
    <w:rsid w:val="00DA4578"/>
    <w:rsid w:val="00DA47B9"/>
    <w:rsid w:val="00DA4D1E"/>
    <w:rsid w:val="00DA51F4"/>
    <w:rsid w:val="00DA597A"/>
    <w:rsid w:val="00DA59D2"/>
    <w:rsid w:val="00DA5BD5"/>
    <w:rsid w:val="00DA60CB"/>
    <w:rsid w:val="00DA669D"/>
    <w:rsid w:val="00DA6E2E"/>
    <w:rsid w:val="00DA776F"/>
    <w:rsid w:val="00DA7B84"/>
    <w:rsid w:val="00DB0E46"/>
    <w:rsid w:val="00DB1749"/>
    <w:rsid w:val="00DB1FEA"/>
    <w:rsid w:val="00DB2B7E"/>
    <w:rsid w:val="00DB328A"/>
    <w:rsid w:val="00DB3386"/>
    <w:rsid w:val="00DB33D2"/>
    <w:rsid w:val="00DB3690"/>
    <w:rsid w:val="00DB36D2"/>
    <w:rsid w:val="00DB4099"/>
    <w:rsid w:val="00DB42F9"/>
    <w:rsid w:val="00DB44A6"/>
    <w:rsid w:val="00DB452C"/>
    <w:rsid w:val="00DB476D"/>
    <w:rsid w:val="00DB47C5"/>
    <w:rsid w:val="00DB4D88"/>
    <w:rsid w:val="00DB53CD"/>
    <w:rsid w:val="00DB553A"/>
    <w:rsid w:val="00DB5719"/>
    <w:rsid w:val="00DB5D19"/>
    <w:rsid w:val="00DB5E4A"/>
    <w:rsid w:val="00DB6042"/>
    <w:rsid w:val="00DB624E"/>
    <w:rsid w:val="00DB646B"/>
    <w:rsid w:val="00DB673F"/>
    <w:rsid w:val="00DB6888"/>
    <w:rsid w:val="00DB6CF5"/>
    <w:rsid w:val="00DB7A4B"/>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E59"/>
    <w:rsid w:val="00DC2FC1"/>
    <w:rsid w:val="00DC30AE"/>
    <w:rsid w:val="00DC31CC"/>
    <w:rsid w:val="00DC32E4"/>
    <w:rsid w:val="00DC37FD"/>
    <w:rsid w:val="00DC3A8D"/>
    <w:rsid w:val="00DC3D34"/>
    <w:rsid w:val="00DC4015"/>
    <w:rsid w:val="00DC4BFD"/>
    <w:rsid w:val="00DC4E22"/>
    <w:rsid w:val="00DC4FE5"/>
    <w:rsid w:val="00DC59AE"/>
    <w:rsid w:val="00DC6153"/>
    <w:rsid w:val="00DC6E61"/>
    <w:rsid w:val="00DC7002"/>
    <w:rsid w:val="00DC76C3"/>
    <w:rsid w:val="00DC77BF"/>
    <w:rsid w:val="00DC7A5D"/>
    <w:rsid w:val="00DC7BDA"/>
    <w:rsid w:val="00DC7E69"/>
    <w:rsid w:val="00DC7FC9"/>
    <w:rsid w:val="00DD02C0"/>
    <w:rsid w:val="00DD0DCC"/>
    <w:rsid w:val="00DD17CE"/>
    <w:rsid w:val="00DD1B83"/>
    <w:rsid w:val="00DD1EC6"/>
    <w:rsid w:val="00DD2821"/>
    <w:rsid w:val="00DD2BAF"/>
    <w:rsid w:val="00DD2E32"/>
    <w:rsid w:val="00DD3308"/>
    <w:rsid w:val="00DD3316"/>
    <w:rsid w:val="00DD3593"/>
    <w:rsid w:val="00DD36A1"/>
    <w:rsid w:val="00DD38FE"/>
    <w:rsid w:val="00DD3BB8"/>
    <w:rsid w:val="00DD40BA"/>
    <w:rsid w:val="00DD40D7"/>
    <w:rsid w:val="00DD414F"/>
    <w:rsid w:val="00DD42D8"/>
    <w:rsid w:val="00DD460E"/>
    <w:rsid w:val="00DD4CD0"/>
    <w:rsid w:val="00DD4F5E"/>
    <w:rsid w:val="00DD5286"/>
    <w:rsid w:val="00DD5ADD"/>
    <w:rsid w:val="00DD5E57"/>
    <w:rsid w:val="00DD606B"/>
    <w:rsid w:val="00DD6DFD"/>
    <w:rsid w:val="00DD6E32"/>
    <w:rsid w:val="00DD70A2"/>
    <w:rsid w:val="00DD7695"/>
    <w:rsid w:val="00DE02B8"/>
    <w:rsid w:val="00DE02BE"/>
    <w:rsid w:val="00DE146E"/>
    <w:rsid w:val="00DE192E"/>
    <w:rsid w:val="00DE1B0C"/>
    <w:rsid w:val="00DE2B78"/>
    <w:rsid w:val="00DE3385"/>
    <w:rsid w:val="00DE340E"/>
    <w:rsid w:val="00DE3554"/>
    <w:rsid w:val="00DE3609"/>
    <w:rsid w:val="00DE38A1"/>
    <w:rsid w:val="00DE4502"/>
    <w:rsid w:val="00DE4638"/>
    <w:rsid w:val="00DE4651"/>
    <w:rsid w:val="00DE4983"/>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D3"/>
    <w:rsid w:val="00DF1C8D"/>
    <w:rsid w:val="00DF22C0"/>
    <w:rsid w:val="00DF2353"/>
    <w:rsid w:val="00DF28EB"/>
    <w:rsid w:val="00DF2C54"/>
    <w:rsid w:val="00DF3837"/>
    <w:rsid w:val="00DF3AB2"/>
    <w:rsid w:val="00DF49D8"/>
    <w:rsid w:val="00DF6677"/>
    <w:rsid w:val="00DF6FBC"/>
    <w:rsid w:val="00DF71BB"/>
    <w:rsid w:val="00DF78B2"/>
    <w:rsid w:val="00DF7BEA"/>
    <w:rsid w:val="00DF7DD5"/>
    <w:rsid w:val="00DF7ED4"/>
    <w:rsid w:val="00E0004C"/>
    <w:rsid w:val="00E0054D"/>
    <w:rsid w:val="00E00868"/>
    <w:rsid w:val="00E00898"/>
    <w:rsid w:val="00E01CB2"/>
    <w:rsid w:val="00E01D44"/>
    <w:rsid w:val="00E01DD2"/>
    <w:rsid w:val="00E020A9"/>
    <w:rsid w:val="00E02546"/>
    <w:rsid w:val="00E0272B"/>
    <w:rsid w:val="00E0274F"/>
    <w:rsid w:val="00E02CFF"/>
    <w:rsid w:val="00E02E2F"/>
    <w:rsid w:val="00E03343"/>
    <w:rsid w:val="00E03938"/>
    <w:rsid w:val="00E03CBD"/>
    <w:rsid w:val="00E03E89"/>
    <w:rsid w:val="00E04877"/>
    <w:rsid w:val="00E04C45"/>
    <w:rsid w:val="00E04D1C"/>
    <w:rsid w:val="00E05681"/>
    <w:rsid w:val="00E0576B"/>
    <w:rsid w:val="00E058EB"/>
    <w:rsid w:val="00E05A89"/>
    <w:rsid w:val="00E05FA9"/>
    <w:rsid w:val="00E0628E"/>
    <w:rsid w:val="00E06460"/>
    <w:rsid w:val="00E06826"/>
    <w:rsid w:val="00E0689E"/>
    <w:rsid w:val="00E0717C"/>
    <w:rsid w:val="00E073CF"/>
    <w:rsid w:val="00E07844"/>
    <w:rsid w:val="00E07BA5"/>
    <w:rsid w:val="00E07F31"/>
    <w:rsid w:val="00E07FA0"/>
    <w:rsid w:val="00E103E5"/>
    <w:rsid w:val="00E10C42"/>
    <w:rsid w:val="00E10FC4"/>
    <w:rsid w:val="00E1132A"/>
    <w:rsid w:val="00E11370"/>
    <w:rsid w:val="00E114C0"/>
    <w:rsid w:val="00E11C13"/>
    <w:rsid w:val="00E11DB1"/>
    <w:rsid w:val="00E11F04"/>
    <w:rsid w:val="00E12535"/>
    <w:rsid w:val="00E12D4A"/>
    <w:rsid w:val="00E12D89"/>
    <w:rsid w:val="00E13167"/>
    <w:rsid w:val="00E132D0"/>
    <w:rsid w:val="00E1340B"/>
    <w:rsid w:val="00E13999"/>
    <w:rsid w:val="00E13EF3"/>
    <w:rsid w:val="00E14108"/>
    <w:rsid w:val="00E14793"/>
    <w:rsid w:val="00E1493B"/>
    <w:rsid w:val="00E149D3"/>
    <w:rsid w:val="00E14DD8"/>
    <w:rsid w:val="00E14EE9"/>
    <w:rsid w:val="00E14F62"/>
    <w:rsid w:val="00E15082"/>
    <w:rsid w:val="00E15217"/>
    <w:rsid w:val="00E15282"/>
    <w:rsid w:val="00E1557E"/>
    <w:rsid w:val="00E15917"/>
    <w:rsid w:val="00E15F3D"/>
    <w:rsid w:val="00E160AD"/>
    <w:rsid w:val="00E161AD"/>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4195"/>
    <w:rsid w:val="00E24224"/>
    <w:rsid w:val="00E24567"/>
    <w:rsid w:val="00E25124"/>
    <w:rsid w:val="00E2519A"/>
    <w:rsid w:val="00E25239"/>
    <w:rsid w:val="00E25A4F"/>
    <w:rsid w:val="00E261F8"/>
    <w:rsid w:val="00E2664B"/>
    <w:rsid w:val="00E268EB"/>
    <w:rsid w:val="00E26973"/>
    <w:rsid w:val="00E26E57"/>
    <w:rsid w:val="00E27467"/>
    <w:rsid w:val="00E277B5"/>
    <w:rsid w:val="00E27B46"/>
    <w:rsid w:val="00E30261"/>
    <w:rsid w:val="00E302E2"/>
    <w:rsid w:val="00E303A9"/>
    <w:rsid w:val="00E3043D"/>
    <w:rsid w:val="00E30560"/>
    <w:rsid w:val="00E30628"/>
    <w:rsid w:val="00E30883"/>
    <w:rsid w:val="00E31251"/>
    <w:rsid w:val="00E31476"/>
    <w:rsid w:val="00E32231"/>
    <w:rsid w:val="00E324AD"/>
    <w:rsid w:val="00E32F9A"/>
    <w:rsid w:val="00E333C5"/>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CFA"/>
    <w:rsid w:val="00E36EB2"/>
    <w:rsid w:val="00E36F56"/>
    <w:rsid w:val="00E370E4"/>
    <w:rsid w:val="00E377A0"/>
    <w:rsid w:val="00E4060A"/>
    <w:rsid w:val="00E4083B"/>
    <w:rsid w:val="00E40AEB"/>
    <w:rsid w:val="00E40F9D"/>
    <w:rsid w:val="00E41017"/>
    <w:rsid w:val="00E411FE"/>
    <w:rsid w:val="00E4122C"/>
    <w:rsid w:val="00E417D0"/>
    <w:rsid w:val="00E418F1"/>
    <w:rsid w:val="00E41DA9"/>
    <w:rsid w:val="00E41F93"/>
    <w:rsid w:val="00E422C4"/>
    <w:rsid w:val="00E429EC"/>
    <w:rsid w:val="00E42BA3"/>
    <w:rsid w:val="00E43330"/>
    <w:rsid w:val="00E4341C"/>
    <w:rsid w:val="00E43634"/>
    <w:rsid w:val="00E43666"/>
    <w:rsid w:val="00E43826"/>
    <w:rsid w:val="00E439F8"/>
    <w:rsid w:val="00E43AD8"/>
    <w:rsid w:val="00E43DC4"/>
    <w:rsid w:val="00E43DF0"/>
    <w:rsid w:val="00E440AE"/>
    <w:rsid w:val="00E4431C"/>
    <w:rsid w:val="00E44672"/>
    <w:rsid w:val="00E4494D"/>
    <w:rsid w:val="00E449F6"/>
    <w:rsid w:val="00E44CD4"/>
    <w:rsid w:val="00E450A6"/>
    <w:rsid w:val="00E455AB"/>
    <w:rsid w:val="00E458BD"/>
    <w:rsid w:val="00E45B91"/>
    <w:rsid w:val="00E467D5"/>
    <w:rsid w:val="00E46B50"/>
    <w:rsid w:val="00E46B92"/>
    <w:rsid w:val="00E46C57"/>
    <w:rsid w:val="00E46D9B"/>
    <w:rsid w:val="00E472E9"/>
    <w:rsid w:val="00E47385"/>
    <w:rsid w:val="00E47857"/>
    <w:rsid w:val="00E47F67"/>
    <w:rsid w:val="00E50342"/>
    <w:rsid w:val="00E50533"/>
    <w:rsid w:val="00E50570"/>
    <w:rsid w:val="00E508F6"/>
    <w:rsid w:val="00E50D34"/>
    <w:rsid w:val="00E50F7B"/>
    <w:rsid w:val="00E51467"/>
    <w:rsid w:val="00E5176B"/>
    <w:rsid w:val="00E51B5D"/>
    <w:rsid w:val="00E51CB9"/>
    <w:rsid w:val="00E528BA"/>
    <w:rsid w:val="00E53671"/>
    <w:rsid w:val="00E536E6"/>
    <w:rsid w:val="00E539CD"/>
    <w:rsid w:val="00E53CAB"/>
    <w:rsid w:val="00E53D6A"/>
    <w:rsid w:val="00E540EA"/>
    <w:rsid w:val="00E54329"/>
    <w:rsid w:val="00E5446B"/>
    <w:rsid w:val="00E55339"/>
    <w:rsid w:val="00E55538"/>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73C"/>
    <w:rsid w:val="00E60C32"/>
    <w:rsid w:val="00E60CF1"/>
    <w:rsid w:val="00E61046"/>
    <w:rsid w:val="00E616A2"/>
    <w:rsid w:val="00E627F6"/>
    <w:rsid w:val="00E62907"/>
    <w:rsid w:val="00E632C3"/>
    <w:rsid w:val="00E6332C"/>
    <w:rsid w:val="00E63398"/>
    <w:rsid w:val="00E639C3"/>
    <w:rsid w:val="00E63E77"/>
    <w:rsid w:val="00E63E8A"/>
    <w:rsid w:val="00E63F1D"/>
    <w:rsid w:val="00E64156"/>
    <w:rsid w:val="00E64364"/>
    <w:rsid w:val="00E64536"/>
    <w:rsid w:val="00E645EC"/>
    <w:rsid w:val="00E646D5"/>
    <w:rsid w:val="00E64A75"/>
    <w:rsid w:val="00E64B1B"/>
    <w:rsid w:val="00E64CF7"/>
    <w:rsid w:val="00E64D52"/>
    <w:rsid w:val="00E65779"/>
    <w:rsid w:val="00E65C24"/>
    <w:rsid w:val="00E6602D"/>
    <w:rsid w:val="00E6603D"/>
    <w:rsid w:val="00E672A9"/>
    <w:rsid w:val="00E67336"/>
    <w:rsid w:val="00E67343"/>
    <w:rsid w:val="00E67D47"/>
    <w:rsid w:val="00E67D98"/>
    <w:rsid w:val="00E67E86"/>
    <w:rsid w:val="00E67FB5"/>
    <w:rsid w:val="00E7009F"/>
    <w:rsid w:val="00E70752"/>
    <w:rsid w:val="00E7153E"/>
    <w:rsid w:val="00E715B4"/>
    <w:rsid w:val="00E71650"/>
    <w:rsid w:val="00E71C21"/>
    <w:rsid w:val="00E71DD6"/>
    <w:rsid w:val="00E72A7F"/>
    <w:rsid w:val="00E72B2A"/>
    <w:rsid w:val="00E72EC2"/>
    <w:rsid w:val="00E73243"/>
    <w:rsid w:val="00E735DE"/>
    <w:rsid w:val="00E7372A"/>
    <w:rsid w:val="00E742E5"/>
    <w:rsid w:val="00E74926"/>
    <w:rsid w:val="00E7506D"/>
    <w:rsid w:val="00E752A1"/>
    <w:rsid w:val="00E753AA"/>
    <w:rsid w:val="00E75406"/>
    <w:rsid w:val="00E75A9D"/>
    <w:rsid w:val="00E75C6F"/>
    <w:rsid w:val="00E75E7C"/>
    <w:rsid w:val="00E75F2E"/>
    <w:rsid w:val="00E761FB"/>
    <w:rsid w:val="00E76513"/>
    <w:rsid w:val="00E769CD"/>
    <w:rsid w:val="00E76A32"/>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4955"/>
    <w:rsid w:val="00E8543E"/>
    <w:rsid w:val="00E855CE"/>
    <w:rsid w:val="00E856B7"/>
    <w:rsid w:val="00E8582C"/>
    <w:rsid w:val="00E85938"/>
    <w:rsid w:val="00E85EA7"/>
    <w:rsid w:val="00E8607A"/>
    <w:rsid w:val="00E8623F"/>
    <w:rsid w:val="00E86ED8"/>
    <w:rsid w:val="00E86F11"/>
    <w:rsid w:val="00E8704B"/>
    <w:rsid w:val="00E87631"/>
    <w:rsid w:val="00E878BE"/>
    <w:rsid w:val="00E87B3E"/>
    <w:rsid w:val="00E87B69"/>
    <w:rsid w:val="00E87D52"/>
    <w:rsid w:val="00E87F00"/>
    <w:rsid w:val="00E87F4D"/>
    <w:rsid w:val="00E90555"/>
    <w:rsid w:val="00E907BE"/>
    <w:rsid w:val="00E90C23"/>
    <w:rsid w:val="00E9110E"/>
    <w:rsid w:val="00E9176F"/>
    <w:rsid w:val="00E91942"/>
    <w:rsid w:val="00E919FB"/>
    <w:rsid w:val="00E91A9A"/>
    <w:rsid w:val="00E91CBA"/>
    <w:rsid w:val="00E91D54"/>
    <w:rsid w:val="00E91FBA"/>
    <w:rsid w:val="00E9222C"/>
    <w:rsid w:val="00E92248"/>
    <w:rsid w:val="00E9229E"/>
    <w:rsid w:val="00E924CC"/>
    <w:rsid w:val="00E925E4"/>
    <w:rsid w:val="00E92F79"/>
    <w:rsid w:val="00E933EB"/>
    <w:rsid w:val="00E937CF"/>
    <w:rsid w:val="00E9427A"/>
    <w:rsid w:val="00E94308"/>
    <w:rsid w:val="00E9439E"/>
    <w:rsid w:val="00E947F9"/>
    <w:rsid w:val="00E9522B"/>
    <w:rsid w:val="00E9558B"/>
    <w:rsid w:val="00E95D1B"/>
    <w:rsid w:val="00E9621B"/>
    <w:rsid w:val="00E9623E"/>
    <w:rsid w:val="00E9649D"/>
    <w:rsid w:val="00E969F0"/>
    <w:rsid w:val="00E97020"/>
    <w:rsid w:val="00E977FD"/>
    <w:rsid w:val="00EA06D7"/>
    <w:rsid w:val="00EA09FE"/>
    <w:rsid w:val="00EA0A92"/>
    <w:rsid w:val="00EA0A9B"/>
    <w:rsid w:val="00EA0B1A"/>
    <w:rsid w:val="00EA0C1B"/>
    <w:rsid w:val="00EA0D79"/>
    <w:rsid w:val="00EA175D"/>
    <w:rsid w:val="00EA1886"/>
    <w:rsid w:val="00EA210C"/>
    <w:rsid w:val="00EA2523"/>
    <w:rsid w:val="00EA26E0"/>
    <w:rsid w:val="00EA28AF"/>
    <w:rsid w:val="00EA2EFA"/>
    <w:rsid w:val="00EA32BF"/>
    <w:rsid w:val="00EA3852"/>
    <w:rsid w:val="00EA50D6"/>
    <w:rsid w:val="00EA5514"/>
    <w:rsid w:val="00EA5714"/>
    <w:rsid w:val="00EA5C38"/>
    <w:rsid w:val="00EA5E49"/>
    <w:rsid w:val="00EA679F"/>
    <w:rsid w:val="00EA69EF"/>
    <w:rsid w:val="00EA7070"/>
    <w:rsid w:val="00EA7662"/>
    <w:rsid w:val="00EA7B29"/>
    <w:rsid w:val="00EB016F"/>
    <w:rsid w:val="00EB04FD"/>
    <w:rsid w:val="00EB0635"/>
    <w:rsid w:val="00EB06EB"/>
    <w:rsid w:val="00EB0798"/>
    <w:rsid w:val="00EB0B50"/>
    <w:rsid w:val="00EB0C4A"/>
    <w:rsid w:val="00EB13E0"/>
    <w:rsid w:val="00EB1A92"/>
    <w:rsid w:val="00EB2045"/>
    <w:rsid w:val="00EB222C"/>
    <w:rsid w:val="00EB2634"/>
    <w:rsid w:val="00EB2A4D"/>
    <w:rsid w:val="00EB33F4"/>
    <w:rsid w:val="00EB3B9C"/>
    <w:rsid w:val="00EB3C8F"/>
    <w:rsid w:val="00EB3CA2"/>
    <w:rsid w:val="00EB4242"/>
    <w:rsid w:val="00EB4C04"/>
    <w:rsid w:val="00EB4CA7"/>
    <w:rsid w:val="00EB4D10"/>
    <w:rsid w:val="00EB5B9E"/>
    <w:rsid w:val="00EB5E24"/>
    <w:rsid w:val="00EB5E87"/>
    <w:rsid w:val="00EB649D"/>
    <w:rsid w:val="00EB6C6B"/>
    <w:rsid w:val="00EB6E0D"/>
    <w:rsid w:val="00EB72A7"/>
    <w:rsid w:val="00EB7363"/>
    <w:rsid w:val="00EB7714"/>
    <w:rsid w:val="00EB77C1"/>
    <w:rsid w:val="00EB7A49"/>
    <w:rsid w:val="00EB7B5B"/>
    <w:rsid w:val="00EB7C4B"/>
    <w:rsid w:val="00EC0BAD"/>
    <w:rsid w:val="00EC0CAA"/>
    <w:rsid w:val="00EC1320"/>
    <w:rsid w:val="00EC1406"/>
    <w:rsid w:val="00EC1435"/>
    <w:rsid w:val="00EC225B"/>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F33"/>
    <w:rsid w:val="00EC5634"/>
    <w:rsid w:val="00EC68DA"/>
    <w:rsid w:val="00EC68E3"/>
    <w:rsid w:val="00EC7129"/>
    <w:rsid w:val="00EC7147"/>
    <w:rsid w:val="00EC7298"/>
    <w:rsid w:val="00EC72F8"/>
    <w:rsid w:val="00EC76CF"/>
    <w:rsid w:val="00EC7D2B"/>
    <w:rsid w:val="00EC7F5B"/>
    <w:rsid w:val="00ED0270"/>
    <w:rsid w:val="00ED0721"/>
    <w:rsid w:val="00ED07A3"/>
    <w:rsid w:val="00ED0E28"/>
    <w:rsid w:val="00ED11C5"/>
    <w:rsid w:val="00ED1924"/>
    <w:rsid w:val="00ED1DED"/>
    <w:rsid w:val="00ED1E35"/>
    <w:rsid w:val="00ED1EEE"/>
    <w:rsid w:val="00ED2B82"/>
    <w:rsid w:val="00ED2C8F"/>
    <w:rsid w:val="00ED2D4A"/>
    <w:rsid w:val="00ED2DB6"/>
    <w:rsid w:val="00ED304F"/>
    <w:rsid w:val="00ED403B"/>
    <w:rsid w:val="00ED47C8"/>
    <w:rsid w:val="00ED4BF7"/>
    <w:rsid w:val="00ED4F83"/>
    <w:rsid w:val="00ED4FB2"/>
    <w:rsid w:val="00ED507D"/>
    <w:rsid w:val="00ED57BC"/>
    <w:rsid w:val="00ED57FC"/>
    <w:rsid w:val="00ED6F17"/>
    <w:rsid w:val="00ED6F62"/>
    <w:rsid w:val="00ED76F1"/>
    <w:rsid w:val="00ED7871"/>
    <w:rsid w:val="00ED7BC1"/>
    <w:rsid w:val="00EE04E5"/>
    <w:rsid w:val="00EE09CC"/>
    <w:rsid w:val="00EE0E8D"/>
    <w:rsid w:val="00EE138C"/>
    <w:rsid w:val="00EE148A"/>
    <w:rsid w:val="00EE1575"/>
    <w:rsid w:val="00EE1C1C"/>
    <w:rsid w:val="00EE1C6D"/>
    <w:rsid w:val="00EE2406"/>
    <w:rsid w:val="00EE2431"/>
    <w:rsid w:val="00EE24DB"/>
    <w:rsid w:val="00EE24FB"/>
    <w:rsid w:val="00EE2727"/>
    <w:rsid w:val="00EE285D"/>
    <w:rsid w:val="00EE2B22"/>
    <w:rsid w:val="00EE2D3F"/>
    <w:rsid w:val="00EE2FC2"/>
    <w:rsid w:val="00EE3187"/>
    <w:rsid w:val="00EE3270"/>
    <w:rsid w:val="00EE3367"/>
    <w:rsid w:val="00EE367B"/>
    <w:rsid w:val="00EE3730"/>
    <w:rsid w:val="00EE3DA2"/>
    <w:rsid w:val="00EE43C0"/>
    <w:rsid w:val="00EE4452"/>
    <w:rsid w:val="00EE4C7E"/>
    <w:rsid w:val="00EE4CF9"/>
    <w:rsid w:val="00EE4FEB"/>
    <w:rsid w:val="00EE51DB"/>
    <w:rsid w:val="00EE556D"/>
    <w:rsid w:val="00EE5713"/>
    <w:rsid w:val="00EE58DC"/>
    <w:rsid w:val="00EE592A"/>
    <w:rsid w:val="00EE5DBE"/>
    <w:rsid w:val="00EE6128"/>
    <w:rsid w:val="00EE6184"/>
    <w:rsid w:val="00EE7503"/>
    <w:rsid w:val="00EE7607"/>
    <w:rsid w:val="00EE7A2C"/>
    <w:rsid w:val="00EE7BEB"/>
    <w:rsid w:val="00EF0209"/>
    <w:rsid w:val="00EF0D8A"/>
    <w:rsid w:val="00EF0E5D"/>
    <w:rsid w:val="00EF0F3B"/>
    <w:rsid w:val="00EF1263"/>
    <w:rsid w:val="00EF20F2"/>
    <w:rsid w:val="00EF2141"/>
    <w:rsid w:val="00EF2240"/>
    <w:rsid w:val="00EF2F99"/>
    <w:rsid w:val="00EF3069"/>
    <w:rsid w:val="00EF3347"/>
    <w:rsid w:val="00EF3482"/>
    <w:rsid w:val="00EF352E"/>
    <w:rsid w:val="00EF3A6B"/>
    <w:rsid w:val="00EF3DE5"/>
    <w:rsid w:val="00EF3E81"/>
    <w:rsid w:val="00EF48BE"/>
    <w:rsid w:val="00EF4C4E"/>
    <w:rsid w:val="00EF51B0"/>
    <w:rsid w:val="00EF57A5"/>
    <w:rsid w:val="00EF5811"/>
    <w:rsid w:val="00EF5987"/>
    <w:rsid w:val="00EF5D1A"/>
    <w:rsid w:val="00EF6404"/>
    <w:rsid w:val="00EF6556"/>
    <w:rsid w:val="00EF6AFA"/>
    <w:rsid w:val="00EF6F14"/>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10016"/>
    <w:rsid w:val="00F102EC"/>
    <w:rsid w:val="00F10548"/>
    <w:rsid w:val="00F105A7"/>
    <w:rsid w:val="00F106F3"/>
    <w:rsid w:val="00F10781"/>
    <w:rsid w:val="00F108D6"/>
    <w:rsid w:val="00F10A5D"/>
    <w:rsid w:val="00F10B73"/>
    <w:rsid w:val="00F10DE0"/>
    <w:rsid w:val="00F11001"/>
    <w:rsid w:val="00F11707"/>
    <w:rsid w:val="00F117A0"/>
    <w:rsid w:val="00F1232F"/>
    <w:rsid w:val="00F12994"/>
    <w:rsid w:val="00F12D86"/>
    <w:rsid w:val="00F12DF2"/>
    <w:rsid w:val="00F13058"/>
    <w:rsid w:val="00F13162"/>
    <w:rsid w:val="00F134F7"/>
    <w:rsid w:val="00F13B05"/>
    <w:rsid w:val="00F13E49"/>
    <w:rsid w:val="00F13F47"/>
    <w:rsid w:val="00F142D6"/>
    <w:rsid w:val="00F146D7"/>
    <w:rsid w:val="00F147B0"/>
    <w:rsid w:val="00F14A46"/>
    <w:rsid w:val="00F14BCA"/>
    <w:rsid w:val="00F14F9D"/>
    <w:rsid w:val="00F154D4"/>
    <w:rsid w:val="00F15AF2"/>
    <w:rsid w:val="00F15CC0"/>
    <w:rsid w:val="00F15CC7"/>
    <w:rsid w:val="00F15F1E"/>
    <w:rsid w:val="00F1643F"/>
    <w:rsid w:val="00F16622"/>
    <w:rsid w:val="00F16B06"/>
    <w:rsid w:val="00F16E49"/>
    <w:rsid w:val="00F177C6"/>
    <w:rsid w:val="00F178AB"/>
    <w:rsid w:val="00F17A64"/>
    <w:rsid w:val="00F17B16"/>
    <w:rsid w:val="00F17F5B"/>
    <w:rsid w:val="00F20020"/>
    <w:rsid w:val="00F2034E"/>
    <w:rsid w:val="00F20DB2"/>
    <w:rsid w:val="00F20EA1"/>
    <w:rsid w:val="00F20F16"/>
    <w:rsid w:val="00F21290"/>
    <w:rsid w:val="00F219DB"/>
    <w:rsid w:val="00F21B53"/>
    <w:rsid w:val="00F2214E"/>
    <w:rsid w:val="00F228C1"/>
    <w:rsid w:val="00F231A1"/>
    <w:rsid w:val="00F23230"/>
    <w:rsid w:val="00F235C1"/>
    <w:rsid w:val="00F239CF"/>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66C"/>
    <w:rsid w:val="00F26808"/>
    <w:rsid w:val="00F268A4"/>
    <w:rsid w:val="00F26E70"/>
    <w:rsid w:val="00F26EE2"/>
    <w:rsid w:val="00F270D4"/>
    <w:rsid w:val="00F27C4F"/>
    <w:rsid w:val="00F303AB"/>
    <w:rsid w:val="00F307CC"/>
    <w:rsid w:val="00F3093F"/>
    <w:rsid w:val="00F3099A"/>
    <w:rsid w:val="00F30BBA"/>
    <w:rsid w:val="00F30F78"/>
    <w:rsid w:val="00F31259"/>
    <w:rsid w:val="00F31584"/>
    <w:rsid w:val="00F31630"/>
    <w:rsid w:val="00F318FB"/>
    <w:rsid w:val="00F31B06"/>
    <w:rsid w:val="00F32212"/>
    <w:rsid w:val="00F329D1"/>
    <w:rsid w:val="00F32CDE"/>
    <w:rsid w:val="00F3322B"/>
    <w:rsid w:val="00F33B67"/>
    <w:rsid w:val="00F34A95"/>
    <w:rsid w:val="00F34C99"/>
    <w:rsid w:val="00F34F03"/>
    <w:rsid w:val="00F352F9"/>
    <w:rsid w:val="00F353F7"/>
    <w:rsid w:val="00F356B2"/>
    <w:rsid w:val="00F35C31"/>
    <w:rsid w:val="00F35CF9"/>
    <w:rsid w:val="00F36007"/>
    <w:rsid w:val="00F3623B"/>
    <w:rsid w:val="00F367AD"/>
    <w:rsid w:val="00F36816"/>
    <w:rsid w:val="00F36A3C"/>
    <w:rsid w:val="00F36FED"/>
    <w:rsid w:val="00F37072"/>
    <w:rsid w:val="00F37325"/>
    <w:rsid w:val="00F40794"/>
    <w:rsid w:val="00F40AFB"/>
    <w:rsid w:val="00F40C2F"/>
    <w:rsid w:val="00F40CF9"/>
    <w:rsid w:val="00F40F5F"/>
    <w:rsid w:val="00F41745"/>
    <w:rsid w:val="00F419AA"/>
    <w:rsid w:val="00F4221B"/>
    <w:rsid w:val="00F4233C"/>
    <w:rsid w:val="00F424A9"/>
    <w:rsid w:val="00F427D5"/>
    <w:rsid w:val="00F439BB"/>
    <w:rsid w:val="00F43FCA"/>
    <w:rsid w:val="00F44640"/>
    <w:rsid w:val="00F449D7"/>
    <w:rsid w:val="00F44B8B"/>
    <w:rsid w:val="00F44DB0"/>
    <w:rsid w:val="00F455B8"/>
    <w:rsid w:val="00F4573E"/>
    <w:rsid w:val="00F45F5E"/>
    <w:rsid w:val="00F461AE"/>
    <w:rsid w:val="00F46B1C"/>
    <w:rsid w:val="00F46CA0"/>
    <w:rsid w:val="00F46D8C"/>
    <w:rsid w:val="00F46EF8"/>
    <w:rsid w:val="00F4720F"/>
    <w:rsid w:val="00F474C0"/>
    <w:rsid w:val="00F47D6C"/>
    <w:rsid w:val="00F507F1"/>
    <w:rsid w:val="00F51106"/>
    <w:rsid w:val="00F51524"/>
    <w:rsid w:val="00F51A00"/>
    <w:rsid w:val="00F51B88"/>
    <w:rsid w:val="00F52A4C"/>
    <w:rsid w:val="00F534D3"/>
    <w:rsid w:val="00F534ED"/>
    <w:rsid w:val="00F5393F"/>
    <w:rsid w:val="00F53968"/>
    <w:rsid w:val="00F53BAF"/>
    <w:rsid w:val="00F53E2A"/>
    <w:rsid w:val="00F541AC"/>
    <w:rsid w:val="00F5421D"/>
    <w:rsid w:val="00F545B8"/>
    <w:rsid w:val="00F54637"/>
    <w:rsid w:val="00F5470A"/>
    <w:rsid w:val="00F54914"/>
    <w:rsid w:val="00F55395"/>
    <w:rsid w:val="00F55A8B"/>
    <w:rsid w:val="00F562BE"/>
    <w:rsid w:val="00F567A9"/>
    <w:rsid w:val="00F56A51"/>
    <w:rsid w:val="00F56D0D"/>
    <w:rsid w:val="00F56F2E"/>
    <w:rsid w:val="00F570FA"/>
    <w:rsid w:val="00F572AB"/>
    <w:rsid w:val="00F60458"/>
    <w:rsid w:val="00F6080E"/>
    <w:rsid w:val="00F60DF3"/>
    <w:rsid w:val="00F61026"/>
    <w:rsid w:val="00F61236"/>
    <w:rsid w:val="00F613D5"/>
    <w:rsid w:val="00F61567"/>
    <w:rsid w:val="00F61AC8"/>
    <w:rsid w:val="00F61C20"/>
    <w:rsid w:val="00F62057"/>
    <w:rsid w:val="00F62582"/>
    <w:rsid w:val="00F634A4"/>
    <w:rsid w:val="00F63EB4"/>
    <w:rsid w:val="00F64DC6"/>
    <w:rsid w:val="00F64F14"/>
    <w:rsid w:val="00F65729"/>
    <w:rsid w:val="00F658CB"/>
    <w:rsid w:val="00F65958"/>
    <w:rsid w:val="00F65B59"/>
    <w:rsid w:val="00F65BCB"/>
    <w:rsid w:val="00F66D31"/>
    <w:rsid w:val="00F67567"/>
    <w:rsid w:val="00F67A0C"/>
    <w:rsid w:val="00F67C01"/>
    <w:rsid w:val="00F67C2B"/>
    <w:rsid w:val="00F67EBE"/>
    <w:rsid w:val="00F707DF"/>
    <w:rsid w:val="00F709F5"/>
    <w:rsid w:val="00F7114B"/>
    <w:rsid w:val="00F71E7A"/>
    <w:rsid w:val="00F721EF"/>
    <w:rsid w:val="00F72203"/>
    <w:rsid w:val="00F72301"/>
    <w:rsid w:val="00F724BD"/>
    <w:rsid w:val="00F72599"/>
    <w:rsid w:val="00F72731"/>
    <w:rsid w:val="00F7274A"/>
    <w:rsid w:val="00F72AC2"/>
    <w:rsid w:val="00F72BF8"/>
    <w:rsid w:val="00F7344C"/>
    <w:rsid w:val="00F74168"/>
    <w:rsid w:val="00F742F1"/>
    <w:rsid w:val="00F74339"/>
    <w:rsid w:val="00F747FA"/>
    <w:rsid w:val="00F74871"/>
    <w:rsid w:val="00F74CB7"/>
    <w:rsid w:val="00F74D87"/>
    <w:rsid w:val="00F7566E"/>
    <w:rsid w:val="00F76037"/>
    <w:rsid w:val="00F76408"/>
    <w:rsid w:val="00F76442"/>
    <w:rsid w:val="00F773B7"/>
    <w:rsid w:val="00F77724"/>
    <w:rsid w:val="00F7772A"/>
    <w:rsid w:val="00F777F7"/>
    <w:rsid w:val="00F77839"/>
    <w:rsid w:val="00F77995"/>
    <w:rsid w:val="00F77AB9"/>
    <w:rsid w:val="00F77FD4"/>
    <w:rsid w:val="00F8000F"/>
    <w:rsid w:val="00F805A3"/>
    <w:rsid w:val="00F8097D"/>
    <w:rsid w:val="00F811B9"/>
    <w:rsid w:val="00F814F1"/>
    <w:rsid w:val="00F81553"/>
    <w:rsid w:val="00F815CC"/>
    <w:rsid w:val="00F817E9"/>
    <w:rsid w:val="00F818AC"/>
    <w:rsid w:val="00F819FB"/>
    <w:rsid w:val="00F81A57"/>
    <w:rsid w:val="00F81F9F"/>
    <w:rsid w:val="00F8246A"/>
    <w:rsid w:val="00F8285E"/>
    <w:rsid w:val="00F82F00"/>
    <w:rsid w:val="00F82FA7"/>
    <w:rsid w:val="00F8336F"/>
    <w:rsid w:val="00F83B64"/>
    <w:rsid w:val="00F83ED9"/>
    <w:rsid w:val="00F84796"/>
    <w:rsid w:val="00F84CF9"/>
    <w:rsid w:val="00F84D9E"/>
    <w:rsid w:val="00F85096"/>
    <w:rsid w:val="00F856ED"/>
    <w:rsid w:val="00F8574D"/>
    <w:rsid w:val="00F85A58"/>
    <w:rsid w:val="00F85B2B"/>
    <w:rsid w:val="00F85B6D"/>
    <w:rsid w:val="00F85DEC"/>
    <w:rsid w:val="00F8615F"/>
    <w:rsid w:val="00F862C6"/>
    <w:rsid w:val="00F86637"/>
    <w:rsid w:val="00F869B3"/>
    <w:rsid w:val="00F86D4E"/>
    <w:rsid w:val="00F86E6F"/>
    <w:rsid w:val="00F87BEF"/>
    <w:rsid w:val="00F902F3"/>
    <w:rsid w:val="00F90C13"/>
    <w:rsid w:val="00F90DD7"/>
    <w:rsid w:val="00F91164"/>
    <w:rsid w:val="00F91524"/>
    <w:rsid w:val="00F91977"/>
    <w:rsid w:val="00F919B4"/>
    <w:rsid w:val="00F91F8B"/>
    <w:rsid w:val="00F920B2"/>
    <w:rsid w:val="00F92138"/>
    <w:rsid w:val="00F9270B"/>
    <w:rsid w:val="00F9275A"/>
    <w:rsid w:val="00F92AA4"/>
    <w:rsid w:val="00F92AB1"/>
    <w:rsid w:val="00F92B0F"/>
    <w:rsid w:val="00F92C57"/>
    <w:rsid w:val="00F92D2C"/>
    <w:rsid w:val="00F92F53"/>
    <w:rsid w:val="00F93043"/>
    <w:rsid w:val="00F9310D"/>
    <w:rsid w:val="00F93D6C"/>
    <w:rsid w:val="00F93FCF"/>
    <w:rsid w:val="00F94068"/>
    <w:rsid w:val="00F9489A"/>
    <w:rsid w:val="00F952A9"/>
    <w:rsid w:val="00F9536B"/>
    <w:rsid w:val="00F95878"/>
    <w:rsid w:val="00F95964"/>
    <w:rsid w:val="00F95E59"/>
    <w:rsid w:val="00F963DB"/>
    <w:rsid w:val="00F96439"/>
    <w:rsid w:val="00F96A71"/>
    <w:rsid w:val="00F96ACA"/>
    <w:rsid w:val="00F96D24"/>
    <w:rsid w:val="00F96D4C"/>
    <w:rsid w:val="00F97491"/>
    <w:rsid w:val="00F97BFD"/>
    <w:rsid w:val="00F97E96"/>
    <w:rsid w:val="00FA02C5"/>
    <w:rsid w:val="00FA03A4"/>
    <w:rsid w:val="00FA0CC4"/>
    <w:rsid w:val="00FA1AEC"/>
    <w:rsid w:val="00FA26E3"/>
    <w:rsid w:val="00FA26ED"/>
    <w:rsid w:val="00FA289E"/>
    <w:rsid w:val="00FA2CB5"/>
    <w:rsid w:val="00FA3549"/>
    <w:rsid w:val="00FA44FB"/>
    <w:rsid w:val="00FA5580"/>
    <w:rsid w:val="00FA5A8F"/>
    <w:rsid w:val="00FA5BFC"/>
    <w:rsid w:val="00FA5D9F"/>
    <w:rsid w:val="00FA5F42"/>
    <w:rsid w:val="00FA620B"/>
    <w:rsid w:val="00FA6361"/>
    <w:rsid w:val="00FA69C3"/>
    <w:rsid w:val="00FA69E4"/>
    <w:rsid w:val="00FA6AAC"/>
    <w:rsid w:val="00FA6CBC"/>
    <w:rsid w:val="00FA6D48"/>
    <w:rsid w:val="00FA7398"/>
    <w:rsid w:val="00FA76CB"/>
    <w:rsid w:val="00FA76FC"/>
    <w:rsid w:val="00FA7EC0"/>
    <w:rsid w:val="00FB00AC"/>
    <w:rsid w:val="00FB0B18"/>
    <w:rsid w:val="00FB0BB2"/>
    <w:rsid w:val="00FB0CE0"/>
    <w:rsid w:val="00FB119C"/>
    <w:rsid w:val="00FB1582"/>
    <w:rsid w:val="00FB1938"/>
    <w:rsid w:val="00FB1AD3"/>
    <w:rsid w:val="00FB1C3A"/>
    <w:rsid w:val="00FB22AE"/>
    <w:rsid w:val="00FB23DA"/>
    <w:rsid w:val="00FB349A"/>
    <w:rsid w:val="00FB37C2"/>
    <w:rsid w:val="00FB38BE"/>
    <w:rsid w:val="00FB3E1A"/>
    <w:rsid w:val="00FB448D"/>
    <w:rsid w:val="00FB4E5B"/>
    <w:rsid w:val="00FB5808"/>
    <w:rsid w:val="00FB5A0C"/>
    <w:rsid w:val="00FB623A"/>
    <w:rsid w:val="00FB6C88"/>
    <w:rsid w:val="00FB6CC4"/>
    <w:rsid w:val="00FB6DFE"/>
    <w:rsid w:val="00FB6EEB"/>
    <w:rsid w:val="00FB7468"/>
    <w:rsid w:val="00FB7CC7"/>
    <w:rsid w:val="00FC072E"/>
    <w:rsid w:val="00FC0801"/>
    <w:rsid w:val="00FC0921"/>
    <w:rsid w:val="00FC0970"/>
    <w:rsid w:val="00FC11A9"/>
    <w:rsid w:val="00FC1BDA"/>
    <w:rsid w:val="00FC1C6F"/>
    <w:rsid w:val="00FC25F7"/>
    <w:rsid w:val="00FC266E"/>
    <w:rsid w:val="00FC2921"/>
    <w:rsid w:val="00FC2A88"/>
    <w:rsid w:val="00FC2E53"/>
    <w:rsid w:val="00FC30E2"/>
    <w:rsid w:val="00FC3A30"/>
    <w:rsid w:val="00FC3B2B"/>
    <w:rsid w:val="00FC3CC4"/>
    <w:rsid w:val="00FC3E24"/>
    <w:rsid w:val="00FC4693"/>
    <w:rsid w:val="00FC4ECF"/>
    <w:rsid w:val="00FC5249"/>
    <w:rsid w:val="00FC551E"/>
    <w:rsid w:val="00FC5613"/>
    <w:rsid w:val="00FC5790"/>
    <w:rsid w:val="00FC5A9A"/>
    <w:rsid w:val="00FC5D6A"/>
    <w:rsid w:val="00FC62DB"/>
    <w:rsid w:val="00FC6969"/>
    <w:rsid w:val="00FC6A12"/>
    <w:rsid w:val="00FC6A31"/>
    <w:rsid w:val="00FC6B85"/>
    <w:rsid w:val="00FC6D98"/>
    <w:rsid w:val="00FC6DD4"/>
    <w:rsid w:val="00FC6DD7"/>
    <w:rsid w:val="00FC703A"/>
    <w:rsid w:val="00FC759D"/>
    <w:rsid w:val="00FD039F"/>
    <w:rsid w:val="00FD0721"/>
    <w:rsid w:val="00FD0D14"/>
    <w:rsid w:val="00FD1153"/>
    <w:rsid w:val="00FD120B"/>
    <w:rsid w:val="00FD13D5"/>
    <w:rsid w:val="00FD1995"/>
    <w:rsid w:val="00FD1D02"/>
    <w:rsid w:val="00FD1FF6"/>
    <w:rsid w:val="00FD25E1"/>
    <w:rsid w:val="00FD2B06"/>
    <w:rsid w:val="00FD2D75"/>
    <w:rsid w:val="00FD2FE3"/>
    <w:rsid w:val="00FD32CB"/>
    <w:rsid w:val="00FD3363"/>
    <w:rsid w:val="00FD37BD"/>
    <w:rsid w:val="00FD3B18"/>
    <w:rsid w:val="00FD3C86"/>
    <w:rsid w:val="00FD3CAB"/>
    <w:rsid w:val="00FD3EEF"/>
    <w:rsid w:val="00FD40FF"/>
    <w:rsid w:val="00FD538C"/>
    <w:rsid w:val="00FD56F2"/>
    <w:rsid w:val="00FD5E1C"/>
    <w:rsid w:val="00FD62EB"/>
    <w:rsid w:val="00FD6327"/>
    <w:rsid w:val="00FD63DF"/>
    <w:rsid w:val="00FD6811"/>
    <w:rsid w:val="00FD6AB4"/>
    <w:rsid w:val="00FD6B20"/>
    <w:rsid w:val="00FD7339"/>
    <w:rsid w:val="00FD7945"/>
    <w:rsid w:val="00FE02C1"/>
    <w:rsid w:val="00FE06E5"/>
    <w:rsid w:val="00FE0B54"/>
    <w:rsid w:val="00FE0B5C"/>
    <w:rsid w:val="00FE0F34"/>
    <w:rsid w:val="00FE1729"/>
    <w:rsid w:val="00FE1880"/>
    <w:rsid w:val="00FE1EB0"/>
    <w:rsid w:val="00FE2075"/>
    <w:rsid w:val="00FE23B0"/>
    <w:rsid w:val="00FE28D7"/>
    <w:rsid w:val="00FE2C67"/>
    <w:rsid w:val="00FE2D2D"/>
    <w:rsid w:val="00FE326E"/>
    <w:rsid w:val="00FE35A0"/>
    <w:rsid w:val="00FE3F8E"/>
    <w:rsid w:val="00FE4711"/>
    <w:rsid w:val="00FE47ED"/>
    <w:rsid w:val="00FE4AAD"/>
    <w:rsid w:val="00FE5206"/>
    <w:rsid w:val="00FE5330"/>
    <w:rsid w:val="00FE567A"/>
    <w:rsid w:val="00FE61DC"/>
    <w:rsid w:val="00FE6383"/>
    <w:rsid w:val="00FE67D0"/>
    <w:rsid w:val="00FE6D54"/>
    <w:rsid w:val="00FE781F"/>
    <w:rsid w:val="00FE7B01"/>
    <w:rsid w:val="00FF002B"/>
    <w:rsid w:val="00FF00BF"/>
    <w:rsid w:val="00FF04BD"/>
    <w:rsid w:val="00FF054B"/>
    <w:rsid w:val="00FF0767"/>
    <w:rsid w:val="00FF081E"/>
    <w:rsid w:val="00FF0D09"/>
    <w:rsid w:val="00FF1187"/>
    <w:rsid w:val="00FF145C"/>
    <w:rsid w:val="00FF155A"/>
    <w:rsid w:val="00FF1BBA"/>
    <w:rsid w:val="00FF1ED4"/>
    <w:rsid w:val="00FF2151"/>
    <w:rsid w:val="00FF2318"/>
    <w:rsid w:val="00FF26EE"/>
    <w:rsid w:val="00FF2EC1"/>
    <w:rsid w:val="00FF3102"/>
    <w:rsid w:val="00FF3329"/>
    <w:rsid w:val="00FF3B3A"/>
    <w:rsid w:val="00FF41D8"/>
    <w:rsid w:val="00FF47A3"/>
    <w:rsid w:val="00FF48AD"/>
    <w:rsid w:val="00FF4D23"/>
    <w:rsid w:val="00FF4D5B"/>
    <w:rsid w:val="00FF4F72"/>
    <w:rsid w:val="00FF53E8"/>
    <w:rsid w:val="00FF602B"/>
    <w:rsid w:val="00FF6353"/>
    <w:rsid w:val="00FF661A"/>
    <w:rsid w:val="00FF6788"/>
    <w:rsid w:val="00FF6B39"/>
    <w:rsid w:val="00FF704A"/>
    <w:rsid w:val="00FF7512"/>
    <w:rsid w:val="00FF7746"/>
    <w:rsid w:val="00FF7846"/>
    <w:rsid w:val="00FF7877"/>
    <w:rsid w:val="00FF7C9E"/>
    <w:rsid w:val="01C531F4"/>
    <w:rsid w:val="01CD2A68"/>
    <w:rsid w:val="01FF1EA8"/>
    <w:rsid w:val="035C5C3D"/>
    <w:rsid w:val="044C21D6"/>
    <w:rsid w:val="05726E8E"/>
    <w:rsid w:val="05D55472"/>
    <w:rsid w:val="05D865E3"/>
    <w:rsid w:val="06E11F04"/>
    <w:rsid w:val="0C2D451B"/>
    <w:rsid w:val="0CA45AED"/>
    <w:rsid w:val="0CB1573B"/>
    <w:rsid w:val="0D7B06A8"/>
    <w:rsid w:val="0E5A1D34"/>
    <w:rsid w:val="0E6E47B1"/>
    <w:rsid w:val="0EF00DD1"/>
    <w:rsid w:val="0F3229B1"/>
    <w:rsid w:val="1005341A"/>
    <w:rsid w:val="11924B0C"/>
    <w:rsid w:val="11C117FF"/>
    <w:rsid w:val="12F128FA"/>
    <w:rsid w:val="13D64776"/>
    <w:rsid w:val="1478777D"/>
    <w:rsid w:val="14E029A4"/>
    <w:rsid w:val="14FA2503"/>
    <w:rsid w:val="15144779"/>
    <w:rsid w:val="15CF277A"/>
    <w:rsid w:val="16540E99"/>
    <w:rsid w:val="17D2097E"/>
    <w:rsid w:val="18674CFF"/>
    <w:rsid w:val="18EF1C63"/>
    <w:rsid w:val="19DF7C65"/>
    <w:rsid w:val="1A02553F"/>
    <w:rsid w:val="1A1B773D"/>
    <w:rsid w:val="1AC30098"/>
    <w:rsid w:val="1B1933E8"/>
    <w:rsid w:val="1B6F7459"/>
    <w:rsid w:val="1C054C11"/>
    <w:rsid w:val="1C3A1009"/>
    <w:rsid w:val="1E0645F1"/>
    <w:rsid w:val="1F461886"/>
    <w:rsid w:val="21AA290D"/>
    <w:rsid w:val="21BF1F5F"/>
    <w:rsid w:val="2200399A"/>
    <w:rsid w:val="22394900"/>
    <w:rsid w:val="22A46D47"/>
    <w:rsid w:val="22ED2CEB"/>
    <w:rsid w:val="231A5505"/>
    <w:rsid w:val="23201E82"/>
    <w:rsid w:val="234B712C"/>
    <w:rsid w:val="23841519"/>
    <w:rsid w:val="23F91D91"/>
    <w:rsid w:val="24572EE2"/>
    <w:rsid w:val="26016DB0"/>
    <w:rsid w:val="26423D79"/>
    <w:rsid w:val="26B07F39"/>
    <w:rsid w:val="27191859"/>
    <w:rsid w:val="279765D4"/>
    <w:rsid w:val="27B03224"/>
    <w:rsid w:val="27E817E3"/>
    <w:rsid w:val="294062E7"/>
    <w:rsid w:val="29CC496C"/>
    <w:rsid w:val="2A92631D"/>
    <w:rsid w:val="2B716773"/>
    <w:rsid w:val="2B902871"/>
    <w:rsid w:val="2D0766C5"/>
    <w:rsid w:val="2D57657E"/>
    <w:rsid w:val="2F005A3A"/>
    <w:rsid w:val="2FE82C0A"/>
    <w:rsid w:val="32761769"/>
    <w:rsid w:val="329874CC"/>
    <w:rsid w:val="32CB7723"/>
    <w:rsid w:val="32F95DC6"/>
    <w:rsid w:val="33687D58"/>
    <w:rsid w:val="33C65BB5"/>
    <w:rsid w:val="34490E4E"/>
    <w:rsid w:val="34F350DF"/>
    <w:rsid w:val="350F2D11"/>
    <w:rsid w:val="364E24FC"/>
    <w:rsid w:val="3761789A"/>
    <w:rsid w:val="37853B5E"/>
    <w:rsid w:val="38086D40"/>
    <w:rsid w:val="388D7E8D"/>
    <w:rsid w:val="396E74C4"/>
    <w:rsid w:val="399F53D4"/>
    <w:rsid w:val="3B530219"/>
    <w:rsid w:val="3BA944B3"/>
    <w:rsid w:val="3BF23809"/>
    <w:rsid w:val="3D1E798E"/>
    <w:rsid w:val="3D51010F"/>
    <w:rsid w:val="3EAA6352"/>
    <w:rsid w:val="3EFA748C"/>
    <w:rsid w:val="3F752E87"/>
    <w:rsid w:val="400E286A"/>
    <w:rsid w:val="41206560"/>
    <w:rsid w:val="41A65F81"/>
    <w:rsid w:val="42A66701"/>
    <w:rsid w:val="439B5A91"/>
    <w:rsid w:val="44B80EE6"/>
    <w:rsid w:val="44FD1111"/>
    <w:rsid w:val="4587495F"/>
    <w:rsid w:val="459F104E"/>
    <w:rsid w:val="45BD4B7E"/>
    <w:rsid w:val="45D46362"/>
    <w:rsid w:val="460D71F9"/>
    <w:rsid w:val="46270A33"/>
    <w:rsid w:val="467C1335"/>
    <w:rsid w:val="46BC4EE7"/>
    <w:rsid w:val="479C6E13"/>
    <w:rsid w:val="48211927"/>
    <w:rsid w:val="484446E5"/>
    <w:rsid w:val="487E2832"/>
    <w:rsid w:val="48EB5BA0"/>
    <w:rsid w:val="48ED69FC"/>
    <w:rsid w:val="490C5BA1"/>
    <w:rsid w:val="49624D09"/>
    <w:rsid w:val="4C400249"/>
    <w:rsid w:val="4C6B729C"/>
    <w:rsid w:val="4C932EB9"/>
    <w:rsid w:val="4CA04B0C"/>
    <w:rsid w:val="4DA65A7D"/>
    <w:rsid w:val="4DD3215B"/>
    <w:rsid w:val="4E346518"/>
    <w:rsid w:val="4E5F1329"/>
    <w:rsid w:val="4F1F29A1"/>
    <w:rsid w:val="4FA029C0"/>
    <w:rsid w:val="503D1A74"/>
    <w:rsid w:val="51234753"/>
    <w:rsid w:val="5138414A"/>
    <w:rsid w:val="51CB2D18"/>
    <w:rsid w:val="520E5AA8"/>
    <w:rsid w:val="523C56A1"/>
    <w:rsid w:val="534124F7"/>
    <w:rsid w:val="542A1D59"/>
    <w:rsid w:val="54873B6D"/>
    <w:rsid w:val="550C6AE2"/>
    <w:rsid w:val="55593312"/>
    <w:rsid w:val="58F3683E"/>
    <w:rsid w:val="59311161"/>
    <w:rsid w:val="596725E6"/>
    <w:rsid w:val="59A6386E"/>
    <w:rsid w:val="59E33162"/>
    <w:rsid w:val="59EB60B4"/>
    <w:rsid w:val="5A0D478D"/>
    <w:rsid w:val="5A1A4FAB"/>
    <w:rsid w:val="5A51320E"/>
    <w:rsid w:val="5A543506"/>
    <w:rsid w:val="5BB910EE"/>
    <w:rsid w:val="5DE42C8D"/>
    <w:rsid w:val="5E230494"/>
    <w:rsid w:val="5EFD0E61"/>
    <w:rsid w:val="5FF0647E"/>
    <w:rsid w:val="60322C36"/>
    <w:rsid w:val="605229F4"/>
    <w:rsid w:val="60DE1212"/>
    <w:rsid w:val="6128745B"/>
    <w:rsid w:val="612D37D5"/>
    <w:rsid w:val="61724638"/>
    <w:rsid w:val="6190540B"/>
    <w:rsid w:val="62145E8D"/>
    <w:rsid w:val="621B4EBD"/>
    <w:rsid w:val="62C504AC"/>
    <w:rsid w:val="63730573"/>
    <w:rsid w:val="64532CF0"/>
    <w:rsid w:val="64FA1D1B"/>
    <w:rsid w:val="65AF3E5A"/>
    <w:rsid w:val="65B70C40"/>
    <w:rsid w:val="65E07684"/>
    <w:rsid w:val="6630799B"/>
    <w:rsid w:val="684C421B"/>
    <w:rsid w:val="686157D2"/>
    <w:rsid w:val="686175BB"/>
    <w:rsid w:val="699A5F7C"/>
    <w:rsid w:val="69E56698"/>
    <w:rsid w:val="6C4B07DD"/>
    <w:rsid w:val="6CD95456"/>
    <w:rsid w:val="6D2F29F5"/>
    <w:rsid w:val="6D452DD5"/>
    <w:rsid w:val="6D6A6154"/>
    <w:rsid w:val="6D870041"/>
    <w:rsid w:val="6E86730D"/>
    <w:rsid w:val="6EF52541"/>
    <w:rsid w:val="6F0F23C7"/>
    <w:rsid w:val="6FE84804"/>
    <w:rsid w:val="70006A31"/>
    <w:rsid w:val="70316CF8"/>
    <w:rsid w:val="707147CD"/>
    <w:rsid w:val="70B674B8"/>
    <w:rsid w:val="70F54D29"/>
    <w:rsid w:val="7210456D"/>
    <w:rsid w:val="722B2975"/>
    <w:rsid w:val="72722B17"/>
    <w:rsid w:val="72BD529B"/>
    <w:rsid w:val="72DF7388"/>
    <w:rsid w:val="738B2A9D"/>
    <w:rsid w:val="73964413"/>
    <w:rsid w:val="745B4F4A"/>
    <w:rsid w:val="755D3409"/>
    <w:rsid w:val="765452C1"/>
    <w:rsid w:val="77805CD8"/>
    <w:rsid w:val="78424DAE"/>
    <w:rsid w:val="78B43977"/>
    <w:rsid w:val="78DA5579"/>
    <w:rsid w:val="78EC4051"/>
    <w:rsid w:val="7ADD34B0"/>
    <w:rsid w:val="7B6A13E3"/>
    <w:rsid w:val="7B937F0B"/>
    <w:rsid w:val="7CDC1710"/>
    <w:rsid w:val="7D1367CE"/>
    <w:rsid w:val="7DC3010C"/>
    <w:rsid w:val="7E0058BD"/>
    <w:rsid w:val="7E40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57"/>
    <w:qFormat/>
    <w:uiPriority w:val="0"/>
    <w:pPr>
      <w:keepNext w:val="0"/>
      <w:keepLines w:val="0"/>
      <w:tabs>
        <w:tab w:val="left" w:pos="426"/>
      </w:tabs>
      <w:spacing w:before="340" w:after="330" w:line="300" w:lineRule="auto"/>
      <w:jc w:val="center"/>
      <w:outlineLvl w:val="0"/>
    </w:pPr>
    <w:rPr>
      <w:rFonts w:eastAsia="黑体"/>
      <w:kern w:val="44"/>
      <w:sz w:val="32"/>
    </w:rPr>
  </w:style>
  <w:style w:type="paragraph" w:styleId="6">
    <w:name w:val="heading 2"/>
    <w:basedOn w:val="4"/>
    <w:next w:val="5"/>
    <w:link w:val="288"/>
    <w:qFormat/>
    <w:uiPriority w:val="0"/>
    <w:pPr>
      <w:tabs>
        <w:tab w:val="left" w:pos="426"/>
      </w:tabs>
      <w:textAlignment w:val="baseline"/>
      <w:outlineLvl w:val="1"/>
    </w:pPr>
    <w:rPr>
      <w:bCs w:val="0"/>
      <w:kern w:val="0"/>
      <w:szCs w:val="20"/>
    </w:rPr>
  </w:style>
  <w:style w:type="paragraph" w:styleId="4">
    <w:name w:val="heading 3"/>
    <w:basedOn w:val="5"/>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9"/>
    <w:qFormat/>
    <w:uiPriority w:val="0"/>
    <w:rPr>
      <w:b/>
      <w:bCs/>
      <w:sz w:val="24"/>
    </w:rPr>
  </w:style>
  <w:style w:type="paragraph" w:styleId="8">
    <w:name w:val="Normal Indent"/>
    <w:basedOn w:val="1"/>
    <w:link w:val="58"/>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1"/>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4 字符"/>
    <w:link w:val="5"/>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字符"/>
    <w:link w:val="4"/>
    <w:qFormat/>
    <w:uiPriority w:val="0"/>
    <w:rPr>
      <w:rFonts w:ascii="宋体" w:hAnsi="宋体"/>
      <w:b/>
      <w:bCs/>
      <w:kern w:val="2"/>
      <w:sz w:val="24"/>
      <w:szCs w:val="32"/>
      <w:shd w:val="clear" w:color="auto" w:fill="FFFFFF"/>
    </w:rPr>
  </w:style>
  <w:style w:type="character" w:customStyle="1" w:styleId="57">
    <w:name w:val="标题 1 字符"/>
    <w:link w:val="3"/>
    <w:qFormat/>
    <w:uiPriority w:val="0"/>
    <w:rPr>
      <w:rFonts w:ascii="宋体" w:hAnsi="宋体" w:eastAsia="黑体"/>
      <w:b/>
      <w:bCs/>
      <w:kern w:val="44"/>
      <w:sz w:val="32"/>
      <w:szCs w:val="32"/>
      <w:shd w:val="clear" w:color="auto" w:fill="FFFFFF"/>
    </w:rPr>
  </w:style>
  <w:style w:type="character" w:customStyle="1" w:styleId="58">
    <w:name w:val="正文缩进 字符"/>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字符"/>
    <w:link w:val="19"/>
    <w:qFormat/>
    <w:uiPriority w:val="0"/>
    <w:rPr>
      <w:rFonts w:ascii="宋体" w:eastAsia="宋体"/>
      <w:sz w:val="34"/>
      <w:lang w:val="en-US" w:eastAsia="zh-CN" w:bidi="ar-SA"/>
    </w:rPr>
  </w:style>
  <w:style w:type="character" w:customStyle="1" w:styleId="73">
    <w:name w:val="纯文本 字符"/>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Heading"/>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字符"/>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字符"/>
    <w:link w:val="30"/>
    <w:qFormat/>
    <w:uiPriority w:val="0"/>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字符"/>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jc w:val="both"/>
    </w:pPr>
    <w:tblPr>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7"/>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字符"/>
    <w:link w:val="29"/>
    <w:qFormat/>
    <w:uiPriority w:val="99"/>
    <w:rPr>
      <w:kern w:val="2"/>
      <w:sz w:val="18"/>
      <w:szCs w:val="18"/>
    </w:rPr>
  </w:style>
  <w:style w:type="character" w:customStyle="1" w:styleId="110">
    <w:name w:val="批注框文本 字符"/>
    <w:link w:val="28"/>
    <w:semiHidden/>
    <w:qFormat/>
    <w:uiPriority w:val="0"/>
    <w:rPr>
      <w:kern w:val="2"/>
      <w:sz w:val="18"/>
      <w:szCs w:val="18"/>
    </w:rPr>
  </w:style>
  <w:style w:type="character" w:customStyle="1" w:styleId="111">
    <w:name w:val="文档结构图 字符"/>
    <w:link w:val="17"/>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6">
    <w:name w:val="正文-1级列表-(1)"/>
    <w:basedOn w:val="1"/>
    <w:qFormat/>
    <w:uiPriority w:val="0"/>
    <w:pPr>
      <w:numPr>
        <w:ilvl w:val="1"/>
        <w:numId w:val="7"/>
      </w:numPr>
      <w:ind w:firstLine="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字符"/>
    <w:link w:val="7"/>
    <w:qFormat/>
    <w:uiPriority w:val="0"/>
    <w:rPr>
      <w:b/>
      <w:kern w:val="2"/>
      <w:sz w:val="24"/>
    </w:rPr>
  </w:style>
  <w:style w:type="character" w:customStyle="1" w:styleId="119">
    <w:name w:val="标题 6 字符"/>
    <w:link w:val="9"/>
    <w:qFormat/>
    <w:uiPriority w:val="0"/>
    <w:rPr>
      <w:rFonts w:ascii="Arial" w:hAnsi="Arial" w:eastAsia="黑体"/>
      <w:b/>
      <w:kern w:val="2"/>
      <w:sz w:val="24"/>
    </w:rPr>
  </w:style>
  <w:style w:type="character" w:customStyle="1" w:styleId="120">
    <w:name w:val="标题 7 字符"/>
    <w:link w:val="10"/>
    <w:qFormat/>
    <w:uiPriority w:val="0"/>
    <w:rPr>
      <w:b/>
      <w:kern w:val="2"/>
      <w:sz w:val="24"/>
    </w:rPr>
  </w:style>
  <w:style w:type="character" w:customStyle="1" w:styleId="121">
    <w:name w:val="标题 8 字符"/>
    <w:link w:val="11"/>
    <w:qFormat/>
    <w:uiPriority w:val="0"/>
    <w:rPr>
      <w:rFonts w:ascii="Arial" w:hAnsi="Arial" w:eastAsia="黑体"/>
      <w:kern w:val="2"/>
      <w:sz w:val="24"/>
    </w:rPr>
  </w:style>
  <w:style w:type="character" w:customStyle="1" w:styleId="122">
    <w:name w:val="标题 9 字符"/>
    <w:link w:val="12"/>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9"/>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7"/>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字符"/>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3"/>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字符"/>
    <w:link w:val="27"/>
    <w:qFormat/>
    <w:uiPriority w:val="0"/>
    <w:rPr>
      <w:rFonts w:ascii="宋体" w:hAnsi="宋体"/>
      <w:kern w:val="2"/>
      <w:sz w:val="21"/>
      <w:szCs w:val="24"/>
    </w:rPr>
  </w:style>
  <w:style w:type="character" w:customStyle="1" w:styleId="214">
    <w:name w:val="正文文本缩进 字符"/>
    <w:link w:val="21"/>
    <w:qFormat/>
    <w:uiPriority w:val="0"/>
    <w:rPr>
      <w:kern w:val="2"/>
      <w:sz w:val="21"/>
      <w:szCs w:val="24"/>
    </w:rPr>
  </w:style>
  <w:style w:type="paragraph" w:customStyle="1" w:styleId="215">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7"/>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7"/>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7"/>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字符"/>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8"/>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字符"/>
    <w:link w:val="256"/>
    <w:qFormat/>
    <w:uiPriority w:val="29"/>
    <w:rPr>
      <w:iCs/>
      <w:color w:val="000000"/>
      <w:kern w:val="2"/>
      <w:sz w:val="24"/>
      <w:szCs w:val="24"/>
    </w:rPr>
  </w:style>
  <w:style w:type="character" w:customStyle="1" w:styleId="258">
    <w:name w:val="Intense Reference"/>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Book Title"/>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字符"/>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字符"/>
    <w:link w:val="39"/>
    <w:qFormat/>
    <w:uiPriority w:val="0"/>
    <w:rPr>
      <w:rFonts w:ascii="Arial Unicode MS" w:hAnsi="Arial Unicode MS" w:eastAsia="Arial Unicode MS"/>
      <w:color w:val="000000"/>
    </w:rPr>
  </w:style>
  <w:style w:type="character" w:customStyle="1" w:styleId="273">
    <w:name w:val="正文文本 2 字符"/>
    <w:link w:val="38"/>
    <w:qFormat/>
    <w:uiPriority w:val="0"/>
    <w:rPr>
      <w:kern w:val="2"/>
      <w:sz w:val="24"/>
      <w:szCs w:val="24"/>
    </w:rPr>
  </w:style>
  <w:style w:type="character" w:customStyle="1" w:styleId="274">
    <w:name w:val="正文文本 3 字符"/>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Revision"/>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link w:val="333"/>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未处理的提及1"/>
    <w:basedOn w:val="47"/>
    <w:semiHidden/>
    <w:unhideWhenUsed/>
    <w:qFormat/>
    <w:uiPriority w:val="99"/>
    <w:rPr>
      <w:color w:val="605E5C"/>
      <w:shd w:val="clear" w:color="auto" w:fill="E1DFDD"/>
    </w:rPr>
  </w:style>
  <w:style w:type="character" w:customStyle="1" w:styleId="285">
    <w:name w:val="未处理的提及2"/>
    <w:basedOn w:val="47"/>
    <w:semiHidden/>
    <w:unhideWhenUsed/>
    <w:qFormat/>
    <w:uiPriority w:val="99"/>
    <w:rPr>
      <w:color w:val="605E5C"/>
      <w:shd w:val="clear" w:color="auto" w:fill="E1DFDD"/>
    </w:rPr>
  </w:style>
  <w:style w:type="character" w:customStyle="1" w:styleId="286">
    <w:name w:val="批注文字 Char1"/>
    <w:qFormat/>
    <w:uiPriority w:val="0"/>
    <w:rPr>
      <w:rFonts w:ascii="宋体" w:eastAsia="宋体"/>
      <w:sz w:val="34"/>
      <w:lang w:val="en-US" w:eastAsia="zh-CN" w:bidi="ar-SA"/>
    </w:rPr>
  </w:style>
  <w:style w:type="character" w:customStyle="1" w:styleId="287">
    <w:name w:val="Unresolved Mention"/>
    <w:basedOn w:val="47"/>
    <w:semiHidden/>
    <w:unhideWhenUsed/>
    <w:qFormat/>
    <w:uiPriority w:val="99"/>
    <w:rPr>
      <w:color w:val="605E5C"/>
      <w:shd w:val="clear" w:color="auto" w:fill="E1DFDD"/>
    </w:rPr>
  </w:style>
  <w:style w:type="character" w:customStyle="1" w:styleId="288">
    <w:name w:val="标题 2 字符"/>
    <w:basedOn w:val="47"/>
    <w:link w:val="6"/>
    <w:qFormat/>
    <w:uiPriority w:val="0"/>
    <w:rPr>
      <w:rFonts w:ascii="宋体" w:hAnsi="宋体"/>
      <w:b/>
      <w:sz w:val="24"/>
      <w:shd w:val="clear" w:color="auto" w:fill="FFFFFF"/>
    </w:rPr>
  </w:style>
  <w:style w:type="character" w:customStyle="1" w:styleId="289">
    <w:name w:val="正文文本 字符"/>
    <w:basedOn w:val="47"/>
    <w:link w:val="2"/>
    <w:qFormat/>
    <w:uiPriority w:val="0"/>
    <w:rPr>
      <w:rFonts w:ascii="宋体" w:hAnsi="宋体" w:cs="宋体"/>
      <w:b/>
      <w:bCs/>
      <w:sz w:val="24"/>
      <w:szCs w:val="24"/>
      <w:shd w:val="clear" w:color="auto" w:fill="FFFFFF"/>
    </w:rPr>
  </w:style>
  <w:style w:type="paragraph" w:customStyle="1" w:styleId="290">
    <w:name w:val="Q标题1"/>
    <w:basedOn w:val="1"/>
    <w:link w:val="292"/>
    <w:qFormat/>
    <w:uiPriority w:val="0"/>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291">
    <w:name w:val="Q编号1"/>
    <w:basedOn w:val="1"/>
    <w:link w:val="294"/>
    <w:qFormat/>
    <w:uiPriority w:val="0"/>
    <w:pPr>
      <w:tabs>
        <w:tab w:val="clear" w:pos="426"/>
      </w:tabs>
      <w:jc w:val="right"/>
    </w:pPr>
  </w:style>
  <w:style w:type="character" w:customStyle="1" w:styleId="292">
    <w:name w:val="Q标题1 字符"/>
    <w:basedOn w:val="47"/>
    <w:link w:val="290"/>
    <w:qFormat/>
    <w:uiPriority w:val="0"/>
    <w:rPr>
      <w:rFonts w:ascii="宋体" w:hAnsi="宋体"/>
      <w:spacing w:val="26"/>
      <w:kern w:val="2"/>
      <w:sz w:val="72"/>
    </w:rPr>
  </w:style>
  <w:style w:type="paragraph" w:customStyle="1" w:styleId="293">
    <w:name w:val="Q采购类型1"/>
    <w:basedOn w:val="1"/>
    <w:link w:val="296"/>
    <w:qFormat/>
    <w:uiPriority w:val="0"/>
    <w:pPr>
      <w:tabs>
        <w:tab w:val="clear" w:pos="426"/>
      </w:tabs>
      <w:jc w:val="center"/>
    </w:pPr>
    <w:rPr>
      <w:rFonts w:ascii="黑体" w:hAnsi="Arial" w:eastAsia="黑体" w:cs="Arial"/>
      <w:color w:val="000000"/>
      <w:sz w:val="52"/>
      <w:szCs w:val="52"/>
    </w:rPr>
  </w:style>
  <w:style w:type="character" w:customStyle="1" w:styleId="294">
    <w:name w:val="Q编号1 字符"/>
    <w:basedOn w:val="47"/>
    <w:link w:val="291"/>
    <w:qFormat/>
    <w:uiPriority w:val="0"/>
    <w:rPr>
      <w:rFonts w:ascii="宋体" w:hAnsi="宋体" w:cs="宋体"/>
      <w:sz w:val="21"/>
      <w:szCs w:val="24"/>
      <w:shd w:val="clear" w:color="auto" w:fill="FFFFFF"/>
    </w:rPr>
  </w:style>
  <w:style w:type="paragraph" w:customStyle="1" w:styleId="295">
    <w:name w:val="Q正文1"/>
    <w:basedOn w:val="1"/>
    <w:link w:val="298"/>
    <w:qFormat/>
    <w:uiPriority w:val="0"/>
    <w:pPr>
      <w:widowControl w:val="0"/>
      <w:shd w:val="clear" w:color="auto" w:fill="auto"/>
      <w:tabs>
        <w:tab w:val="clear" w:pos="426"/>
      </w:tabs>
      <w:spacing w:line="300" w:lineRule="auto"/>
      <w:ind w:hanging="1"/>
    </w:pPr>
    <w:rPr>
      <w:rFonts w:cs="Times New Roman"/>
      <w:kern w:val="2"/>
      <w:sz w:val="30"/>
      <w:szCs w:val="20"/>
    </w:rPr>
  </w:style>
  <w:style w:type="character" w:customStyle="1" w:styleId="296">
    <w:name w:val="Q采购类型1 字符"/>
    <w:basedOn w:val="47"/>
    <w:link w:val="293"/>
    <w:qFormat/>
    <w:uiPriority w:val="0"/>
    <w:rPr>
      <w:rFonts w:ascii="黑体" w:hAnsi="Arial" w:eastAsia="黑体" w:cs="Arial"/>
      <w:color w:val="000000"/>
      <w:sz w:val="52"/>
      <w:szCs w:val="52"/>
      <w:shd w:val="clear" w:color="auto" w:fill="FFFFFF"/>
    </w:rPr>
  </w:style>
  <w:style w:type="paragraph" w:customStyle="1" w:styleId="297">
    <w:name w:val="0编制指引"/>
    <w:basedOn w:val="1"/>
    <w:link w:val="300"/>
    <w:qFormat/>
    <w:uiPriority w:val="0"/>
    <w:pPr>
      <w:tabs>
        <w:tab w:val="clear" w:pos="426"/>
      </w:tabs>
      <w:spacing w:line="240" w:lineRule="auto"/>
      <w:ind w:firstLine="200" w:firstLineChars="200"/>
      <w:jc w:val="left"/>
    </w:pPr>
    <w:rPr>
      <w:i/>
      <w:iCs/>
      <w:color w:val="00B050"/>
    </w:rPr>
  </w:style>
  <w:style w:type="character" w:customStyle="1" w:styleId="298">
    <w:name w:val="Q正文1 字符"/>
    <w:basedOn w:val="47"/>
    <w:link w:val="295"/>
    <w:qFormat/>
    <w:uiPriority w:val="0"/>
    <w:rPr>
      <w:rFonts w:ascii="宋体" w:hAnsi="宋体"/>
      <w:kern w:val="2"/>
      <w:sz w:val="30"/>
    </w:rPr>
  </w:style>
  <w:style w:type="paragraph" w:customStyle="1" w:styleId="299">
    <w:name w:val="目录标题"/>
    <w:basedOn w:val="1"/>
    <w:link w:val="302"/>
    <w:qFormat/>
    <w:uiPriority w:val="0"/>
    <w:pPr>
      <w:tabs>
        <w:tab w:val="clear" w:pos="426"/>
      </w:tabs>
      <w:jc w:val="center"/>
    </w:pPr>
    <w:rPr>
      <w:b/>
      <w:sz w:val="32"/>
      <w:szCs w:val="32"/>
    </w:rPr>
  </w:style>
  <w:style w:type="character" w:customStyle="1" w:styleId="300">
    <w:name w:val="0编制指引 字符"/>
    <w:basedOn w:val="47"/>
    <w:link w:val="297"/>
    <w:qFormat/>
    <w:uiPriority w:val="0"/>
    <w:rPr>
      <w:rFonts w:ascii="宋体" w:hAnsi="宋体" w:cs="宋体"/>
      <w:i/>
      <w:iCs/>
      <w:color w:val="00B050"/>
      <w:sz w:val="21"/>
      <w:szCs w:val="24"/>
      <w:shd w:val="clear" w:color="auto" w:fill="FFFFFF"/>
    </w:rPr>
  </w:style>
  <w:style w:type="paragraph" w:customStyle="1" w:styleId="301">
    <w:name w:val="Z1级标题"/>
    <w:basedOn w:val="42"/>
    <w:link w:val="304"/>
    <w:qFormat/>
    <w:uiPriority w:val="0"/>
    <w:pPr>
      <w:tabs>
        <w:tab w:val="clear" w:pos="426"/>
      </w:tabs>
    </w:pPr>
  </w:style>
  <w:style w:type="character" w:customStyle="1" w:styleId="302">
    <w:name w:val="目录标题 字符"/>
    <w:basedOn w:val="47"/>
    <w:link w:val="299"/>
    <w:qFormat/>
    <w:uiPriority w:val="0"/>
    <w:rPr>
      <w:rFonts w:ascii="宋体" w:hAnsi="宋体" w:cs="宋体"/>
      <w:b/>
      <w:sz w:val="32"/>
      <w:szCs w:val="32"/>
      <w:shd w:val="clear" w:color="auto" w:fill="FFFFFF"/>
    </w:rPr>
  </w:style>
  <w:style w:type="paragraph" w:customStyle="1" w:styleId="303">
    <w:name w:val="页眉文字"/>
    <w:basedOn w:val="30"/>
    <w:link w:val="306"/>
    <w:qFormat/>
    <w:uiPriority w:val="0"/>
    <w:pPr>
      <w:spacing w:line="240" w:lineRule="auto"/>
    </w:pPr>
  </w:style>
  <w:style w:type="character" w:customStyle="1" w:styleId="304">
    <w:name w:val="Z1级标题 字符"/>
    <w:basedOn w:val="136"/>
    <w:link w:val="301"/>
    <w:qFormat/>
    <w:uiPriority w:val="0"/>
    <w:rPr>
      <w:rFonts w:ascii="Arial" w:hAnsi="Arial" w:cs="Arial"/>
      <w:kern w:val="2"/>
      <w:sz w:val="36"/>
      <w:szCs w:val="32"/>
      <w:shd w:val="clear" w:color="auto" w:fill="FFFFFF"/>
    </w:rPr>
  </w:style>
  <w:style w:type="paragraph" w:customStyle="1" w:styleId="305">
    <w:name w:val="0五号正文"/>
    <w:basedOn w:val="1"/>
    <w:link w:val="308"/>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306">
    <w:name w:val="页眉文字 字符"/>
    <w:basedOn w:val="79"/>
    <w:link w:val="303"/>
    <w:qFormat/>
    <w:uiPriority w:val="0"/>
    <w:rPr>
      <w:kern w:val="2"/>
      <w:sz w:val="18"/>
      <w:szCs w:val="18"/>
      <w:shd w:val="clear" w:color="auto" w:fill="FFFFFF"/>
    </w:rPr>
  </w:style>
  <w:style w:type="paragraph" w:customStyle="1" w:styleId="307">
    <w:name w:val="0表格正文"/>
    <w:basedOn w:val="1"/>
    <w:link w:val="310"/>
    <w:qFormat/>
    <w:uiPriority w:val="0"/>
    <w:pPr>
      <w:tabs>
        <w:tab w:val="clear" w:pos="426"/>
      </w:tabs>
      <w:spacing w:line="240" w:lineRule="auto"/>
      <w:jc w:val="left"/>
    </w:pPr>
    <w:rPr>
      <w:szCs w:val="21"/>
    </w:rPr>
  </w:style>
  <w:style w:type="character" w:customStyle="1" w:styleId="308">
    <w:name w:val="0五号正文 字符"/>
    <w:basedOn w:val="47"/>
    <w:link w:val="305"/>
    <w:qFormat/>
    <w:uiPriority w:val="0"/>
    <w:rPr>
      <w:rFonts w:ascii="宋体" w:hAnsi="宋体"/>
      <w:kern w:val="2"/>
      <w:sz w:val="21"/>
      <w:szCs w:val="21"/>
    </w:rPr>
  </w:style>
  <w:style w:type="paragraph" w:customStyle="1" w:styleId="309">
    <w:name w:val="Z2级标题"/>
    <w:basedOn w:val="33"/>
    <w:link w:val="312"/>
    <w:qFormat/>
    <w:uiPriority w:val="0"/>
    <w:pPr>
      <w:tabs>
        <w:tab w:val="clear" w:pos="426"/>
      </w:tabs>
    </w:pPr>
  </w:style>
  <w:style w:type="character" w:customStyle="1" w:styleId="310">
    <w:name w:val="0表格正文 字符"/>
    <w:basedOn w:val="47"/>
    <w:link w:val="307"/>
    <w:qFormat/>
    <w:uiPriority w:val="0"/>
    <w:rPr>
      <w:rFonts w:ascii="宋体" w:hAnsi="宋体" w:cs="宋体"/>
      <w:sz w:val="21"/>
      <w:szCs w:val="21"/>
      <w:shd w:val="clear" w:color="auto" w:fill="FFFFFF"/>
    </w:rPr>
  </w:style>
  <w:style w:type="paragraph" w:customStyle="1" w:styleId="311">
    <w:name w:val="B正文文本"/>
    <w:basedOn w:val="1"/>
    <w:link w:val="314"/>
    <w:qFormat/>
    <w:uiPriority w:val="0"/>
    <w:pPr>
      <w:tabs>
        <w:tab w:val="clear" w:pos="426"/>
      </w:tabs>
      <w:ind w:firstLine="424" w:firstLineChars="202"/>
    </w:pPr>
  </w:style>
  <w:style w:type="character" w:customStyle="1" w:styleId="312">
    <w:name w:val="Z2级标题 字符"/>
    <w:basedOn w:val="76"/>
    <w:link w:val="309"/>
    <w:qFormat/>
    <w:uiPriority w:val="0"/>
    <w:rPr>
      <w:rFonts w:ascii="Cambria" w:hAnsi="Cambria" w:cs="Times New Roman"/>
      <w:kern w:val="28"/>
      <w:sz w:val="28"/>
      <w:szCs w:val="32"/>
      <w:shd w:val="clear" w:color="auto" w:fill="FFFFFF"/>
    </w:rPr>
  </w:style>
  <w:style w:type="paragraph" w:customStyle="1" w:styleId="313">
    <w:name w:val="T2级标题"/>
    <w:basedOn w:val="6"/>
    <w:link w:val="316"/>
    <w:qFormat/>
    <w:uiPriority w:val="0"/>
  </w:style>
  <w:style w:type="character" w:customStyle="1" w:styleId="314">
    <w:name w:val="B正文文本 字符"/>
    <w:basedOn w:val="47"/>
    <w:link w:val="311"/>
    <w:qFormat/>
    <w:uiPriority w:val="0"/>
    <w:rPr>
      <w:rFonts w:ascii="宋体" w:hAnsi="宋体" w:cs="宋体"/>
      <w:sz w:val="21"/>
      <w:szCs w:val="24"/>
      <w:shd w:val="clear" w:color="auto" w:fill="FFFFFF"/>
    </w:rPr>
  </w:style>
  <w:style w:type="paragraph" w:customStyle="1" w:styleId="315">
    <w:name w:val="G2级标题"/>
    <w:basedOn w:val="1"/>
    <w:link w:val="318"/>
    <w:qFormat/>
    <w:uiPriority w:val="0"/>
    <w:pPr>
      <w:numPr>
        <w:ilvl w:val="0"/>
        <w:numId w:val="21"/>
      </w:numPr>
      <w:tabs>
        <w:tab w:val="clear" w:pos="426"/>
      </w:tabs>
      <w:spacing w:before="280" w:after="290" w:line="377" w:lineRule="auto"/>
      <w:ind w:left="0" w:firstLine="0"/>
      <w:jc w:val="left"/>
      <w:outlineLvl w:val="2"/>
    </w:pPr>
    <w:rPr>
      <w:b/>
      <w:sz w:val="24"/>
    </w:rPr>
  </w:style>
  <w:style w:type="character" w:customStyle="1" w:styleId="316">
    <w:name w:val="T2级标题 字符"/>
    <w:basedOn w:val="288"/>
    <w:link w:val="313"/>
    <w:qFormat/>
    <w:uiPriority w:val="0"/>
    <w:rPr>
      <w:rFonts w:ascii="宋体" w:hAnsi="宋体"/>
      <w:sz w:val="24"/>
      <w:shd w:val="clear" w:color="auto" w:fill="FFFFFF"/>
    </w:rPr>
  </w:style>
  <w:style w:type="paragraph" w:customStyle="1" w:styleId="317">
    <w:name w:val="表格备注"/>
    <w:basedOn w:val="1"/>
    <w:link w:val="320"/>
    <w:qFormat/>
    <w:uiPriority w:val="0"/>
    <w:pPr>
      <w:spacing w:line="240" w:lineRule="auto"/>
      <w:ind w:firstLine="422" w:firstLineChars="200"/>
    </w:pPr>
    <w:rPr>
      <w:b/>
    </w:rPr>
  </w:style>
  <w:style w:type="character" w:customStyle="1" w:styleId="318">
    <w:name w:val="G2级标题 字符"/>
    <w:basedOn w:val="47"/>
    <w:link w:val="315"/>
    <w:qFormat/>
    <w:uiPriority w:val="0"/>
    <w:rPr>
      <w:rFonts w:ascii="宋体" w:hAnsi="宋体" w:cs="宋体"/>
      <w:b/>
      <w:sz w:val="24"/>
      <w:szCs w:val="24"/>
      <w:shd w:val="clear" w:color="auto" w:fill="FFFFFF"/>
    </w:rPr>
  </w:style>
  <w:style w:type="paragraph" w:customStyle="1" w:styleId="319">
    <w:name w:val="Z3级左对齐标题"/>
    <w:basedOn w:val="1"/>
    <w:link w:val="322"/>
    <w:qFormat/>
    <w:uiPriority w:val="0"/>
    <w:pPr>
      <w:numPr>
        <w:ilvl w:val="0"/>
        <w:numId w:val="22"/>
      </w:numPr>
      <w:spacing w:before="280" w:after="290" w:line="377" w:lineRule="auto"/>
      <w:outlineLvl w:val="2"/>
    </w:pPr>
    <w:rPr>
      <w:b/>
      <w:sz w:val="24"/>
    </w:rPr>
  </w:style>
  <w:style w:type="character" w:customStyle="1" w:styleId="320">
    <w:name w:val="表格备注 字符"/>
    <w:basedOn w:val="47"/>
    <w:link w:val="317"/>
    <w:qFormat/>
    <w:uiPriority w:val="0"/>
    <w:rPr>
      <w:rFonts w:ascii="宋体" w:hAnsi="宋体" w:cs="宋体"/>
      <w:b/>
      <w:sz w:val="21"/>
      <w:szCs w:val="24"/>
      <w:shd w:val="clear" w:color="auto" w:fill="FFFFFF"/>
    </w:rPr>
  </w:style>
  <w:style w:type="paragraph" w:customStyle="1" w:styleId="321">
    <w:name w:val="Z3级居中标题"/>
    <w:basedOn w:val="309"/>
    <w:link w:val="324"/>
    <w:qFormat/>
    <w:uiPriority w:val="0"/>
    <w:pPr>
      <w:widowControl w:val="0"/>
      <w:spacing w:before="280" w:after="290" w:line="377" w:lineRule="auto"/>
      <w:jc w:val="center"/>
      <w:outlineLvl w:val="2"/>
    </w:pPr>
    <w:rPr>
      <w:rFonts w:cs="Times New Roman"/>
      <w:kern w:val="2"/>
      <w:sz w:val="24"/>
    </w:rPr>
  </w:style>
  <w:style w:type="character" w:customStyle="1" w:styleId="322">
    <w:name w:val="Z3级左对齐标题 字符"/>
    <w:basedOn w:val="47"/>
    <w:link w:val="319"/>
    <w:qFormat/>
    <w:uiPriority w:val="0"/>
    <w:rPr>
      <w:rFonts w:ascii="宋体" w:hAnsi="宋体" w:cs="宋体"/>
      <w:b/>
      <w:sz w:val="24"/>
      <w:szCs w:val="24"/>
      <w:shd w:val="clear" w:color="auto" w:fill="FFFFFF"/>
    </w:rPr>
  </w:style>
  <w:style w:type="paragraph" w:customStyle="1" w:styleId="323">
    <w:name w:val="表格表头"/>
    <w:basedOn w:val="1"/>
    <w:link w:val="325"/>
    <w:qFormat/>
    <w:uiPriority w:val="0"/>
    <w:pPr>
      <w:tabs>
        <w:tab w:val="clear" w:pos="426"/>
      </w:tabs>
      <w:spacing w:line="240" w:lineRule="auto"/>
      <w:jc w:val="center"/>
    </w:pPr>
  </w:style>
  <w:style w:type="character" w:customStyle="1" w:styleId="324">
    <w:name w:val="Z3级居中标题 字符"/>
    <w:basedOn w:val="47"/>
    <w:link w:val="321"/>
    <w:qFormat/>
    <w:uiPriority w:val="0"/>
    <w:rPr>
      <w:rFonts w:ascii="宋体" w:hAnsi="宋体"/>
      <w:b/>
      <w:kern w:val="2"/>
      <w:sz w:val="24"/>
      <w:szCs w:val="24"/>
      <w:shd w:val="clear" w:color="auto" w:fill="FFFFFF"/>
    </w:rPr>
  </w:style>
  <w:style w:type="character" w:customStyle="1" w:styleId="325">
    <w:name w:val="表格表头 字符"/>
    <w:basedOn w:val="47"/>
    <w:link w:val="323"/>
    <w:qFormat/>
    <w:uiPriority w:val="0"/>
    <w:rPr>
      <w:rFonts w:ascii="宋体" w:hAnsi="宋体" w:cs="宋体"/>
      <w:sz w:val="21"/>
      <w:szCs w:val="24"/>
      <w:shd w:val="clear" w:color="auto" w:fill="FFFFFF"/>
    </w:rPr>
  </w:style>
  <w:style w:type="paragraph" w:customStyle="1" w:styleId="326">
    <w:name w:val="T3级标题"/>
    <w:basedOn w:val="319"/>
    <w:link w:val="327"/>
    <w:qFormat/>
    <w:uiPriority w:val="0"/>
    <w:pPr>
      <w:numPr>
        <w:ilvl w:val="0"/>
        <w:numId w:val="23"/>
      </w:numPr>
      <w:tabs>
        <w:tab w:val="clear" w:pos="426"/>
      </w:tabs>
      <w:ind w:firstLine="0"/>
    </w:pPr>
  </w:style>
  <w:style w:type="character" w:customStyle="1" w:styleId="327">
    <w:name w:val="T3级标题 字符"/>
    <w:basedOn w:val="322"/>
    <w:link w:val="326"/>
    <w:qFormat/>
    <w:uiPriority w:val="0"/>
    <w:rPr>
      <w:rFonts w:ascii="宋体" w:hAnsi="宋体" w:cs="宋体"/>
      <w:sz w:val="24"/>
      <w:szCs w:val="24"/>
      <w:shd w:val="clear" w:color="auto" w:fill="FFFFFF"/>
    </w:rPr>
  </w:style>
  <w:style w:type="paragraph" w:customStyle="1" w:styleId="328">
    <w:name w:val="T2级正文"/>
    <w:basedOn w:val="305"/>
    <w:link w:val="330"/>
    <w:qFormat/>
    <w:uiPriority w:val="0"/>
    <w:pPr>
      <w:numPr>
        <w:ilvl w:val="1"/>
        <w:numId w:val="23"/>
      </w:numPr>
      <w:ind w:firstLine="0" w:firstLineChars="0"/>
    </w:pPr>
  </w:style>
  <w:style w:type="paragraph" w:customStyle="1" w:styleId="329">
    <w:name w:val="T3级正文"/>
    <w:basedOn w:val="305"/>
    <w:link w:val="331"/>
    <w:qFormat/>
    <w:uiPriority w:val="0"/>
    <w:pPr>
      <w:numPr>
        <w:ilvl w:val="2"/>
        <w:numId w:val="23"/>
      </w:numPr>
      <w:ind w:firstLine="0" w:firstLineChars="0"/>
    </w:pPr>
  </w:style>
  <w:style w:type="character" w:customStyle="1" w:styleId="330">
    <w:name w:val="T2级正文 字符"/>
    <w:basedOn w:val="308"/>
    <w:link w:val="328"/>
    <w:qFormat/>
    <w:uiPriority w:val="0"/>
    <w:rPr>
      <w:rFonts w:ascii="宋体" w:hAnsi="宋体"/>
      <w:kern w:val="2"/>
      <w:sz w:val="21"/>
      <w:szCs w:val="21"/>
    </w:rPr>
  </w:style>
  <w:style w:type="character" w:customStyle="1" w:styleId="331">
    <w:name w:val="T3级正文 字符"/>
    <w:basedOn w:val="308"/>
    <w:link w:val="329"/>
    <w:qFormat/>
    <w:uiPriority w:val="0"/>
    <w:rPr>
      <w:rFonts w:ascii="宋体" w:hAnsi="宋体"/>
      <w:kern w:val="2"/>
      <w:sz w:val="21"/>
      <w:szCs w:val="21"/>
    </w:rPr>
  </w:style>
  <w:style w:type="paragraph" w:customStyle="1" w:styleId="332">
    <w:name w:val="合同标题"/>
    <w:basedOn w:val="280"/>
    <w:link w:val="334"/>
    <w:qFormat/>
    <w:uiPriority w:val="0"/>
    <w:pPr>
      <w:numPr>
        <w:ilvl w:val="0"/>
        <w:numId w:val="24"/>
      </w:numPr>
      <w:spacing w:line="240" w:lineRule="auto"/>
      <w:ind w:firstLine="0" w:firstLineChars="0"/>
    </w:pPr>
    <w:rPr>
      <w:b/>
      <w:bCs/>
      <w:sz w:val="21"/>
      <w:szCs w:val="21"/>
    </w:rPr>
  </w:style>
  <w:style w:type="character" w:customStyle="1" w:styleId="333">
    <w:name w:val="列表段落 字符"/>
    <w:basedOn w:val="47"/>
    <w:link w:val="280"/>
    <w:qFormat/>
    <w:uiPriority w:val="34"/>
    <w:rPr>
      <w:kern w:val="2"/>
      <w:sz w:val="24"/>
      <w:szCs w:val="24"/>
    </w:rPr>
  </w:style>
  <w:style w:type="character" w:customStyle="1" w:styleId="334">
    <w:name w:val="合同标题 字符"/>
    <w:basedOn w:val="333"/>
    <w:link w:val="332"/>
    <w:qFormat/>
    <w:uiPriority w:val="0"/>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D2EF9-C93A-421A-9981-42913CA24CD6}">
  <ds:schemaRefs/>
</ds:datastoreItem>
</file>

<file path=docProps/app.xml><?xml version="1.0" encoding="utf-8"?>
<Properties xmlns="http://schemas.openxmlformats.org/officeDocument/2006/extended-properties" xmlns:vt="http://schemas.openxmlformats.org/officeDocument/2006/docPropsVTypes">
  <Template>Normal</Template>
  <Pages>75</Pages>
  <Words>50841</Words>
  <Characters>56718</Characters>
  <Lines>874</Lines>
  <Paragraphs>246</Paragraphs>
  <TotalTime>31</TotalTime>
  <ScaleCrop>false</ScaleCrop>
  <LinksUpToDate>false</LinksUpToDate>
  <CharactersWithSpaces>57480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2018-04-11T09:35:00Z</dcterms:created>
  <dc:creator>张伟</dc:creator>
  <cp:lastModifiedBy>谁明我非浪子心</cp:lastModifiedBy>
  <cp:lastPrinted>2017-05-12T09:50:00Z</cp:lastPrinted>
  <dcterms:modified xsi:type="dcterms:W3CDTF">2021-11-02T02:07:37Z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3B4DBE70DA424B7081A3A09985BC9D24</vt:lpwstr>
  </property>
</Properties>
</file>