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rFonts w:hint="eastAsia" w:eastAsia="宋体"/>
          <w:b/>
          <w:highlight w:val="none"/>
          <w:u w:val="single"/>
          <w:lang w:eastAsia="zh-CN"/>
        </w:rPr>
      </w:pPr>
      <w:r>
        <w:rPr>
          <w:rFonts w:hint="eastAsia"/>
        </w:rPr>
        <w:t xml:space="preserve">                                                     招标项</w:t>
      </w:r>
      <w:r>
        <w:rPr>
          <w:rFonts w:hint="eastAsia"/>
          <w:highlight w:val="none"/>
        </w:rPr>
        <w:t>目编号：</w:t>
      </w:r>
      <w:r>
        <w:rPr>
          <w:rFonts w:hint="eastAsia"/>
          <w:b/>
          <w:highlight w:val="none"/>
          <w:u w:val="single"/>
          <w:lang w:eastAsia="zh-CN"/>
        </w:rPr>
        <w:t>SSZX2020-517</w:t>
      </w: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深圳市光明区政府采购</w:t>
      </w:r>
    </w:p>
    <w:p>
      <w:pPr>
        <w:widowControl w:val="0"/>
        <w:shd w:val="clear" w:color="auto" w:fill="auto"/>
        <w:tabs>
          <w:tab w:val="clear" w:pos="426"/>
        </w:tabs>
        <w:adjustRightInd/>
        <w:snapToGrid/>
        <w:spacing w:line="300" w:lineRule="auto"/>
        <w:jc w:val="center"/>
        <w:rPr>
          <w:rFonts w:cs="Times New Roman"/>
          <w:spacing w:val="26"/>
          <w:kern w:val="2"/>
          <w:sz w:val="72"/>
          <w:szCs w:val="20"/>
          <w:highlight w:val="none"/>
        </w:rPr>
      </w:pPr>
      <w:r>
        <w:rPr>
          <w:rFonts w:hint="eastAsia" w:cs="Times New Roman"/>
          <w:spacing w:val="26"/>
          <w:kern w:val="2"/>
          <w:sz w:val="72"/>
          <w:szCs w:val="20"/>
          <w:highlight w:val="none"/>
        </w:rPr>
        <w:t>招标文件</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jc w:val="center"/>
        <w:rPr>
          <w:rFonts w:ascii="黑体" w:hAnsi="Arial" w:eastAsia="黑体" w:cs="Arial"/>
          <w:color w:val="000000"/>
          <w:sz w:val="52"/>
          <w:szCs w:val="52"/>
          <w:highlight w:val="none"/>
        </w:rPr>
      </w:pPr>
      <w:r>
        <w:rPr>
          <w:rFonts w:hint="eastAsia" w:ascii="黑体" w:hAnsi="Arial" w:eastAsia="黑体" w:cs="Arial"/>
          <w:color w:val="000000"/>
          <w:sz w:val="52"/>
          <w:szCs w:val="52"/>
          <w:highlight w:val="none"/>
        </w:rPr>
        <w:t>【工程类】</w:t>
      </w: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tabs>
          <w:tab w:val="clear" w:pos="426"/>
        </w:tabs>
        <w:rPr>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项目名称：</w:t>
      </w:r>
      <w:r>
        <w:rPr>
          <w:rFonts w:hint="eastAsia" w:cs="Times New Roman"/>
          <w:kern w:val="2"/>
          <w:sz w:val="30"/>
          <w:szCs w:val="20"/>
          <w:highlight w:val="none"/>
          <w:u w:val="single"/>
        </w:rPr>
        <w:t>__</w:t>
      </w:r>
      <w:r>
        <w:rPr>
          <w:rFonts w:hint="eastAsia" w:cs="Times New Roman"/>
          <w:kern w:val="2"/>
          <w:sz w:val="30"/>
          <w:szCs w:val="20"/>
          <w:highlight w:val="none"/>
          <w:u w:val="single"/>
          <w:lang w:eastAsia="zh-CN"/>
        </w:rPr>
        <w:t>公明兴文幼儿园改造工程</w:t>
      </w:r>
      <w:r>
        <w:rPr>
          <w:rFonts w:hint="eastAsia" w:cs="Times New Roman"/>
          <w:kern w:val="2"/>
          <w:sz w:val="30"/>
          <w:szCs w:val="20"/>
          <w:highlight w:val="none"/>
          <w:u w:val="single"/>
        </w:rPr>
        <w:t>_______</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highlight w:val="none"/>
        </w:rPr>
      </w:pPr>
      <w:r>
        <w:rPr>
          <w:rFonts w:hint="eastAsia" w:cs="Times New Roman"/>
          <w:kern w:val="2"/>
          <w:sz w:val="30"/>
          <w:szCs w:val="20"/>
          <w:highlight w:val="none"/>
        </w:rPr>
        <w:t>采购人名称：</w:t>
      </w:r>
      <w:r>
        <w:rPr>
          <w:rFonts w:hint="eastAsia" w:cs="Times New Roman"/>
          <w:kern w:val="2"/>
          <w:sz w:val="30"/>
          <w:szCs w:val="20"/>
          <w:highlight w:val="none"/>
          <w:u w:val="single"/>
        </w:rPr>
        <w:t>__</w:t>
      </w:r>
      <w:r>
        <w:rPr>
          <w:rFonts w:hint="eastAsia" w:cs="Times New Roman"/>
          <w:kern w:val="2"/>
          <w:sz w:val="30"/>
          <w:szCs w:val="20"/>
          <w:highlight w:val="none"/>
          <w:u w:val="single"/>
          <w:lang w:eastAsia="zh-CN"/>
        </w:rPr>
        <w:t>深圳市公明兴文幼儿园</w:t>
      </w:r>
      <w:r>
        <w:rPr>
          <w:rFonts w:hint="eastAsia" w:cs="Times New Roman"/>
          <w:kern w:val="2"/>
          <w:sz w:val="30"/>
          <w:szCs w:val="20"/>
          <w:highlight w:val="none"/>
          <w:u w:val="single"/>
        </w:rPr>
        <w:t>__________</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highlight w:val="none"/>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highlight w:val="none"/>
        </w:rPr>
        <w:t>采购代理机构名称：</w:t>
      </w:r>
      <w:r>
        <w:rPr>
          <w:rFonts w:hint="eastAsia" w:cs="Times New Roman"/>
          <w:kern w:val="2"/>
          <w:sz w:val="30"/>
          <w:szCs w:val="20"/>
          <w:highlight w:val="none"/>
          <w:u w:val="single"/>
        </w:rPr>
        <w:t>__深圳市深水水务咨询有限公司_____</w:t>
      </w:r>
      <w:r>
        <w:rPr>
          <w:rFonts w:hint="eastAsia" w:cs="Times New Roman"/>
          <w:kern w:val="2"/>
          <w:sz w:val="30"/>
          <w:szCs w:val="20"/>
          <w:u w:val="single"/>
        </w:rPr>
        <w:t>______</w:t>
      </w:r>
    </w:p>
    <w:p>
      <w:pPr>
        <w:tabs>
          <w:tab w:val="clear" w:pos="426"/>
        </w:tabs>
        <w:jc w:val="center"/>
      </w:pPr>
      <w:r>
        <w:br w:type="page"/>
      </w:r>
    </w:p>
    <w:p>
      <w:pPr>
        <w:tabs>
          <w:tab w:val="clear" w:pos="426"/>
        </w:tabs>
        <w:jc w:val="center"/>
        <w:rPr>
          <w:b/>
          <w:sz w:val="32"/>
          <w:szCs w:val="32"/>
        </w:rPr>
      </w:pPr>
      <w:r>
        <w:rPr>
          <w:rFonts w:hint="eastAsia"/>
          <w:b/>
          <w:sz w:val="32"/>
          <w:szCs w:val="32"/>
        </w:rPr>
        <w:t>目      录</w:t>
      </w:r>
    </w:p>
    <w:p>
      <w:pPr>
        <w:tabs>
          <w:tab w:val="clear" w:pos="426"/>
        </w:tabs>
        <w:jc w:val="center"/>
        <w:rPr>
          <w:sz w:val="32"/>
          <w:szCs w:val="32"/>
        </w:rPr>
      </w:pPr>
    </w:p>
    <w:p>
      <w:pPr>
        <w:pStyle w:val="36"/>
        <w:ind w:left="105"/>
        <w:rPr>
          <w:rFonts w:asciiTheme="minorHAnsi" w:hAnsiTheme="minorHAnsi" w:eastAsiaTheme="minorEastAsia" w:cstheme="minorBidi"/>
          <w:smallCaps w:val="0"/>
          <w:kern w:val="2"/>
          <w:sz w:val="21"/>
          <w:szCs w:val="22"/>
        </w:rPr>
      </w:pPr>
      <w:r>
        <w:rPr>
          <w:smallCaps w:val="0"/>
        </w:rPr>
        <w:fldChar w:fldCharType="begin"/>
      </w:r>
      <w:r>
        <w:rPr>
          <w:smallCaps w:val="0"/>
        </w:rPr>
        <w:instrText xml:space="preserve"> TOC \o "1-2" \h \z \u </w:instrText>
      </w:r>
      <w:r>
        <w:rPr>
          <w:smallCaps w:val="0"/>
        </w:rPr>
        <w:fldChar w:fldCharType="separate"/>
      </w:r>
      <w:r>
        <w:fldChar w:fldCharType="begin"/>
      </w:r>
      <w:r>
        <w:instrText xml:space="preserve"> HYPERLINK \l "_Toc18323377" </w:instrText>
      </w:r>
      <w:r>
        <w:fldChar w:fldCharType="separate"/>
      </w:r>
      <w:r>
        <w:rPr>
          <w:rStyle w:val="52"/>
          <w:rFonts w:hint="eastAsia"/>
        </w:rPr>
        <w:t>警示条款</w:t>
      </w:r>
      <w:r>
        <w:tab/>
      </w:r>
      <w:r>
        <w:fldChar w:fldCharType="begin"/>
      </w:r>
      <w:r>
        <w:instrText xml:space="preserve"> PAGEREF _Toc18323377 \h </w:instrText>
      </w:r>
      <w:r>
        <w:fldChar w:fldCharType="separate"/>
      </w:r>
      <w:r>
        <w:t>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"_Toc18323378" </w:instrText>
      </w:r>
      <w:r>
        <w:fldChar w:fldCharType="separate"/>
      </w:r>
      <w:r>
        <w:rPr>
          <w:rStyle w:val="52"/>
          <w:rFonts w:hint="eastAsia"/>
        </w:rPr>
        <w:t>项目关键信息</w:t>
      </w:r>
      <w:r>
        <w:tab/>
      </w:r>
      <w:r>
        <w:fldChar w:fldCharType="begin"/>
      </w:r>
      <w:r>
        <w:instrText xml:space="preserve"> PAGEREF _Toc18323378 \h </w:instrText>
      </w:r>
      <w:r>
        <w:fldChar w:fldCharType="separate"/>
      </w:r>
      <w:r>
        <w:t>2</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"_Toc18323379" </w:instrText>
      </w:r>
      <w:r>
        <w:fldChar w:fldCharType="separate"/>
      </w:r>
      <w:r>
        <w:rPr>
          <w:rStyle w:val="52"/>
          <w:rFonts w:hint="eastAsia"/>
        </w:rPr>
        <w:t>资格、符合性评审条款</w:t>
      </w:r>
      <w:r>
        <w:tab/>
      </w:r>
      <w:r>
        <w:fldChar w:fldCharType="begin"/>
      </w:r>
      <w:r>
        <w:instrText xml:space="preserve"> PAGEREF _Toc18323379 \h </w:instrText>
      </w:r>
      <w:r>
        <w:fldChar w:fldCharType="separate"/>
      </w:r>
      <w:r>
        <w:t>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"_Toc18323380" </w:instrText>
      </w:r>
      <w:r>
        <w:fldChar w:fldCharType="separate"/>
      </w:r>
      <w:r>
        <w:rPr>
          <w:rStyle w:val="52"/>
          <w:rFonts w:hint="eastAsia"/>
        </w:rPr>
        <w:t>评标信息</w:t>
      </w:r>
      <w:r>
        <w:tab/>
      </w:r>
      <w:r>
        <w:fldChar w:fldCharType="begin"/>
      </w:r>
      <w:r>
        <w:instrText xml:space="preserve"> PAGEREF _Toc18323380 \h </w:instrText>
      </w:r>
      <w:r>
        <w:fldChar w:fldCharType="separate"/>
      </w:r>
      <w:r>
        <w:t>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"_Toc18323381" </w:instrText>
      </w:r>
      <w:r>
        <w:fldChar w:fldCharType="separate"/>
      </w:r>
      <w:r>
        <w:rPr>
          <w:rStyle w:val="52"/>
          <w:rFonts w:hint="eastAsia"/>
        </w:rPr>
        <w:t>评分细则表</w:t>
      </w:r>
      <w:r>
        <w:tab/>
      </w:r>
      <w:r>
        <w:fldChar w:fldCharType="begin"/>
      </w:r>
      <w:r>
        <w:instrText xml:space="preserve"> PAGEREF _Toc18323381 \h </w:instrText>
      </w:r>
      <w:r>
        <w:fldChar w:fldCharType="separate"/>
      </w:r>
      <w:r>
        <w:t>5</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"_Toc18323382" </w:instrText>
      </w:r>
      <w:r>
        <w:fldChar w:fldCharType="separate"/>
      </w:r>
      <w:r>
        <w:rPr>
          <w:rStyle w:val="52"/>
          <w:rFonts w:hint="eastAsia"/>
        </w:rPr>
        <w:t>第一册</w:t>
      </w:r>
      <w:r>
        <w:rPr>
          <w:rStyle w:val="52"/>
        </w:rPr>
        <w:t xml:space="preserve">  </w:t>
      </w:r>
      <w:r>
        <w:rPr>
          <w:rStyle w:val="52"/>
          <w:rFonts w:hint="eastAsia"/>
        </w:rPr>
        <w:t>专用条款</w:t>
      </w:r>
      <w:r>
        <w:tab/>
      </w:r>
      <w:r>
        <w:fldChar w:fldCharType="begin"/>
      </w:r>
      <w:r>
        <w:instrText xml:space="preserve"> PAGEREF _Toc18323382 \h </w:instrText>
      </w:r>
      <w:r>
        <w:fldChar w:fldCharType="separate"/>
      </w:r>
      <w:r>
        <w:t>10</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"_Toc18323383" </w:instrText>
      </w:r>
      <w:r>
        <w:fldChar w:fldCharType="separate"/>
      </w:r>
      <w:r>
        <w:rPr>
          <w:rStyle w:val="52"/>
          <w:rFonts w:hint="eastAsia"/>
        </w:rPr>
        <w:t>第一章</w:t>
      </w:r>
      <w:r>
        <w:rPr>
          <w:rStyle w:val="52"/>
        </w:rPr>
        <w:t xml:space="preserve"> </w:t>
      </w:r>
      <w:r>
        <w:rPr>
          <w:rStyle w:val="52"/>
          <w:rFonts w:hint="eastAsia"/>
        </w:rPr>
        <w:t>采购公告</w:t>
      </w:r>
      <w:r>
        <w:tab/>
      </w:r>
      <w:r>
        <w:fldChar w:fldCharType="begin"/>
      </w:r>
      <w:r>
        <w:instrText xml:space="preserve"> PAGEREF _Toc18323383 \h </w:instrText>
      </w:r>
      <w:r>
        <w:fldChar w:fldCharType="separate"/>
      </w:r>
      <w:r>
        <w:t>10</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"_Toc18323384" </w:instrText>
      </w:r>
      <w:r>
        <w:fldChar w:fldCharType="separate"/>
      </w:r>
      <w:r>
        <w:rPr>
          <w:rStyle w:val="52"/>
          <w:rFonts w:hint="eastAsia"/>
        </w:rPr>
        <w:t>第二章</w:t>
      </w:r>
      <w:r>
        <w:rPr>
          <w:rStyle w:val="52"/>
        </w:rPr>
        <w:t xml:space="preserve"> </w:t>
      </w:r>
      <w:r>
        <w:rPr>
          <w:rStyle w:val="52"/>
          <w:rFonts w:hint="eastAsia"/>
        </w:rPr>
        <w:t>投标须知前附表</w:t>
      </w:r>
      <w:r>
        <w:tab/>
      </w:r>
      <w:r>
        <w:fldChar w:fldCharType="begin"/>
      </w:r>
      <w:r>
        <w:instrText xml:space="preserve"> PAGEREF _Toc18323384 \h </w:instrText>
      </w:r>
      <w:r>
        <w:fldChar w:fldCharType="separate"/>
      </w:r>
      <w:r>
        <w:t>13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"_Toc18323385" </w:instrText>
      </w:r>
      <w:r>
        <w:fldChar w:fldCharType="separate"/>
      </w:r>
      <w:r>
        <w:rPr>
          <w:rStyle w:val="52"/>
          <w:rFonts w:hint="eastAsia"/>
        </w:rPr>
        <w:t>第三章</w:t>
      </w:r>
      <w:r>
        <w:rPr>
          <w:rStyle w:val="52"/>
        </w:rPr>
        <w:t xml:space="preserve"> </w:t>
      </w:r>
      <w:r>
        <w:rPr>
          <w:rStyle w:val="52"/>
          <w:rFonts w:hint="eastAsia"/>
        </w:rPr>
        <w:t>项目需求</w:t>
      </w:r>
      <w:r>
        <w:tab/>
      </w:r>
      <w:r>
        <w:fldChar w:fldCharType="begin"/>
      </w:r>
      <w:r>
        <w:instrText xml:space="preserve"> PAGEREF _Toc18323385 \h </w:instrText>
      </w:r>
      <w:r>
        <w:fldChar w:fldCharType="separate"/>
      </w:r>
      <w:r>
        <w:t>14</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"_Toc18323386" </w:instrText>
      </w:r>
      <w:r>
        <w:fldChar w:fldCharType="separate"/>
      </w:r>
      <w:r>
        <w:rPr>
          <w:rStyle w:val="52"/>
          <w:rFonts w:hint="eastAsia"/>
        </w:rPr>
        <w:t>第四章</w:t>
      </w:r>
      <w:r>
        <w:rPr>
          <w:rStyle w:val="52"/>
        </w:rPr>
        <w:t xml:space="preserve"> </w:t>
      </w:r>
      <w:r>
        <w:rPr>
          <w:rStyle w:val="52"/>
          <w:rFonts w:hint="eastAsia"/>
        </w:rPr>
        <w:t>政府采购合同的签订、履约及验收</w:t>
      </w:r>
      <w:r>
        <w:tab/>
      </w:r>
      <w:r>
        <w:fldChar w:fldCharType="begin"/>
      </w:r>
      <w:r>
        <w:instrText xml:space="preserve"> PAGEREF _Toc18323386 \h </w:instrText>
      </w:r>
      <w:r>
        <w:fldChar w:fldCharType="separate"/>
      </w:r>
      <w:r>
        <w:t>22</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"_Toc18323387" </w:instrText>
      </w:r>
      <w:r>
        <w:fldChar w:fldCharType="separate"/>
      </w:r>
      <w:r>
        <w:rPr>
          <w:rStyle w:val="52"/>
          <w:rFonts w:hint="eastAsia"/>
        </w:rPr>
        <w:t>第五章</w:t>
      </w:r>
      <w:r>
        <w:rPr>
          <w:rStyle w:val="52"/>
        </w:rPr>
        <w:t xml:space="preserve"> </w:t>
      </w:r>
      <w:r>
        <w:rPr>
          <w:rStyle w:val="52"/>
          <w:rFonts w:hint="eastAsia"/>
        </w:rPr>
        <w:t>投标文件格式、附件</w:t>
      </w:r>
      <w:r>
        <w:tab/>
      </w:r>
      <w:r>
        <w:fldChar w:fldCharType="begin"/>
      </w:r>
      <w:r>
        <w:instrText xml:space="preserve"> PAGEREF _Toc18323387 \h </w:instrText>
      </w:r>
      <w:r>
        <w:fldChar w:fldCharType="separate"/>
      </w:r>
      <w:r>
        <w:t>25</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"_Toc18323388" </w:instrText>
      </w:r>
      <w:r>
        <w:fldChar w:fldCharType="separate"/>
      </w:r>
      <w:r>
        <w:rPr>
          <w:rStyle w:val="52"/>
          <w:rFonts w:hint="eastAsia"/>
        </w:rPr>
        <w:t>第二册</w:t>
      </w:r>
      <w:r>
        <w:rPr>
          <w:rStyle w:val="52"/>
        </w:rPr>
        <w:t xml:space="preserve">  </w:t>
      </w:r>
      <w:r>
        <w:rPr>
          <w:rStyle w:val="52"/>
          <w:rFonts w:hint="eastAsia"/>
        </w:rPr>
        <w:t>通用条款</w:t>
      </w:r>
      <w:r>
        <w:tab/>
      </w:r>
      <w:r>
        <w:fldChar w:fldCharType="begin"/>
      </w:r>
      <w:r>
        <w:instrText xml:space="preserve"> PAGEREF _Toc18323388 \h </w:instrText>
      </w:r>
      <w:r>
        <w:fldChar w:fldCharType="separate"/>
      </w:r>
      <w:r>
        <w:t>49</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"_Toc18323389" </w:instrText>
      </w:r>
      <w:r>
        <w:fldChar w:fldCharType="separate"/>
      </w:r>
      <w:r>
        <w:rPr>
          <w:rStyle w:val="52"/>
          <w:rFonts w:hint="eastAsia"/>
        </w:rPr>
        <w:t>第一章</w:t>
      </w:r>
      <w:r>
        <w:rPr>
          <w:rStyle w:val="52"/>
        </w:rPr>
        <w:t xml:space="preserve"> </w:t>
      </w:r>
      <w:r>
        <w:rPr>
          <w:rStyle w:val="52"/>
          <w:rFonts w:hint="eastAsia"/>
        </w:rPr>
        <w:t>总则</w:t>
      </w:r>
      <w:r>
        <w:tab/>
      </w:r>
      <w:r>
        <w:fldChar w:fldCharType="begin"/>
      </w:r>
      <w:r>
        <w:instrText xml:space="preserve"> PAGEREF _Toc18323389 \h </w:instrText>
      </w:r>
      <w:r>
        <w:fldChar w:fldCharType="separate"/>
      </w:r>
      <w:r>
        <w:t>49</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"_Toc18323390" </w:instrText>
      </w:r>
      <w:r>
        <w:fldChar w:fldCharType="separate"/>
      </w:r>
      <w:r>
        <w:rPr>
          <w:rStyle w:val="52"/>
          <w:rFonts w:hint="eastAsia"/>
        </w:rPr>
        <w:t>第二章</w:t>
      </w:r>
      <w:r>
        <w:rPr>
          <w:rStyle w:val="52"/>
        </w:rPr>
        <w:t xml:space="preserve"> </w:t>
      </w:r>
      <w:r>
        <w:rPr>
          <w:rStyle w:val="52"/>
          <w:rFonts w:hint="eastAsia"/>
        </w:rPr>
        <w:t>招标文件</w:t>
      </w:r>
      <w:r>
        <w:tab/>
      </w:r>
      <w:r>
        <w:fldChar w:fldCharType="begin"/>
      </w:r>
      <w:r>
        <w:instrText xml:space="preserve"> PAGEREF _Toc18323390 \h </w:instrText>
      </w:r>
      <w:r>
        <w:fldChar w:fldCharType="separate"/>
      </w:r>
      <w:r>
        <w:t>51</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"_Toc18323391" </w:instrText>
      </w:r>
      <w:r>
        <w:fldChar w:fldCharType="separate"/>
      </w:r>
      <w:r>
        <w:rPr>
          <w:rStyle w:val="52"/>
          <w:rFonts w:hint="eastAsia"/>
        </w:rPr>
        <w:t>第三章</w:t>
      </w:r>
      <w:r>
        <w:rPr>
          <w:rStyle w:val="52"/>
        </w:rPr>
        <w:t xml:space="preserve"> </w:t>
      </w:r>
      <w:r>
        <w:rPr>
          <w:rStyle w:val="52"/>
          <w:rFonts w:hint="eastAsia"/>
        </w:rPr>
        <w:t>投标文件的编制与递交</w:t>
      </w:r>
      <w:r>
        <w:tab/>
      </w:r>
      <w:r>
        <w:fldChar w:fldCharType="begin"/>
      </w:r>
      <w:r>
        <w:instrText xml:space="preserve"> PAGEREF _Toc18323391 \h </w:instrText>
      </w:r>
      <w:r>
        <w:fldChar w:fldCharType="separate"/>
      </w:r>
      <w:r>
        <w:t>53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"_Toc18323392" </w:instrText>
      </w:r>
      <w:r>
        <w:fldChar w:fldCharType="separate"/>
      </w:r>
      <w:r>
        <w:rPr>
          <w:rStyle w:val="52"/>
          <w:rFonts w:hint="eastAsia"/>
        </w:rPr>
        <w:t>第四章</w:t>
      </w:r>
      <w:r>
        <w:rPr>
          <w:rStyle w:val="52"/>
        </w:rPr>
        <w:t xml:space="preserve"> </w:t>
      </w:r>
      <w:r>
        <w:rPr>
          <w:rStyle w:val="52"/>
          <w:rFonts w:hint="eastAsia"/>
        </w:rPr>
        <w:t>开标</w:t>
      </w:r>
      <w:r>
        <w:tab/>
      </w:r>
      <w:r>
        <w:fldChar w:fldCharType="begin"/>
      </w:r>
      <w:r>
        <w:instrText xml:space="preserve"> PAGEREF _Toc18323392 \h </w:instrText>
      </w:r>
      <w:r>
        <w:fldChar w:fldCharType="separate"/>
      </w:r>
      <w:r>
        <w:t>57</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"_Toc18323393" </w:instrText>
      </w:r>
      <w:r>
        <w:fldChar w:fldCharType="separate"/>
      </w:r>
      <w:r>
        <w:rPr>
          <w:rStyle w:val="52"/>
          <w:rFonts w:hint="eastAsia"/>
        </w:rPr>
        <w:t>第五章</w:t>
      </w:r>
      <w:r>
        <w:rPr>
          <w:rStyle w:val="52"/>
        </w:rPr>
        <w:t xml:space="preserve"> </w:t>
      </w:r>
      <w:r>
        <w:rPr>
          <w:rStyle w:val="52"/>
          <w:rFonts w:hint="eastAsia"/>
        </w:rPr>
        <w:t>评标要求</w:t>
      </w:r>
      <w:r>
        <w:tab/>
      </w:r>
      <w:r>
        <w:fldChar w:fldCharType="begin"/>
      </w:r>
      <w:r>
        <w:instrText xml:space="preserve"> PAGEREF _Toc18323393 \h </w:instrText>
      </w:r>
      <w:r>
        <w:fldChar w:fldCharType="separate"/>
      </w:r>
      <w:r>
        <w:t>57</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"_Toc18323394" </w:instrText>
      </w:r>
      <w:r>
        <w:fldChar w:fldCharType="separate"/>
      </w:r>
      <w:r>
        <w:rPr>
          <w:rStyle w:val="52"/>
          <w:rFonts w:hint="eastAsia"/>
        </w:rPr>
        <w:t>第六章</w:t>
      </w:r>
      <w:r>
        <w:rPr>
          <w:rStyle w:val="52"/>
        </w:rPr>
        <w:t xml:space="preserve"> </w:t>
      </w:r>
      <w:r>
        <w:rPr>
          <w:rStyle w:val="52"/>
          <w:rFonts w:hint="eastAsia"/>
        </w:rPr>
        <w:t>评标程序及评标方法</w:t>
      </w:r>
      <w:r>
        <w:tab/>
      </w:r>
      <w:r>
        <w:fldChar w:fldCharType="begin"/>
      </w:r>
      <w:r>
        <w:instrText xml:space="preserve"> PAGEREF _Toc18323394 \h </w:instrText>
      </w:r>
      <w:r>
        <w:fldChar w:fldCharType="separate"/>
      </w:r>
      <w:r>
        <w:t>58</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"_Toc18323395" </w:instrText>
      </w:r>
      <w:r>
        <w:fldChar w:fldCharType="separate"/>
      </w:r>
      <w:r>
        <w:rPr>
          <w:rStyle w:val="52"/>
          <w:rFonts w:hint="eastAsia"/>
        </w:rPr>
        <w:t>第七章</w:t>
      </w:r>
      <w:r>
        <w:rPr>
          <w:rStyle w:val="52"/>
        </w:rPr>
        <w:t xml:space="preserve"> </w:t>
      </w:r>
      <w:r>
        <w:rPr>
          <w:rStyle w:val="52"/>
          <w:rFonts w:hint="eastAsia"/>
        </w:rPr>
        <w:t>定标及公示</w:t>
      </w:r>
      <w:r>
        <w:tab/>
      </w:r>
      <w:r>
        <w:fldChar w:fldCharType="begin"/>
      </w:r>
      <w:r>
        <w:instrText xml:space="preserve"> PAGEREF _Toc18323395 \h </w:instrText>
      </w:r>
      <w:r>
        <w:fldChar w:fldCharType="separate"/>
      </w:r>
      <w:r>
        <w:t>62</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"_Toc18323396" </w:instrText>
      </w:r>
      <w:r>
        <w:fldChar w:fldCharType="separate"/>
      </w:r>
      <w:r>
        <w:rPr>
          <w:rStyle w:val="52"/>
          <w:rFonts w:hint="eastAsia"/>
        </w:rPr>
        <w:t>第八章</w:t>
      </w:r>
      <w:r>
        <w:rPr>
          <w:rStyle w:val="52"/>
        </w:rPr>
        <w:t xml:space="preserve"> </w:t>
      </w:r>
      <w:r>
        <w:rPr>
          <w:rStyle w:val="52"/>
          <w:rFonts w:hint="eastAsia"/>
        </w:rPr>
        <w:t>公开招标失败的后续处理</w:t>
      </w:r>
      <w:r>
        <w:tab/>
      </w:r>
      <w:r>
        <w:fldChar w:fldCharType="begin"/>
      </w:r>
      <w:r>
        <w:instrText xml:space="preserve"> PAGEREF _Toc18323396 \h </w:instrText>
      </w:r>
      <w:r>
        <w:fldChar w:fldCharType="separate"/>
      </w:r>
      <w:r>
        <w:t>63</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"_Toc18323397" </w:instrText>
      </w:r>
      <w:r>
        <w:fldChar w:fldCharType="separate"/>
      </w:r>
      <w:r>
        <w:rPr>
          <w:rStyle w:val="52"/>
          <w:rFonts w:hint="eastAsia"/>
        </w:rPr>
        <w:t>第九章</w:t>
      </w:r>
      <w:r>
        <w:rPr>
          <w:rStyle w:val="52"/>
        </w:rPr>
        <w:t xml:space="preserve"> </w:t>
      </w:r>
      <w:r>
        <w:rPr>
          <w:rStyle w:val="52"/>
          <w:rFonts w:hint="eastAsia"/>
        </w:rPr>
        <w:t>合同的授予与备案</w:t>
      </w:r>
      <w:r>
        <w:tab/>
      </w:r>
      <w:r>
        <w:fldChar w:fldCharType="begin"/>
      </w:r>
      <w:r>
        <w:instrText xml:space="preserve"> PAGEREF _Toc18323397 \h </w:instrText>
      </w:r>
      <w:r>
        <w:fldChar w:fldCharType="separate"/>
      </w:r>
      <w:r>
        <w:t>66</w:t>
      </w:r>
      <w:r>
        <w:fldChar w:fldCharType="end"/>
      </w:r>
      <w:r>
        <w:fldChar w:fldCharType="end"/>
      </w:r>
    </w:p>
    <w:p>
      <w:pPr>
        <w:pStyle w:val="36"/>
        <w:ind w:left="105"/>
        <w:rPr>
          <w:rFonts w:asciiTheme="minorHAnsi" w:hAnsiTheme="minorHAnsi" w:eastAsiaTheme="minorEastAsia" w:cstheme="minorBidi"/>
          <w:smallCaps w:val="0"/>
          <w:kern w:val="2"/>
          <w:sz w:val="21"/>
          <w:szCs w:val="22"/>
        </w:rPr>
      </w:pPr>
      <w:r>
        <w:fldChar w:fldCharType="begin"/>
      </w:r>
      <w:r>
        <w:instrText xml:space="preserve"> HYPERLINK \l "_Toc18323398" </w:instrText>
      </w:r>
      <w:r>
        <w:fldChar w:fldCharType="separate"/>
      </w:r>
      <w:r>
        <w:rPr>
          <w:rStyle w:val="52"/>
          <w:rFonts w:hint="eastAsia"/>
        </w:rPr>
        <w:t>第十章</w:t>
      </w:r>
      <w:r>
        <w:rPr>
          <w:rStyle w:val="52"/>
        </w:rPr>
        <w:t xml:space="preserve"> </w:t>
      </w:r>
      <w:r>
        <w:rPr>
          <w:rStyle w:val="52"/>
          <w:rFonts w:hint="eastAsia"/>
        </w:rPr>
        <w:t>质疑受理</w:t>
      </w:r>
      <w:r>
        <w:tab/>
      </w:r>
      <w:r>
        <w:fldChar w:fldCharType="begin"/>
      </w:r>
      <w:r>
        <w:instrText xml:space="preserve"> PAGEREF _Toc18323398 \h </w:instrText>
      </w:r>
      <w:r>
        <w:fldChar w:fldCharType="separate"/>
      </w:r>
      <w:r>
        <w:t>66</w:t>
      </w:r>
      <w:r>
        <w:fldChar w:fldCharType="end"/>
      </w:r>
      <w:r>
        <w:fldChar w:fldCharType="end"/>
      </w:r>
    </w:p>
    <w:p>
      <w:pPr>
        <w:pStyle w:val="31"/>
        <w:rPr>
          <w:rFonts w:asciiTheme="minorHAnsi" w:hAnsiTheme="minorHAnsi" w:eastAsiaTheme="minorEastAsia" w:cstheme="minorBidi"/>
          <w:b w:val="0"/>
          <w:bCs w:val="0"/>
          <w:caps w:val="0"/>
          <w:kern w:val="2"/>
          <w:sz w:val="21"/>
          <w:szCs w:val="22"/>
        </w:rPr>
      </w:pPr>
      <w:r>
        <w:fldChar w:fldCharType="begin"/>
      </w:r>
      <w:r>
        <w:instrText xml:space="preserve"> HYPERLINK \l "_Toc18323399" </w:instrText>
      </w:r>
      <w:r>
        <w:fldChar w:fldCharType="separate"/>
      </w:r>
      <w:r>
        <w:rPr>
          <w:rStyle w:val="52"/>
          <w:rFonts w:hint="eastAsia"/>
        </w:rPr>
        <w:t>招标代理服务取费说明</w:t>
      </w:r>
      <w:r>
        <w:tab/>
      </w:r>
      <w:r>
        <w:fldChar w:fldCharType="begin"/>
      </w:r>
      <w:r>
        <w:instrText xml:space="preserve"> PAGEREF _Toc18323399 \h </w:instrText>
      </w:r>
      <w:r>
        <w:fldChar w:fldCharType="separate"/>
      </w:r>
      <w:r>
        <w:t>68</w:t>
      </w:r>
      <w:r>
        <w:fldChar w:fldCharType="end"/>
      </w:r>
      <w:r>
        <w:fldChar w:fldCharType="end"/>
      </w:r>
    </w:p>
    <w:p>
      <w:pPr>
        <w:tabs>
          <w:tab w:val="right" w:leader="dot" w:pos="8820"/>
          <w:tab w:val="right" w:leader="dot" w:pos="9240"/>
          <w:tab w:val="clear" w:pos="426"/>
        </w:tabs>
      </w:pPr>
      <w:r>
        <w:rPr>
          <w:smallCaps/>
          <w:sz w:val="28"/>
        </w:rPr>
        <w:fldChar w:fldCharType="end"/>
      </w:r>
    </w:p>
    <w:p>
      <w:pPr>
        <w:tabs>
          <w:tab w:val="clear" w:pos="426"/>
        </w:tabs>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pPr>
      <w:bookmarkStart w:id="0" w:name="_Toc18323377"/>
      <w:bookmarkStart w:id="1" w:name="_Toc432592808"/>
      <w:r>
        <w:rPr>
          <w:rFonts w:hint="eastAsia"/>
        </w:rPr>
        <w:t>警示条款</w:t>
      </w:r>
      <w:bookmarkEnd w:id="0"/>
    </w:p>
    <w:p>
      <w:pPr>
        <w:ind w:firstLine="560" w:firstLineChars="20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tabs>
          <w:tab w:val="clear" w:pos="426"/>
        </w:tabs>
        <w:ind w:left="424" w:leftChars="202"/>
        <w:rPr>
          <w:sz w:val="28"/>
          <w:szCs w:val="28"/>
        </w:rPr>
      </w:pPr>
      <w:r>
        <w:rPr>
          <w:rFonts w:hint="eastAsia"/>
          <w:sz w:val="28"/>
          <w:szCs w:val="28"/>
        </w:rPr>
        <w:t>（一）在采购活动中应当回避而未回避的；</w:t>
      </w:r>
    </w:p>
    <w:p>
      <w:pPr>
        <w:tabs>
          <w:tab w:val="clear" w:pos="426"/>
        </w:tabs>
        <w:ind w:left="424" w:leftChars="202"/>
        <w:rPr>
          <w:sz w:val="28"/>
          <w:szCs w:val="28"/>
        </w:rPr>
      </w:pPr>
      <w:r>
        <w:rPr>
          <w:rFonts w:hint="eastAsia"/>
          <w:sz w:val="28"/>
          <w:szCs w:val="28"/>
        </w:rPr>
        <w:t>（二）未按本条例规定签订、履行采购合同，造成严重后果的；</w:t>
      </w:r>
    </w:p>
    <w:p>
      <w:pPr>
        <w:tabs>
          <w:tab w:val="clear" w:pos="426"/>
        </w:tabs>
        <w:ind w:left="424" w:leftChars="202"/>
        <w:rPr>
          <w:sz w:val="28"/>
          <w:szCs w:val="28"/>
        </w:rPr>
      </w:pPr>
      <w:r>
        <w:rPr>
          <w:rFonts w:hint="eastAsia"/>
          <w:sz w:val="28"/>
          <w:szCs w:val="28"/>
        </w:rPr>
        <w:t>（三）隐瞒真实情况，提供虚假资料的；</w:t>
      </w:r>
    </w:p>
    <w:p>
      <w:pPr>
        <w:tabs>
          <w:tab w:val="clear" w:pos="426"/>
        </w:tabs>
        <w:ind w:left="424" w:leftChars="202"/>
        <w:rPr>
          <w:sz w:val="28"/>
          <w:szCs w:val="28"/>
        </w:rPr>
      </w:pPr>
      <w:r>
        <w:rPr>
          <w:rFonts w:hint="eastAsia"/>
          <w:sz w:val="28"/>
          <w:szCs w:val="28"/>
        </w:rPr>
        <w:t>（四）以非法手段排斥其他供应商参与竞争的；</w:t>
      </w:r>
    </w:p>
    <w:p>
      <w:pPr>
        <w:tabs>
          <w:tab w:val="clear" w:pos="426"/>
        </w:tabs>
        <w:ind w:left="424" w:leftChars="202"/>
        <w:rPr>
          <w:sz w:val="28"/>
          <w:szCs w:val="28"/>
        </w:rPr>
      </w:pPr>
      <w:r>
        <w:rPr>
          <w:rFonts w:hint="eastAsia"/>
          <w:sz w:val="28"/>
          <w:szCs w:val="28"/>
        </w:rPr>
        <w:t>（五）与其他采购参加人串通投标的；</w:t>
      </w:r>
    </w:p>
    <w:p>
      <w:pPr>
        <w:tabs>
          <w:tab w:val="clear" w:pos="426"/>
        </w:tabs>
        <w:ind w:left="424" w:leftChars="202"/>
        <w:rPr>
          <w:sz w:val="28"/>
          <w:szCs w:val="28"/>
        </w:rPr>
      </w:pPr>
      <w:r>
        <w:rPr>
          <w:rFonts w:hint="eastAsia"/>
          <w:sz w:val="28"/>
          <w:szCs w:val="28"/>
        </w:rPr>
        <w:t>（六）恶意投诉的；</w:t>
      </w:r>
    </w:p>
    <w:p>
      <w:pPr>
        <w:tabs>
          <w:tab w:val="clear" w:pos="426"/>
        </w:tabs>
        <w:ind w:left="424" w:leftChars="202"/>
        <w:rPr>
          <w:sz w:val="28"/>
          <w:szCs w:val="28"/>
        </w:rPr>
      </w:pPr>
      <w:r>
        <w:rPr>
          <w:rFonts w:hint="eastAsia"/>
          <w:sz w:val="28"/>
          <w:szCs w:val="28"/>
        </w:rPr>
        <w:t>（七）向采购项目相关人行贿或者提供其他不当利益的；</w:t>
      </w:r>
    </w:p>
    <w:p>
      <w:pPr>
        <w:tabs>
          <w:tab w:val="clear" w:pos="426"/>
        </w:tabs>
        <w:ind w:left="424" w:leftChars="202"/>
        <w:rPr>
          <w:sz w:val="28"/>
          <w:szCs w:val="28"/>
        </w:rPr>
      </w:pPr>
      <w:r>
        <w:rPr>
          <w:rFonts w:hint="eastAsia"/>
          <w:sz w:val="28"/>
          <w:szCs w:val="28"/>
        </w:rPr>
        <w:t>（八）阻碍、抗拒主管部门监督检查的；</w:t>
      </w:r>
    </w:p>
    <w:p>
      <w:pPr>
        <w:tabs>
          <w:tab w:val="clear" w:pos="426"/>
        </w:tabs>
        <w:ind w:left="424" w:leftChars="202"/>
        <w:rPr>
          <w:sz w:val="28"/>
          <w:szCs w:val="28"/>
        </w:rPr>
      </w:pPr>
      <w:r>
        <w:rPr>
          <w:rFonts w:hint="eastAsia"/>
          <w:sz w:val="28"/>
          <w:szCs w:val="28"/>
        </w:rPr>
        <w:t>（九）其他违反本条例规定的行为。</w:t>
      </w:r>
    </w:p>
    <w:p>
      <w:pPr>
        <w:tabs>
          <w:tab w:val="clear" w:pos="426"/>
        </w:tabs>
        <w:ind w:left="424" w:leftChars="202"/>
        <w:rPr>
          <w:sz w:val="28"/>
          <w:szCs w:val="28"/>
        </w:rPr>
      </w:pPr>
    </w:p>
    <w:p>
      <w:pPr>
        <w:tabs>
          <w:tab w:val="clear" w:pos="426"/>
        </w:tabs>
        <w:ind w:left="424" w:leftChars="202"/>
        <w:rPr>
          <w:sz w:val="28"/>
          <w:szCs w:val="28"/>
        </w:rPr>
      </w:pPr>
    </w:p>
    <w:p>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pPr>
        <w:pStyle w:val="33"/>
        <w:tabs>
          <w:tab w:val="clear" w:pos="426"/>
        </w:tabs>
      </w:pPr>
      <w:bookmarkStart w:id="2" w:name="_Toc18323378"/>
      <w:r>
        <w:rPr>
          <w:rFonts w:hint="eastAsia"/>
        </w:rPr>
        <w:t>项目关键信息</w:t>
      </w:r>
      <w:bookmarkEnd w:id="1"/>
      <w:bookmarkEnd w:id="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rFonts w:hint="eastAsia"/>
                <w:szCs w:val="21"/>
              </w:rPr>
              <w:t>招标项目编号</w:t>
            </w:r>
          </w:p>
        </w:tc>
        <w:tc>
          <w:tcPr>
            <w:tcW w:w="3661" w:type="pct"/>
            <w:vAlign w:val="center"/>
          </w:tcPr>
          <w:p>
            <w:pPr>
              <w:tabs>
                <w:tab w:val="clear" w:pos="426"/>
              </w:tabs>
              <w:adjustRightInd/>
              <w:snapToGrid/>
              <w:spacing w:line="240" w:lineRule="auto"/>
              <w:rPr>
                <w:rFonts w:hint="eastAsia" w:eastAsia="宋体"/>
                <w:szCs w:val="21"/>
                <w:lang w:eastAsia="zh-CN"/>
              </w:rPr>
            </w:pPr>
            <w:r>
              <w:rPr>
                <w:rFonts w:hint="eastAsia"/>
                <w:szCs w:val="21"/>
                <w:highlight w:val="yellow"/>
                <w:lang w:eastAsia="zh-CN"/>
              </w:rPr>
              <w:t>SSZX2020-517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rFonts w:hint="eastAsia"/>
                <w:szCs w:val="21"/>
              </w:rPr>
              <w:t>项目名称</w:t>
            </w:r>
          </w:p>
        </w:tc>
        <w:tc>
          <w:tcPr>
            <w:tcW w:w="3661" w:type="pct"/>
            <w:vAlign w:val="center"/>
          </w:tcPr>
          <w:p>
            <w:pPr>
              <w:tabs>
                <w:tab w:val="clear" w:pos="426"/>
              </w:tabs>
              <w:adjustRightInd/>
              <w:snapToGrid/>
              <w:spacing w:line="240" w:lineRule="auto"/>
              <w:rPr>
                <w:rFonts w:hint="eastAsia" w:eastAsia="宋体"/>
                <w:szCs w:val="21"/>
                <w:lang w:eastAsia="zh-CN"/>
              </w:rPr>
            </w:pPr>
            <w:r>
              <w:rPr>
                <w:rFonts w:hint="eastAsia"/>
                <w:szCs w:val="21"/>
                <w:lang w:eastAsia="zh-CN"/>
              </w:rPr>
              <w:t>公明兴文幼儿园改造工程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szCs w:val="21"/>
              </w:rPr>
              <w:t>项目类型</w:t>
            </w:r>
          </w:p>
        </w:tc>
        <w:tc>
          <w:tcPr>
            <w:tcW w:w="3661" w:type="pct"/>
            <w:vAlign w:val="center"/>
          </w:tcPr>
          <w:p>
            <w:pPr>
              <w:tabs>
                <w:tab w:val="clear" w:pos="426"/>
              </w:tabs>
              <w:adjustRightInd/>
              <w:snapToGrid/>
              <w:spacing w:line="240" w:lineRule="auto"/>
              <w:rPr>
                <w:szCs w:val="21"/>
              </w:rPr>
            </w:pPr>
            <w:r>
              <w:rPr>
                <w:rFonts w:hint="eastAsia"/>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szCs w:val="21"/>
              </w:rPr>
              <w:t>采购方式</w:t>
            </w:r>
          </w:p>
        </w:tc>
        <w:tc>
          <w:tcPr>
            <w:tcW w:w="3661" w:type="pct"/>
            <w:vAlign w:val="center"/>
          </w:tcPr>
          <w:p>
            <w:pPr>
              <w:tabs>
                <w:tab w:val="clear" w:pos="426"/>
              </w:tabs>
              <w:adjustRightInd/>
              <w:snapToGrid/>
              <w:spacing w:line="240" w:lineRule="auto"/>
              <w:rPr>
                <w:szCs w:val="21"/>
              </w:rPr>
            </w:pPr>
            <w:r>
              <w:rPr>
                <w:rFonts w:hint="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szCs w:val="21"/>
              </w:rPr>
              <w:t>货币类型</w:t>
            </w:r>
          </w:p>
        </w:tc>
        <w:tc>
          <w:tcPr>
            <w:tcW w:w="3661" w:type="pct"/>
            <w:vAlign w:val="center"/>
          </w:tcPr>
          <w:p>
            <w:pPr>
              <w:tabs>
                <w:tab w:val="clear" w:pos="426"/>
              </w:tabs>
              <w:adjustRightInd/>
              <w:snapToGrid/>
              <w:spacing w:line="240" w:lineRule="auto"/>
              <w:rPr>
                <w:szCs w:val="21"/>
              </w:rPr>
            </w:pPr>
            <w:r>
              <w:rPr>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9" w:type="pct"/>
            <w:vAlign w:val="center"/>
          </w:tcPr>
          <w:p>
            <w:pPr>
              <w:tabs>
                <w:tab w:val="clear" w:pos="426"/>
              </w:tabs>
              <w:adjustRightInd/>
              <w:snapToGrid/>
              <w:spacing w:line="240" w:lineRule="auto"/>
              <w:rPr>
                <w:szCs w:val="21"/>
              </w:rPr>
            </w:pPr>
            <w:r>
              <w:rPr>
                <w:rFonts w:hint="eastAsia"/>
                <w:szCs w:val="21"/>
              </w:rPr>
              <w:t>招标文件结构</w:t>
            </w:r>
          </w:p>
        </w:tc>
        <w:tc>
          <w:tcPr>
            <w:tcW w:w="3661" w:type="pct"/>
            <w:vAlign w:val="center"/>
          </w:tcPr>
          <w:p>
            <w:pPr>
              <w:tabs>
                <w:tab w:val="clear" w:pos="426"/>
              </w:tabs>
              <w:adjustRightInd/>
              <w:snapToGrid/>
              <w:spacing w:line="240" w:lineRule="auto"/>
              <w:rPr>
                <w:szCs w:val="21"/>
              </w:rPr>
            </w:pPr>
            <w:r>
              <w:rPr>
                <w:szCs w:val="21"/>
              </w:rPr>
              <w:t>1.本招标文件分为第一册“专用条款”和第二册“通用条款”。</w:t>
            </w:r>
          </w:p>
          <w:p>
            <w:pPr>
              <w:tabs>
                <w:tab w:val="clear" w:pos="426"/>
              </w:tabs>
              <w:adjustRightInd/>
              <w:snapToGrid/>
              <w:spacing w:line="240" w:lineRule="auto"/>
              <w:rPr>
                <w:szCs w:val="21"/>
              </w:rPr>
            </w:pPr>
            <w:r>
              <w:rPr>
                <w:szCs w:val="21"/>
              </w:rPr>
              <w:t>2.“专用条款”是对本次采购项目的具体要求，包含招标公告、招标项目需求、合同条款及格式、投标文件格式、附件等内容。</w:t>
            </w:r>
          </w:p>
          <w:p>
            <w:pPr>
              <w:tabs>
                <w:tab w:val="clear" w:pos="426"/>
              </w:tabs>
              <w:adjustRightInd/>
              <w:snapToGrid/>
              <w:spacing w:line="240" w:lineRule="auto"/>
              <w:rPr>
                <w:szCs w:val="21"/>
              </w:rPr>
            </w:pPr>
            <w:r>
              <w:rPr>
                <w:szCs w:val="21"/>
              </w:rPr>
              <w:t>3.“通用条款”是通用于政府采购项目的基础性条款，具有普遍性和通用性。</w:t>
            </w:r>
          </w:p>
          <w:p>
            <w:pPr>
              <w:tabs>
                <w:tab w:val="clear" w:pos="426"/>
              </w:tabs>
              <w:adjustRightInd/>
              <w:snapToGrid/>
              <w:spacing w:line="240" w:lineRule="auto"/>
              <w:rPr>
                <w:bCs/>
                <w:szCs w:val="21"/>
                <w:highlight w:val="yellow"/>
              </w:rPr>
            </w:pPr>
            <w:r>
              <w:rPr>
                <w:szCs w:val="21"/>
              </w:rPr>
              <w:t>4.当出现“专用条款”和“通用条款”表述不一致或有冲突时，以“专用条款”为准。</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r>
        <w:br w:type="page"/>
      </w:r>
    </w:p>
    <w:p>
      <w:pPr>
        <w:pStyle w:val="33"/>
        <w:tabs>
          <w:tab w:val="clear" w:pos="426"/>
        </w:tabs>
        <w:rPr>
          <w:bCs w:val="0"/>
        </w:rPr>
      </w:pPr>
      <w:bookmarkStart w:id="3" w:name="_Toc18323379"/>
      <w:r>
        <w:rPr>
          <w:rFonts w:hint="eastAsia"/>
          <w:bCs w:val="0"/>
        </w:rPr>
        <w:t>资格、符合性评审条款</w:t>
      </w:r>
      <w:bookmarkEnd w:id="3"/>
    </w:p>
    <w:p>
      <w:pPr>
        <w:jc w:val="center"/>
        <w:rPr>
          <w:color w:val="FF0000"/>
        </w:rPr>
      </w:pPr>
      <w:r>
        <w:rPr>
          <w:rFonts w:hint="eastAsia"/>
          <w:b/>
          <w:color w:val="FF0000"/>
        </w:rPr>
        <w:t>（凡有下列情形之一的，将导致投标无效）</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78" w:type="pct"/>
            <w:vAlign w:val="center"/>
          </w:tcPr>
          <w:p>
            <w:pPr>
              <w:tabs>
                <w:tab w:val="clear" w:pos="426"/>
              </w:tabs>
              <w:adjustRightInd/>
              <w:snapToGrid/>
              <w:spacing w:line="240" w:lineRule="auto"/>
              <w:jc w:val="center"/>
              <w:rPr>
                <w:b/>
              </w:rPr>
            </w:pPr>
            <w:r>
              <w:rPr>
                <w:rFonts w:hint="eastAsia"/>
                <w:b/>
              </w:rPr>
              <w:t>序号</w:t>
            </w:r>
          </w:p>
        </w:tc>
        <w:tc>
          <w:tcPr>
            <w:tcW w:w="4622" w:type="pct"/>
            <w:vAlign w:val="center"/>
          </w:tcPr>
          <w:p>
            <w:pPr>
              <w:tabs>
                <w:tab w:val="clear" w:pos="426"/>
              </w:tabs>
              <w:adjustRightInd/>
              <w:snapToGrid/>
              <w:spacing w:line="240" w:lineRule="auto"/>
              <w:jc w:val="center"/>
              <w:rPr>
                <w:b/>
              </w:rPr>
            </w:pPr>
            <w:r>
              <w:rPr>
                <w:rFonts w:hint="eastAsia"/>
                <w:b/>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tabs>
                <w:tab w:val="clear" w:pos="426"/>
              </w:tabs>
              <w:adjustRightInd/>
              <w:snapToGrid/>
              <w:spacing w:line="240" w:lineRule="auto"/>
              <w:jc w:val="center"/>
              <w:rPr>
                <w:b/>
              </w:rPr>
            </w:pPr>
            <w:r>
              <w:rPr>
                <w:rFonts w:hint="eastAsia"/>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78" w:type="pct"/>
            <w:vAlign w:val="center"/>
          </w:tcPr>
          <w:p>
            <w:pPr>
              <w:numPr>
                <w:ilvl w:val="0"/>
                <w:numId w:val="21"/>
              </w:numPr>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000" w:type="pct"/>
            <w:gridSpan w:val="2"/>
            <w:vAlign w:val="center"/>
          </w:tcPr>
          <w:p>
            <w:pPr>
              <w:tabs>
                <w:tab w:val="clear" w:pos="426"/>
              </w:tabs>
              <w:adjustRightInd/>
              <w:snapToGrid/>
              <w:spacing w:line="240" w:lineRule="auto"/>
              <w:jc w:val="center"/>
            </w:pPr>
            <w:r>
              <w:rPr>
                <w:rFonts w:hint="eastAsia"/>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szCs w:val="21"/>
              </w:rPr>
              <w:t>对同一项目投标时，提供两套以上的投标方案（招标文件另有规定的除外）；</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投标总价或分项报价高于财政预算限额</w:t>
            </w:r>
            <w:r>
              <w:rPr>
                <w:szCs w:val="21"/>
              </w:rPr>
              <w:t>（最高投标限价）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szCs w:val="21"/>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rPr>
                <w:color w:val="FF0000"/>
              </w:rPr>
            </w:pPr>
            <w:r>
              <w:rPr>
                <w:rFonts w:hint="eastAsia"/>
                <w:color w:val="FF0000"/>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rPr>
                <w:color w:val="FF0000"/>
              </w:rPr>
            </w:pPr>
            <w:r>
              <w:rPr>
                <w:rFonts w:hint="eastAsia"/>
                <w:color w:val="FF0000"/>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投标报价有严重缺漏项目或对招标文件规定的工程清单项目及数量进行修改；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78" w:type="pct"/>
            <w:vAlign w:val="center"/>
          </w:tcPr>
          <w:p>
            <w:pPr>
              <w:widowControl w:val="0"/>
              <w:numPr>
                <w:ilvl w:val="0"/>
                <w:numId w:val="22"/>
              </w:numPr>
              <w:shd w:val="clear" w:color="auto" w:fill="auto"/>
              <w:tabs>
                <w:tab w:val="clear" w:pos="426"/>
              </w:tabs>
              <w:adjustRightInd/>
              <w:snapToGrid/>
              <w:spacing w:line="240" w:lineRule="auto"/>
              <w:ind w:left="0" w:firstLine="0"/>
              <w:jc w:val="center"/>
            </w:pPr>
          </w:p>
        </w:tc>
        <w:tc>
          <w:tcPr>
            <w:tcW w:w="4622" w:type="pct"/>
            <w:vAlign w:val="center"/>
          </w:tcPr>
          <w:p>
            <w:pPr>
              <w:tabs>
                <w:tab w:val="clear" w:pos="426"/>
              </w:tabs>
              <w:adjustRightInd/>
              <w:snapToGrid/>
              <w:spacing w:line="240" w:lineRule="auto"/>
            </w:pPr>
            <w:r>
              <w:rPr>
                <w:rFonts w:hint="eastAsia"/>
              </w:rPr>
              <w:t>法律、法规规定的属于投标无效的其他情形。</w:t>
            </w:r>
          </w:p>
        </w:tc>
      </w:tr>
    </w:tbl>
    <w:p>
      <w:pPr>
        <w:pStyle w:val="33"/>
        <w:widowControl w:val="0"/>
        <w:shd w:val="clear" w:color="auto" w:fill="auto"/>
        <w:tabs>
          <w:tab w:val="clear" w:pos="426"/>
        </w:tabs>
        <w:adjustRightInd/>
        <w:snapToGrid/>
        <w:jc w:val="both"/>
        <w:outlineLvl w:val="9"/>
        <w:rPr>
          <w:sz w:val="21"/>
          <w:szCs w:val="21"/>
        </w:rPr>
      </w:pPr>
    </w:p>
    <w:p/>
    <w:p>
      <w:pPr>
        <w:pStyle w:val="33"/>
        <w:tabs>
          <w:tab w:val="clear" w:pos="426"/>
        </w:tabs>
      </w:pPr>
      <w:r>
        <w:rPr>
          <w:sz w:val="24"/>
        </w:rPr>
        <w:br w:type="page"/>
      </w:r>
      <w:bookmarkStart w:id="4" w:name="_Toc18323380"/>
      <w:bookmarkStart w:id="5" w:name="_Toc435514846"/>
      <w:r>
        <w:t>评标信息</w:t>
      </w:r>
      <w:bookmarkEnd w:id="4"/>
    </w:p>
    <w:p>
      <w:pPr>
        <w:widowControl w:val="0"/>
        <w:shd w:val="clear" w:color="auto" w:fill="auto"/>
        <w:tabs>
          <w:tab w:val="clear" w:pos="426"/>
        </w:tabs>
        <w:adjustRightInd/>
        <w:snapToGrid/>
        <w:spacing w:line="300" w:lineRule="auto"/>
        <w:ind w:firstLine="422" w:firstLineChars="200"/>
        <w:rPr>
          <w:b/>
          <w:szCs w:val="21"/>
        </w:rPr>
      </w:pPr>
      <w:bookmarkStart w:id="6" w:name="_Hlk2106396"/>
      <w:r>
        <w:rPr>
          <w:rFonts w:hint="eastAsia"/>
          <w:b/>
          <w:szCs w:val="21"/>
        </w:rPr>
        <w:t>1本招标文件所述评标方法和定标方法与招标文件《通用条款》所述不一致之处，以以下方法为准。</w:t>
      </w:r>
    </w:p>
    <w:p>
      <w:pPr>
        <w:widowControl w:val="0"/>
        <w:shd w:val="clear" w:color="auto" w:fill="auto"/>
        <w:tabs>
          <w:tab w:val="clear" w:pos="426"/>
        </w:tabs>
        <w:adjustRightInd/>
        <w:snapToGrid/>
        <w:spacing w:line="300" w:lineRule="auto"/>
        <w:ind w:firstLine="422" w:firstLineChars="200"/>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pPr>
        <w:widowControl w:val="0"/>
        <w:shd w:val="clear" w:color="auto" w:fill="auto"/>
        <w:tabs>
          <w:tab w:val="clear" w:pos="426"/>
        </w:tabs>
        <w:adjustRightInd/>
        <w:snapToGrid/>
        <w:spacing w:line="300" w:lineRule="auto"/>
        <w:ind w:firstLine="420" w:firstLineChars="200"/>
        <w:rPr>
          <w:szCs w:val="21"/>
        </w:rPr>
      </w:pPr>
      <w:r>
        <w:rPr>
          <w:szCs w:val="21"/>
        </w:rPr>
        <w:t>中标人数量为：1家。</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szCs w:val="21"/>
          <w:highlight w:val="yellow"/>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szCs w:val="21"/>
        </w:rPr>
        <w:t>。经采购人同意后，确定为中标人。</w:t>
      </w:r>
    </w:p>
    <w:p>
      <w:pPr>
        <w:tabs>
          <w:tab w:val="clear" w:pos="426"/>
        </w:tabs>
        <w:spacing w:line="300" w:lineRule="auto"/>
        <w:ind w:firstLine="420" w:firstLineChars="200"/>
        <w:rPr>
          <w:rFonts w:cs="Times New Roman"/>
          <w:bCs/>
          <w:kern w:val="2"/>
          <w:szCs w:val="21"/>
        </w:rPr>
      </w:pPr>
      <w:r>
        <w:rPr>
          <w:rFonts w:hint="eastAsia"/>
          <w:szCs w:val="21"/>
        </w:rPr>
        <w:t>候选中标人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kern w:val="2"/>
          <w:szCs w:val="21"/>
        </w:rPr>
        <w:t>采取随机抽取方式确定</w:t>
      </w:r>
      <w:r>
        <w:rPr>
          <w:rFonts w:hint="eastAsia" w:cs="Times New Roman"/>
          <w:bCs/>
          <w:kern w:val="2"/>
          <w:szCs w:val="21"/>
        </w:rPr>
        <w:t>候选中标人</w:t>
      </w:r>
      <w:r>
        <w:rPr>
          <w:rFonts w:cs="Times New Roman"/>
          <w:bCs/>
          <w:kern w:val="2"/>
          <w:szCs w:val="21"/>
        </w:rPr>
        <w:t>推荐资格</w:t>
      </w:r>
      <w:r>
        <w:rPr>
          <w:rFonts w:hint="eastAsia" w:cs="Times New Roman"/>
          <w:bCs/>
          <w:kern w:val="2"/>
          <w:szCs w:val="21"/>
        </w:rPr>
        <w:t>。</w:t>
      </w:r>
    </w:p>
    <w:p>
      <w:pPr>
        <w:tabs>
          <w:tab w:val="clear" w:pos="426"/>
        </w:tabs>
        <w:spacing w:line="300" w:lineRule="auto"/>
        <w:ind w:firstLine="420" w:firstLineChars="20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highlight w:val="yellow"/>
        </w:rPr>
        <w:t>（若评审委员会成员对是否须由投标人作出报价合理性说明，以及书面说明是否采纳等判断不一致的，按照“少数服从多数”的原则确定评审委员会的意见）</w:t>
      </w:r>
      <w:r>
        <w:rPr>
          <w:rFonts w:hint="eastAsia"/>
        </w:rPr>
        <w:t>。</w:t>
      </w:r>
    </w:p>
    <w:p>
      <w:pPr>
        <w:widowControl w:val="0"/>
        <w:shd w:val="clear" w:color="auto" w:fill="auto"/>
        <w:tabs>
          <w:tab w:val="clear" w:pos="426"/>
        </w:tabs>
        <w:adjustRightInd/>
        <w:snapToGrid/>
        <w:spacing w:line="300" w:lineRule="auto"/>
        <w:ind w:firstLine="420" w:firstLineChars="200"/>
        <w:rPr>
          <w:szCs w:val="21"/>
        </w:rPr>
      </w:pPr>
      <w:r>
        <w:rPr>
          <w:rFonts w:hint="eastAsia"/>
          <w:szCs w:val="21"/>
        </w:rPr>
        <w:t>二、</w:t>
      </w:r>
      <w:r>
        <w:rPr>
          <w:szCs w:val="21"/>
        </w:rPr>
        <w:t>价格分计算方法：</w:t>
      </w:r>
    </w:p>
    <w:p>
      <w:pPr>
        <w:tabs>
          <w:tab w:val="clear" w:pos="426"/>
        </w:tabs>
        <w:spacing w:line="300" w:lineRule="auto"/>
        <w:ind w:firstLine="420" w:firstLineChars="20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szCs w:val="21"/>
        </w:rPr>
      </w:pPr>
      <w:r>
        <w:rPr>
          <w:rFonts w:hint="eastAsia"/>
          <w:szCs w:val="21"/>
        </w:rPr>
        <w:t>投标报价得分</w:t>
      </w:r>
      <w:r>
        <w:rPr>
          <w:szCs w:val="21"/>
        </w:rPr>
        <w:t>=(评标基准价／投标报价)×100</w:t>
      </w:r>
    </w:p>
    <w:p>
      <w:pPr>
        <w:tabs>
          <w:tab w:val="clear" w:pos="426"/>
        </w:tabs>
        <w:spacing w:line="300" w:lineRule="auto"/>
        <w:ind w:firstLine="420" w:firstLineChars="200"/>
        <w:rPr>
          <w:szCs w:val="21"/>
        </w:rPr>
      </w:pPr>
      <w:r>
        <w:rPr>
          <w:rFonts w:hint="eastAsia"/>
          <w:szCs w:val="21"/>
        </w:rPr>
        <w:t>评标总得分＝</w:t>
      </w:r>
      <w:r>
        <w:rPr>
          <w:szCs w:val="21"/>
        </w:rPr>
        <w:t>F1×A1＋F2×A2＋……＋Fn×An</w:t>
      </w:r>
    </w:p>
    <w:p>
      <w:pPr>
        <w:tabs>
          <w:tab w:val="clear" w:pos="426"/>
        </w:tabs>
        <w:spacing w:line="300" w:lineRule="auto"/>
        <w:ind w:firstLine="420" w:firstLineChars="200"/>
        <w:rPr>
          <w:szCs w:val="21"/>
        </w:rPr>
      </w:pPr>
      <w:r>
        <w:rPr>
          <w:szCs w:val="21"/>
        </w:rPr>
        <w:t>F1、F2……Fn分别为各项评审因素的得分；</w:t>
      </w:r>
    </w:p>
    <w:p>
      <w:pPr>
        <w:tabs>
          <w:tab w:val="clear" w:pos="426"/>
        </w:tabs>
        <w:spacing w:line="300" w:lineRule="auto"/>
        <w:ind w:firstLine="420" w:firstLineChars="200"/>
        <w:rPr>
          <w:szCs w:val="21"/>
        </w:rPr>
      </w:pPr>
      <w:r>
        <w:rPr>
          <w:szCs w:val="21"/>
        </w:rPr>
        <w:t>A1、A2、……An 分别为各项评审因素所占的权重(A1＋A2＋……＋An＝1)。</w:t>
      </w:r>
    </w:p>
    <w:p>
      <w:pPr>
        <w:tabs>
          <w:tab w:val="clear" w:pos="426"/>
        </w:tabs>
        <w:spacing w:line="300" w:lineRule="auto"/>
        <w:ind w:firstLine="420" w:firstLineChars="200"/>
        <w:rPr>
          <w:szCs w:val="21"/>
        </w:rPr>
      </w:pPr>
      <w:r>
        <w:rPr>
          <w:rFonts w:hint="eastAsia"/>
          <w:szCs w:val="21"/>
        </w:rPr>
        <w:t>评标过程中，不得去掉报价中的最高报价和最低报价。</w:t>
      </w:r>
    </w:p>
    <w:p>
      <w:pPr>
        <w:tabs>
          <w:tab w:val="clear" w:pos="426"/>
        </w:tabs>
        <w:spacing w:line="300" w:lineRule="auto"/>
        <w:ind w:firstLine="420" w:firstLineChars="200"/>
        <w:rPr>
          <w:szCs w:val="21"/>
        </w:rPr>
      </w:pPr>
      <w:r>
        <w:rPr>
          <w:rFonts w:hint="eastAsia"/>
          <w:szCs w:val="21"/>
        </w:rPr>
        <w:t>因落实政府采购政策进行价格调整的，以调整后的价格计算评标基准价和投标报价。</w:t>
      </w:r>
    </w:p>
    <w:p>
      <w:pPr>
        <w:tabs>
          <w:tab w:val="clear" w:pos="426"/>
        </w:tabs>
        <w:spacing w:line="300" w:lineRule="auto"/>
        <w:ind w:firstLine="420" w:firstLineChars="20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bookmarkEnd w:id="5"/>
    <w:bookmarkEnd w:id="6"/>
    <w:p>
      <w:pPr>
        <w:pStyle w:val="33"/>
        <w:widowControl w:val="0"/>
        <w:shd w:val="clear" w:color="auto" w:fill="auto"/>
        <w:tabs>
          <w:tab w:val="clear" w:pos="426"/>
        </w:tabs>
        <w:adjustRightInd/>
        <w:snapToGrid/>
        <w:outlineLvl w:val="9"/>
        <w:rPr>
          <w:rFonts w:ascii="宋体" w:hAnsi="宋体"/>
          <w:bCs w:val="0"/>
          <w:sz w:val="24"/>
          <w:szCs w:val="24"/>
        </w:rPr>
      </w:pPr>
      <w:r>
        <w:rPr>
          <w:rFonts w:ascii="宋体" w:hAnsi="宋体"/>
          <w:bCs w:val="0"/>
          <w:sz w:val="24"/>
          <w:szCs w:val="24"/>
        </w:rPr>
        <w:br w:type="page"/>
      </w:r>
      <w:bookmarkStart w:id="7" w:name="_Toc18323381"/>
      <w:r>
        <w:rPr>
          <w:rFonts w:hint="eastAsia" w:ascii="宋体" w:hAnsi="宋体"/>
          <w:bCs w:val="0"/>
          <w:sz w:val="24"/>
          <w:szCs w:val="24"/>
        </w:rPr>
        <w:t>评分细则表</w:t>
      </w:r>
      <w:bookmarkEnd w:id="7"/>
    </w:p>
    <w:tbl>
      <w:tblPr>
        <w:tblStyle w:val="44"/>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9"/>
        <w:gridCol w:w="1984"/>
        <w:gridCol w:w="709"/>
        <w:gridCol w:w="709"/>
        <w:gridCol w:w="4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pPr>
              <w:adjustRightInd/>
              <w:snapToGrid/>
              <w:spacing w:line="240" w:lineRule="auto"/>
              <w:jc w:val="center"/>
              <w:rPr>
                <w:b/>
                <w:sz w:val="24"/>
                <w:szCs w:val="21"/>
              </w:rPr>
            </w:pPr>
            <w:bookmarkStart w:id="8" w:name="bt投标报价汇总表"/>
            <w:bookmarkEnd w:id="8"/>
            <w:bookmarkStart w:id="9" w:name="bt合同条款及格式"/>
            <w:bookmarkEnd w:id="9"/>
            <w:bookmarkStart w:id="10" w:name="bt项目管理班子配备情况"/>
            <w:bookmarkEnd w:id="10"/>
            <w:bookmarkStart w:id="11" w:name="bt其他资料由投标人自定"/>
            <w:bookmarkEnd w:id="11"/>
            <w:bookmarkStart w:id="12" w:name="bt投标函"/>
            <w:bookmarkEnd w:id="12"/>
            <w:bookmarkStart w:id="13" w:name="bt合同条款"/>
            <w:bookmarkEnd w:id="13"/>
            <w:bookmarkStart w:id="14" w:name="bt合同格式"/>
            <w:bookmarkEnd w:id="14"/>
            <w:bookmarkStart w:id="15" w:name="bt技术标投标文件格式"/>
            <w:bookmarkEnd w:id="15"/>
            <w:bookmarkStart w:id="16" w:name="合同格式"/>
            <w:bookmarkEnd w:id="16"/>
            <w:bookmarkStart w:id="17" w:name="bt投标文件签署授权委托书"/>
            <w:bookmarkEnd w:id="17"/>
            <w:bookmarkStart w:id="18" w:name="bt开标一览表"/>
            <w:bookmarkEnd w:id="18"/>
            <w:bookmarkStart w:id="19" w:name="bt投标人情况介绍"/>
            <w:bookmarkEnd w:id="19"/>
            <w:bookmarkStart w:id="20" w:name="bt说明"/>
            <w:bookmarkEnd w:id="20"/>
            <w:bookmarkStart w:id="21" w:name="bt商务标投标文件格式"/>
            <w:bookmarkEnd w:id="21"/>
            <w:bookmarkStart w:id="22" w:name="bt投标人须知"/>
            <w:bookmarkEnd w:id="22"/>
            <w:bookmarkStart w:id="23" w:name="bt本工程承诺书"/>
            <w:bookmarkEnd w:id="23"/>
            <w:bookmarkStart w:id="24" w:name="bt其他资料2"/>
            <w:bookmarkEnd w:id="24"/>
            <w:bookmarkStart w:id="25" w:name="_Toc432592812"/>
            <w:r>
              <w:rPr>
                <w:rFonts w:hint="eastAsia"/>
                <w:szCs w:val="21"/>
              </w:rPr>
              <w:t>序号</w:t>
            </w:r>
          </w:p>
        </w:tc>
        <w:tc>
          <w:tcPr>
            <w:tcW w:w="3841" w:type="dxa"/>
            <w:gridSpan w:val="4"/>
            <w:vAlign w:val="center"/>
          </w:tcPr>
          <w:p>
            <w:pPr>
              <w:adjustRightInd/>
              <w:snapToGrid/>
              <w:spacing w:line="240" w:lineRule="auto"/>
              <w:jc w:val="center"/>
              <w:rPr>
                <w:b/>
                <w:sz w:val="24"/>
                <w:szCs w:val="21"/>
              </w:rPr>
            </w:pPr>
            <w:r>
              <w:rPr>
                <w:rFonts w:hint="eastAsia"/>
                <w:szCs w:val="21"/>
              </w:rPr>
              <w:t>评分项</w:t>
            </w:r>
          </w:p>
        </w:tc>
        <w:tc>
          <w:tcPr>
            <w:tcW w:w="4071" w:type="dxa"/>
            <w:vAlign w:val="center"/>
          </w:tcPr>
          <w:p>
            <w:pPr>
              <w:adjustRightInd/>
              <w:snapToGrid/>
              <w:spacing w:line="24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pPr>
              <w:adjustRightInd/>
              <w:snapToGrid/>
              <w:spacing w:line="240" w:lineRule="auto"/>
              <w:jc w:val="center"/>
              <w:rPr>
                <w:szCs w:val="21"/>
              </w:rPr>
            </w:pPr>
            <w:r>
              <w:rPr>
                <w:szCs w:val="21"/>
              </w:rPr>
              <w:t>1</w:t>
            </w:r>
          </w:p>
        </w:tc>
        <w:tc>
          <w:tcPr>
            <w:tcW w:w="3841" w:type="dxa"/>
            <w:gridSpan w:val="4"/>
            <w:vAlign w:val="center"/>
          </w:tcPr>
          <w:p>
            <w:pPr>
              <w:adjustRightInd/>
              <w:snapToGrid/>
              <w:spacing w:line="240" w:lineRule="auto"/>
              <w:jc w:val="center"/>
              <w:rPr>
                <w:szCs w:val="21"/>
              </w:rPr>
            </w:pPr>
            <w:r>
              <w:rPr>
                <w:rFonts w:hint="eastAsia"/>
                <w:szCs w:val="21"/>
              </w:rPr>
              <w:t>价格</w:t>
            </w:r>
          </w:p>
        </w:tc>
        <w:tc>
          <w:tcPr>
            <w:tcW w:w="4071" w:type="dxa"/>
            <w:vAlign w:val="center"/>
          </w:tcPr>
          <w:p>
            <w:pPr>
              <w:adjustRightInd/>
              <w:snapToGrid/>
              <w:spacing w:line="240" w:lineRule="auto"/>
              <w:jc w:val="center"/>
              <w:rPr>
                <w:szCs w:val="21"/>
              </w:rPr>
            </w:pPr>
            <w:r>
              <w:rPr>
                <w:rFonts w:hint="eastAsia"/>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pPr>
              <w:adjustRightInd/>
              <w:snapToGrid/>
              <w:spacing w:line="240" w:lineRule="auto"/>
              <w:jc w:val="center"/>
              <w:rPr>
                <w:szCs w:val="21"/>
              </w:rPr>
            </w:pPr>
            <w:r>
              <w:rPr>
                <w:szCs w:val="21"/>
              </w:rPr>
              <w:t>2</w:t>
            </w:r>
          </w:p>
        </w:tc>
        <w:tc>
          <w:tcPr>
            <w:tcW w:w="3841" w:type="dxa"/>
            <w:gridSpan w:val="4"/>
            <w:vAlign w:val="center"/>
          </w:tcPr>
          <w:p>
            <w:pPr>
              <w:adjustRightInd/>
              <w:snapToGrid/>
              <w:spacing w:line="240" w:lineRule="auto"/>
              <w:jc w:val="center"/>
              <w:rPr>
                <w:szCs w:val="21"/>
              </w:rPr>
            </w:pPr>
            <w:r>
              <w:rPr>
                <w:rFonts w:hint="eastAsia"/>
                <w:szCs w:val="21"/>
              </w:rPr>
              <w:t>技术部分</w:t>
            </w:r>
          </w:p>
        </w:tc>
        <w:tc>
          <w:tcPr>
            <w:tcW w:w="4071" w:type="dxa"/>
            <w:vAlign w:val="center"/>
          </w:tcPr>
          <w:p>
            <w:pPr>
              <w:adjustRightInd/>
              <w:snapToGrid/>
              <w:spacing w:line="240" w:lineRule="auto"/>
              <w:jc w:val="center"/>
              <w:rPr>
                <w:szCs w:val="21"/>
              </w:rPr>
            </w:pPr>
            <w:r>
              <w:rPr>
                <w:rFonts w:hint="eastAsia"/>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restart"/>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序号</w:t>
            </w:r>
          </w:p>
        </w:tc>
        <w:tc>
          <w:tcPr>
            <w:tcW w:w="1984" w:type="dxa"/>
            <w:vAlign w:val="center"/>
          </w:tcPr>
          <w:p>
            <w:pPr>
              <w:adjustRightInd/>
              <w:snapToGrid/>
              <w:spacing w:line="240" w:lineRule="auto"/>
              <w:jc w:val="center"/>
              <w:rPr>
                <w:szCs w:val="21"/>
              </w:rPr>
            </w:pPr>
            <w:r>
              <w:rPr>
                <w:rFonts w:hint="eastAsia"/>
                <w:szCs w:val="21"/>
              </w:rPr>
              <w:t>评分因素</w:t>
            </w:r>
          </w:p>
        </w:tc>
        <w:tc>
          <w:tcPr>
            <w:tcW w:w="709" w:type="dxa"/>
            <w:vAlign w:val="center"/>
          </w:tcPr>
          <w:p>
            <w:pPr>
              <w:adjustRightInd/>
              <w:snapToGrid/>
              <w:spacing w:line="240" w:lineRule="auto"/>
              <w:jc w:val="center"/>
              <w:rPr>
                <w:szCs w:val="21"/>
              </w:rPr>
            </w:pPr>
            <w:r>
              <w:rPr>
                <w:rFonts w:hint="eastAsia"/>
                <w:szCs w:val="21"/>
              </w:rPr>
              <w:t>分值</w:t>
            </w:r>
          </w:p>
        </w:tc>
        <w:tc>
          <w:tcPr>
            <w:tcW w:w="709" w:type="dxa"/>
            <w:vAlign w:val="center"/>
          </w:tcPr>
          <w:p>
            <w:pPr>
              <w:adjustRightInd/>
              <w:snapToGrid/>
              <w:spacing w:line="240" w:lineRule="auto"/>
              <w:jc w:val="center"/>
              <w:rPr>
                <w:szCs w:val="21"/>
              </w:rPr>
            </w:pPr>
            <w:r>
              <w:rPr>
                <w:rFonts w:hint="eastAsia"/>
                <w:szCs w:val="21"/>
              </w:rPr>
              <w:t>评分方式</w:t>
            </w:r>
          </w:p>
        </w:tc>
        <w:tc>
          <w:tcPr>
            <w:tcW w:w="4071" w:type="dxa"/>
            <w:vAlign w:val="center"/>
          </w:tcPr>
          <w:p>
            <w:pPr>
              <w:adjustRightInd/>
              <w:snapToGrid/>
              <w:spacing w:line="240" w:lineRule="auto"/>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pStyle w:val="280"/>
              <w:numPr>
                <w:ilvl w:val="0"/>
                <w:numId w:val="23"/>
              </w:numPr>
              <w:spacing w:line="240" w:lineRule="auto"/>
              <w:ind w:firstLineChars="0"/>
              <w:jc w:val="center"/>
              <w:rPr>
                <w:szCs w:val="21"/>
              </w:rPr>
            </w:pPr>
          </w:p>
        </w:tc>
        <w:tc>
          <w:tcPr>
            <w:tcW w:w="1984" w:type="dxa"/>
            <w:vAlign w:val="center"/>
          </w:tcPr>
          <w:p>
            <w:pPr>
              <w:adjustRightInd/>
              <w:snapToGrid/>
              <w:spacing w:line="240" w:lineRule="auto"/>
              <w:jc w:val="center"/>
              <w:rPr>
                <w:szCs w:val="21"/>
              </w:rPr>
            </w:pPr>
            <w:r>
              <w:rPr>
                <w:rFonts w:hint="eastAsia"/>
                <w:szCs w:val="21"/>
              </w:rPr>
              <w:t>项目总体概述及理解</w:t>
            </w:r>
          </w:p>
        </w:tc>
        <w:tc>
          <w:tcPr>
            <w:tcW w:w="709" w:type="dxa"/>
            <w:vAlign w:val="center"/>
          </w:tcPr>
          <w:p>
            <w:pPr>
              <w:adjustRightInd/>
              <w:snapToGrid/>
              <w:spacing w:line="240" w:lineRule="auto"/>
              <w:jc w:val="center"/>
              <w:rPr>
                <w:szCs w:val="21"/>
              </w:rPr>
            </w:pPr>
            <w:r>
              <w:rPr>
                <w:rFonts w:hint="eastAsia"/>
                <w:szCs w:val="21"/>
              </w:rPr>
              <w:t>5</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rPr>
            </w:pPr>
            <w:r>
              <w:rPr>
                <w:rFonts w:hint="eastAsia"/>
                <w:b/>
                <w:szCs w:val="21"/>
              </w:rPr>
              <w:t>评审内容：</w:t>
            </w:r>
          </w:p>
          <w:p>
            <w:pPr>
              <w:adjustRightInd/>
              <w:snapToGrid/>
              <w:spacing w:line="240" w:lineRule="auto"/>
              <w:jc w:val="left"/>
              <w:rPr>
                <w:szCs w:val="21"/>
              </w:rPr>
            </w:pPr>
            <w:r>
              <w:rPr>
                <w:rFonts w:hint="eastAsia"/>
                <w:szCs w:val="21"/>
              </w:rPr>
              <w:t>（1）项目总体概述。</w:t>
            </w:r>
          </w:p>
          <w:p>
            <w:pPr>
              <w:adjustRightInd/>
              <w:snapToGrid/>
              <w:spacing w:line="240" w:lineRule="auto"/>
              <w:jc w:val="left"/>
              <w:rPr>
                <w:szCs w:val="21"/>
                <w:u w:val="single"/>
              </w:rPr>
            </w:pPr>
            <w:r>
              <w:rPr>
                <w:rFonts w:hint="eastAsia"/>
                <w:szCs w:val="21"/>
              </w:rPr>
              <w:t>（2）对项目的理解。</w:t>
            </w:r>
          </w:p>
          <w:p>
            <w:pPr>
              <w:adjustRightInd/>
              <w:snapToGrid/>
              <w:spacing w:line="240" w:lineRule="auto"/>
              <w:jc w:val="left"/>
              <w:rPr>
                <w:szCs w:val="21"/>
              </w:rPr>
            </w:pPr>
          </w:p>
          <w:p>
            <w:pPr>
              <w:adjustRightInd/>
              <w:snapToGrid/>
              <w:spacing w:line="240" w:lineRule="auto"/>
              <w:jc w:val="left"/>
              <w:rPr>
                <w:b/>
                <w:szCs w:val="21"/>
              </w:rPr>
            </w:pPr>
            <w:r>
              <w:rPr>
                <w:rFonts w:hint="eastAsia"/>
                <w:b/>
                <w:szCs w:val="21"/>
              </w:rPr>
              <w:t>优良中差评分标准：</w:t>
            </w:r>
          </w:p>
          <w:p>
            <w:pPr>
              <w:spacing w:line="240" w:lineRule="auto"/>
              <w:rPr>
                <w:szCs w:val="21"/>
              </w:rPr>
            </w:pPr>
            <w:r>
              <w:rPr>
                <w:rFonts w:hint="eastAsia"/>
                <w:szCs w:val="21"/>
              </w:rPr>
              <w:t>（</w:t>
            </w:r>
            <w:r>
              <w:rPr>
                <w:szCs w:val="21"/>
              </w:rPr>
              <w:t>1）投标文件响应内容全面</w:t>
            </w:r>
            <w:r>
              <w:rPr>
                <w:rFonts w:hint="eastAsia"/>
                <w:szCs w:val="21"/>
              </w:rPr>
              <w:t>。</w:t>
            </w:r>
          </w:p>
          <w:p>
            <w:pPr>
              <w:spacing w:line="240" w:lineRule="auto"/>
              <w:rPr>
                <w:szCs w:val="21"/>
              </w:rPr>
            </w:pPr>
            <w:r>
              <w:rPr>
                <w:rFonts w:hint="eastAsia"/>
                <w:szCs w:val="21"/>
              </w:rPr>
              <w:t>（</w:t>
            </w:r>
            <w:r>
              <w:rPr>
                <w:szCs w:val="21"/>
              </w:rPr>
              <w:t>2）投标文件响应内容具体</w:t>
            </w:r>
            <w:r>
              <w:rPr>
                <w:rFonts w:hint="eastAsia"/>
                <w:szCs w:val="21"/>
              </w:rPr>
              <w:t>。</w:t>
            </w:r>
          </w:p>
          <w:p>
            <w:pPr>
              <w:spacing w:line="240" w:lineRule="auto"/>
              <w:rPr>
                <w:szCs w:val="21"/>
              </w:rPr>
            </w:pPr>
            <w:r>
              <w:rPr>
                <w:rFonts w:hint="eastAsia"/>
                <w:szCs w:val="21"/>
              </w:rPr>
              <w:t>（</w:t>
            </w:r>
            <w:r>
              <w:rPr>
                <w:szCs w:val="21"/>
              </w:rPr>
              <w:t>3）投标文件响应内容针对性强</w:t>
            </w:r>
            <w:r>
              <w:rPr>
                <w:rFonts w:hint="eastAsia"/>
                <w:szCs w:val="21"/>
              </w:rPr>
              <w:t>。</w:t>
            </w:r>
          </w:p>
          <w:p>
            <w:pPr>
              <w:spacing w:line="240" w:lineRule="auto"/>
              <w:rPr>
                <w:szCs w:val="21"/>
              </w:rPr>
            </w:pPr>
            <w:r>
              <w:rPr>
                <w:rFonts w:hint="eastAsia"/>
                <w:szCs w:val="21"/>
              </w:rPr>
              <w:t>（</w:t>
            </w:r>
            <w:r>
              <w:rPr>
                <w:szCs w:val="21"/>
              </w:rPr>
              <w:t>4）投标文件响应内容科学合理</w:t>
            </w:r>
            <w:r>
              <w:rPr>
                <w:rFonts w:hint="eastAsia"/>
                <w:szCs w:val="21"/>
              </w:rPr>
              <w:t>。</w:t>
            </w:r>
          </w:p>
          <w:p>
            <w:pPr>
              <w:spacing w:line="240" w:lineRule="auto"/>
              <w:rPr>
                <w:szCs w:val="21"/>
              </w:rPr>
            </w:pPr>
            <w:r>
              <w:rPr>
                <w:rFonts w:hint="eastAsia"/>
                <w:szCs w:val="21"/>
              </w:rPr>
              <w:t>（</w:t>
            </w:r>
            <w:r>
              <w:rPr>
                <w:szCs w:val="21"/>
              </w:rPr>
              <w:t>5）投标文件响应内容可执行性强。</w:t>
            </w:r>
          </w:p>
          <w:p>
            <w:pPr>
              <w:spacing w:line="240" w:lineRule="auto"/>
              <w:rPr>
                <w:szCs w:val="21"/>
              </w:rPr>
            </w:pPr>
            <w:r>
              <w:rPr>
                <w:rFonts w:hint="eastAsia"/>
                <w:szCs w:val="21"/>
              </w:rPr>
              <w:t>满足以上五项要求的评价为优，得</w:t>
            </w:r>
            <w:r>
              <w:rPr>
                <w:szCs w:val="21"/>
              </w:rPr>
              <w:t>100%分数。</w:t>
            </w:r>
          </w:p>
          <w:p>
            <w:pPr>
              <w:spacing w:line="240" w:lineRule="auto"/>
              <w:rPr>
                <w:szCs w:val="21"/>
              </w:rPr>
            </w:pPr>
            <w:r>
              <w:rPr>
                <w:rFonts w:hint="eastAsia"/>
                <w:szCs w:val="21"/>
              </w:rPr>
              <w:t>满足以上四项要求的评价为良，得</w:t>
            </w:r>
            <w:r>
              <w:rPr>
                <w:szCs w:val="21"/>
              </w:rPr>
              <w:t>80%分数。</w:t>
            </w:r>
          </w:p>
          <w:p>
            <w:pPr>
              <w:spacing w:line="240" w:lineRule="auto"/>
              <w:rPr>
                <w:szCs w:val="21"/>
              </w:rPr>
            </w:pPr>
            <w:r>
              <w:rPr>
                <w:rFonts w:hint="eastAsia"/>
                <w:szCs w:val="21"/>
              </w:rPr>
              <w:t>满足以上三项要求的评价为中，得</w:t>
            </w:r>
            <w:r>
              <w:rPr>
                <w:szCs w:val="21"/>
              </w:rPr>
              <w:t>60%分数。</w:t>
            </w:r>
          </w:p>
          <w:p>
            <w:pPr>
              <w:adjustRightInd/>
              <w:snapToGrid/>
              <w:spacing w:line="240" w:lineRule="auto"/>
              <w:jc w:val="left"/>
              <w:rPr>
                <w:szCs w:val="21"/>
                <w:u w:val="single"/>
              </w:rPr>
            </w:pPr>
            <w:r>
              <w:rPr>
                <w:rFonts w:hint="eastAsia"/>
                <w:szCs w:val="21"/>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pStyle w:val="280"/>
              <w:numPr>
                <w:ilvl w:val="0"/>
                <w:numId w:val="23"/>
              </w:numPr>
              <w:spacing w:line="240" w:lineRule="auto"/>
              <w:ind w:firstLineChars="0"/>
              <w:jc w:val="center"/>
              <w:rPr>
                <w:szCs w:val="21"/>
              </w:rPr>
            </w:pPr>
          </w:p>
        </w:tc>
        <w:tc>
          <w:tcPr>
            <w:tcW w:w="1984" w:type="dxa"/>
            <w:vAlign w:val="center"/>
          </w:tcPr>
          <w:p>
            <w:pPr>
              <w:adjustRightInd/>
              <w:snapToGrid/>
              <w:spacing w:line="240" w:lineRule="auto"/>
              <w:jc w:val="center"/>
              <w:rPr>
                <w:szCs w:val="21"/>
              </w:rPr>
            </w:pPr>
            <w:r>
              <w:rPr>
                <w:rFonts w:hint="eastAsia"/>
                <w:szCs w:val="21"/>
              </w:rPr>
              <w:t>施工组织计划、施工技术、施工工艺及相关的合理化建议</w:t>
            </w:r>
          </w:p>
        </w:tc>
        <w:tc>
          <w:tcPr>
            <w:tcW w:w="709" w:type="dxa"/>
            <w:vAlign w:val="center"/>
          </w:tcPr>
          <w:p>
            <w:pPr>
              <w:adjustRightInd/>
              <w:snapToGrid/>
              <w:spacing w:line="240" w:lineRule="auto"/>
              <w:jc w:val="center"/>
              <w:rPr>
                <w:szCs w:val="21"/>
              </w:rPr>
            </w:pPr>
            <w:r>
              <w:rPr>
                <w:rFonts w:hint="eastAsia"/>
                <w:szCs w:val="21"/>
              </w:rPr>
              <w:t>10</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u w:val="single"/>
              </w:rPr>
            </w:pPr>
            <w:r>
              <w:rPr>
                <w:rFonts w:hint="eastAsia"/>
                <w:b/>
                <w:szCs w:val="21"/>
              </w:rPr>
              <w:t>评审内容：</w:t>
            </w:r>
          </w:p>
          <w:p>
            <w:pPr>
              <w:adjustRightInd/>
              <w:snapToGrid/>
              <w:spacing w:line="240" w:lineRule="auto"/>
              <w:jc w:val="left"/>
              <w:rPr>
                <w:szCs w:val="21"/>
              </w:rPr>
            </w:pPr>
            <w:r>
              <w:rPr>
                <w:rFonts w:hint="eastAsia"/>
                <w:szCs w:val="21"/>
              </w:rPr>
              <w:t>（1）施工组织计划。</w:t>
            </w:r>
          </w:p>
          <w:p>
            <w:pPr>
              <w:adjustRightInd/>
              <w:snapToGrid/>
              <w:spacing w:line="240" w:lineRule="auto"/>
              <w:jc w:val="left"/>
              <w:rPr>
                <w:szCs w:val="21"/>
              </w:rPr>
            </w:pPr>
            <w:r>
              <w:rPr>
                <w:rFonts w:hint="eastAsia"/>
                <w:szCs w:val="21"/>
              </w:rPr>
              <w:t>（2）施工技术。</w:t>
            </w:r>
          </w:p>
          <w:p>
            <w:pPr>
              <w:adjustRightInd/>
              <w:snapToGrid/>
              <w:spacing w:line="240" w:lineRule="auto"/>
              <w:jc w:val="left"/>
              <w:rPr>
                <w:szCs w:val="21"/>
              </w:rPr>
            </w:pPr>
            <w:r>
              <w:rPr>
                <w:rFonts w:hint="eastAsia"/>
                <w:szCs w:val="21"/>
              </w:rPr>
              <w:t>（3）施工工艺。</w:t>
            </w:r>
          </w:p>
          <w:p>
            <w:pPr>
              <w:adjustRightInd/>
              <w:snapToGrid/>
              <w:spacing w:line="240" w:lineRule="auto"/>
              <w:jc w:val="left"/>
              <w:rPr>
                <w:szCs w:val="21"/>
                <w:u w:val="single"/>
              </w:rPr>
            </w:pPr>
            <w:r>
              <w:rPr>
                <w:rFonts w:hint="eastAsia"/>
                <w:szCs w:val="21"/>
              </w:rPr>
              <w:t>（4）相关的合理化建议。</w:t>
            </w:r>
          </w:p>
          <w:p>
            <w:pPr>
              <w:adjustRightInd/>
              <w:snapToGrid/>
              <w:spacing w:line="240" w:lineRule="auto"/>
              <w:jc w:val="left"/>
              <w:rPr>
                <w:b/>
                <w:szCs w:val="21"/>
                <w:u w:val="single"/>
              </w:rPr>
            </w:pPr>
          </w:p>
          <w:p>
            <w:pPr>
              <w:adjustRightInd/>
              <w:snapToGrid/>
              <w:spacing w:line="240" w:lineRule="auto"/>
              <w:jc w:val="left"/>
              <w:rPr>
                <w:b/>
                <w:szCs w:val="21"/>
              </w:rPr>
            </w:pPr>
            <w:r>
              <w:rPr>
                <w:rFonts w:hint="eastAsia"/>
                <w:b/>
                <w:szCs w:val="21"/>
              </w:rPr>
              <w:t>优良中差评分标准：</w:t>
            </w:r>
          </w:p>
          <w:p>
            <w:pPr>
              <w:spacing w:line="240" w:lineRule="auto"/>
              <w:rPr>
                <w:szCs w:val="21"/>
              </w:rPr>
            </w:pPr>
            <w:r>
              <w:rPr>
                <w:rFonts w:hint="eastAsia"/>
                <w:szCs w:val="21"/>
              </w:rPr>
              <w:t>（</w:t>
            </w:r>
            <w:r>
              <w:rPr>
                <w:szCs w:val="21"/>
              </w:rPr>
              <w:t>1）投标文件响应内容全面</w:t>
            </w:r>
            <w:r>
              <w:rPr>
                <w:rFonts w:hint="eastAsia"/>
                <w:szCs w:val="21"/>
              </w:rPr>
              <w:t>。</w:t>
            </w:r>
          </w:p>
          <w:p>
            <w:pPr>
              <w:spacing w:line="240" w:lineRule="auto"/>
              <w:rPr>
                <w:szCs w:val="21"/>
              </w:rPr>
            </w:pPr>
            <w:r>
              <w:rPr>
                <w:rFonts w:hint="eastAsia"/>
                <w:szCs w:val="21"/>
              </w:rPr>
              <w:t>（</w:t>
            </w:r>
            <w:r>
              <w:rPr>
                <w:szCs w:val="21"/>
              </w:rPr>
              <w:t>2）投标文件响应内容具体</w:t>
            </w:r>
            <w:r>
              <w:rPr>
                <w:rFonts w:hint="eastAsia"/>
                <w:szCs w:val="21"/>
              </w:rPr>
              <w:t>。</w:t>
            </w:r>
          </w:p>
          <w:p>
            <w:pPr>
              <w:spacing w:line="240" w:lineRule="auto"/>
              <w:rPr>
                <w:szCs w:val="21"/>
              </w:rPr>
            </w:pPr>
            <w:r>
              <w:rPr>
                <w:rFonts w:hint="eastAsia"/>
                <w:szCs w:val="21"/>
              </w:rPr>
              <w:t>（</w:t>
            </w:r>
            <w:r>
              <w:rPr>
                <w:szCs w:val="21"/>
              </w:rPr>
              <w:t>3）投标文件响应内容针对性强</w:t>
            </w:r>
            <w:r>
              <w:rPr>
                <w:rFonts w:hint="eastAsia"/>
                <w:szCs w:val="21"/>
              </w:rPr>
              <w:t>。</w:t>
            </w:r>
          </w:p>
          <w:p>
            <w:pPr>
              <w:spacing w:line="240" w:lineRule="auto"/>
              <w:rPr>
                <w:szCs w:val="21"/>
              </w:rPr>
            </w:pPr>
            <w:r>
              <w:rPr>
                <w:rFonts w:hint="eastAsia"/>
                <w:szCs w:val="21"/>
              </w:rPr>
              <w:t>（</w:t>
            </w:r>
            <w:r>
              <w:rPr>
                <w:szCs w:val="21"/>
              </w:rPr>
              <w:t>4）投标文件响应内容科学合理</w:t>
            </w:r>
            <w:r>
              <w:rPr>
                <w:rFonts w:hint="eastAsia"/>
                <w:szCs w:val="21"/>
              </w:rPr>
              <w:t>。</w:t>
            </w:r>
          </w:p>
          <w:p>
            <w:pPr>
              <w:spacing w:line="240" w:lineRule="auto"/>
              <w:rPr>
                <w:szCs w:val="21"/>
              </w:rPr>
            </w:pPr>
            <w:r>
              <w:rPr>
                <w:rFonts w:hint="eastAsia"/>
                <w:szCs w:val="21"/>
              </w:rPr>
              <w:t>（</w:t>
            </w:r>
            <w:r>
              <w:rPr>
                <w:szCs w:val="21"/>
              </w:rPr>
              <w:t>5）投标文件响应内容可执行性强。</w:t>
            </w:r>
          </w:p>
          <w:p>
            <w:pPr>
              <w:spacing w:line="240" w:lineRule="auto"/>
              <w:rPr>
                <w:szCs w:val="21"/>
              </w:rPr>
            </w:pPr>
            <w:r>
              <w:rPr>
                <w:rFonts w:hint="eastAsia"/>
                <w:szCs w:val="21"/>
              </w:rPr>
              <w:t>满足以上五项要求的评价为优，得</w:t>
            </w:r>
            <w:r>
              <w:rPr>
                <w:szCs w:val="21"/>
              </w:rPr>
              <w:t>100%分数。</w:t>
            </w:r>
          </w:p>
          <w:p>
            <w:pPr>
              <w:spacing w:line="240" w:lineRule="auto"/>
              <w:rPr>
                <w:szCs w:val="21"/>
              </w:rPr>
            </w:pPr>
            <w:r>
              <w:rPr>
                <w:rFonts w:hint="eastAsia"/>
                <w:szCs w:val="21"/>
              </w:rPr>
              <w:t>满足以上四项要求的评价为良，得</w:t>
            </w:r>
            <w:r>
              <w:rPr>
                <w:szCs w:val="21"/>
              </w:rPr>
              <w:t>80%分数。</w:t>
            </w:r>
          </w:p>
          <w:p>
            <w:pPr>
              <w:spacing w:line="240" w:lineRule="auto"/>
              <w:rPr>
                <w:szCs w:val="21"/>
              </w:rPr>
            </w:pPr>
            <w:r>
              <w:rPr>
                <w:rFonts w:hint="eastAsia"/>
                <w:szCs w:val="21"/>
              </w:rPr>
              <w:t>满足以上三项要求的评价为中，得</w:t>
            </w:r>
            <w:r>
              <w:rPr>
                <w:szCs w:val="21"/>
              </w:rPr>
              <w:t>60%分数。</w:t>
            </w:r>
          </w:p>
          <w:p>
            <w:pPr>
              <w:adjustRightInd/>
              <w:snapToGrid/>
              <w:spacing w:line="240" w:lineRule="auto"/>
              <w:jc w:val="left"/>
              <w:rPr>
                <w:b/>
                <w:szCs w:val="21"/>
                <w:u w:val="single"/>
              </w:rPr>
            </w:pPr>
            <w:r>
              <w:rPr>
                <w:rFonts w:hint="eastAsia"/>
                <w:szCs w:val="21"/>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pStyle w:val="280"/>
              <w:numPr>
                <w:ilvl w:val="0"/>
                <w:numId w:val="23"/>
              </w:numPr>
              <w:spacing w:line="240" w:lineRule="auto"/>
              <w:ind w:firstLineChars="0"/>
              <w:jc w:val="center"/>
              <w:rPr>
                <w:szCs w:val="21"/>
              </w:rPr>
            </w:pPr>
          </w:p>
        </w:tc>
        <w:tc>
          <w:tcPr>
            <w:tcW w:w="1984" w:type="dxa"/>
            <w:vAlign w:val="center"/>
          </w:tcPr>
          <w:p>
            <w:pPr>
              <w:adjustRightInd/>
              <w:snapToGrid/>
              <w:spacing w:line="240" w:lineRule="auto"/>
              <w:jc w:val="center"/>
              <w:rPr>
                <w:szCs w:val="21"/>
              </w:rPr>
            </w:pPr>
            <w:r>
              <w:rPr>
                <w:rFonts w:hint="eastAsia"/>
                <w:szCs w:val="21"/>
              </w:rPr>
              <w:t>项目实施关键施工技术（重点难点）分析及解决方案</w:t>
            </w:r>
          </w:p>
        </w:tc>
        <w:tc>
          <w:tcPr>
            <w:tcW w:w="709" w:type="dxa"/>
            <w:vAlign w:val="center"/>
          </w:tcPr>
          <w:p>
            <w:pPr>
              <w:adjustRightInd/>
              <w:snapToGrid/>
              <w:spacing w:line="240" w:lineRule="auto"/>
              <w:jc w:val="center"/>
              <w:rPr>
                <w:szCs w:val="21"/>
              </w:rPr>
            </w:pPr>
            <w:r>
              <w:rPr>
                <w:rFonts w:hint="eastAsia"/>
                <w:szCs w:val="21"/>
              </w:rPr>
              <w:t>10</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u w:val="single"/>
              </w:rPr>
            </w:pPr>
            <w:r>
              <w:rPr>
                <w:rFonts w:hint="eastAsia"/>
                <w:b/>
                <w:szCs w:val="21"/>
              </w:rPr>
              <w:t>评审内容：</w:t>
            </w:r>
          </w:p>
          <w:p>
            <w:pPr>
              <w:adjustRightInd/>
              <w:snapToGrid/>
              <w:spacing w:line="240" w:lineRule="auto"/>
              <w:jc w:val="left"/>
              <w:rPr>
                <w:szCs w:val="21"/>
              </w:rPr>
            </w:pPr>
            <w:r>
              <w:rPr>
                <w:rFonts w:hint="eastAsia"/>
                <w:szCs w:val="21"/>
              </w:rPr>
              <w:t>（1）项目实施关键施工技术分析</w:t>
            </w:r>
          </w:p>
          <w:p>
            <w:pPr>
              <w:adjustRightInd/>
              <w:snapToGrid/>
              <w:spacing w:line="240" w:lineRule="auto"/>
              <w:jc w:val="left"/>
              <w:rPr>
                <w:szCs w:val="21"/>
              </w:rPr>
            </w:pPr>
            <w:r>
              <w:rPr>
                <w:rFonts w:hint="eastAsia"/>
                <w:szCs w:val="21"/>
              </w:rPr>
              <w:t>（2）项目实施重点分析</w:t>
            </w:r>
          </w:p>
          <w:p>
            <w:pPr>
              <w:adjustRightInd/>
              <w:snapToGrid/>
              <w:spacing w:line="240" w:lineRule="auto"/>
              <w:jc w:val="left"/>
              <w:rPr>
                <w:szCs w:val="21"/>
              </w:rPr>
            </w:pPr>
            <w:r>
              <w:rPr>
                <w:rFonts w:hint="eastAsia"/>
                <w:szCs w:val="21"/>
              </w:rPr>
              <w:t>（3）项目实施难点分析</w:t>
            </w:r>
          </w:p>
          <w:p>
            <w:pPr>
              <w:adjustRightInd/>
              <w:snapToGrid/>
              <w:spacing w:line="240" w:lineRule="auto"/>
              <w:jc w:val="left"/>
              <w:rPr>
                <w:b/>
                <w:szCs w:val="21"/>
                <w:u w:val="single"/>
              </w:rPr>
            </w:pPr>
            <w:r>
              <w:rPr>
                <w:rFonts w:hint="eastAsia"/>
                <w:szCs w:val="21"/>
              </w:rPr>
              <w:t>（4）相关解决方案。</w:t>
            </w:r>
          </w:p>
          <w:p>
            <w:pPr>
              <w:adjustRightInd/>
              <w:snapToGrid/>
              <w:spacing w:line="240" w:lineRule="auto"/>
              <w:jc w:val="left"/>
              <w:rPr>
                <w:b/>
                <w:szCs w:val="21"/>
                <w:u w:val="single"/>
              </w:rPr>
            </w:pPr>
          </w:p>
          <w:p>
            <w:pPr>
              <w:adjustRightInd/>
              <w:snapToGrid/>
              <w:spacing w:line="240" w:lineRule="auto"/>
              <w:jc w:val="left"/>
              <w:rPr>
                <w:b/>
                <w:szCs w:val="21"/>
                <w:u w:val="single"/>
              </w:rPr>
            </w:pPr>
            <w:r>
              <w:rPr>
                <w:rFonts w:hint="eastAsia"/>
                <w:b/>
                <w:szCs w:val="21"/>
              </w:rPr>
              <w:t>优良中差评分标准：</w:t>
            </w:r>
          </w:p>
          <w:p>
            <w:pPr>
              <w:spacing w:line="240" w:lineRule="auto"/>
              <w:rPr>
                <w:szCs w:val="21"/>
              </w:rPr>
            </w:pPr>
            <w:r>
              <w:rPr>
                <w:rFonts w:hint="eastAsia"/>
                <w:szCs w:val="21"/>
              </w:rPr>
              <w:t>（</w:t>
            </w:r>
            <w:r>
              <w:rPr>
                <w:szCs w:val="21"/>
              </w:rPr>
              <w:t>1）投标文件响应内容全面</w:t>
            </w:r>
            <w:r>
              <w:rPr>
                <w:rFonts w:hint="eastAsia"/>
                <w:szCs w:val="21"/>
              </w:rPr>
              <w:t>。</w:t>
            </w:r>
          </w:p>
          <w:p>
            <w:pPr>
              <w:spacing w:line="240" w:lineRule="auto"/>
              <w:rPr>
                <w:szCs w:val="21"/>
              </w:rPr>
            </w:pPr>
            <w:r>
              <w:rPr>
                <w:rFonts w:hint="eastAsia"/>
                <w:szCs w:val="21"/>
              </w:rPr>
              <w:t>（</w:t>
            </w:r>
            <w:r>
              <w:rPr>
                <w:szCs w:val="21"/>
              </w:rPr>
              <w:t>2）投标文件响应内容具体</w:t>
            </w:r>
            <w:r>
              <w:rPr>
                <w:rFonts w:hint="eastAsia"/>
                <w:szCs w:val="21"/>
              </w:rPr>
              <w:t>。</w:t>
            </w:r>
          </w:p>
          <w:p>
            <w:pPr>
              <w:spacing w:line="240" w:lineRule="auto"/>
              <w:rPr>
                <w:szCs w:val="21"/>
              </w:rPr>
            </w:pPr>
            <w:r>
              <w:rPr>
                <w:rFonts w:hint="eastAsia"/>
                <w:szCs w:val="21"/>
              </w:rPr>
              <w:t>（</w:t>
            </w:r>
            <w:r>
              <w:rPr>
                <w:szCs w:val="21"/>
              </w:rPr>
              <w:t>3）投标文件响应内容针对性强</w:t>
            </w:r>
            <w:r>
              <w:rPr>
                <w:rFonts w:hint="eastAsia"/>
                <w:szCs w:val="21"/>
              </w:rPr>
              <w:t>。</w:t>
            </w:r>
          </w:p>
          <w:p>
            <w:pPr>
              <w:spacing w:line="240" w:lineRule="auto"/>
              <w:rPr>
                <w:szCs w:val="21"/>
              </w:rPr>
            </w:pPr>
            <w:r>
              <w:rPr>
                <w:rFonts w:hint="eastAsia"/>
                <w:szCs w:val="21"/>
              </w:rPr>
              <w:t>（</w:t>
            </w:r>
            <w:r>
              <w:rPr>
                <w:szCs w:val="21"/>
              </w:rPr>
              <w:t>4）投标文件响应内容科学合理</w:t>
            </w:r>
            <w:r>
              <w:rPr>
                <w:rFonts w:hint="eastAsia"/>
                <w:szCs w:val="21"/>
              </w:rPr>
              <w:t>。</w:t>
            </w:r>
          </w:p>
          <w:p>
            <w:pPr>
              <w:spacing w:line="240" w:lineRule="auto"/>
              <w:rPr>
                <w:szCs w:val="21"/>
              </w:rPr>
            </w:pPr>
            <w:r>
              <w:rPr>
                <w:rFonts w:hint="eastAsia"/>
                <w:szCs w:val="21"/>
              </w:rPr>
              <w:t>（</w:t>
            </w:r>
            <w:r>
              <w:rPr>
                <w:szCs w:val="21"/>
              </w:rPr>
              <w:t>5）投标文件响应内容可执行性强。</w:t>
            </w:r>
          </w:p>
          <w:p>
            <w:pPr>
              <w:spacing w:line="240" w:lineRule="auto"/>
              <w:rPr>
                <w:szCs w:val="21"/>
              </w:rPr>
            </w:pPr>
            <w:r>
              <w:rPr>
                <w:rFonts w:hint="eastAsia"/>
                <w:szCs w:val="21"/>
              </w:rPr>
              <w:t>满足以上五项要求的评价为优，得</w:t>
            </w:r>
            <w:r>
              <w:rPr>
                <w:szCs w:val="21"/>
              </w:rPr>
              <w:t>100%分数。</w:t>
            </w:r>
          </w:p>
          <w:p>
            <w:pPr>
              <w:spacing w:line="240" w:lineRule="auto"/>
              <w:rPr>
                <w:szCs w:val="21"/>
              </w:rPr>
            </w:pPr>
            <w:r>
              <w:rPr>
                <w:rFonts w:hint="eastAsia"/>
                <w:szCs w:val="21"/>
              </w:rPr>
              <w:t>满足以上四项要求的评价为良，得</w:t>
            </w:r>
            <w:r>
              <w:rPr>
                <w:szCs w:val="21"/>
              </w:rPr>
              <w:t>80%分数。</w:t>
            </w:r>
          </w:p>
          <w:p>
            <w:pPr>
              <w:spacing w:line="240" w:lineRule="auto"/>
              <w:rPr>
                <w:szCs w:val="21"/>
              </w:rPr>
            </w:pPr>
            <w:r>
              <w:rPr>
                <w:rFonts w:hint="eastAsia"/>
                <w:szCs w:val="21"/>
              </w:rPr>
              <w:t>满足以上三项要求的评价为中，得</w:t>
            </w:r>
            <w:r>
              <w:rPr>
                <w:szCs w:val="21"/>
              </w:rPr>
              <w:t>60%分数。</w:t>
            </w:r>
          </w:p>
          <w:p>
            <w:pPr>
              <w:adjustRightInd/>
              <w:snapToGrid/>
              <w:spacing w:line="240" w:lineRule="auto"/>
              <w:jc w:val="left"/>
              <w:rPr>
                <w:b/>
                <w:szCs w:val="21"/>
              </w:rPr>
            </w:pPr>
            <w:r>
              <w:rPr>
                <w:rFonts w:hint="eastAsia"/>
                <w:szCs w:val="21"/>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pStyle w:val="280"/>
              <w:numPr>
                <w:ilvl w:val="0"/>
                <w:numId w:val="23"/>
              </w:numPr>
              <w:spacing w:line="240" w:lineRule="auto"/>
              <w:ind w:firstLineChars="0"/>
              <w:jc w:val="center"/>
              <w:rPr>
                <w:szCs w:val="21"/>
              </w:rPr>
            </w:pPr>
          </w:p>
        </w:tc>
        <w:tc>
          <w:tcPr>
            <w:tcW w:w="1984" w:type="dxa"/>
            <w:vAlign w:val="center"/>
          </w:tcPr>
          <w:p>
            <w:pPr>
              <w:adjustRightInd/>
              <w:snapToGrid/>
              <w:spacing w:line="240" w:lineRule="auto"/>
              <w:jc w:val="center"/>
              <w:rPr>
                <w:szCs w:val="21"/>
              </w:rPr>
            </w:pPr>
            <w:r>
              <w:rPr>
                <w:rFonts w:hint="eastAsia"/>
                <w:szCs w:val="21"/>
              </w:rPr>
              <w:t>拟采用设备（材料）的性能（节能环保情况）、档次及质量可靠性</w:t>
            </w:r>
          </w:p>
        </w:tc>
        <w:tc>
          <w:tcPr>
            <w:tcW w:w="709" w:type="dxa"/>
            <w:vAlign w:val="center"/>
          </w:tcPr>
          <w:p>
            <w:pPr>
              <w:adjustRightInd/>
              <w:snapToGrid/>
              <w:spacing w:line="240" w:lineRule="auto"/>
              <w:jc w:val="center"/>
              <w:rPr>
                <w:szCs w:val="21"/>
              </w:rPr>
            </w:pPr>
            <w:r>
              <w:rPr>
                <w:rFonts w:hint="eastAsia"/>
                <w:sz w:val="20"/>
              </w:rPr>
              <w:t>5</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rPr>
            </w:pPr>
          </w:p>
          <w:p>
            <w:pPr>
              <w:adjustRightInd/>
              <w:snapToGrid/>
              <w:spacing w:line="240" w:lineRule="auto"/>
              <w:jc w:val="left"/>
              <w:rPr>
                <w:b/>
                <w:szCs w:val="21"/>
                <w:u w:val="single"/>
              </w:rPr>
            </w:pPr>
            <w:r>
              <w:rPr>
                <w:rFonts w:hint="eastAsia"/>
                <w:b/>
                <w:szCs w:val="21"/>
              </w:rPr>
              <w:t>评审内容：</w:t>
            </w:r>
          </w:p>
          <w:p>
            <w:pPr>
              <w:adjustRightInd/>
              <w:snapToGrid/>
              <w:spacing w:line="240" w:lineRule="auto"/>
              <w:jc w:val="left"/>
              <w:rPr>
                <w:szCs w:val="21"/>
              </w:rPr>
            </w:pPr>
            <w:r>
              <w:rPr>
                <w:rFonts w:hint="eastAsia"/>
                <w:szCs w:val="21"/>
              </w:rPr>
              <w:t>（1）拟采用设备（材料）的性能。</w:t>
            </w:r>
          </w:p>
          <w:p>
            <w:pPr>
              <w:adjustRightInd/>
              <w:snapToGrid/>
              <w:spacing w:line="240" w:lineRule="auto"/>
              <w:jc w:val="left"/>
              <w:rPr>
                <w:szCs w:val="21"/>
              </w:rPr>
            </w:pPr>
            <w:r>
              <w:rPr>
                <w:rFonts w:hint="eastAsia"/>
                <w:szCs w:val="21"/>
              </w:rPr>
              <w:t>（2）拟采用设备（材料）节能环保情况。</w:t>
            </w:r>
          </w:p>
          <w:p>
            <w:pPr>
              <w:adjustRightInd/>
              <w:snapToGrid/>
              <w:spacing w:line="240" w:lineRule="auto"/>
              <w:jc w:val="left"/>
              <w:rPr>
                <w:szCs w:val="21"/>
              </w:rPr>
            </w:pPr>
            <w:r>
              <w:rPr>
                <w:rFonts w:hint="eastAsia"/>
                <w:szCs w:val="21"/>
              </w:rPr>
              <w:t>（3）拟采用设备（材料）档次。</w:t>
            </w:r>
          </w:p>
          <w:p>
            <w:pPr>
              <w:adjustRightInd/>
              <w:snapToGrid/>
              <w:spacing w:line="240" w:lineRule="auto"/>
              <w:jc w:val="left"/>
              <w:rPr>
                <w:b/>
                <w:szCs w:val="21"/>
                <w:u w:val="single"/>
              </w:rPr>
            </w:pPr>
            <w:r>
              <w:rPr>
                <w:rFonts w:hint="eastAsia"/>
                <w:szCs w:val="21"/>
              </w:rPr>
              <w:t>（4）拟采用设备（材料）质量可靠性。</w:t>
            </w:r>
          </w:p>
          <w:p>
            <w:pPr>
              <w:adjustRightInd/>
              <w:snapToGrid/>
              <w:spacing w:line="240" w:lineRule="auto"/>
              <w:jc w:val="left"/>
              <w:rPr>
                <w:b/>
                <w:szCs w:val="21"/>
                <w:u w:val="single"/>
              </w:rPr>
            </w:pPr>
          </w:p>
          <w:p>
            <w:pPr>
              <w:adjustRightInd/>
              <w:snapToGrid/>
              <w:spacing w:line="240" w:lineRule="auto"/>
              <w:jc w:val="left"/>
              <w:rPr>
                <w:b/>
                <w:szCs w:val="21"/>
                <w:u w:val="single"/>
              </w:rPr>
            </w:pPr>
            <w:r>
              <w:rPr>
                <w:rFonts w:hint="eastAsia"/>
                <w:b/>
                <w:szCs w:val="21"/>
              </w:rPr>
              <w:t>优良中差评分标准：</w:t>
            </w:r>
          </w:p>
          <w:p>
            <w:pPr>
              <w:spacing w:line="240" w:lineRule="auto"/>
              <w:rPr>
                <w:szCs w:val="21"/>
              </w:rPr>
            </w:pPr>
            <w:r>
              <w:rPr>
                <w:rFonts w:hint="eastAsia"/>
                <w:szCs w:val="21"/>
              </w:rPr>
              <w:t>（</w:t>
            </w:r>
            <w:r>
              <w:rPr>
                <w:szCs w:val="21"/>
              </w:rPr>
              <w:t>1）投标文件响应内容全面</w:t>
            </w:r>
            <w:r>
              <w:rPr>
                <w:rFonts w:hint="eastAsia"/>
                <w:szCs w:val="21"/>
              </w:rPr>
              <w:t>。</w:t>
            </w:r>
          </w:p>
          <w:p>
            <w:pPr>
              <w:spacing w:line="240" w:lineRule="auto"/>
              <w:rPr>
                <w:szCs w:val="21"/>
              </w:rPr>
            </w:pPr>
            <w:r>
              <w:rPr>
                <w:rFonts w:hint="eastAsia"/>
                <w:szCs w:val="21"/>
              </w:rPr>
              <w:t>（</w:t>
            </w:r>
            <w:r>
              <w:rPr>
                <w:szCs w:val="21"/>
              </w:rPr>
              <w:t>2）投标文件响应内容具体</w:t>
            </w:r>
            <w:r>
              <w:rPr>
                <w:rFonts w:hint="eastAsia"/>
                <w:szCs w:val="21"/>
              </w:rPr>
              <w:t>。</w:t>
            </w:r>
          </w:p>
          <w:p>
            <w:pPr>
              <w:spacing w:line="240" w:lineRule="auto"/>
              <w:rPr>
                <w:szCs w:val="21"/>
              </w:rPr>
            </w:pPr>
            <w:r>
              <w:rPr>
                <w:rFonts w:hint="eastAsia"/>
                <w:szCs w:val="21"/>
              </w:rPr>
              <w:t>（</w:t>
            </w:r>
            <w:r>
              <w:rPr>
                <w:szCs w:val="21"/>
              </w:rPr>
              <w:t>3）投标文件响应内容针对性强</w:t>
            </w:r>
            <w:r>
              <w:rPr>
                <w:rFonts w:hint="eastAsia"/>
                <w:szCs w:val="21"/>
              </w:rPr>
              <w:t>。</w:t>
            </w:r>
          </w:p>
          <w:p>
            <w:pPr>
              <w:spacing w:line="240" w:lineRule="auto"/>
              <w:rPr>
                <w:szCs w:val="21"/>
              </w:rPr>
            </w:pPr>
            <w:r>
              <w:rPr>
                <w:rFonts w:hint="eastAsia"/>
                <w:szCs w:val="21"/>
              </w:rPr>
              <w:t>（</w:t>
            </w:r>
            <w:r>
              <w:rPr>
                <w:szCs w:val="21"/>
              </w:rPr>
              <w:t>4）投标文件响应内容科学合理</w:t>
            </w:r>
            <w:r>
              <w:rPr>
                <w:rFonts w:hint="eastAsia"/>
                <w:szCs w:val="21"/>
              </w:rPr>
              <w:t>。</w:t>
            </w:r>
          </w:p>
          <w:p>
            <w:pPr>
              <w:spacing w:line="240" w:lineRule="auto"/>
              <w:rPr>
                <w:szCs w:val="21"/>
              </w:rPr>
            </w:pPr>
            <w:r>
              <w:rPr>
                <w:rFonts w:hint="eastAsia"/>
                <w:szCs w:val="21"/>
              </w:rPr>
              <w:t>（</w:t>
            </w:r>
            <w:r>
              <w:rPr>
                <w:szCs w:val="21"/>
              </w:rPr>
              <w:t>5）投标文件响应内容可执行性强。</w:t>
            </w:r>
          </w:p>
          <w:p>
            <w:pPr>
              <w:spacing w:line="240" w:lineRule="auto"/>
              <w:rPr>
                <w:szCs w:val="21"/>
              </w:rPr>
            </w:pPr>
            <w:r>
              <w:rPr>
                <w:rFonts w:hint="eastAsia"/>
                <w:szCs w:val="21"/>
              </w:rPr>
              <w:t>满足以上五项要求的评价为优，得</w:t>
            </w:r>
            <w:r>
              <w:rPr>
                <w:szCs w:val="21"/>
              </w:rPr>
              <w:t>100%分数。</w:t>
            </w:r>
          </w:p>
          <w:p>
            <w:pPr>
              <w:spacing w:line="240" w:lineRule="auto"/>
              <w:rPr>
                <w:szCs w:val="21"/>
              </w:rPr>
            </w:pPr>
            <w:r>
              <w:rPr>
                <w:rFonts w:hint="eastAsia"/>
                <w:szCs w:val="21"/>
              </w:rPr>
              <w:t>满足以上四项要求的评价为良，得</w:t>
            </w:r>
            <w:r>
              <w:rPr>
                <w:szCs w:val="21"/>
              </w:rPr>
              <w:t>80%分数。</w:t>
            </w:r>
          </w:p>
          <w:p>
            <w:pPr>
              <w:spacing w:line="240" w:lineRule="auto"/>
              <w:rPr>
                <w:szCs w:val="21"/>
              </w:rPr>
            </w:pPr>
            <w:r>
              <w:rPr>
                <w:rFonts w:hint="eastAsia"/>
                <w:szCs w:val="21"/>
              </w:rPr>
              <w:t>满足以上三项要求的评价为中，得</w:t>
            </w:r>
            <w:r>
              <w:rPr>
                <w:szCs w:val="21"/>
              </w:rPr>
              <w:t>60%分数。</w:t>
            </w:r>
          </w:p>
          <w:p>
            <w:pPr>
              <w:adjustRightInd/>
              <w:snapToGrid/>
              <w:spacing w:line="240" w:lineRule="auto"/>
              <w:jc w:val="left"/>
              <w:rPr>
                <w:b/>
                <w:szCs w:val="21"/>
              </w:rPr>
            </w:pPr>
            <w:r>
              <w:rPr>
                <w:rFonts w:hint="eastAsia"/>
                <w:szCs w:val="21"/>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pStyle w:val="280"/>
              <w:numPr>
                <w:ilvl w:val="0"/>
                <w:numId w:val="0"/>
              </w:numPr>
              <w:spacing w:line="240" w:lineRule="auto"/>
              <w:jc w:val="both"/>
              <w:rPr>
                <w:szCs w:val="21"/>
              </w:rPr>
            </w:pPr>
            <w:r>
              <w:rPr>
                <w:rFonts w:hint="eastAsia"/>
                <w:szCs w:val="21"/>
              </w:rPr>
              <w:t>5</w:t>
            </w:r>
          </w:p>
        </w:tc>
        <w:tc>
          <w:tcPr>
            <w:tcW w:w="1984" w:type="dxa"/>
            <w:vAlign w:val="center"/>
          </w:tcPr>
          <w:p>
            <w:pPr>
              <w:adjustRightInd/>
              <w:snapToGrid/>
              <w:spacing w:line="240" w:lineRule="auto"/>
              <w:jc w:val="center"/>
              <w:rPr>
                <w:szCs w:val="21"/>
              </w:rPr>
            </w:pPr>
            <w:r>
              <w:rPr>
                <w:rFonts w:hint="eastAsia"/>
                <w:szCs w:val="21"/>
              </w:rPr>
              <w:t>施工质量（安全、环保、工期、售后服务）保障措施及相关的违约承诺</w:t>
            </w:r>
          </w:p>
        </w:tc>
        <w:tc>
          <w:tcPr>
            <w:tcW w:w="709" w:type="dxa"/>
            <w:vAlign w:val="center"/>
          </w:tcPr>
          <w:p>
            <w:pPr>
              <w:adjustRightInd/>
              <w:snapToGrid/>
              <w:spacing w:line="240" w:lineRule="auto"/>
              <w:jc w:val="center"/>
              <w:rPr>
                <w:szCs w:val="21"/>
              </w:rPr>
            </w:pPr>
            <w:r>
              <w:rPr>
                <w:rFonts w:hint="eastAsia"/>
                <w:szCs w:val="21"/>
              </w:rPr>
              <w:t>5</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u w:val="single"/>
              </w:rPr>
            </w:pPr>
            <w:r>
              <w:rPr>
                <w:rFonts w:hint="eastAsia"/>
                <w:b/>
                <w:szCs w:val="21"/>
              </w:rPr>
              <w:t>评审内容：</w:t>
            </w:r>
          </w:p>
          <w:p>
            <w:pPr>
              <w:adjustRightInd/>
              <w:snapToGrid/>
              <w:spacing w:line="240" w:lineRule="auto"/>
              <w:jc w:val="left"/>
              <w:rPr>
                <w:szCs w:val="21"/>
              </w:rPr>
            </w:pPr>
            <w:r>
              <w:rPr>
                <w:rFonts w:hint="eastAsia"/>
                <w:szCs w:val="21"/>
              </w:rPr>
              <w:t>（1）施工质量保障措施。</w:t>
            </w:r>
          </w:p>
          <w:p>
            <w:pPr>
              <w:adjustRightInd/>
              <w:snapToGrid/>
              <w:spacing w:line="240" w:lineRule="auto"/>
              <w:jc w:val="left"/>
              <w:rPr>
                <w:szCs w:val="21"/>
              </w:rPr>
            </w:pPr>
            <w:r>
              <w:rPr>
                <w:rFonts w:hint="eastAsia"/>
                <w:szCs w:val="21"/>
              </w:rPr>
              <w:t>（2）施工安全保障措施。</w:t>
            </w:r>
          </w:p>
          <w:p>
            <w:pPr>
              <w:adjustRightInd/>
              <w:snapToGrid/>
              <w:spacing w:line="240" w:lineRule="auto"/>
              <w:jc w:val="left"/>
              <w:rPr>
                <w:szCs w:val="21"/>
              </w:rPr>
            </w:pPr>
            <w:r>
              <w:rPr>
                <w:rFonts w:hint="eastAsia"/>
                <w:szCs w:val="21"/>
              </w:rPr>
              <w:t>（3）施工环保保障措施。</w:t>
            </w:r>
          </w:p>
          <w:p>
            <w:pPr>
              <w:adjustRightInd/>
              <w:snapToGrid/>
              <w:spacing w:line="240" w:lineRule="auto"/>
              <w:jc w:val="left"/>
              <w:rPr>
                <w:szCs w:val="21"/>
              </w:rPr>
            </w:pPr>
            <w:r>
              <w:rPr>
                <w:rFonts w:hint="eastAsia"/>
                <w:szCs w:val="21"/>
              </w:rPr>
              <w:t>（4）施工工期保障措施。</w:t>
            </w:r>
          </w:p>
          <w:p>
            <w:pPr>
              <w:adjustRightInd/>
              <w:snapToGrid/>
              <w:spacing w:line="240" w:lineRule="auto"/>
              <w:jc w:val="left"/>
              <w:rPr>
                <w:szCs w:val="21"/>
              </w:rPr>
            </w:pPr>
            <w:r>
              <w:rPr>
                <w:rFonts w:hint="eastAsia"/>
                <w:szCs w:val="21"/>
              </w:rPr>
              <w:t>（5）施工售后服务保障措施。</w:t>
            </w:r>
          </w:p>
          <w:p>
            <w:pPr>
              <w:adjustRightInd/>
              <w:snapToGrid/>
              <w:spacing w:line="240" w:lineRule="auto"/>
              <w:jc w:val="left"/>
              <w:rPr>
                <w:b/>
                <w:szCs w:val="21"/>
                <w:u w:val="single"/>
              </w:rPr>
            </w:pPr>
            <w:r>
              <w:rPr>
                <w:rFonts w:hint="eastAsia"/>
                <w:szCs w:val="21"/>
              </w:rPr>
              <w:t>（6）相关的违约承诺。</w:t>
            </w:r>
          </w:p>
          <w:p>
            <w:pPr>
              <w:adjustRightInd/>
              <w:snapToGrid/>
              <w:spacing w:line="240" w:lineRule="auto"/>
              <w:jc w:val="left"/>
              <w:rPr>
                <w:b/>
                <w:szCs w:val="21"/>
                <w:u w:val="single"/>
              </w:rPr>
            </w:pPr>
          </w:p>
          <w:p>
            <w:pPr>
              <w:adjustRightInd/>
              <w:snapToGrid/>
              <w:spacing w:line="240" w:lineRule="auto"/>
              <w:jc w:val="left"/>
              <w:rPr>
                <w:b/>
                <w:szCs w:val="21"/>
              </w:rPr>
            </w:pPr>
            <w:r>
              <w:rPr>
                <w:rFonts w:hint="eastAsia"/>
                <w:b/>
                <w:szCs w:val="21"/>
              </w:rPr>
              <w:t>优良中差评分标准：</w:t>
            </w:r>
          </w:p>
          <w:p>
            <w:pPr>
              <w:spacing w:line="240" w:lineRule="auto"/>
              <w:rPr>
                <w:szCs w:val="21"/>
              </w:rPr>
            </w:pPr>
            <w:r>
              <w:rPr>
                <w:rFonts w:hint="eastAsia"/>
                <w:szCs w:val="21"/>
              </w:rPr>
              <w:t>（</w:t>
            </w:r>
            <w:r>
              <w:rPr>
                <w:szCs w:val="21"/>
              </w:rPr>
              <w:t>1）投标文件响应内容全面</w:t>
            </w:r>
            <w:r>
              <w:rPr>
                <w:rFonts w:hint="eastAsia"/>
                <w:szCs w:val="21"/>
              </w:rPr>
              <w:t>。</w:t>
            </w:r>
          </w:p>
          <w:p>
            <w:pPr>
              <w:spacing w:line="240" w:lineRule="auto"/>
              <w:rPr>
                <w:szCs w:val="21"/>
              </w:rPr>
            </w:pPr>
            <w:r>
              <w:rPr>
                <w:rFonts w:hint="eastAsia"/>
                <w:szCs w:val="21"/>
              </w:rPr>
              <w:t>（</w:t>
            </w:r>
            <w:r>
              <w:rPr>
                <w:szCs w:val="21"/>
              </w:rPr>
              <w:t>2）投标文件响应内容具体</w:t>
            </w:r>
            <w:r>
              <w:rPr>
                <w:rFonts w:hint="eastAsia"/>
                <w:szCs w:val="21"/>
              </w:rPr>
              <w:t>。</w:t>
            </w:r>
          </w:p>
          <w:p>
            <w:pPr>
              <w:spacing w:line="240" w:lineRule="auto"/>
              <w:rPr>
                <w:szCs w:val="21"/>
              </w:rPr>
            </w:pPr>
            <w:r>
              <w:rPr>
                <w:rFonts w:hint="eastAsia"/>
                <w:szCs w:val="21"/>
              </w:rPr>
              <w:t>（</w:t>
            </w:r>
            <w:r>
              <w:rPr>
                <w:szCs w:val="21"/>
              </w:rPr>
              <w:t>3）投标文件响应内容针对性强</w:t>
            </w:r>
            <w:r>
              <w:rPr>
                <w:rFonts w:hint="eastAsia"/>
                <w:szCs w:val="21"/>
              </w:rPr>
              <w:t>。</w:t>
            </w:r>
          </w:p>
          <w:p>
            <w:pPr>
              <w:spacing w:line="240" w:lineRule="auto"/>
              <w:rPr>
                <w:szCs w:val="21"/>
              </w:rPr>
            </w:pPr>
            <w:r>
              <w:rPr>
                <w:rFonts w:hint="eastAsia"/>
                <w:szCs w:val="21"/>
              </w:rPr>
              <w:t>（</w:t>
            </w:r>
            <w:r>
              <w:rPr>
                <w:szCs w:val="21"/>
              </w:rPr>
              <w:t>4）投标文件响应内容科学合理</w:t>
            </w:r>
            <w:r>
              <w:rPr>
                <w:rFonts w:hint="eastAsia"/>
                <w:szCs w:val="21"/>
              </w:rPr>
              <w:t>。</w:t>
            </w:r>
          </w:p>
          <w:p>
            <w:pPr>
              <w:spacing w:line="240" w:lineRule="auto"/>
              <w:rPr>
                <w:szCs w:val="21"/>
              </w:rPr>
            </w:pPr>
            <w:r>
              <w:rPr>
                <w:rFonts w:hint="eastAsia"/>
                <w:szCs w:val="21"/>
              </w:rPr>
              <w:t>（</w:t>
            </w:r>
            <w:r>
              <w:rPr>
                <w:szCs w:val="21"/>
              </w:rPr>
              <w:t>5）投标文件响应内容可执行性强。</w:t>
            </w:r>
          </w:p>
          <w:p>
            <w:pPr>
              <w:spacing w:line="240" w:lineRule="auto"/>
              <w:rPr>
                <w:szCs w:val="21"/>
              </w:rPr>
            </w:pPr>
            <w:r>
              <w:rPr>
                <w:rFonts w:hint="eastAsia"/>
                <w:szCs w:val="21"/>
              </w:rPr>
              <w:t>满足以上五项要求的评价为优，得</w:t>
            </w:r>
            <w:r>
              <w:rPr>
                <w:szCs w:val="21"/>
              </w:rPr>
              <w:t>100%分数。</w:t>
            </w:r>
          </w:p>
          <w:p>
            <w:pPr>
              <w:spacing w:line="240" w:lineRule="auto"/>
              <w:rPr>
                <w:szCs w:val="21"/>
              </w:rPr>
            </w:pPr>
            <w:r>
              <w:rPr>
                <w:rFonts w:hint="eastAsia"/>
                <w:szCs w:val="21"/>
              </w:rPr>
              <w:t>满足以上四项要求的评价为良，得</w:t>
            </w:r>
            <w:r>
              <w:rPr>
                <w:szCs w:val="21"/>
              </w:rPr>
              <w:t>80%分数。</w:t>
            </w:r>
          </w:p>
          <w:p>
            <w:pPr>
              <w:spacing w:line="240" w:lineRule="auto"/>
              <w:rPr>
                <w:szCs w:val="21"/>
              </w:rPr>
            </w:pPr>
            <w:r>
              <w:rPr>
                <w:rFonts w:hint="eastAsia"/>
                <w:szCs w:val="21"/>
              </w:rPr>
              <w:t>满足以上三项要求的评价为中，得</w:t>
            </w:r>
            <w:r>
              <w:rPr>
                <w:szCs w:val="21"/>
              </w:rPr>
              <w:t>60%分数。</w:t>
            </w:r>
          </w:p>
          <w:p>
            <w:pPr>
              <w:adjustRightInd/>
              <w:snapToGrid/>
              <w:spacing w:line="240" w:lineRule="auto"/>
              <w:jc w:val="left"/>
              <w:rPr>
                <w:b/>
                <w:szCs w:val="21"/>
                <w:u w:val="single"/>
              </w:rPr>
            </w:pPr>
            <w:r>
              <w:rPr>
                <w:rFonts w:hint="eastAsia"/>
                <w:szCs w:val="21"/>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pPr>
              <w:adjustRightInd/>
              <w:snapToGrid/>
              <w:spacing w:line="240" w:lineRule="auto"/>
              <w:jc w:val="center"/>
              <w:rPr>
                <w:szCs w:val="21"/>
              </w:rPr>
            </w:pPr>
            <w:r>
              <w:rPr>
                <w:szCs w:val="21"/>
              </w:rPr>
              <w:t>3</w:t>
            </w:r>
          </w:p>
        </w:tc>
        <w:tc>
          <w:tcPr>
            <w:tcW w:w="3841" w:type="dxa"/>
            <w:gridSpan w:val="4"/>
            <w:vAlign w:val="center"/>
          </w:tcPr>
          <w:p>
            <w:pPr>
              <w:adjustRightInd/>
              <w:snapToGrid/>
              <w:spacing w:line="240" w:lineRule="auto"/>
              <w:jc w:val="center"/>
              <w:rPr>
                <w:szCs w:val="21"/>
              </w:rPr>
            </w:pPr>
            <w:r>
              <w:rPr>
                <w:rFonts w:hint="eastAsia"/>
                <w:szCs w:val="21"/>
              </w:rPr>
              <w:t>综合实力部分</w:t>
            </w:r>
          </w:p>
        </w:tc>
        <w:tc>
          <w:tcPr>
            <w:tcW w:w="4071" w:type="dxa"/>
            <w:vAlign w:val="center"/>
          </w:tcPr>
          <w:p>
            <w:pPr>
              <w:adjustRightInd/>
              <w:snapToGrid/>
              <w:spacing w:line="240" w:lineRule="auto"/>
              <w:jc w:val="center"/>
              <w:rPr>
                <w:szCs w:val="21"/>
              </w:rPr>
            </w:pPr>
            <w:r>
              <w:rPr>
                <w:rFonts w:hint="eastAsia"/>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restart"/>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序号</w:t>
            </w:r>
          </w:p>
        </w:tc>
        <w:tc>
          <w:tcPr>
            <w:tcW w:w="1984" w:type="dxa"/>
            <w:vAlign w:val="center"/>
          </w:tcPr>
          <w:p>
            <w:pPr>
              <w:adjustRightInd/>
              <w:snapToGrid/>
              <w:spacing w:line="240" w:lineRule="auto"/>
              <w:jc w:val="center"/>
              <w:rPr>
                <w:szCs w:val="21"/>
              </w:rPr>
            </w:pPr>
            <w:r>
              <w:rPr>
                <w:rFonts w:hint="eastAsia"/>
                <w:szCs w:val="21"/>
              </w:rPr>
              <w:t>评分因素</w:t>
            </w:r>
          </w:p>
        </w:tc>
        <w:tc>
          <w:tcPr>
            <w:tcW w:w="709" w:type="dxa"/>
            <w:vAlign w:val="center"/>
          </w:tcPr>
          <w:p>
            <w:pPr>
              <w:adjustRightInd/>
              <w:snapToGrid/>
              <w:spacing w:line="240" w:lineRule="auto"/>
              <w:jc w:val="center"/>
              <w:rPr>
                <w:szCs w:val="21"/>
              </w:rPr>
            </w:pPr>
            <w:r>
              <w:rPr>
                <w:rFonts w:hint="eastAsia"/>
                <w:szCs w:val="21"/>
              </w:rPr>
              <w:t>分值</w:t>
            </w:r>
          </w:p>
        </w:tc>
        <w:tc>
          <w:tcPr>
            <w:tcW w:w="709" w:type="dxa"/>
            <w:vAlign w:val="center"/>
          </w:tcPr>
          <w:p>
            <w:pPr>
              <w:adjustRightInd/>
              <w:snapToGrid/>
              <w:spacing w:line="240" w:lineRule="auto"/>
              <w:jc w:val="center"/>
              <w:rPr>
                <w:szCs w:val="21"/>
              </w:rPr>
            </w:pPr>
            <w:r>
              <w:rPr>
                <w:rFonts w:hint="eastAsia"/>
                <w:szCs w:val="21"/>
              </w:rPr>
              <w:t>评分方式</w:t>
            </w:r>
          </w:p>
        </w:tc>
        <w:tc>
          <w:tcPr>
            <w:tcW w:w="4071" w:type="dxa"/>
            <w:vAlign w:val="center"/>
          </w:tcPr>
          <w:p>
            <w:pPr>
              <w:adjustRightInd/>
              <w:snapToGrid/>
              <w:spacing w:line="240" w:lineRule="auto"/>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1</w:t>
            </w:r>
          </w:p>
        </w:tc>
        <w:tc>
          <w:tcPr>
            <w:tcW w:w="1984" w:type="dxa"/>
            <w:vAlign w:val="center"/>
          </w:tcPr>
          <w:p>
            <w:pPr>
              <w:adjustRightInd/>
              <w:snapToGrid/>
              <w:spacing w:line="240" w:lineRule="auto"/>
              <w:jc w:val="center"/>
              <w:rPr>
                <w:szCs w:val="21"/>
              </w:rPr>
            </w:pPr>
            <w:r>
              <w:rPr>
                <w:rFonts w:hint="eastAsia"/>
                <w:szCs w:val="21"/>
              </w:rPr>
              <w:t>投标人通过相关认证情况</w:t>
            </w:r>
          </w:p>
        </w:tc>
        <w:tc>
          <w:tcPr>
            <w:tcW w:w="709" w:type="dxa"/>
            <w:vAlign w:val="center"/>
          </w:tcPr>
          <w:p>
            <w:pPr>
              <w:adjustRightInd/>
              <w:snapToGrid/>
              <w:spacing w:line="240" w:lineRule="auto"/>
              <w:jc w:val="center"/>
              <w:rPr>
                <w:szCs w:val="21"/>
              </w:rPr>
            </w:pPr>
            <w:r>
              <w:rPr>
                <w:rFonts w:hint="eastAsia"/>
                <w:szCs w:val="21"/>
              </w:rPr>
              <w:t>3</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rPr>
            </w:pPr>
            <w:r>
              <w:rPr>
                <w:rFonts w:hint="eastAsia"/>
                <w:b/>
                <w:szCs w:val="21"/>
              </w:rPr>
              <w:t>评分内容：</w:t>
            </w:r>
          </w:p>
          <w:p>
            <w:pPr>
              <w:adjustRightInd/>
              <w:snapToGrid/>
              <w:spacing w:line="240" w:lineRule="auto"/>
              <w:jc w:val="left"/>
              <w:rPr>
                <w:szCs w:val="21"/>
              </w:rPr>
            </w:pPr>
            <w:r>
              <w:rPr>
                <w:rFonts w:hint="eastAsia"/>
                <w:szCs w:val="21"/>
              </w:rPr>
              <w:t>（1）质量管理体系认证证书；</w:t>
            </w:r>
          </w:p>
          <w:p>
            <w:pPr>
              <w:adjustRightInd/>
              <w:snapToGrid/>
              <w:spacing w:line="240" w:lineRule="auto"/>
              <w:jc w:val="left"/>
              <w:rPr>
                <w:szCs w:val="21"/>
              </w:rPr>
            </w:pPr>
            <w:r>
              <w:rPr>
                <w:rFonts w:hint="eastAsia"/>
                <w:szCs w:val="21"/>
              </w:rPr>
              <w:t>（2）环境管理体系认证证书；</w:t>
            </w:r>
          </w:p>
          <w:p>
            <w:pPr>
              <w:adjustRightInd/>
              <w:snapToGrid/>
              <w:spacing w:line="240" w:lineRule="auto"/>
              <w:jc w:val="left"/>
              <w:rPr>
                <w:szCs w:val="21"/>
              </w:rPr>
            </w:pPr>
            <w:r>
              <w:rPr>
                <w:rFonts w:hint="eastAsia"/>
                <w:szCs w:val="21"/>
              </w:rPr>
              <w:t>（3）职业健康安全管理体系认证证书；</w:t>
            </w:r>
          </w:p>
          <w:p>
            <w:pPr>
              <w:adjustRightInd/>
              <w:snapToGrid/>
              <w:spacing w:line="240" w:lineRule="auto"/>
              <w:jc w:val="left"/>
              <w:rPr>
                <w:b/>
                <w:szCs w:val="21"/>
              </w:rPr>
            </w:pPr>
          </w:p>
          <w:p>
            <w:pPr>
              <w:adjustRightInd/>
              <w:snapToGrid/>
              <w:spacing w:line="240" w:lineRule="auto"/>
              <w:jc w:val="left"/>
              <w:rPr>
                <w:b/>
                <w:szCs w:val="21"/>
              </w:rPr>
            </w:pPr>
            <w:r>
              <w:rPr>
                <w:rFonts w:hint="eastAsia"/>
                <w:b/>
                <w:szCs w:val="21"/>
              </w:rPr>
              <w:t>证明文件：</w:t>
            </w:r>
          </w:p>
          <w:p>
            <w:pPr>
              <w:tabs>
                <w:tab w:val="clear" w:pos="426"/>
              </w:tabs>
              <w:adjustRightInd/>
              <w:snapToGrid/>
              <w:spacing w:line="240" w:lineRule="auto"/>
              <w:jc w:val="left"/>
              <w:rPr>
                <w:szCs w:val="21"/>
              </w:rPr>
            </w:pPr>
            <w:r>
              <w:rPr>
                <w:rFonts w:hint="eastAsia"/>
                <w:szCs w:val="21"/>
              </w:rPr>
              <w:t>（1）投标人须提供上述有效的认证证书复印件作为得分依据，原件中标备查。</w:t>
            </w:r>
          </w:p>
          <w:p>
            <w:pPr>
              <w:adjustRightInd/>
              <w:snapToGrid/>
              <w:spacing w:line="240" w:lineRule="auto"/>
              <w:rPr>
                <w:szCs w:val="21"/>
              </w:rPr>
            </w:pPr>
            <w:r>
              <w:rPr>
                <w:rFonts w:hint="eastAsia"/>
                <w:szCs w:val="21"/>
              </w:rPr>
              <w:t>（2）</w:t>
            </w:r>
            <w:r>
              <w:rPr>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2</w:t>
            </w:r>
          </w:p>
        </w:tc>
        <w:tc>
          <w:tcPr>
            <w:tcW w:w="1984" w:type="dxa"/>
            <w:vAlign w:val="center"/>
          </w:tcPr>
          <w:p>
            <w:pPr>
              <w:adjustRightInd/>
              <w:snapToGrid/>
              <w:spacing w:line="240" w:lineRule="auto"/>
              <w:jc w:val="center"/>
              <w:rPr>
                <w:szCs w:val="21"/>
              </w:rPr>
            </w:pPr>
            <w:r>
              <w:rPr>
                <w:rFonts w:hint="eastAsia"/>
                <w:szCs w:val="21"/>
              </w:rPr>
              <w:t>投标人同类项目业绩情况</w:t>
            </w:r>
          </w:p>
        </w:tc>
        <w:tc>
          <w:tcPr>
            <w:tcW w:w="709" w:type="dxa"/>
            <w:vAlign w:val="center"/>
          </w:tcPr>
          <w:p>
            <w:pPr>
              <w:adjustRightInd/>
              <w:snapToGrid/>
              <w:spacing w:line="240" w:lineRule="auto"/>
              <w:jc w:val="center"/>
              <w:rPr>
                <w:szCs w:val="21"/>
              </w:rPr>
            </w:pPr>
            <w:r>
              <w:rPr>
                <w:rFonts w:hint="eastAsia"/>
                <w:szCs w:val="21"/>
              </w:rPr>
              <w:t>6</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rPr>
            </w:pPr>
            <w:r>
              <w:rPr>
                <w:rFonts w:hint="eastAsia"/>
                <w:b/>
                <w:szCs w:val="21"/>
              </w:rPr>
              <w:t>评分内容：</w:t>
            </w:r>
          </w:p>
          <w:p>
            <w:pPr>
              <w:adjustRightInd/>
              <w:snapToGrid/>
              <w:spacing w:line="240" w:lineRule="auto"/>
              <w:jc w:val="left"/>
              <w:rPr>
                <w:szCs w:val="21"/>
              </w:rPr>
            </w:pPr>
            <w:r>
              <w:rPr>
                <w:rFonts w:hint="eastAsia"/>
                <w:szCs w:val="21"/>
              </w:rPr>
              <w:t>（</w:t>
            </w:r>
            <w:r>
              <w:rPr>
                <w:szCs w:val="21"/>
              </w:rPr>
              <w:t>1）</w:t>
            </w:r>
            <w:r>
              <w:rPr>
                <w:rFonts w:hint="eastAsia"/>
                <w:szCs w:val="21"/>
              </w:rPr>
              <w:t>投标人近三年（具体指自</w:t>
            </w:r>
            <w:r>
              <w:rPr>
                <w:szCs w:val="21"/>
              </w:rPr>
              <w:t>2016年1月1日起至本项目投标截止日，以合同签订时间为准）同类业绩，提供3个同类业绩即得100%分数，提供2个得60%分数，提供1个得30%分数，未提供的不得分。</w:t>
            </w:r>
          </w:p>
          <w:p>
            <w:pPr>
              <w:adjustRightInd/>
              <w:snapToGrid/>
              <w:spacing w:line="240" w:lineRule="auto"/>
              <w:jc w:val="left"/>
              <w:rPr>
                <w:szCs w:val="21"/>
              </w:rPr>
            </w:pPr>
          </w:p>
          <w:p>
            <w:pPr>
              <w:adjustRightInd/>
              <w:snapToGrid/>
              <w:spacing w:line="240" w:lineRule="auto"/>
              <w:jc w:val="left"/>
              <w:rPr>
                <w:b/>
                <w:szCs w:val="21"/>
              </w:rPr>
            </w:pPr>
            <w:r>
              <w:rPr>
                <w:rFonts w:hint="eastAsia"/>
                <w:b/>
                <w:szCs w:val="21"/>
              </w:rPr>
              <w:t>证明文件：</w:t>
            </w:r>
          </w:p>
          <w:p>
            <w:pPr>
              <w:adjustRightInd/>
              <w:snapToGrid/>
              <w:spacing w:line="240" w:lineRule="auto"/>
              <w:jc w:val="left"/>
              <w:rPr>
                <w:szCs w:val="21"/>
              </w:rPr>
            </w:pPr>
            <w:r>
              <w:rPr>
                <w:rFonts w:hint="eastAsia"/>
                <w:szCs w:val="21"/>
              </w:rPr>
              <w:t>（1）要求同时提供合同关键信息和项目履约（验收）合格评价证明文件作为得分依据。</w:t>
            </w:r>
          </w:p>
          <w:p>
            <w:pPr>
              <w:adjustRightInd/>
              <w:snapToGrid/>
              <w:spacing w:line="240" w:lineRule="auto"/>
              <w:jc w:val="left"/>
              <w:rPr>
                <w:szCs w:val="21"/>
              </w:rPr>
            </w:pPr>
            <w:r>
              <w:rPr>
                <w:rFonts w:hint="eastAsia"/>
                <w:szCs w:val="21"/>
              </w:rPr>
              <w:t>（2）通过合同关键信息无法判断是否得分的，也可以提供能证明得分的其它证明资料，如项目报告或合同甲方出具的证明文件等。</w:t>
            </w:r>
          </w:p>
          <w:p>
            <w:pPr>
              <w:adjustRightInd/>
              <w:snapToGrid/>
              <w:spacing w:line="240" w:lineRule="auto"/>
              <w:jc w:val="left"/>
              <w:rPr>
                <w:szCs w:val="21"/>
              </w:rPr>
            </w:pPr>
            <w:r>
              <w:rPr>
                <w:rFonts w:hint="eastAsia"/>
                <w:szCs w:val="21"/>
              </w:rPr>
              <w:t>（3）以上资料均要求提供复印件，原件中标备查。</w:t>
            </w:r>
          </w:p>
          <w:p>
            <w:pPr>
              <w:adjustRightInd/>
              <w:snapToGrid/>
              <w:spacing w:line="240" w:lineRule="auto"/>
              <w:jc w:val="left"/>
              <w:rPr>
                <w:szCs w:val="21"/>
              </w:rPr>
            </w:pPr>
            <w:r>
              <w:rPr>
                <w:rFonts w:hint="eastAsia"/>
                <w:szCs w:val="21"/>
              </w:rPr>
              <w:t>（4）</w:t>
            </w:r>
            <w:r>
              <w:rPr>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3</w:t>
            </w:r>
          </w:p>
        </w:tc>
        <w:tc>
          <w:tcPr>
            <w:tcW w:w="1984" w:type="dxa"/>
            <w:vAlign w:val="center"/>
          </w:tcPr>
          <w:p>
            <w:pPr>
              <w:adjustRightInd/>
              <w:snapToGrid/>
              <w:spacing w:line="240" w:lineRule="auto"/>
              <w:jc w:val="center"/>
              <w:rPr>
                <w:szCs w:val="21"/>
              </w:rPr>
            </w:pPr>
            <w:r>
              <w:rPr>
                <w:rFonts w:hint="eastAsia"/>
                <w:szCs w:val="21"/>
              </w:rPr>
              <w:t>投标人本地服务能力</w:t>
            </w:r>
          </w:p>
        </w:tc>
        <w:tc>
          <w:tcPr>
            <w:tcW w:w="709" w:type="dxa"/>
            <w:vAlign w:val="center"/>
          </w:tcPr>
          <w:p>
            <w:pPr>
              <w:adjustRightInd/>
              <w:snapToGrid/>
              <w:spacing w:line="240" w:lineRule="auto"/>
              <w:jc w:val="center"/>
              <w:rPr>
                <w:szCs w:val="21"/>
              </w:rPr>
            </w:pPr>
            <w:r>
              <w:rPr>
                <w:rFonts w:hint="eastAsia"/>
                <w:szCs w:val="21"/>
              </w:rPr>
              <w:t>1</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szCs w:val="21"/>
              </w:rPr>
            </w:pPr>
            <w:r>
              <w:rPr>
                <w:szCs w:val="21"/>
              </w:rPr>
              <w:t>深圳供应商，或非深圳供应商但在深圳有合法注册的分公司</w:t>
            </w:r>
            <w:r>
              <w:rPr>
                <w:rFonts w:hint="eastAsia"/>
                <w:szCs w:val="21"/>
              </w:rPr>
              <w:t>（或售后机构）</w:t>
            </w:r>
            <w:r>
              <w:rPr>
                <w:szCs w:val="21"/>
              </w:rPr>
              <w:t>（</w:t>
            </w:r>
            <w:r>
              <w:rPr>
                <w:rFonts w:hint="eastAsia"/>
                <w:szCs w:val="21"/>
              </w:rPr>
              <w:t>分公司的</w:t>
            </w:r>
            <w:r>
              <w:rPr>
                <w:szCs w:val="21"/>
              </w:rPr>
              <w:t>必须提供分公司营业执照</w:t>
            </w:r>
            <w:r>
              <w:rPr>
                <w:rFonts w:hint="eastAsia"/>
                <w:szCs w:val="21"/>
              </w:rPr>
              <w:t>复印</w:t>
            </w:r>
            <w:r>
              <w:rPr>
                <w:szCs w:val="21"/>
              </w:rPr>
              <w:t>件</w:t>
            </w:r>
            <w:r>
              <w:rPr>
                <w:rFonts w:hint="eastAsia"/>
                <w:szCs w:val="21"/>
              </w:rPr>
              <w:t>，售后机构必须同时提供售后服务合作合同及售后机构营业执照复印件作为得分依据</w:t>
            </w:r>
            <w:r>
              <w:rPr>
                <w:szCs w:val="21"/>
              </w:rPr>
              <w:t>，原件备查）的，得100</w:t>
            </w:r>
            <w:r>
              <w:rPr>
                <w:rFonts w:hint="eastAsia"/>
                <w:szCs w:val="21"/>
              </w:rPr>
              <w:t>%</w:t>
            </w:r>
            <w:r>
              <w:rPr>
                <w:szCs w:val="21"/>
              </w:rPr>
              <w:t>分数；否则不得分</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Cs w:val="21"/>
              </w:rPr>
            </w:pPr>
          </w:p>
        </w:tc>
        <w:tc>
          <w:tcPr>
            <w:tcW w:w="439" w:type="dxa"/>
            <w:vAlign w:val="center"/>
          </w:tcPr>
          <w:p>
            <w:pPr>
              <w:adjustRightInd/>
              <w:snapToGrid/>
              <w:spacing w:line="240" w:lineRule="auto"/>
              <w:jc w:val="center"/>
              <w:rPr>
                <w:szCs w:val="21"/>
              </w:rPr>
            </w:pPr>
            <w:r>
              <w:rPr>
                <w:rFonts w:hint="eastAsia"/>
                <w:szCs w:val="21"/>
              </w:rPr>
              <w:t>4</w:t>
            </w:r>
          </w:p>
        </w:tc>
        <w:tc>
          <w:tcPr>
            <w:tcW w:w="1984" w:type="dxa"/>
            <w:vAlign w:val="center"/>
          </w:tcPr>
          <w:p>
            <w:pPr>
              <w:adjustRightInd/>
              <w:snapToGrid/>
              <w:spacing w:line="240" w:lineRule="auto"/>
              <w:jc w:val="center"/>
              <w:rPr>
                <w:szCs w:val="21"/>
              </w:rPr>
            </w:pPr>
            <w:r>
              <w:rPr>
                <w:rFonts w:hint="eastAsia"/>
                <w:szCs w:val="21"/>
              </w:rPr>
              <w:t>拟投入劳动力（项目经理、技术人员、管理班子、机械设备、场地）情况</w:t>
            </w:r>
          </w:p>
        </w:tc>
        <w:tc>
          <w:tcPr>
            <w:tcW w:w="709" w:type="dxa"/>
            <w:vAlign w:val="center"/>
          </w:tcPr>
          <w:p>
            <w:pPr>
              <w:adjustRightInd/>
              <w:snapToGrid/>
              <w:spacing w:line="240" w:lineRule="auto"/>
              <w:jc w:val="center"/>
              <w:rPr>
                <w:szCs w:val="21"/>
              </w:rPr>
            </w:pPr>
            <w:r>
              <w:rPr>
                <w:rFonts w:hint="eastAsia"/>
                <w:sz w:val="20"/>
              </w:rPr>
              <w:t>8</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jc w:val="left"/>
              <w:rPr>
                <w:b/>
                <w:szCs w:val="21"/>
              </w:rPr>
            </w:pPr>
            <w:r>
              <w:rPr>
                <w:rFonts w:hint="eastAsia"/>
                <w:b/>
                <w:szCs w:val="21"/>
              </w:rPr>
              <w:t>评分内容：</w:t>
            </w:r>
          </w:p>
          <w:p>
            <w:pPr>
              <w:adjustRightInd/>
              <w:snapToGrid/>
              <w:spacing w:line="240" w:lineRule="auto"/>
              <w:jc w:val="left"/>
              <w:rPr>
                <w:szCs w:val="21"/>
              </w:rPr>
            </w:pPr>
            <w:r>
              <w:rPr>
                <w:rFonts w:hint="eastAsia"/>
                <w:szCs w:val="21"/>
              </w:rPr>
              <w:t>拟投入劳动力（项目经理、技术人员、管理班子、机械设备、场地）情况</w:t>
            </w:r>
          </w:p>
          <w:p>
            <w:pPr>
              <w:adjustRightInd/>
              <w:snapToGrid/>
              <w:spacing w:line="240" w:lineRule="auto"/>
              <w:jc w:val="left"/>
              <w:rPr>
                <w:b/>
                <w:szCs w:val="21"/>
              </w:rPr>
            </w:pPr>
            <w:r>
              <w:rPr>
                <w:rFonts w:hint="eastAsia"/>
                <w:b/>
                <w:szCs w:val="21"/>
              </w:rPr>
              <w:t>评分依据：</w:t>
            </w:r>
          </w:p>
          <w:p>
            <w:pPr>
              <w:spacing w:line="240" w:lineRule="auto"/>
              <w:rPr>
                <w:szCs w:val="21"/>
              </w:rPr>
            </w:pPr>
            <w:r>
              <w:rPr>
                <w:rFonts w:hint="eastAsia"/>
                <w:szCs w:val="21"/>
              </w:rPr>
              <w:t>（1）投标人须提供上述证明文件。</w:t>
            </w:r>
          </w:p>
          <w:p>
            <w:pPr>
              <w:spacing w:line="240" w:lineRule="auto"/>
              <w:rPr>
                <w:szCs w:val="21"/>
              </w:rPr>
            </w:pPr>
            <w:r>
              <w:rPr>
                <w:rFonts w:hint="eastAsia"/>
                <w:szCs w:val="21"/>
              </w:rPr>
              <w:t>（2）投标人须提供上述所有人员近三个月（具体指投标截止日所在月的上一个月起倒算）在本单位社保证明</w:t>
            </w:r>
            <w:r>
              <w:rPr>
                <w:szCs w:val="21"/>
              </w:rPr>
              <w:t>(社保部门资料或网页资料或窗口打印资料均可)，未按要求提供资料不予计分。</w:t>
            </w:r>
          </w:p>
          <w:p>
            <w:pPr>
              <w:adjustRightInd/>
              <w:snapToGrid/>
              <w:spacing w:line="240" w:lineRule="auto"/>
              <w:jc w:val="left"/>
              <w:rPr>
                <w:szCs w:val="21"/>
              </w:rPr>
            </w:pPr>
            <w:r>
              <w:rPr>
                <w:rFonts w:hint="eastAsia"/>
                <w:szCs w:val="21"/>
              </w:rPr>
              <w:t>社保证明资料应当至少包含医疗保险，证明资料可为社保收缴部门盖章证明资料、社保窗口打印资料或社保官网截图。</w:t>
            </w:r>
          </w:p>
          <w:p>
            <w:pPr>
              <w:adjustRightInd/>
              <w:snapToGrid/>
              <w:spacing w:line="240" w:lineRule="auto"/>
              <w:jc w:val="left"/>
              <w:rPr>
                <w:szCs w:val="21"/>
              </w:rPr>
            </w:pPr>
            <w:r>
              <w:rPr>
                <w:rFonts w:hint="eastAsia"/>
                <w:szCs w:val="21"/>
              </w:rPr>
              <w:t>（3）工作经验证明为项目合同关键信息，通过合同关键信息无法判断是否得分的，可提供合同甲方出具的证明文件。</w:t>
            </w:r>
          </w:p>
          <w:p>
            <w:pPr>
              <w:spacing w:line="240" w:lineRule="auto"/>
              <w:rPr>
                <w:szCs w:val="21"/>
              </w:rPr>
            </w:pPr>
            <w:r>
              <w:rPr>
                <w:rFonts w:hint="eastAsia"/>
                <w:szCs w:val="21"/>
              </w:rPr>
              <w:t>（4）以上证明材料均要求提供复印件加盖投标人公章，原件中标备查。</w:t>
            </w:r>
          </w:p>
          <w:p>
            <w:pPr>
              <w:adjustRightInd/>
              <w:snapToGrid/>
              <w:spacing w:line="240" w:lineRule="auto"/>
              <w:jc w:val="left"/>
              <w:rPr>
                <w:szCs w:val="21"/>
              </w:rPr>
            </w:pPr>
            <w:r>
              <w:rPr>
                <w:rFonts w:hint="eastAsia"/>
                <w:szCs w:val="21"/>
              </w:rPr>
              <w:t>（5）</w:t>
            </w:r>
            <w:r>
              <w:rPr>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Align w:val="center"/>
          </w:tcPr>
          <w:p>
            <w:pPr>
              <w:adjustRightInd/>
              <w:snapToGrid/>
              <w:spacing w:line="240" w:lineRule="auto"/>
              <w:jc w:val="center"/>
              <w:rPr>
                <w:sz w:val="28"/>
              </w:rPr>
            </w:pPr>
            <w:r>
              <w:rPr>
                <w:rFonts w:hint="eastAsia"/>
                <w:sz w:val="28"/>
              </w:rPr>
              <w:t>4</w:t>
            </w:r>
          </w:p>
        </w:tc>
        <w:tc>
          <w:tcPr>
            <w:tcW w:w="3841" w:type="dxa"/>
            <w:gridSpan w:val="4"/>
            <w:vAlign w:val="center"/>
          </w:tcPr>
          <w:p>
            <w:pPr>
              <w:adjustRightInd/>
              <w:snapToGrid/>
              <w:spacing w:line="240" w:lineRule="auto"/>
              <w:jc w:val="center"/>
              <w:rPr>
                <w:szCs w:val="21"/>
              </w:rPr>
            </w:pPr>
            <w:r>
              <w:rPr>
                <w:rFonts w:hint="eastAsia"/>
                <w:szCs w:val="21"/>
              </w:rPr>
              <w:t>诚信部分</w:t>
            </w:r>
          </w:p>
        </w:tc>
        <w:tc>
          <w:tcPr>
            <w:tcW w:w="4071" w:type="dxa"/>
            <w:vAlign w:val="center"/>
          </w:tcPr>
          <w:p>
            <w:pPr>
              <w:adjustRightInd/>
              <w:snapToGrid/>
              <w:spacing w:line="240" w:lineRule="auto"/>
              <w:jc w:val="center"/>
              <w:rPr>
                <w:szCs w:val="21"/>
              </w:rPr>
            </w:pPr>
            <w:r>
              <w:rPr>
                <w:rFonts w:hint="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restart"/>
            <w:vAlign w:val="center"/>
          </w:tcPr>
          <w:p>
            <w:pPr>
              <w:adjustRightInd/>
              <w:snapToGrid/>
              <w:spacing w:line="240" w:lineRule="auto"/>
              <w:jc w:val="center"/>
              <w:rPr>
                <w:sz w:val="28"/>
              </w:rPr>
            </w:pPr>
          </w:p>
        </w:tc>
        <w:tc>
          <w:tcPr>
            <w:tcW w:w="439" w:type="dxa"/>
            <w:vAlign w:val="center"/>
          </w:tcPr>
          <w:p>
            <w:pPr>
              <w:adjustRightInd/>
              <w:snapToGrid/>
              <w:spacing w:line="240" w:lineRule="auto"/>
              <w:jc w:val="center"/>
              <w:rPr>
                <w:szCs w:val="21"/>
              </w:rPr>
            </w:pPr>
            <w:r>
              <w:rPr>
                <w:rFonts w:hint="eastAsia"/>
                <w:szCs w:val="21"/>
              </w:rPr>
              <w:t>序号</w:t>
            </w:r>
          </w:p>
        </w:tc>
        <w:tc>
          <w:tcPr>
            <w:tcW w:w="1984" w:type="dxa"/>
            <w:vAlign w:val="center"/>
          </w:tcPr>
          <w:p>
            <w:pPr>
              <w:adjustRightInd/>
              <w:snapToGrid/>
              <w:spacing w:line="240" w:lineRule="auto"/>
              <w:jc w:val="center"/>
              <w:rPr>
                <w:szCs w:val="21"/>
              </w:rPr>
            </w:pPr>
            <w:r>
              <w:rPr>
                <w:rFonts w:hint="eastAsia"/>
                <w:szCs w:val="21"/>
              </w:rPr>
              <w:t>评分因素</w:t>
            </w:r>
          </w:p>
        </w:tc>
        <w:tc>
          <w:tcPr>
            <w:tcW w:w="709" w:type="dxa"/>
            <w:vAlign w:val="center"/>
          </w:tcPr>
          <w:p>
            <w:pPr>
              <w:adjustRightInd/>
              <w:snapToGrid/>
              <w:spacing w:line="240" w:lineRule="auto"/>
              <w:jc w:val="center"/>
              <w:rPr>
                <w:szCs w:val="21"/>
              </w:rPr>
            </w:pPr>
            <w:r>
              <w:rPr>
                <w:rFonts w:hint="eastAsia"/>
                <w:szCs w:val="21"/>
              </w:rPr>
              <w:t>分值</w:t>
            </w:r>
          </w:p>
        </w:tc>
        <w:tc>
          <w:tcPr>
            <w:tcW w:w="709" w:type="dxa"/>
            <w:vAlign w:val="center"/>
          </w:tcPr>
          <w:p>
            <w:pPr>
              <w:adjustRightInd/>
              <w:snapToGrid/>
              <w:spacing w:line="240" w:lineRule="auto"/>
              <w:jc w:val="center"/>
              <w:rPr>
                <w:szCs w:val="21"/>
              </w:rPr>
            </w:pPr>
            <w:r>
              <w:rPr>
                <w:rFonts w:hint="eastAsia"/>
                <w:szCs w:val="21"/>
              </w:rPr>
              <w:t>评分方式</w:t>
            </w:r>
          </w:p>
        </w:tc>
        <w:tc>
          <w:tcPr>
            <w:tcW w:w="4071" w:type="dxa"/>
            <w:vAlign w:val="center"/>
          </w:tcPr>
          <w:p>
            <w:pPr>
              <w:adjustRightInd/>
              <w:snapToGrid/>
              <w:spacing w:line="240" w:lineRule="auto"/>
              <w:jc w:val="center"/>
              <w:rPr>
                <w:szCs w:val="21"/>
              </w:rPr>
            </w:pPr>
            <w:r>
              <w:rPr>
                <w:rFonts w:hint="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 w:val="28"/>
              </w:rPr>
            </w:pPr>
          </w:p>
        </w:tc>
        <w:tc>
          <w:tcPr>
            <w:tcW w:w="439" w:type="dxa"/>
            <w:vAlign w:val="center"/>
          </w:tcPr>
          <w:p>
            <w:pPr>
              <w:adjustRightInd/>
              <w:snapToGrid/>
              <w:spacing w:line="240" w:lineRule="auto"/>
              <w:jc w:val="center"/>
              <w:rPr>
                <w:szCs w:val="21"/>
              </w:rPr>
            </w:pPr>
            <w:r>
              <w:rPr>
                <w:rFonts w:hint="eastAsia"/>
                <w:szCs w:val="21"/>
              </w:rPr>
              <w:t>1</w:t>
            </w:r>
          </w:p>
        </w:tc>
        <w:tc>
          <w:tcPr>
            <w:tcW w:w="1984" w:type="dxa"/>
            <w:vAlign w:val="center"/>
          </w:tcPr>
          <w:p>
            <w:pPr>
              <w:adjustRightInd/>
              <w:snapToGrid/>
              <w:spacing w:line="240" w:lineRule="auto"/>
              <w:jc w:val="center"/>
              <w:rPr>
                <w:szCs w:val="21"/>
              </w:rPr>
            </w:pPr>
            <w:r>
              <w:rPr>
                <w:rFonts w:hint="eastAsia"/>
                <w:szCs w:val="21"/>
              </w:rPr>
              <w:t>诚信管理情况</w:t>
            </w:r>
          </w:p>
        </w:tc>
        <w:tc>
          <w:tcPr>
            <w:tcW w:w="709" w:type="dxa"/>
            <w:vAlign w:val="center"/>
          </w:tcPr>
          <w:p>
            <w:pPr>
              <w:adjustRightInd/>
              <w:snapToGrid/>
              <w:spacing w:line="240" w:lineRule="auto"/>
              <w:jc w:val="center"/>
              <w:rPr>
                <w:szCs w:val="21"/>
              </w:rPr>
            </w:pPr>
            <w:r>
              <w:rPr>
                <w:rFonts w:hint="eastAsia"/>
                <w:szCs w:val="21"/>
              </w:rPr>
              <w:t>5</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rPr>
                <w:szCs w:val="21"/>
              </w:rPr>
            </w:pPr>
            <w:r>
              <w:rPr>
                <w:rFonts w:hint="eastAsia"/>
                <w:szCs w:val="21"/>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8" w:type="dxa"/>
            <w:vMerge w:val="continue"/>
            <w:vAlign w:val="center"/>
          </w:tcPr>
          <w:p>
            <w:pPr>
              <w:adjustRightInd/>
              <w:snapToGrid/>
              <w:spacing w:line="240" w:lineRule="auto"/>
              <w:jc w:val="center"/>
              <w:rPr>
                <w:sz w:val="28"/>
              </w:rPr>
            </w:pPr>
          </w:p>
        </w:tc>
        <w:tc>
          <w:tcPr>
            <w:tcW w:w="439" w:type="dxa"/>
            <w:vAlign w:val="center"/>
          </w:tcPr>
          <w:p>
            <w:pPr>
              <w:adjustRightInd/>
              <w:snapToGrid/>
              <w:spacing w:line="240" w:lineRule="auto"/>
              <w:jc w:val="center"/>
              <w:rPr>
                <w:szCs w:val="21"/>
              </w:rPr>
            </w:pPr>
            <w:r>
              <w:rPr>
                <w:rFonts w:hint="eastAsia"/>
                <w:szCs w:val="21"/>
              </w:rPr>
              <w:t>2</w:t>
            </w:r>
          </w:p>
        </w:tc>
        <w:tc>
          <w:tcPr>
            <w:tcW w:w="1984" w:type="dxa"/>
            <w:vAlign w:val="center"/>
          </w:tcPr>
          <w:p>
            <w:pPr>
              <w:adjustRightInd/>
              <w:snapToGrid/>
              <w:spacing w:line="240" w:lineRule="auto"/>
              <w:jc w:val="center"/>
              <w:rPr>
                <w:szCs w:val="21"/>
              </w:rPr>
            </w:pPr>
            <w:r>
              <w:rPr>
                <w:rFonts w:hint="eastAsia"/>
                <w:szCs w:val="21"/>
              </w:rPr>
              <w:t>履约评价情况</w:t>
            </w:r>
          </w:p>
        </w:tc>
        <w:tc>
          <w:tcPr>
            <w:tcW w:w="709" w:type="dxa"/>
            <w:vAlign w:val="center"/>
          </w:tcPr>
          <w:p>
            <w:pPr>
              <w:adjustRightInd/>
              <w:snapToGrid/>
              <w:spacing w:line="240" w:lineRule="auto"/>
              <w:jc w:val="center"/>
              <w:rPr>
                <w:szCs w:val="21"/>
              </w:rPr>
            </w:pPr>
            <w:r>
              <w:rPr>
                <w:rFonts w:hint="eastAsia"/>
                <w:szCs w:val="21"/>
              </w:rPr>
              <w:t>2</w:t>
            </w:r>
          </w:p>
        </w:tc>
        <w:tc>
          <w:tcPr>
            <w:tcW w:w="709" w:type="dxa"/>
            <w:vAlign w:val="center"/>
          </w:tcPr>
          <w:p>
            <w:pPr>
              <w:adjustRightInd/>
              <w:snapToGrid/>
              <w:spacing w:line="240" w:lineRule="auto"/>
              <w:jc w:val="center"/>
              <w:rPr>
                <w:szCs w:val="21"/>
              </w:rPr>
            </w:pPr>
            <w:r>
              <w:rPr>
                <w:rFonts w:hint="eastAsia"/>
                <w:szCs w:val="21"/>
              </w:rPr>
              <w:t>专家打分</w:t>
            </w:r>
          </w:p>
        </w:tc>
        <w:tc>
          <w:tcPr>
            <w:tcW w:w="4071" w:type="dxa"/>
            <w:vAlign w:val="center"/>
          </w:tcPr>
          <w:p>
            <w:pPr>
              <w:adjustRightInd/>
              <w:snapToGrid/>
              <w:spacing w:line="240" w:lineRule="auto"/>
              <w:rPr>
                <w:szCs w:val="21"/>
              </w:rPr>
            </w:pPr>
            <w:r>
              <w:rPr>
                <w:rFonts w:hint="eastAsia"/>
                <w:szCs w:val="21"/>
              </w:rPr>
              <w:t>近三年（以投标截止日期为准）在市政府采购中心有履约评价为差的记录，本项不得分，否则，得满分。投标人无需提供任何证明材料，由工作人员向评委会提供相关信息。</w:t>
            </w:r>
          </w:p>
        </w:tc>
      </w:tr>
    </w:tbl>
    <w:p>
      <w:pPr>
        <w:tabs>
          <w:tab w:val="clear" w:pos="426"/>
        </w:tabs>
        <w:spacing w:line="240" w:lineRule="auto"/>
      </w:pPr>
    </w:p>
    <w:p>
      <w:pPr>
        <w:tabs>
          <w:tab w:val="clear" w:pos="426"/>
        </w:tabs>
        <w:spacing w:line="240" w:lineRule="auto"/>
      </w:pPr>
      <w:r>
        <w:rPr>
          <w:rFonts w:hint="eastAsia"/>
        </w:rPr>
        <w:t>备注：</w:t>
      </w:r>
    </w:p>
    <w:p>
      <w:pPr>
        <w:tabs>
          <w:tab w:val="clear" w:pos="426"/>
        </w:tabs>
        <w:spacing w:line="240" w:lineRule="auto"/>
        <w:ind w:firstLine="424" w:firstLineChars="202"/>
      </w:pPr>
      <w:r>
        <w:rPr>
          <w:rFonts w:hint="eastAsia"/>
        </w:rPr>
        <w:t>1. 有取值范围的，含上限值不含下限值。每一项的得分均不能超过该项最高分值。</w:t>
      </w:r>
    </w:p>
    <w:p>
      <w:pPr>
        <w:tabs>
          <w:tab w:val="clear" w:pos="426"/>
        </w:tabs>
        <w:spacing w:line="240" w:lineRule="auto"/>
        <w:ind w:firstLine="424" w:firstLineChars="202"/>
      </w:pPr>
      <w:r>
        <w:rPr>
          <w:rFonts w:hint="eastAsia"/>
        </w:rPr>
        <w:t>2. 缺项则该项为0分或不合格为0分。</w:t>
      </w:r>
    </w:p>
    <w:p>
      <w:pPr>
        <w:tabs>
          <w:tab w:val="clear" w:pos="426"/>
        </w:tabs>
        <w:spacing w:line="240" w:lineRule="auto"/>
        <w:ind w:firstLine="424" w:firstLineChars="202"/>
      </w:pPr>
      <w:r>
        <w:rPr>
          <w:rFonts w:hint="eastAsia"/>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hint="eastAsia" w:ascii="Arial" w:hAnsi="Arial" w:cs="Arial"/>
          <w:snapToGrid w:val="0"/>
          <w:szCs w:val="18"/>
        </w:rPr>
        <w:t>。</w:t>
      </w:r>
    </w:p>
    <w:p>
      <w:pPr>
        <w:tabs>
          <w:tab w:val="clear" w:pos="426"/>
        </w:tabs>
        <w:spacing w:line="240" w:lineRule="auto"/>
        <w:ind w:firstLine="424" w:firstLineChars="202"/>
        <w:rPr>
          <w:bCs/>
          <w:color w:val="000000"/>
        </w:rPr>
      </w:pPr>
      <w:r>
        <w:rPr>
          <w:rFonts w:hint="eastAsia"/>
          <w:bCs/>
          <w:color w:val="000000"/>
        </w:rPr>
        <w:t>5.客观评分项，所有评审专家应当统一打分分值；主观评分项，评审专家应当按照打分标准独立打分，对于单项打分低于60%或者达到100%，评审专家需要做出书面合理说明。</w:t>
      </w:r>
    </w:p>
    <w:p>
      <w:pPr>
        <w:tabs>
          <w:tab w:val="clear" w:pos="426"/>
        </w:tabs>
        <w:wordWrap w:val="0"/>
        <w:spacing w:line="240" w:lineRule="auto"/>
        <w:ind w:firstLine="424" w:firstLineChars="202"/>
        <w:jc w:val="left"/>
        <w:rPr>
          <w:bCs/>
          <w:color w:val="000000"/>
        </w:rPr>
      </w:pPr>
      <w:r>
        <w:rPr>
          <w:rFonts w:hint="eastAsia"/>
          <w:bCs/>
          <w:color w:val="000000"/>
          <w:highlight w:val="yellow"/>
        </w:rPr>
        <w:t>6.根据财政部《关于在政府采购活动中查询及使用信用记录有关问题的通知》（财库</w:t>
      </w:r>
      <w:r>
        <w:rPr>
          <w:rFonts w:ascii="Arial" w:hAnsi="Arial" w:cs="Arial"/>
          <w:color w:val="333333"/>
          <w:sz w:val="20"/>
          <w:szCs w:val="20"/>
          <w:highlight w:val="yellow"/>
          <w:shd w:val="clear" w:color="auto" w:fill="FFFFFF"/>
        </w:rPr>
        <w:t>〔</w:t>
      </w:r>
      <w:r>
        <w:rPr>
          <w:rFonts w:hint="eastAsia" w:ascii="Arial" w:hAnsi="Arial" w:cs="Arial"/>
          <w:color w:val="333333"/>
          <w:sz w:val="20"/>
          <w:szCs w:val="20"/>
          <w:highlight w:val="yellow"/>
          <w:shd w:val="clear" w:color="auto" w:fill="FFFFFF"/>
        </w:rPr>
        <w:t>2016</w:t>
      </w:r>
      <w:r>
        <w:rPr>
          <w:rFonts w:ascii="Arial" w:hAnsi="Arial" w:cs="Arial"/>
          <w:color w:val="333333"/>
          <w:sz w:val="20"/>
          <w:szCs w:val="20"/>
          <w:highlight w:val="yellow"/>
          <w:shd w:val="clear" w:color="auto" w:fill="FFFFFF"/>
        </w:rPr>
        <w:t>〕</w:t>
      </w:r>
      <w:r>
        <w:rPr>
          <w:rFonts w:hint="eastAsia" w:ascii="Arial" w:hAnsi="Arial" w:cs="Arial"/>
          <w:color w:val="333333"/>
          <w:sz w:val="20"/>
          <w:szCs w:val="20"/>
          <w:highlight w:val="yellow"/>
          <w:shd w:val="clear" w:color="auto" w:fill="FFFFFF"/>
        </w:rPr>
        <w:t>125号</w:t>
      </w:r>
      <w:r>
        <w:rPr>
          <w:rFonts w:hint="eastAsia"/>
          <w:bCs/>
          <w:color w:val="000000"/>
          <w:highlight w:val="yellow"/>
        </w:rPr>
        <w:t>）、《深圳市政府采购供应商诚信管理暂行办法》（深财规〔</w:t>
      </w:r>
      <w:r>
        <w:rPr>
          <w:bCs/>
          <w:color w:val="000000"/>
          <w:highlight w:val="yellow"/>
        </w:rPr>
        <w:t>2017〕8号</w:t>
      </w:r>
      <w:r>
        <w:rPr>
          <w:rFonts w:hint="eastAsia"/>
          <w:bCs/>
          <w:color w:val="000000"/>
          <w:highlight w:val="yellow"/>
        </w:rPr>
        <w:t>），供应商信用信息的查询渠道为“信用中国（</w:t>
      </w:r>
      <w:r>
        <w:rPr>
          <w:bCs/>
          <w:color w:val="000000"/>
          <w:highlight w:val="yellow"/>
        </w:rPr>
        <w:t>https://www.creditchina.gov.cn/</w:t>
      </w:r>
      <w:r>
        <w:rPr>
          <w:rFonts w:hint="eastAsia"/>
          <w:bCs/>
          <w:color w:val="000000"/>
          <w:highlight w:val="yellow"/>
        </w:rPr>
        <w:t>）”、“中国政府采购网（</w:t>
      </w:r>
      <w:r>
        <w:rPr>
          <w:bCs/>
          <w:color w:val="000000"/>
          <w:highlight w:val="yellow"/>
        </w:rPr>
        <w:t>http://www.ccgp.gov.cn/</w:t>
      </w:r>
      <w:r>
        <w:rPr>
          <w:rFonts w:hint="eastAsia"/>
          <w:bCs/>
          <w:color w:val="000000"/>
          <w:highlight w:val="yellow"/>
        </w:rPr>
        <w:t>）”、“深圳市政府采购监管网（</w:t>
      </w:r>
      <w:r>
        <w:rPr>
          <w:bCs/>
          <w:color w:val="000000"/>
          <w:highlight w:val="yellow"/>
        </w:rPr>
        <w:t>http://www.zfcg.sz.gov.cn/</w:t>
      </w:r>
      <w:r>
        <w:rPr>
          <w:rFonts w:hint="eastAsia"/>
          <w:bCs/>
          <w:color w:val="000000"/>
          <w:highlight w:val="yellow"/>
        </w:rPr>
        <w:t>）”，相关信息以中标通知书发出前的查询结果为准。</w:t>
      </w:r>
    </w:p>
    <w:p>
      <w:pPr>
        <w:tabs>
          <w:tab w:val="clear" w:pos="426"/>
        </w:tabs>
        <w:spacing w:line="240" w:lineRule="auto"/>
        <w:ind w:firstLine="424" w:firstLineChars="202"/>
        <w:jc w:val="left"/>
        <w:rPr>
          <w:bCs/>
          <w:color w:val="000000"/>
        </w:rPr>
      </w:pPr>
    </w:p>
    <w:p>
      <w:pPr>
        <w:tabs>
          <w:tab w:val="clear" w:pos="426"/>
        </w:tabs>
        <w:spacing w:line="240" w:lineRule="auto"/>
        <w:ind w:firstLine="424" w:firstLineChars="202"/>
        <w:jc w:val="left"/>
        <w:rPr>
          <w:bCs/>
          <w:color w:val="000000"/>
        </w:rPr>
      </w:pPr>
    </w:p>
    <w:p>
      <w:pPr>
        <w:tabs>
          <w:tab w:val="clear" w:pos="426"/>
        </w:tabs>
        <w:spacing w:line="240" w:lineRule="auto"/>
        <w:ind w:firstLine="426" w:firstLineChars="202"/>
        <w:rPr>
          <w:rFonts w:ascii="Calibri" w:hAnsi="Calibri" w:cs="Times New Roman"/>
          <w:b/>
          <w:kern w:val="2"/>
          <w:szCs w:val="22"/>
        </w:rPr>
      </w:pPr>
    </w:p>
    <w:p>
      <w:pPr>
        <w:tabs>
          <w:tab w:val="clear" w:pos="426"/>
        </w:tabs>
        <w:spacing w:line="240" w:lineRule="auto"/>
        <w:ind w:firstLine="426" w:firstLineChars="202"/>
        <w:rPr>
          <w:rFonts w:ascii="Calibri" w:hAnsi="Calibri" w:cs="Times New Roman"/>
          <w:b/>
          <w:kern w:val="2"/>
          <w:szCs w:val="22"/>
        </w:rPr>
      </w:pPr>
    </w:p>
    <w:p>
      <w:pPr>
        <w:tabs>
          <w:tab w:val="clear" w:pos="426"/>
        </w:tabs>
        <w:spacing w:line="240" w:lineRule="auto"/>
        <w:ind w:firstLine="424" w:firstLineChars="202"/>
        <w:rPr>
          <w:bCs/>
          <w:color w:val="000000"/>
        </w:rPr>
      </w:pPr>
      <w:r>
        <w:rPr>
          <w:bCs/>
          <w:color w:val="000000"/>
        </w:rPr>
        <w:br w:type="page"/>
      </w:r>
    </w:p>
    <w:p>
      <w:pPr>
        <w:pStyle w:val="42"/>
        <w:tabs>
          <w:tab w:val="clear" w:pos="426"/>
        </w:tabs>
        <w:jc w:val="both"/>
      </w:pPr>
      <w:bookmarkStart w:id="26" w:name="_Toc18323382"/>
      <w:r>
        <w:rPr>
          <w:rFonts w:hint="eastAsia"/>
        </w:rPr>
        <w:t>第一册  专用条款</w:t>
      </w:r>
      <w:bookmarkEnd w:id="25"/>
      <w:bookmarkEnd w:id="26"/>
    </w:p>
    <w:p>
      <w:pPr>
        <w:pStyle w:val="33"/>
        <w:tabs>
          <w:tab w:val="clear" w:pos="426"/>
        </w:tabs>
      </w:pPr>
      <w:bookmarkStart w:id="27" w:name="_Toc432592813"/>
      <w:bookmarkStart w:id="28" w:name="_Toc18323383"/>
      <w:bookmarkStart w:id="29" w:name="_Toc265483798"/>
      <w:r>
        <w:rPr>
          <w:rFonts w:hint="eastAsia"/>
        </w:rPr>
        <w:t>第一章 采购公告</w:t>
      </w:r>
      <w:bookmarkEnd w:id="27"/>
      <w:bookmarkEnd w:id="28"/>
      <w:bookmarkEnd w:id="29"/>
    </w:p>
    <w:p>
      <w:pPr>
        <w:tabs>
          <w:tab w:val="clear" w:pos="426"/>
        </w:tabs>
        <w:rPr>
          <w:b/>
        </w:rPr>
      </w:pPr>
      <w:r>
        <w:rPr>
          <w:rFonts w:hint="eastAsia"/>
          <w:b/>
        </w:rPr>
        <w:t>一、项目概况</w:t>
      </w:r>
    </w:p>
    <w:p>
      <w:pPr>
        <w:tabs>
          <w:tab w:val="clear" w:pos="426"/>
        </w:tabs>
        <w:ind w:firstLine="424" w:firstLineChars="202"/>
        <w:rPr>
          <w:rFonts w:hint="eastAsia" w:eastAsia="宋体"/>
          <w:kern w:val="2"/>
          <w:lang w:eastAsia="zh-CN"/>
        </w:rPr>
      </w:pPr>
      <w:bookmarkStart w:id="30" w:name="项目概况2"/>
      <w:r>
        <w:rPr>
          <w:rFonts w:hint="eastAsia"/>
        </w:rPr>
        <w:t>1.招标项目编号：</w:t>
      </w:r>
      <w:r>
        <w:rPr>
          <w:rFonts w:hint="eastAsia"/>
          <w:lang w:eastAsia="zh-CN"/>
        </w:rPr>
        <w:t>SSZX2020-517</w:t>
      </w:r>
    </w:p>
    <w:p>
      <w:pPr>
        <w:tabs>
          <w:tab w:val="clear" w:pos="426"/>
        </w:tabs>
        <w:ind w:firstLine="424" w:firstLineChars="202"/>
        <w:rPr>
          <w:rFonts w:hint="eastAsia" w:eastAsia="宋体"/>
          <w:lang w:eastAsia="zh-CN"/>
        </w:rPr>
      </w:pPr>
      <w:r>
        <w:rPr>
          <w:rFonts w:hint="eastAsia"/>
        </w:rPr>
        <w:t>2.项目名称：</w:t>
      </w:r>
      <w:r>
        <w:rPr>
          <w:rFonts w:hint="eastAsia"/>
          <w:lang w:eastAsia="zh-CN"/>
        </w:rPr>
        <w:t>公明兴文幼儿园改造工程</w:t>
      </w:r>
    </w:p>
    <w:p>
      <w:pPr>
        <w:tabs>
          <w:tab w:val="clear" w:pos="426"/>
        </w:tabs>
        <w:ind w:firstLine="424" w:firstLineChars="202"/>
        <w:rPr>
          <w:rFonts w:hint="eastAsia" w:eastAsia="宋体"/>
          <w:lang w:eastAsia="zh-CN"/>
        </w:rPr>
      </w:pPr>
      <w:r>
        <w:rPr>
          <w:rFonts w:hint="eastAsia"/>
        </w:rPr>
        <w:t>3.采购人：</w:t>
      </w:r>
      <w:r>
        <w:rPr>
          <w:rFonts w:hint="eastAsia"/>
          <w:lang w:eastAsia="zh-CN"/>
        </w:rPr>
        <w:t>深圳市公明兴文幼儿园</w:t>
      </w:r>
    </w:p>
    <w:p>
      <w:pPr>
        <w:tabs>
          <w:tab w:val="clear" w:pos="426"/>
        </w:tabs>
        <w:ind w:firstLine="424" w:firstLineChars="202"/>
      </w:pPr>
      <w:r>
        <w:rPr>
          <w:rFonts w:hint="eastAsia"/>
        </w:rPr>
        <w:t>4.采购代理机构：深圳市深水水务咨询有限公司</w:t>
      </w:r>
    </w:p>
    <w:p>
      <w:pPr>
        <w:tabs>
          <w:tab w:val="clear" w:pos="426"/>
        </w:tabs>
        <w:ind w:firstLine="424" w:firstLineChars="202"/>
      </w:pPr>
      <w:r>
        <w:rPr>
          <w:rFonts w:hint="eastAsia"/>
        </w:rPr>
        <w:t>5.项目地点：深圳市</w:t>
      </w:r>
    </w:p>
    <w:p>
      <w:pPr>
        <w:tabs>
          <w:tab w:val="clear" w:pos="426"/>
        </w:tabs>
        <w:ind w:firstLine="424" w:firstLineChars="202"/>
      </w:pPr>
      <w:r>
        <w:rPr>
          <w:rFonts w:hint="eastAsia"/>
        </w:rPr>
        <w:t>6.项目规模及特征：详</w:t>
      </w:r>
      <w:r>
        <w:rPr>
          <w:rFonts w:hint="eastAsia"/>
          <w:kern w:val="2"/>
        </w:rPr>
        <w:t>见招标文件及采购需求</w:t>
      </w:r>
      <w:r>
        <w:rPr>
          <w:rFonts w:hint="eastAsia"/>
        </w:rPr>
        <w:t>。</w:t>
      </w:r>
    </w:p>
    <w:p>
      <w:pPr>
        <w:tabs>
          <w:tab w:val="clear" w:pos="426"/>
        </w:tabs>
        <w:ind w:firstLine="424" w:firstLineChars="202"/>
      </w:pPr>
      <w:r>
        <w:rPr>
          <w:rFonts w:hint="eastAsia"/>
        </w:rPr>
        <w:t>7.资金来源：财政资金100%</w:t>
      </w:r>
    </w:p>
    <w:p>
      <w:pPr>
        <w:tabs>
          <w:tab w:val="clear" w:pos="426"/>
        </w:tabs>
        <w:ind w:firstLine="424" w:firstLineChars="202"/>
      </w:pPr>
      <w:r>
        <w:rPr>
          <w:rFonts w:hint="eastAsia"/>
          <w:color w:val="000000"/>
        </w:rPr>
        <w:t>8.采购内容</w:t>
      </w:r>
      <w:r>
        <w:rPr>
          <w:rFonts w:hint="eastAsia"/>
        </w:rPr>
        <w:t>：</w:t>
      </w:r>
      <w:r>
        <w:rPr>
          <w:rFonts w:hint="eastAsia"/>
          <w:lang w:eastAsia="zh-CN"/>
        </w:rPr>
        <w:t>深圳市公明兴文幼儿园</w:t>
      </w:r>
      <w:r>
        <w:rPr>
          <w:rFonts w:hint="eastAsia"/>
        </w:rPr>
        <w:t>，详</w:t>
      </w:r>
      <w:r>
        <w:rPr>
          <w:rFonts w:hint="eastAsia"/>
          <w:kern w:val="2"/>
        </w:rPr>
        <w:t>见招标文件及采购需求</w:t>
      </w:r>
      <w:r>
        <w:rPr>
          <w:rFonts w:hint="eastAsia"/>
        </w:rPr>
        <w:t>。</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0"/>
        <w:gridCol w:w="919"/>
        <w:gridCol w:w="728"/>
        <w:gridCol w:w="940"/>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95"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项目名称</w:t>
            </w:r>
          </w:p>
        </w:tc>
        <w:tc>
          <w:tcPr>
            <w:tcW w:w="539"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427"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551"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481" w:type="pct"/>
            <w:shd w:val="clear" w:color="auto" w:fill="auto"/>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07" w:type="pct"/>
            <w:shd w:val="clear" w:color="auto" w:fill="auto"/>
            <w:vAlign w:val="center"/>
          </w:tcPr>
          <w:p>
            <w:pPr>
              <w:spacing w:line="240" w:lineRule="auto"/>
              <w:jc w:val="center"/>
              <w:rPr>
                <w:bCs/>
                <w:szCs w:val="21"/>
              </w:rPr>
            </w:pPr>
            <w:r>
              <w:rPr>
                <w:rFonts w:hint="eastAsia"/>
                <w:bCs/>
                <w:szCs w:val="21"/>
              </w:rPr>
              <w:t>1</w:t>
            </w:r>
          </w:p>
        </w:tc>
        <w:tc>
          <w:tcPr>
            <w:tcW w:w="1595" w:type="pct"/>
            <w:shd w:val="clear" w:color="auto" w:fill="auto"/>
            <w:vAlign w:val="center"/>
          </w:tcPr>
          <w:p>
            <w:pPr>
              <w:spacing w:line="240" w:lineRule="auto"/>
              <w:jc w:val="center"/>
              <w:rPr>
                <w:rFonts w:hint="eastAsia" w:eastAsia="宋体"/>
                <w:bCs/>
                <w:szCs w:val="21"/>
                <w:lang w:eastAsia="zh-CN"/>
              </w:rPr>
            </w:pPr>
            <w:r>
              <w:rPr>
                <w:rFonts w:hint="eastAsia"/>
                <w:bCs/>
                <w:szCs w:val="21"/>
                <w:lang w:eastAsia="zh-CN"/>
              </w:rPr>
              <w:t>公明兴文幼儿园改造工程</w:t>
            </w:r>
          </w:p>
        </w:tc>
        <w:tc>
          <w:tcPr>
            <w:tcW w:w="539" w:type="pct"/>
            <w:shd w:val="clear" w:color="auto" w:fill="auto"/>
            <w:vAlign w:val="center"/>
          </w:tcPr>
          <w:p>
            <w:pPr>
              <w:spacing w:line="240" w:lineRule="auto"/>
              <w:jc w:val="center"/>
              <w:rPr>
                <w:bCs/>
                <w:szCs w:val="21"/>
              </w:rPr>
            </w:pPr>
            <w:r>
              <w:rPr>
                <w:rFonts w:hint="eastAsia"/>
                <w:bCs/>
                <w:szCs w:val="21"/>
              </w:rPr>
              <w:t>1</w:t>
            </w:r>
          </w:p>
        </w:tc>
        <w:tc>
          <w:tcPr>
            <w:tcW w:w="427" w:type="pct"/>
            <w:shd w:val="clear" w:color="auto" w:fill="auto"/>
            <w:vAlign w:val="center"/>
          </w:tcPr>
          <w:p>
            <w:pPr>
              <w:spacing w:line="240" w:lineRule="auto"/>
              <w:jc w:val="center"/>
              <w:rPr>
                <w:bCs/>
                <w:szCs w:val="21"/>
              </w:rPr>
            </w:pPr>
            <w:r>
              <w:rPr>
                <w:rFonts w:hint="eastAsia"/>
                <w:szCs w:val="21"/>
              </w:rPr>
              <w:t>项</w:t>
            </w:r>
          </w:p>
        </w:tc>
        <w:tc>
          <w:tcPr>
            <w:tcW w:w="551" w:type="pct"/>
            <w:shd w:val="clear" w:color="auto" w:fill="auto"/>
            <w:vAlign w:val="center"/>
          </w:tcPr>
          <w:p>
            <w:pPr>
              <w:spacing w:line="240" w:lineRule="auto"/>
              <w:jc w:val="center"/>
              <w:rPr>
                <w:bCs/>
                <w:szCs w:val="21"/>
              </w:rPr>
            </w:pPr>
            <w:r>
              <w:rPr>
                <w:rFonts w:hint="eastAsia"/>
                <w:bCs/>
                <w:szCs w:val="21"/>
              </w:rPr>
              <w:t>无</w:t>
            </w:r>
          </w:p>
        </w:tc>
        <w:tc>
          <w:tcPr>
            <w:tcW w:w="1481" w:type="pct"/>
            <w:shd w:val="clear" w:color="auto" w:fill="auto"/>
            <w:vAlign w:val="center"/>
          </w:tcPr>
          <w:p>
            <w:pPr>
              <w:widowControl w:val="0"/>
              <w:shd w:val="clear" w:color="auto" w:fill="auto"/>
              <w:tabs>
                <w:tab w:val="clear" w:pos="426"/>
              </w:tabs>
              <w:adjustRightInd/>
              <w:snapToGrid/>
              <w:spacing w:line="240" w:lineRule="auto"/>
              <w:jc w:val="center"/>
              <w:rPr>
                <w:rFonts w:hint="eastAsia" w:eastAsia="宋体" w:cs="Times New Roman"/>
                <w:szCs w:val="21"/>
                <w:lang w:eastAsia="zh-CN"/>
              </w:rPr>
            </w:pPr>
            <w:r>
              <w:rPr>
                <w:rFonts w:hint="eastAsia" w:cs="Times New Roman"/>
                <w:szCs w:val="21"/>
                <w:lang w:eastAsia="zh-CN"/>
              </w:rPr>
              <w:t>847909.86</w:t>
            </w:r>
          </w:p>
        </w:tc>
      </w:tr>
    </w:tbl>
    <w:p>
      <w:pPr>
        <w:tabs>
          <w:tab w:val="clear" w:pos="426"/>
        </w:tabs>
        <w:ind w:firstLine="424" w:firstLineChars="202"/>
      </w:pPr>
      <w:r>
        <w:t>10</w:t>
      </w:r>
      <w:r>
        <w:rPr>
          <w:rFonts w:hint="eastAsia"/>
        </w:rPr>
        <w:t>.采购方式：公开招标</w:t>
      </w:r>
    </w:p>
    <w:p>
      <w:pPr>
        <w:tabs>
          <w:tab w:val="clear" w:pos="426"/>
        </w:tabs>
        <w:ind w:firstLine="424" w:firstLineChars="202"/>
      </w:pPr>
      <w:r>
        <w:rPr>
          <w:rFonts w:hint="eastAsia"/>
        </w:rPr>
        <w:t>1</w:t>
      </w:r>
      <w:r>
        <w:t>1.</w:t>
      </w:r>
      <w:r>
        <w:rPr>
          <w:rFonts w:hint="eastAsia"/>
        </w:rPr>
        <w:t>评标方法：综合评分法</w:t>
      </w:r>
    </w:p>
    <w:p>
      <w:pPr>
        <w:tabs>
          <w:tab w:val="clear" w:pos="426"/>
        </w:tabs>
        <w:ind w:firstLine="424" w:firstLineChars="202"/>
      </w:pPr>
      <w:r>
        <w:rPr>
          <w:rFonts w:hint="eastAsia"/>
        </w:rPr>
        <w:t>1</w:t>
      </w:r>
      <w:r>
        <w:t>2</w:t>
      </w:r>
      <w:r>
        <w:rPr>
          <w:rFonts w:hint="eastAsia"/>
        </w:rPr>
        <w:t>.工期要求：</w:t>
      </w:r>
      <w:bookmarkEnd w:id="30"/>
      <w:r>
        <w:rPr>
          <w:rFonts w:hint="eastAsia"/>
          <w:szCs w:val="21"/>
        </w:rPr>
        <w:t>合同签订后</w:t>
      </w:r>
      <w:r>
        <w:rPr>
          <w:rFonts w:hint="eastAsia"/>
          <w:b/>
          <w:szCs w:val="21"/>
          <w:u w:val="single"/>
        </w:rPr>
        <w:t>____30___</w:t>
      </w:r>
      <w:r>
        <w:rPr>
          <w:rFonts w:hint="eastAsia"/>
          <w:b/>
          <w:szCs w:val="21"/>
        </w:rPr>
        <w:t>个日历天</w:t>
      </w:r>
      <w:r>
        <w:rPr>
          <w:rFonts w:hint="eastAsia"/>
          <w:szCs w:val="21"/>
        </w:rPr>
        <w:t>。</w:t>
      </w:r>
    </w:p>
    <w:p>
      <w:pPr>
        <w:tabs>
          <w:tab w:val="clear" w:pos="426"/>
        </w:tabs>
        <w:rPr>
          <w:b/>
        </w:rPr>
      </w:pPr>
      <w:r>
        <w:rPr>
          <w:rFonts w:hint="eastAsia"/>
          <w:b/>
        </w:rPr>
        <w:t>二、投标人资格要求</w:t>
      </w:r>
    </w:p>
    <w:p>
      <w:pPr>
        <w:pStyle w:val="7"/>
        <w:tabs>
          <w:tab w:val="clear" w:pos="426"/>
        </w:tabs>
        <w:ind w:firstLine="426" w:firstLineChars="202"/>
        <w:rPr>
          <w:b/>
          <w:bCs/>
        </w:rPr>
      </w:pPr>
      <w:r>
        <w:rPr>
          <w:rFonts w:hint="eastAsia"/>
          <w:b/>
          <w:bCs/>
        </w:rPr>
        <w:t>通用部分</w:t>
      </w:r>
    </w:p>
    <w:p>
      <w:pPr>
        <w:pStyle w:val="7"/>
        <w:tabs>
          <w:tab w:val="clear" w:pos="426"/>
        </w:tabs>
        <w:ind w:firstLine="424" w:firstLineChars="202"/>
        <w:rPr>
          <w:rFonts w:ascii="宋体" w:hAnsi="宋体"/>
        </w:rPr>
      </w:pPr>
      <w:r>
        <w:t>1</w:t>
      </w:r>
      <w:r>
        <w:rPr>
          <w:rFonts w:hint="eastAsia"/>
        </w:rPr>
        <w:t>.</w:t>
      </w:r>
      <w:r>
        <w:rPr>
          <w:rFonts w:hint="eastAsia" w:ascii="宋体" w:hAnsi="宋体"/>
        </w:rPr>
        <w:t>投标人须具有独立法人资格</w:t>
      </w:r>
      <w:r>
        <w:rPr>
          <w:rFonts w:ascii="宋体" w:hAnsi="宋体"/>
        </w:rPr>
        <w:t>（证明文件：须提供营业执照</w:t>
      </w:r>
      <w:r>
        <w:rPr>
          <w:rFonts w:hint="eastAsia" w:ascii="宋体" w:hAnsi="宋体"/>
        </w:rPr>
        <w:t>或法人证书</w:t>
      </w:r>
      <w:r>
        <w:rPr>
          <w:rFonts w:ascii="宋体" w:hAnsi="宋体"/>
        </w:rPr>
        <w:t>或其他证明文件的</w:t>
      </w:r>
      <w:r>
        <w:rPr>
          <w:rFonts w:hint="eastAsia" w:ascii="宋体" w:hAnsi="宋体"/>
        </w:rPr>
        <w:t>复印件</w:t>
      </w:r>
      <w:r>
        <w:rPr>
          <w:rFonts w:ascii="宋体" w:hAnsi="宋体"/>
        </w:rPr>
        <w:t>并加盖投标人公章，原件中标备查</w:t>
      </w:r>
      <w:r>
        <w:rPr>
          <w:rFonts w:hint="eastAsia" w:ascii="宋体" w:hAnsi="宋体"/>
        </w:rPr>
        <w:t>）；</w:t>
      </w:r>
    </w:p>
    <w:p>
      <w:pPr>
        <w:pStyle w:val="7"/>
        <w:tabs>
          <w:tab w:val="clear" w:pos="426"/>
        </w:tabs>
        <w:ind w:firstLine="424" w:firstLineChars="202"/>
        <w:rPr>
          <w:rFonts w:ascii="宋体" w:hAnsi="宋体"/>
        </w:rPr>
      </w:pPr>
      <w:r>
        <w:rPr>
          <w:rFonts w:hint="eastAsia" w:ascii="宋体" w:hAnsi="宋体"/>
        </w:rPr>
        <w:t>其中会计、法律、造价咨询、保险、银行、电信等项目允许分支机构投标，但必须由总公司提供授权；</w:t>
      </w:r>
    </w:p>
    <w:p>
      <w:pPr>
        <w:tabs>
          <w:tab w:val="clear" w:pos="426"/>
        </w:tabs>
        <w:ind w:firstLine="424" w:firstLineChars="202"/>
      </w:pPr>
      <w:r>
        <w:rPr>
          <w:rFonts w:hint="eastAsia"/>
        </w:rPr>
        <w:t>2.本项目接受/不接受联合体投标</w:t>
      </w:r>
      <w:bookmarkStart w:id="31" w:name="_Hlk18316685"/>
      <w:r>
        <w:rPr>
          <w:rFonts w:hint="eastAsia"/>
        </w:rPr>
        <w:t>，如联合体投标，投标人须提供《联合体投标协议》（格式自定）。</w:t>
      </w:r>
    </w:p>
    <w:bookmarkEnd w:id="31"/>
    <w:p>
      <w:pPr>
        <w:tabs>
          <w:tab w:val="clear" w:pos="426"/>
        </w:tabs>
        <w:ind w:firstLine="424" w:firstLineChars="202"/>
      </w:pPr>
      <w:r>
        <w:rPr>
          <w:rFonts w:hint="eastAsia"/>
        </w:rPr>
        <w:t>3</w:t>
      </w:r>
      <w:r>
        <w:t>.</w:t>
      </w:r>
      <w:r>
        <w:rPr>
          <w:rFonts w:hint="eastAsia"/>
        </w:rPr>
        <w:t>本项目拒绝投标人选用进口产品参与投标；</w:t>
      </w:r>
    </w:p>
    <w:p>
      <w:pPr>
        <w:tabs>
          <w:tab w:val="clear" w:pos="426"/>
        </w:tabs>
        <w:ind w:firstLine="424" w:firstLineChars="202"/>
      </w:pPr>
      <w:r>
        <w:t>4.参与本项目投标前三年内，在经营活动中没有重大违法记录（由供应商在《政府采购投标及履约承诺函》中作出声明）。</w:t>
      </w:r>
    </w:p>
    <w:p>
      <w:pPr>
        <w:tabs>
          <w:tab w:val="clear" w:pos="426"/>
        </w:tabs>
        <w:ind w:firstLine="424" w:firstLineChars="202"/>
      </w:pPr>
      <w:r>
        <w:t>5.参与本项目政府采购活动时不存在被有关部门禁止参与政府采购活动且在有效期内的情况（由供应商在《政府采购投标及履约承诺函》中作出声明）。</w:t>
      </w:r>
    </w:p>
    <w:p>
      <w:pPr>
        <w:tabs>
          <w:tab w:val="clear" w:pos="426"/>
        </w:tabs>
        <w:ind w:firstLine="424" w:firstLineChars="202"/>
      </w:pPr>
      <w:r>
        <w:t>6.参与本项目的供应商具备《中华人民共和国政府采购法》第二十二条</w:t>
      </w:r>
      <w:r>
        <w:rPr>
          <w:rFonts w:hint="eastAsia"/>
        </w:rPr>
        <w:t>规定</w:t>
      </w:r>
      <w:r>
        <w:t>的</w:t>
      </w:r>
      <w:r>
        <w:rPr>
          <w:rFonts w:hint="eastAsia"/>
        </w:rPr>
        <w:t>资质</w:t>
      </w:r>
      <w:r>
        <w:t>（由供应商在《政府采购投标及履约承诺函》中作出声明）。</w:t>
      </w:r>
    </w:p>
    <w:p>
      <w:pPr>
        <w:tabs>
          <w:tab w:val="clear" w:pos="426"/>
        </w:tabs>
        <w:ind w:firstLine="424" w:firstLineChars="202"/>
      </w:pPr>
      <w:r>
        <w:t>7.参与政府采购项目投标的供应商未被列入失信被执行人、重大税收违法案件当事人名单、政府采购严重违法失信行为记录名单（由供应商在《政府采购投标及履约承诺函》中作出声明）。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pPr>
      <w:r>
        <w:rPr>
          <w:rFonts w:hint="eastAsia"/>
        </w:rPr>
        <w:t>8.投标人具有建筑装饰装修工程专业承包二级或以上资质。</w:t>
      </w:r>
    </w:p>
    <w:p>
      <w:pPr>
        <w:tabs>
          <w:tab w:val="clear" w:pos="426"/>
        </w:tabs>
        <w:ind w:firstLine="426" w:firstLineChars="202"/>
        <w:rPr>
          <w:b/>
        </w:rPr>
      </w:pPr>
      <w:r>
        <w:rPr>
          <w:rFonts w:hint="eastAsia"/>
          <w:b/>
        </w:rPr>
        <w:t>三、获取招标文件的时间、地点、方式及招标文件售价</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.获取招标文件时间：</w:t>
      </w:r>
      <w:r>
        <w:rPr>
          <w:rFonts w:hint="eastAsia"/>
          <w:color w:val="000000" w:themeColor="text1"/>
          <w:u w:val="single"/>
          <w14:textFill>
            <w14:solidFill>
              <w14:schemeClr w14:val="tx1"/>
            </w14:solidFill>
          </w14:textFill>
        </w:rPr>
        <w:t>2020</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11</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26</w:t>
      </w:r>
      <w:r>
        <w:rPr>
          <w:rFonts w:hint="eastAsia"/>
          <w:color w:val="000000" w:themeColor="text1"/>
          <w14:textFill>
            <w14:solidFill>
              <w14:schemeClr w14:val="tx1"/>
            </w14:solidFill>
          </w14:textFill>
        </w:rPr>
        <w:t>日起至</w:t>
      </w:r>
      <w:r>
        <w:rPr>
          <w:rFonts w:hint="eastAsia"/>
          <w:color w:val="000000" w:themeColor="text1"/>
          <w:u w:val="single"/>
          <w14:textFill>
            <w14:solidFill>
              <w14:schemeClr w14:val="tx1"/>
            </w14:solidFill>
          </w14:textFill>
        </w:rPr>
        <w:t>2020</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1</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30</w:t>
      </w:r>
      <w:bookmarkStart w:id="360" w:name="_GoBack"/>
      <w:bookmarkEnd w:id="360"/>
      <w:r>
        <w:rPr>
          <w:rFonts w:hint="eastAsia"/>
          <w:color w:val="000000" w:themeColor="text1"/>
          <w14:textFill>
            <w14:solidFill>
              <w14:schemeClr w14:val="tx1"/>
            </w14:solidFill>
          </w14:textFill>
        </w:rPr>
        <w:t>日（节假日除外），上午</w:t>
      </w:r>
      <w:r>
        <w:rPr>
          <w:rFonts w:hint="eastAsia"/>
          <w:color w:val="000000" w:themeColor="text1"/>
          <w:u w:val="single"/>
          <w14:textFill>
            <w14:solidFill>
              <w14:schemeClr w14:val="tx1"/>
            </w14:solidFill>
          </w14:textFill>
        </w:rPr>
        <w:t>_09:00</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11:30__</w:t>
      </w:r>
      <w:r>
        <w:rPr>
          <w:rFonts w:hint="eastAsia"/>
          <w:color w:val="000000" w:themeColor="text1"/>
          <w14:textFill>
            <w14:solidFill>
              <w14:schemeClr w14:val="tx1"/>
            </w14:solidFill>
          </w14:textFill>
        </w:rPr>
        <w:t>，下午</w:t>
      </w:r>
      <w:r>
        <w:rPr>
          <w:rFonts w:hint="eastAsia"/>
          <w:color w:val="000000" w:themeColor="text1"/>
          <w:u w:val="single"/>
          <w14:textFill>
            <w14:solidFill>
              <w14:schemeClr w14:val="tx1"/>
            </w14:solidFill>
          </w14:textFill>
        </w:rPr>
        <w:t>14:00</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17:30（</w:t>
      </w:r>
      <w:r>
        <w:rPr>
          <w:rFonts w:hint="eastAsia"/>
          <w:color w:val="000000" w:themeColor="text1"/>
          <w14:textFill>
            <w14:solidFill>
              <w14:schemeClr w14:val="tx1"/>
            </w14:solidFill>
          </w14:textFill>
        </w:rPr>
        <w:t>北京时间）。</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.获取招标文件地点：深圳市罗湖区布吉路</w:t>
      </w:r>
      <w:r>
        <w:rPr>
          <w:color w:val="000000" w:themeColor="text1"/>
          <w14:textFill>
            <w14:solidFill>
              <w14:schemeClr w14:val="tx1"/>
            </w14:solidFill>
          </w14:textFill>
        </w:rPr>
        <w:t>1028号中设广场B座307</w:t>
      </w:r>
      <w:r>
        <w:rPr>
          <w:rFonts w:hint="eastAsia"/>
          <w:color w:val="000000" w:themeColor="text1"/>
          <w14:textFill>
            <w14:solidFill>
              <w14:schemeClr w14:val="tx1"/>
            </w14:solidFill>
          </w14:textFill>
        </w:rPr>
        <w:t>。</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.获取招标文件方式：现场购买或邮购。</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.招标文件售价：每套人民币5</w:t>
      </w:r>
      <w:r>
        <w:rPr>
          <w:color w:val="000000" w:themeColor="text1"/>
          <w14:textFill>
            <w14:solidFill>
              <w14:schemeClr w14:val="tx1"/>
            </w14:solidFill>
          </w14:textFill>
        </w:rPr>
        <w:t>00</w:t>
      </w:r>
      <w:r>
        <w:rPr>
          <w:rFonts w:hint="eastAsia"/>
          <w:color w:val="000000" w:themeColor="text1"/>
          <w14:textFill>
            <w14:solidFill>
              <w14:schemeClr w14:val="tx1"/>
            </w14:solidFill>
          </w14:textFill>
        </w:rPr>
        <w:t>元</w:t>
      </w:r>
      <w:r>
        <w:rPr>
          <w:rFonts w:hint="eastAsia"/>
          <w:b/>
          <w:color w:val="000000" w:themeColor="text1"/>
          <w14:textFill>
            <w14:solidFill>
              <w14:schemeClr w14:val="tx1"/>
            </w14:solidFill>
          </w14:textFill>
        </w:rPr>
        <w:t>（仅限扫码支付）</w:t>
      </w:r>
      <w:r>
        <w:rPr>
          <w:rFonts w:hint="eastAsia"/>
          <w:color w:val="000000" w:themeColor="text1"/>
          <w14:textFill>
            <w14:solidFill>
              <w14:schemeClr w14:val="tx1"/>
            </w14:solidFill>
          </w14:textFill>
        </w:rPr>
        <w:t>；若邮购，每份加收人民币</w:t>
      </w:r>
      <w:r>
        <w:rPr>
          <w:color w:val="000000" w:themeColor="text1"/>
          <w14:textFill>
            <w14:solidFill>
              <w14:schemeClr w14:val="tx1"/>
            </w14:solidFill>
          </w14:textFill>
        </w:rPr>
        <w:t>50元</w:t>
      </w:r>
      <w:r>
        <w:rPr>
          <w:rFonts w:hint="eastAsia"/>
          <w:color w:val="000000" w:themeColor="text1"/>
          <w14:textFill>
            <w14:solidFill>
              <w14:schemeClr w14:val="tx1"/>
            </w14:solidFill>
          </w14:textFill>
        </w:rPr>
        <w:t>。招标文件售后不退。</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5.现场报名时提交以下资料：</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（1）投标人的营业执照复印件；</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（2）法人代表证明书原件、授权委托书原件、被授权委托人身份证复印件、被授权委托人联系方式</w:t>
      </w:r>
      <w:r>
        <w:rPr>
          <w:rFonts w:hint="eastAsia"/>
          <w:b/>
          <w:color w:val="000000" w:themeColor="text1"/>
          <w14:textFill>
            <w14:solidFill>
              <w14:schemeClr w14:val="tx1"/>
            </w14:solidFill>
          </w14:textFill>
        </w:rPr>
        <w:t>（电话、邮箱）</w:t>
      </w:r>
      <w:r>
        <w:rPr>
          <w:rFonts w:hint="eastAsia"/>
          <w:color w:val="000000" w:themeColor="text1"/>
          <w14:textFill>
            <w14:solidFill>
              <w14:schemeClr w14:val="tx1"/>
            </w14:solidFill>
          </w14:textFill>
        </w:rPr>
        <w:t>；</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3）投标人的增值税发票开票（信息）资料；</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以上资料均需加盖公章，原件中标备查。</w:t>
      </w:r>
    </w:p>
    <w:p>
      <w:pPr>
        <w:tabs>
          <w:tab w:val="clear" w:pos="426"/>
        </w:tabs>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如需邮购，请快递上述报名资料采购代理机构并与项目负责人联系。</w:t>
      </w:r>
    </w:p>
    <w:p>
      <w:pPr>
        <w:widowControl w:val="0"/>
        <w:shd w:val="clear" w:color="auto" w:fill="auto"/>
        <w:tabs>
          <w:tab w:val="clear" w:pos="426"/>
        </w:tabs>
        <w:adjustRightInd/>
        <w:snapToGrid/>
        <w:rPr>
          <w:rFonts w:ascii="Times New Roman" w:hAnsi="Times New Roman" w:cs="Times New Roman"/>
          <w:b/>
          <w:color w:val="000000" w:themeColor="text1"/>
          <w:kern w:val="2"/>
          <w:szCs w:val="21"/>
          <w14:textFill>
            <w14:solidFill>
              <w14:schemeClr w14:val="tx1"/>
            </w14:solidFill>
          </w14:textFill>
        </w:rPr>
      </w:pPr>
      <w:r>
        <w:rPr>
          <w:rFonts w:hint="eastAsia" w:ascii="Times New Roman" w:hAnsi="Times New Roman" w:cs="Times New Roman"/>
          <w:b/>
          <w:color w:val="000000" w:themeColor="text1"/>
          <w:kern w:val="2"/>
          <w:szCs w:val="21"/>
          <w14:textFill>
            <w14:solidFill>
              <w14:schemeClr w14:val="tx1"/>
            </w14:solidFill>
          </w14:textFill>
        </w:rPr>
        <w:t>四、投标截止时间、开标时间及地点</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.递交投标文件时间：</w:t>
      </w:r>
      <w:r>
        <w:rPr>
          <w:rFonts w:hint="eastAsia"/>
          <w:color w:val="000000" w:themeColor="text1"/>
          <w:u w:val="single"/>
          <w14:textFill>
            <w14:solidFill>
              <w14:schemeClr w14:val="tx1"/>
            </w14:solidFill>
          </w14:textFill>
        </w:rPr>
        <w:t>_2020</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2</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01</w:t>
      </w:r>
      <w:r>
        <w:rPr>
          <w:rFonts w:hint="eastAsia"/>
          <w:color w:val="000000" w:themeColor="text1"/>
          <w14:textFill>
            <w14:solidFill>
              <w14:schemeClr w14:val="tx1"/>
            </w14:solidFill>
          </w14:textFill>
        </w:rPr>
        <w:t xml:space="preserve">日 </w:t>
      </w:r>
      <w:r>
        <w:rPr>
          <w:rFonts w:hint="eastAsia"/>
          <w:color w:val="000000" w:themeColor="text1"/>
          <w:lang w:val="en-US" w:eastAsia="zh-CN"/>
          <w14:textFill>
            <w14:solidFill>
              <w14:schemeClr w14:val="tx1"/>
            </w14:solidFill>
          </w14:textFill>
        </w:rPr>
        <w:t>上午</w:t>
      </w:r>
      <w:r>
        <w:rPr>
          <w:rFonts w:hint="eastAsia"/>
          <w:color w:val="000000" w:themeColor="text1"/>
          <w:u w:val="single"/>
          <w14:textFill>
            <w14:solidFill>
              <w14:schemeClr w14:val="tx1"/>
            </w14:solidFill>
          </w14:textFill>
        </w:rPr>
        <w:t>_</w:t>
      </w:r>
      <w:r>
        <w:rPr>
          <w:rFonts w:hint="eastAsia"/>
          <w:color w:val="000000" w:themeColor="text1"/>
          <w:u w:val="single"/>
          <w:lang w:val="en-US" w:eastAsia="zh-CN"/>
          <w14:textFill>
            <w14:solidFill>
              <w14:schemeClr w14:val="tx1"/>
            </w14:solidFill>
          </w14:textFill>
        </w:rPr>
        <w:t>9</w:t>
      </w:r>
      <w:r>
        <w:rPr>
          <w:rFonts w:hint="eastAsia"/>
          <w:color w:val="000000" w:themeColor="text1"/>
          <w:u w:val="single"/>
          <w14:textFill>
            <w14:solidFill>
              <w14:schemeClr w14:val="tx1"/>
            </w14:solidFill>
          </w14:textFill>
        </w:rPr>
        <w:t>:00</w:t>
      </w:r>
      <w:r>
        <w:rPr>
          <w:rFonts w:hint="eastAsia"/>
          <w:color w:val="000000" w:themeColor="text1"/>
          <w14:textFill>
            <w14:solidFill>
              <w14:schemeClr w14:val="tx1"/>
            </w14:solidFill>
          </w14:textFill>
        </w:rPr>
        <w:t>～</w:t>
      </w:r>
      <w:r>
        <w:rPr>
          <w:rFonts w:hint="eastAsia"/>
          <w:color w:val="000000" w:themeColor="text1"/>
          <w:u w:val="single"/>
          <w:lang w:val="en-US" w:eastAsia="zh-CN"/>
          <w14:textFill>
            <w14:solidFill>
              <w14:schemeClr w14:val="tx1"/>
            </w14:solidFill>
          </w14:textFill>
        </w:rPr>
        <w:t>9</w:t>
      </w:r>
      <w:r>
        <w:rPr>
          <w:rFonts w:hint="eastAsia"/>
          <w:color w:val="000000" w:themeColor="text1"/>
          <w:u w:val="single"/>
          <w14:textFill>
            <w14:solidFill>
              <w14:schemeClr w14:val="tx1"/>
            </w14:solidFill>
          </w14:textFill>
        </w:rPr>
        <w:t>:30</w:t>
      </w:r>
      <w:r>
        <w:rPr>
          <w:rFonts w:hint="eastAsia"/>
          <w:color w:val="000000" w:themeColor="text1"/>
          <w14:textFill>
            <w14:solidFill>
              <w14:schemeClr w14:val="tx1"/>
            </w14:solidFill>
          </w14:textFill>
        </w:rPr>
        <w:t>。</w:t>
      </w:r>
    </w:p>
    <w:p>
      <w:pPr>
        <w:tabs>
          <w:tab w:val="clear" w:pos="426"/>
        </w:tabs>
        <w:ind w:firstLine="424" w:firstLineChars="202"/>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.投标截止及开标时间：</w:t>
      </w:r>
      <w:r>
        <w:rPr>
          <w:rFonts w:hint="eastAsia"/>
          <w:color w:val="000000" w:themeColor="text1"/>
          <w:u w:val="single"/>
          <w14:textFill>
            <w14:solidFill>
              <w14:schemeClr w14:val="tx1"/>
            </w14:solidFill>
          </w14:textFill>
        </w:rPr>
        <w:t>2020</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1</w:t>
      </w:r>
      <w:r>
        <w:rPr>
          <w:rFonts w:hint="eastAsia"/>
          <w:color w:val="000000" w:themeColor="text1"/>
          <w:u w:val="single"/>
          <w:lang w:val="en-US" w:eastAsia="zh-CN"/>
          <w14:textFill>
            <w14:solidFill>
              <w14:schemeClr w14:val="tx1"/>
            </w14:solidFill>
          </w14:textFill>
        </w:rPr>
        <w:t>2</w:t>
      </w:r>
      <w:r>
        <w:rPr>
          <w:rFonts w:hint="eastAsia"/>
          <w:color w:val="000000" w:themeColor="text1"/>
          <w14:textFill>
            <w14:solidFill>
              <w14:schemeClr w14:val="tx1"/>
            </w14:solidFill>
          </w14:textFill>
        </w:rPr>
        <w:t>月</w:t>
      </w:r>
      <w:r>
        <w:rPr>
          <w:rFonts w:hint="eastAsia"/>
          <w:color w:val="000000" w:themeColor="text1"/>
          <w:u w:val="single"/>
          <w:lang w:val="en-US" w:eastAsia="zh-CN"/>
          <w14:textFill>
            <w14:solidFill>
              <w14:schemeClr w14:val="tx1"/>
            </w14:solidFill>
          </w14:textFill>
        </w:rPr>
        <w:t>01</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上午</w:t>
      </w:r>
      <w:r>
        <w:rPr>
          <w:rFonts w:hint="eastAsia"/>
          <w:color w:val="000000" w:themeColor="text1"/>
          <w:u w:val="single"/>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u w:val="single"/>
          <w14:textFill>
            <w14:solidFill>
              <w14:schemeClr w14:val="tx1"/>
            </w14:solidFill>
          </w14:textFill>
        </w:rPr>
        <w:t>_30_</w:t>
      </w:r>
      <w:r>
        <w:rPr>
          <w:rFonts w:hint="eastAsia"/>
          <w:color w:val="000000" w:themeColor="text1"/>
          <w14:textFill>
            <w14:solidFill>
              <w14:schemeClr w14:val="tx1"/>
            </w14:solidFill>
          </w14:textFill>
        </w:rPr>
        <w:t>分。</w:t>
      </w:r>
    </w:p>
    <w:p>
      <w:pPr>
        <w:tabs>
          <w:tab w:val="clear" w:pos="426"/>
        </w:tabs>
        <w:ind w:firstLine="424" w:firstLineChars="202"/>
      </w:pPr>
      <w:r>
        <w:t>3</w:t>
      </w:r>
      <w:r>
        <w:rPr>
          <w:rFonts w:hint="eastAsia"/>
        </w:rPr>
        <w:t>.开标地点：深圳市罗湖区布吉路</w:t>
      </w:r>
      <w:r>
        <w:t>1028号中设广场B座307</w:t>
      </w:r>
      <w:r>
        <w:rPr>
          <w:rFonts w:hint="eastAsia"/>
        </w:rPr>
        <w:t>开标室。</w:t>
      </w:r>
    </w:p>
    <w:p>
      <w:pPr>
        <w:tabs>
          <w:tab w:val="clear" w:pos="426"/>
        </w:tabs>
        <w:rPr>
          <w:b/>
        </w:rPr>
      </w:pPr>
      <w:r>
        <w:rPr>
          <w:rFonts w:hint="eastAsia"/>
          <w:b/>
        </w:rPr>
        <w:t>五、相关信息</w:t>
      </w:r>
    </w:p>
    <w:p>
      <w:pPr>
        <w:tabs>
          <w:tab w:val="clear" w:pos="426"/>
        </w:tabs>
        <w:ind w:firstLine="424" w:firstLineChars="202"/>
      </w:pPr>
      <w:r>
        <w:rPr>
          <w:rFonts w:hint="eastAsia"/>
        </w:rPr>
        <w:t>采购人联系方式</w:t>
      </w:r>
    </w:p>
    <w:p>
      <w:pPr>
        <w:tabs>
          <w:tab w:val="clear" w:pos="426"/>
        </w:tabs>
        <w:wordWrap w:val="0"/>
        <w:ind w:firstLine="424" w:firstLineChars="202"/>
        <w:rPr>
          <w:rFonts w:hint="eastAsia" w:eastAsia="宋体"/>
          <w:lang w:eastAsia="zh-CN"/>
        </w:rPr>
      </w:pPr>
      <w:r>
        <w:t>单位名称</w:t>
      </w:r>
      <w:r>
        <w:rPr>
          <w:rFonts w:hint="eastAsia"/>
        </w:rPr>
        <w:t>：</w:t>
      </w:r>
      <w:r>
        <w:rPr>
          <w:rFonts w:hint="eastAsia"/>
          <w:lang w:eastAsia="zh-CN"/>
        </w:rPr>
        <w:t>深圳市公明兴文幼儿园</w:t>
      </w:r>
    </w:p>
    <w:p>
      <w:pPr>
        <w:tabs>
          <w:tab w:val="clear" w:pos="426"/>
        </w:tabs>
        <w:wordWrap w:val="0"/>
        <w:ind w:firstLine="424" w:firstLineChars="202"/>
        <w:rPr>
          <w:rFonts w:hint="eastAsia" w:eastAsia="宋体"/>
          <w:lang w:eastAsia="zh-CN"/>
        </w:rPr>
      </w:pPr>
      <w:r>
        <w:rPr>
          <w:rFonts w:hint="eastAsia"/>
        </w:rPr>
        <w:t>联</w:t>
      </w:r>
      <w:r>
        <w:t xml:space="preserve"> 系 人：</w:t>
      </w:r>
      <w:r>
        <w:rPr>
          <w:rFonts w:hint="eastAsia"/>
          <w:lang w:eastAsia="zh-CN"/>
        </w:rPr>
        <w:t>许老师</w:t>
      </w:r>
    </w:p>
    <w:p>
      <w:pPr>
        <w:tabs>
          <w:tab w:val="clear" w:pos="426"/>
        </w:tabs>
        <w:wordWrap w:val="0"/>
        <w:ind w:firstLine="424" w:firstLineChars="202"/>
        <w:rPr>
          <w:rFonts w:hint="eastAsia" w:eastAsia="宋体"/>
          <w:lang w:eastAsia="zh-CN"/>
        </w:rPr>
      </w:pPr>
      <w:r>
        <w:rPr>
          <w:rFonts w:hint="eastAsia"/>
        </w:rPr>
        <w:t>电</w:t>
      </w:r>
      <w:r>
        <w:t xml:space="preserve">    </w:t>
      </w:r>
      <w:r>
        <w:rPr>
          <w:rFonts w:hint="eastAsia"/>
        </w:rPr>
        <w:t>话：</w:t>
      </w:r>
      <w:r>
        <w:rPr>
          <w:rFonts w:hint="eastAsia"/>
          <w:lang w:eastAsia="zh-CN"/>
        </w:rPr>
        <w:t>13380386380</w:t>
      </w:r>
    </w:p>
    <w:p>
      <w:pPr>
        <w:tabs>
          <w:tab w:val="clear" w:pos="426"/>
        </w:tabs>
        <w:wordWrap w:val="0"/>
        <w:ind w:firstLine="424" w:firstLineChars="202"/>
      </w:pPr>
      <w:r>
        <w:rPr>
          <w:rFonts w:hint="eastAsia"/>
        </w:rPr>
        <w:t>地</w:t>
      </w:r>
      <w:r>
        <w:t xml:space="preserve">    址：</w:t>
      </w:r>
      <w:r>
        <w:rPr>
          <w:rFonts w:hint="eastAsia"/>
          <w:lang w:eastAsia="zh-CN"/>
        </w:rPr>
        <w:t>深圳市光明区光明街道公明兴发路环发商业街</w:t>
      </w:r>
      <w:r>
        <w:t xml:space="preserve"> </w:t>
      </w:r>
    </w:p>
    <w:p>
      <w:pPr>
        <w:tabs>
          <w:tab w:val="clear" w:pos="426"/>
        </w:tabs>
        <w:wordWrap w:val="0"/>
        <w:ind w:firstLine="424" w:firstLineChars="202"/>
      </w:pPr>
      <w:r>
        <w:rPr>
          <w:rFonts w:hint="eastAsia"/>
        </w:rPr>
        <w:t>采购代理机构联系方式</w:t>
      </w:r>
    </w:p>
    <w:p>
      <w:pPr>
        <w:tabs>
          <w:tab w:val="clear" w:pos="426"/>
        </w:tabs>
        <w:wordWrap w:val="0"/>
        <w:ind w:firstLine="424" w:firstLineChars="202"/>
      </w:pPr>
      <w:r>
        <w:rPr>
          <w:rFonts w:hint="eastAsia"/>
        </w:rPr>
        <w:t>单位名称：深圳市深水水务咨询有限公司</w:t>
      </w:r>
    </w:p>
    <w:p>
      <w:pPr>
        <w:tabs>
          <w:tab w:val="clear" w:pos="426"/>
        </w:tabs>
        <w:wordWrap w:val="0"/>
        <w:ind w:firstLine="424" w:firstLineChars="202"/>
      </w:pPr>
      <w:r>
        <w:rPr>
          <w:rFonts w:hint="eastAsia"/>
        </w:rPr>
        <w:t>联</w:t>
      </w:r>
      <w:r>
        <w:t xml:space="preserve"> </w:t>
      </w:r>
      <w:r>
        <w:rPr>
          <w:rFonts w:hint="eastAsia"/>
        </w:rPr>
        <w:t>系</w:t>
      </w:r>
      <w:r>
        <w:t xml:space="preserve"> </w:t>
      </w:r>
      <w:r>
        <w:rPr>
          <w:rFonts w:hint="eastAsia"/>
        </w:rPr>
        <w:t>人：汤子澎</w:t>
      </w:r>
    </w:p>
    <w:p>
      <w:pPr>
        <w:tabs>
          <w:tab w:val="clear" w:pos="426"/>
        </w:tabs>
        <w:wordWrap w:val="0"/>
        <w:ind w:firstLine="424" w:firstLineChars="202"/>
      </w:pPr>
      <w:r>
        <w:rPr>
          <w:rFonts w:hint="eastAsia"/>
        </w:rPr>
        <w:t>电</w:t>
      </w:r>
      <w:r>
        <w:t xml:space="preserve">    </w:t>
      </w:r>
      <w:r>
        <w:rPr>
          <w:rFonts w:hint="eastAsia"/>
        </w:rPr>
        <w:t>话：18702071737</w:t>
      </w:r>
      <w:r>
        <w:t xml:space="preserve">  Email：</w:t>
      </w:r>
      <w:r>
        <w:rPr>
          <w:rFonts w:hint="eastAsia"/>
        </w:rPr>
        <w:t>695991560</w:t>
      </w:r>
      <w:r>
        <w:t>@qq.com</w:t>
      </w:r>
    </w:p>
    <w:p>
      <w:pPr>
        <w:widowControl w:val="0"/>
        <w:shd w:val="clear" w:color="auto" w:fill="auto"/>
        <w:tabs>
          <w:tab w:val="clear" w:pos="426"/>
        </w:tabs>
        <w:adjustRightInd/>
        <w:snapToGrid/>
        <w:rPr>
          <w:rFonts w:ascii="Times New Roman" w:hAnsi="Times New Roman" w:cs="Times New Roman"/>
          <w:b/>
          <w:kern w:val="2"/>
          <w:szCs w:val="21"/>
        </w:rPr>
      </w:pPr>
      <w:r>
        <w:rPr>
          <w:rFonts w:hint="eastAsia" w:ascii="Times New Roman" w:hAnsi="Times New Roman" w:cs="Times New Roman"/>
          <w:b/>
          <w:kern w:val="2"/>
          <w:szCs w:val="21"/>
        </w:rPr>
        <w:t>六、采购文件</w:t>
      </w:r>
    </w:p>
    <w:p>
      <w:pPr>
        <w:tabs>
          <w:tab w:val="clear" w:pos="426"/>
        </w:tabs>
        <w:ind w:firstLine="424" w:firstLineChars="202"/>
        <w:rPr>
          <w:rStyle w:val="52"/>
        </w:rPr>
      </w:pPr>
      <w:r>
        <w:rPr>
          <w:rStyle w:val="52"/>
          <w:rFonts w:hint="eastAsia"/>
        </w:rPr>
        <w:t>-点此下载-</w:t>
      </w:r>
    </w:p>
    <w:p>
      <w:pPr>
        <w:tabs>
          <w:tab w:val="clear" w:pos="426"/>
        </w:tabs>
        <w:ind w:firstLine="424" w:firstLineChars="202"/>
      </w:pPr>
    </w:p>
    <w:p>
      <w:pPr>
        <w:tabs>
          <w:tab w:val="clear" w:pos="426"/>
        </w:tabs>
        <w:rPr>
          <w:strike/>
        </w:rPr>
      </w:pPr>
    </w:p>
    <w:p>
      <w:pPr>
        <w:pStyle w:val="33"/>
        <w:tabs>
          <w:tab w:val="clear" w:pos="426"/>
        </w:tabs>
        <w:sectPr>
          <w:headerReference r:id="rId5" w:type="first"/>
          <w:footerReference r:id="rId7" w:type="first"/>
          <w:headerReference r:id="rId4" w:type="default"/>
          <w:footerReference r:id="rId6" w:type="default"/>
          <w:pgSz w:w="11906" w:h="16838"/>
          <w:pgMar w:top="1440" w:right="1797" w:bottom="1440" w:left="1797" w:header="851" w:footer="992" w:gutter="0"/>
          <w:pgNumType w:start="1"/>
          <w:cols w:space="425" w:num="1"/>
          <w:titlePg/>
          <w:docGrid w:linePitch="462" w:charSpace="0"/>
        </w:sectPr>
      </w:pPr>
      <w:bookmarkStart w:id="32" w:name="_Toc432592814"/>
    </w:p>
    <w:p>
      <w:pPr>
        <w:pStyle w:val="33"/>
        <w:tabs>
          <w:tab w:val="clear" w:pos="426"/>
        </w:tabs>
      </w:pPr>
      <w:bookmarkStart w:id="33" w:name="_Toc18323384"/>
      <w:r>
        <w:rPr>
          <w:rFonts w:hint="eastAsia"/>
        </w:rPr>
        <w:t xml:space="preserve">第二章 </w:t>
      </w:r>
      <w:bookmarkEnd w:id="32"/>
      <w:r>
        <w:rPr>
          <w:rFonts w:hint="eastAsia"/>
        </w:rPr>
        <w:t>投标须知前附表</w:t>
      </w:r>
      <w:bookmarkEnd w:id="33"/>
    </w:p>
    <w:p>
      <w:pPr>
        <w:tabs>
          <w:tab w:val="clear" w:pos="426"/>
        </w:tabs>
        <w:spacing w:line="240" w:lineRule="auto"/>
        <w:ind w:right="-174" w:rightChars="-83"/>
      </w:pPr>
      <w:r>
        <w:rPr>
          <w:rFonts w:hint="eastAsia"/>
        </w:rPr>
        <w:t>说明：本表是对通用条款《投标人须知》条款的补充、修改和完善，如果有矛盾，应以本表为准。</w:t>
      </w:r>
    </w:p>
    <w:tbl>
      <w:tblPr>
        <w:tblStyle w:val="4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89"/>
        <w:gridCol w:w="693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tabs>
                <w:tab w:val="clear" w:pos="426"/>
              </w:tabs>
              <w:adjustRightInd/>
              <w:snapToGrid/>
              <w:spacing w:line="240" w:lineRule="exact"/>
              <w:jc w:val="center"/>
            </w:pPr>
            <w:r>
              <w:rPr>
                <w:rFonts w:hint="eastAsia"/>
              </w:rPr>
              <w:t>序号</w:t>
            </w:r>
          </w:p>
        </w:tc>
        <w:tc>
          <w:tcPr>
            <w:tcW w:w="987" w:type="pct"/>
            <w:vAlign w:val="center"/>
          </w:tcPr>
          <w:p>
            <w:pPr>
              <w:tabs>
                <w:tab w:val="clear" w:pos="426"/>
              </w:tabs>
              <w:adjustRightInd/>
              <w:snapToGrid/>
              <w:spacing w:line="240" w:lineRule="exact"/>
              <w:jc w:val="center"/>
            </w:pPr>
            <w:r>
              <w:rPr>
                <w:rFonts w:hint="eastAsia"/>
              </w:rPr>
              <w:t>内容</w:t>
            </w:r>
          </w:p>
        </w:tc>
        <w:tc>
          <w:tcPr>
            <w:tcW w:w="3621" w:type="pct"/>
            <w:vAlign w:val="center"/>
          </w:tcPr>
          <w:p>
            <w:pPr>
              <w:tabs>
                <w:tab w:val="clear" w:pos="426"/>
              </w:tabs>
              <w:adjustRightInd/>
              <w:snapToGrid/>
              <w:spacing w:line="240" w:lineRule="exact"/>
              <w:jc w:val="center"/>
            </w:pPr>
            <w:r>
              <w:rPr>
                <w:rFonts w:hint="eastAsia"/>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联合体投标</w:t>
            </w:r>
          </w:p>
        </w:tc>
        <w:tc>
          <w:tcPr>
            <w:tcW w:w="3621" w:type="pct"/>
            <w:vAlign w:val="center"/>
          </w:tcPr>
          <w:p>
            <w:pPr>
              <w:tabs>
                <w:tab w:val="clear" w:pos="426"/>
              </w:tabs>
              <w:adjustRightInd/>
              <w:snapToGrid/>
              <w:spacing w:line="240" w:lineRule="exact"/>
            </w:pPr>
            <w:r>
              <w:rPr>
                <w:rFonts w:hint="eastAsia"/>
                <w:highlight w:val="yellow"/>
              </w:rPr>
              <w:t>■不接受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t>踏勘现场</w:t>
            </w:r>
          </w:p>
        </w:tc>
        <w:tc>
          <w:tcPr>
            <w:tcW w:w="3621" w:type="pct"/>
            <w:vAlign w:val="center"/>
          </w:tcPr>
          <w:p>
            <w:pPr>
              <w:tabs>
                <w:tab w:val="clear" w:pos="426"/>
              </w:tabs>
              <w:adjustRightInd/>
              <w:snapToGrid/>
              <w:spacing w:line="240" w:lineRule="exact"/>
              <w:rPr>
                <w:highlight w:val="yellow"/>
              </w:rPr>
            </w:pPr>
            <w:r>
              <w:rPr>
                <w:rFonts w:hint="eastAsia"/>
                <w:highlight w:val="yellow"/>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投标人质疑的截止时间投标人提出疑问截止时间</w:t>
            </w:r>
          </w:p>
        </w:tc>
        <w:tc>
          <w:tcPr>
            <w:tcW w:w="3621" w:type="pct"/>
            <w:vAlign w:val="center"/>
          </w:tcPr>
          <w:p>
            <w:pPr>
              <w:tabs>
                <w:tab w:val="clear" w:pos="426"/>
              </w:tabs>
              <w:adjustRightInd/>
              <w:snapToGrid/>
              <w:spacing w:line="240" w:lineRule="exact"/>
            </w:pPr>
            <w:r>
              <w:rPr>
                <w:rFonts w:hint="eastAsia"/>
              </w:rPr>
              <w:t>招标文件发布之日（当日不计）起第</w:t>
            </w:r>
            <w:r>
              <w:t>7</w:t>
            </w:r>
            <w:r>
              <w:rPr>
                <w:rFonts w:hint="eastAsia"/>
              </w:rPr>
              <w:t>个工作日</w:t>
            </w:r>
            <w:r>
              <w:rPr>
                <w:rFonts w:hint="eastAsia"/>
                <w:u w:val="single"/>
              </w:rPr>
              <w:t>17：30</w:t>
            </w:r>
            <w:r>
              <w:rPr>
                <w:rFonts w:hint="eastAsia"/>
              </w:rPr>
              <w:t>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招标文件澄清或修补的截止时间</w:t>
            </w:r>
          </w:p>
        </w:tc>
        <w:tc>
          <w:tcPr>
            <w:tcW w:w="3621" w:type="pct"/>
            <w:vAlign w:val="center"/>
          </w:tcPr>
          <w:p>
            <w:pPr>
              <w:tabs>
                <w:tab w:val="clear" w:pos="426"/>
              </w:tabs>
              <w:adjustRightInd/>
              <w:snapToGrid/>
              <w:spacing w:line="240" w:lineRule="exact"/>
            </w:pPr>
            <w:r>
              <w:rPr>
                <w:rFonts w:hint="eastAsia"/>
              </w:rPr>
              <w:t>截标之日（当日不计）3</w:t>
            </w:r>
            <w:r>
              <w:t>日</w:t>
            </w:r>
            <w:r>
              <w:rPr>
                <w:rFonts w:hint="eastAsia"/>
              </w:rPr>
              <w:t>前</w:t>
            </w:r>
            <w:r>
              <w:rPr>
                <w:rFonts w:hint="eastAsia"/>
                <w:u w:val="single"/>
              </w:rPr>
              <w:t>17：30</w:t>
            </w:r>
            <w:r>
              <w:rPr>
                <w:rFonts w:hint="eastAsia"/>
              </w:rPr>
              <w:t>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答疑的截止时间澄清或修补、答疑的期限</w:t>
            </w:r>
          </w:p>
        </w:tc>
        <w:tc>
          <w:tcPr>
            <w:tcW w:w="3621" w:type="pct"/>
            <w:vAlign w:val="center"/>
          </w:tcPr>
          <w:p>
            <w:pPr>
              <w:tabs>
                <w:tab w:val="clear" w:pos="426"/>
              </w:tabs>
              <w:adjustRightInd/>
              <w:snapToGrid/>
              <w:spacing w:line="240" w:lineRule="exact"/>
            </w:pPr>
            <w:r>
              <w:rPr>
                <w:rFonts w:hint="eastAsia"/>
              </w:rPr>
              <w:t>质疑文件受理之日（当日不计）起</w:t>
            </w:r>
            <w:r>
              <w:t>7</w:t>
            </w:r>
            <w:r>
              <w:rPr>
                <w:rFonts w:hint="eastAsia"/>
              </w:rPr>
              <w:t>个工作日内截标3</w:t>
            </w:r>
            <w:r>
              <w:t>日</w:t>
            </w:r>
            <w:r>
              <w:rPr>
                <w:rFonts w:hint="eastAsia"/>
              </w:rPr>
              <w:t>前</w:t>
            </w:r>
            <w:r>
              <w:rPr>
                <w:rFonts w:hint="eastAsia"/>
                <w:u w:val="single"/>
              </w:rPr>
              <w:t>17：30</w:t>
            </w:r>
            <w:r>
              <w:rPr>
                <w:rFonts w:hint="eastAsia"/>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招标代理</w:t>
            </w:r>
            <w:r>
              <w:t>服务费</w:t>
            </w:r>
          </w:p>
        </w:tc>
        <w:tc>
          <w:tcPr>
            <w:tcW w:w="3621" w:type="pct"/>
            <w:vAlign w:val="center"/>
          </w:tcPr>
          <w:p>
            <w:pPr>
              <w:tabs>
                <w:tab w:val="clear" w:pos="426"/>
              </w:tabs>
              <w:adjustRightInd/>
              <w:snapToGrid/>
              <w:spacing w:line="240" w:lineRule="exact"/>
            </w:pPr>
            <w:r>
              <w:rPr>
                <w:rFonts w:hint="eastAsia"/>
              </w:rPr>
              <w:t>（1）计算基数：中标金额。计算方法：采购代理机构以招标文件规定的计算基数，依据《深圳市财政委员会关于规范深圳市社会采购代理机构管理有关事项的补充通知》（深财购〔</w:t>
            </w:r>
            <w:r>
              <w:t>2018〕27号）规定的招标代理服务费收费办法，按差额定率累进法计算</w:t>
            </w:r>
          </w:p>
          <w:p>
            <w:pPr>
              <w:tabs>
                <w:tab w:val="clear" w:pos="426"/>
              </w:tabs>
              <w:adjustRightInd/>
              <w:snapToGrid/>
              <w:spacing w:line="240" w:lineRule="exact"/>
            </w:pPr>
            <w:r>
              <w:rPr>
                <w:rFonts w:hint="eastAsia"/>
              </w:rPr>
              <w:t>（2）支付人：</w:t>
            </w:r>
            <w:r>
              <w:t>■</w:t>
            </w:r>
            <w:r>
              <w:rPr>
                <w:rFonts w:hint="eastAsia"/>
              </w:rPr>
              <w:t xml:space="preserve">中标人 </w:t>
            </w:r>
            <w:r>
              <w:t xml:space="preserve">  </w:t>
            </w:r>
            <w:r>
              <w:rPr>
                <w:rFonts w:hint="eastAsia"/>
              </w:rPr>
              <w:t>□采购人。</w:t>
            </w:r>
          </w:p>
          <w:p>
            <w:pPr>
              <w:tabs>
                <w:tab w:val="clear" w:pos="426"/>
              </w:tabs>
              <w:adjustRightInd/>
              <w:snapToGrid/>
              <w:spacing w:line="240" w:lineRule="exact"/>
            </w:pPr>
            <w:r>
              <w:rPr>
                <w:rFonts w:hint="eastAsia"/>
              </w:rPr>
              <w:t xml:space="preserve">（2）支付人：□中标人 </w:t>
            </w:r>
            <w:r>
              <w:t xml:space="preserve">  ■</w:t>
            </w:r>
            <w:r>
              <w:rPr>
                <w:rFonts w:hint="eastAsia"/>
              </w:rPr>
              <w:t>采购人。</w:t>
            </w:r>
          </w:p>
          <w:p>
            <w:pPr>
              <w:tabs>
                <w:tab w:val="clear" w:pos="426"/>
              </w:tabs>
              <w:adjustRightInd/>
              <w:snapToGrid/>
              <w:spacing w:line="240" w:lineRule="exact"/>
            </w:pPr>
            <w:r>
              <w:rPr>
                <w:rFonts w:hint="eastAsia"/>
              </w:rPr>
              <w:t>（3）支付方式：银行转账。</w:t>
            </w:r>
          </w:p>
          <w:p>
            <w:pPr>
              <w:tabs>
                <w:tab w:val="clear" w:pos="426"/>
              </w:tabs>
              <w:adjustRightInd/>
              <w:snapToGrid/>
              <w:spacing w:line="240" w:lineRule="exact"/>
            </w:pPr>
            <w:r>
              <w:rPr>
                <w:rFonts w:hint="eastAsia"/>
              </w:rPr>
              <w:t>（4）收款账户信息如下：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p>
            <w:pPr>
              <w:tabs>
                <w:tab w:val="clear" w:pos="426"/>
              </w:tabs>
              <w:adjustRightInd/>
              <w:snapToGrid/>
              <w:spacing w:line="240" w:lineRule="exact"/>
            </w:pPr>
            <w:r>
              <w:rPr>
                <w:rFonts w:hint="eastAsia"/>
              </w:rPr>
              <w:t>（5）发票联系人：毛柔（</w:t>
            </w:r>
            <w:r>
              <w:t>0755-25163491/17875058832）</w:t>
            </w:r>
          </w:p>
          <w:p>
            <w:pPr>
              <w:tabs>
                <w:tab w:val="clear" w:pos="426"/>
              </w:tabs>
              <w:adjustRightInd/>
              <w:snapToGrid/>
              <w:spacing w:line="240" w:lineRule="exact"/>
            </w:pPr>
          </w:p>
          <w:p>
            <w:pPr>
              <w:tabs>
                <w:tab w:val="clear" w:pos="426"/>
              </w:tabs>
              <w:adjustRightInd/>
              <w:snapToGrid/>
              <w:spacing w:line="240" w:lineRule="exact"/>
            </w:pPr>
          </w:p>
          <w:p>
            <w:pPr>
              <w:tabs>
                <w:tab w:val="clear" w:pos="426"/>
              </w:tabs>
              <w:adjustRightInd/>
              <w:snapToGrid/>
              <w:spacing w:line="240" w:lineRule="exact"/>
            </w:pPr>
            <w:r>
              <w:rPr>
                <w:rFonts w:hint="eastAsia"/>
              </w:rPr>
              <w:t>（1）支付人：</w:t>
            </w:r>
            <w:r>
              <w:t>■</w:t>
            </w:r>
            <w:r>
              <w:rPr>
                <w:rFonts w:hint="eastAsia"/>
              </w:rPr>
              <w:t xml:space="preserve">中标人 </w:t>
            </w:r>
            <w:r>
              <w:t xml:space="preserve">  </w:t>
            </w:r>
            <w:r>
              <w:rPr>
                <w:rFonts w:hint="eastAsia"/>
              </w:rPr>
              <w:t>□采购人。</w:t>
            </w:r>
          </w:p>
          <w:p>
            <w:pPr>
              <w:tabs>
                <w:tab w:val="clear" w:pos="426"/>
              </w:tabs>
              <w:adjustRightInd/>
              <w:snapToGrid/>
              <w:spacing w:line="240" w:lineRule="exact"/>
            </w:pPr>
            <w:r>
              <w:rPr>
                <w:rFonts w:hint="eastAsia"/>
              </w:rPr>
              <w:t>（2）支付方式：银行转账。</w:t>
            </w:r>
          </w:p>
          <w:p>
            <w:pPr>
              <w:tabs>
                <w:tab w:val="clear" w:pos="426"/>
              </w:tabs>
              <w:adjustRightInd/>
              <w:snapToGrid/>
              <w:spacing w:line="240" w:lineRule="exact"/>
            </w:pPr>
            <w:r>
              <w:rPr>
                <w:rFonts w:hint="eastAsia"/>
              </w:rPr>
              <w:t>（3）收款账户信息如下：</w:t>
            </w:r>
          </w:p>
          <w:p>
            <w:pPr>
              <w:tabs>
                <w:tab w:val="clear" w:pos="426"/>
              </w:tabs>
              <w:adjustRightInd/>
              <w:snapToGrid/>
              <w:spacing w:line="240" w:lineRule="exact"/>
            </w:pPr>
            <w:r>
              <w:rPr>
                <w:rFonts w:hint="eastAsia"/>
              </w:rPr>
              <w:t>户名：深圳市深水水务咨询有限公司</w:t>
            </w:r>
          </w:p>
          <w:p>
            <w:pPr>
              <w:tabs>
                <w:tab w:val="clear" w:pos="426"/>
              </w:tabs>
              <w:adjustRightInd/>
              <w:snapToGrid/>
              <w:spacing w:line="240" w:lineRule="exact"/>
            </w:pPr>
            <w:r>
              <w:rPr>
                <w:rFonts w:hint="eastAsia"/>
              </w:rPr>
              <w:t>账号：</w:t>
            </w:r>
            <w:r>
              <w:t>4000021219200366130</w:t>
            </w:r>
          </w:p>
          <w:p>
            <w:pPr>
              <w:tabs>
                <w:tab w:val="clear" w:pos="426"/>
              </w:tabs>
              <w:adjustRightInd/>
              <w:snapToGrid/>
              <w:spacing w:line="240" w:lineRule="exact"/>
            </w:pPr>
            <w:r>
              <w:rPr>
                <w:rFonts w:hint="eastAsia"/>
              </w:rPr>
              <w:t>开户行：中国工商银行深圳红围支行</w:t>
            </w:r>
          </w:p>
          <w:p>
            <w:pPr>
              <w:tabs>
                <w:tab w:val="clear" w:pos="426"/>
              </w:tabs>
              <w:adjustRightInd/>
              <w:snapToGrid/>
              <w:spacing w:line="240" w:lineRule="exact"/>
              <w:jc w:val="left"/>
            </w:pPr>
            <w:r>
              <w:rPr>
                <w:rFonts w:hint="eastAsia"/>
              </w:rPr>
              <w:t>（4）发票联系人：毛柔（</w:t>
            </w:r>
            <w:r>
              <w:t>0755-25163491/17875058832）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t>投标有效期</w:t>
            </w:r>
          </w:p>
        </w:tc>
        <w:tc>
          <w:tcPr>
            <w:tcW w:w="3621" w:type="pct"/>
            <w:vAlign w:val="center"/>
          </w:tcPr>
          <w:p>
            <w:pPr>
              <w:tabs>
                <w:tab w:val="clear" w:pos="426"/>
              </w:tabs>
              <w:adjustRightInd/>
              <w:snapToGrid/>
              <w:spacing w:line="240" w:lineRule="exact"/>
            </w:pPr>
            <w:r>
              <w:rPr>
                <w:rFonts w:hint="eastAsia"/>
              </w:rPr>
              <w:t>90</w:t>
            </w:r>
            <w:r>
              <w:t>日历天（</w:t>
            </w:r>
            <w:r>
              <w:rPr>
                <w:rFonts w:hint="eastAsia"/>
              </w:rPr>
              <w:t>从投标截止之日算起</w:t>
            </w:r>
            <w: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替代方案</w:t>
            </w:r>
          </w:p>
        </w:tc>
        <w:tc>
          <w:tcPr>
            <w:tcW w:w="3621" w:type="pct"/>
            <w:vAlign w:val="center"/>
          </w:tcPr>
          <w:p>
            <w:pPr>
              <w:tabs>
                <w:tab w:val="clear" w:pos="426"/>
              </w:tabs>
              <w:adjustRightInd/>
              <w:snapToGrid/>
              <w:spacing w:line="240" w:lineRule="exact"/>
            </w:pPr>
            <w:r>
              <w:rPr>
                <w:rFonts w:hint="eastAsia"/>
              </w:rPr>
              <w:t>■不允许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评定分离</w:t>
            </w:r>
          </w:p>
        </w:tc>
        <w:tc>
          <w:tcPr>
            <w:tcW w:w="3621" w:type="pct"/>
            <w:vAlign w:val="center"/>
          </w:tcPr>
          <w:p>
            <w:pPr>
              <w:tabs>
                <w:tab w:val="clear" w:pos="426"/>
              </w:tabs>
              <w:adjustRightInd/>
              <w:snapToGrid/>
              <w:spacing w:line="240" w:lineRule="exact"/>
            </w:pPr>
            <w:r>
              <w:t>■</w:t>
            </w:r>
            <w:r>
              <w:rPr>
                <w:rFonts w:hint="eastAsia"/>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t>评标</w:t>
            </w:r>
            <w:r>
              <w:rPr>
                <w:rFonts w:hint="eastAsia"/>
              </w:rPr>
              <w:t>方</w:t>
            </w:r>
            <w:r>
              <w:t>法</w:t>
            </w:r>
          </w:p>
        </w:tc>
        <w:tc>
          <w:tcPr>
            <w:tcW w:w="3621" w:type="pct"/>
            <w:vAlign w:val="center"/>
          </w:tcPr>
          <w:p>
            <w:pPr>
              <w:tabs>
                <w:tab w:val="clear" w:pos="426"/>
              </w:tabs>
              <w:adjustRightInd/>
              <w:snapToGrid/>
              <w:spacing w:line="240" w:lineRule="exact"/>
              <w:rPr>
                <w:color w:val="000000"/>
                <w:szCs w:val="21"/>
              </w:rPr>
            </w:pPr>
            <w:r>
              <w:t>■</w:t>
            </w:r>
            <w:r>
              <w:rPr>
                <w:rFonts w:hint="eastAsia"/>
                <w:color w:val="000000"/>
                <w:szCs w:val="21"/>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定</w:t>
            </w:r>
            <w:r>
              <w:t>标</w:t>
            </w:r>
            <w:r>
              <w:rPr>
                <w:rFonts w:hint="eastAsia"/>
              </w:rPr>
              <w:t>方</w:t>
            </w:r>
            <w:r>
              <w:t>法</w:t>
            </w:r>
          </w:p>
        </w:tc>
        <w:tc>
          <w:tcPr>
            <w:tcW w:w="3621" w:type="pct"/>
            <w:vAlign w:val="center"/>
          </w:tcPr>
          <w:p>
            <w:pPr>
              <w:tabs>
                <w:tab w:val="clear" w:pos="426"/>
              </w:tabs>
              <w:adjustRightInd/>
              <w:snapToGrid/>
              <w:spacing w:line="240" w:lineRule="exact"/>
              <w:rPr>
                <w:color w:val="000000"/>
                <w:szCs w:val="21"/>
              </w:rPr>
            </w:pP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t>履约保证金</w:t>
            </w:r>
          </w:p>
        </w:tc>
        <w:tc>
          <w:tcPr>
            <w:tcW w:w="3621" w:type="pct"/>
            <w:vAlign w:val="center"/>
          </w:tcPr>
          <w:p>
            <w:pPr>
              <w:tabs>
                <w:tab w:val="clear" w:pos="426"/>
              </w:tabs>
              <w:adjustRightInd/>
              <w:snapToGrid/>
              <w:spacing w:line="240" w:lineRule="exact"/>
            </w:pPr>
            <w:r>
              <w:rPr>
                <w:rFonts w:hint="eastAsia"/>
                <w:szCs w:val="21"/>
              </w:rPr>
              <w:t>■不提交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t>投标文件份数</w:t>
            </w:r>
          </w:p>
        </w:tc>
        <w:tc>
          <w:tcPr>
            <w:tcW w:w="3621" w:type="pct"/>
            <w:vAlign w:val="center"/>
          </w:tcPr>
          <w:p>
            <w:pPr>
              <w:tabs>
                <w:tab w:val="clear" w:pos="426"/>
              </w:tabs>
              <w:adjustRightInd/>
              <w:snapToGrid/>
              <w:spacing w:line="240" w:lineRule="exact"/>
            </w:pPr>
            <w:r>
              <w:rPr>
                <w:rFonts w:hint="eastAsia"/>
              </w:rPr>
              <w:t>（1）开标信封一份；</w:t>
            </w:r>
          </w:p>
          <w:p>
            <w:pPr>
              <w:tabs>
                <w:tab w:val="clear" w:pos="426"/>
              </w:tabs>
              <w:adjustRightInd/>
              <w:snapToGrid/>
              <w:spacing w:line="240" w:lineRule="exact"/>
            </w:pPr>
            <w:r>
              <w:rPr>
                <w:rFonts w:hint="eastAsia"/>
              </w:rPr>
              <w:t>（2）纸质投标文件</w:t>
            </w:r>
            <w:r>
              <w:rPr>
                <w:u w:val="single"/>
              </w:rPr>
              <w:t>一_</w:t>
            </w:r>
            <w:r>
              <w:t xml:space="preserve">正本， </w:t>
            </w:r>
            <w:r>
              <w:rPr>
                <w:u w:val="single"/>
              </w:rPr>
              <w:t>_四_</w:t>
            </w:r>
            <w:r>
              <w:t>副本</w:t>
            </w:r>
            <w:r>
              <w:rPr>
                <w:rFonts w:hint="eastAsia"/>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投标文件电子版</w:t>
            </w:r>
          </w:p>
        </w:tc>
        <w:tc>
          <w:tcPr>
            <w:tcW w:w="3621" w:type="pct"/>
            <w:vAlign w:val="center"/>
          </w:tcPr>
          <w:p>
            <w:pPr>
              <w:tabs>
                <w:tab w:val="clear" w:pos="426"/>
              </w:tabs>
              <w:adjustRightInd/>
              <w:snapToGrid/>
              <w:spacing w:line="240" w:lineRule="exact"/>
            </w:pPr>
            <w:r>
              <w:rPr>
                <w:rFonts w:hint="eastAsia"/>
              </w:rPr>
              <w:t>电子光盘一张（投标文件正本盖章后的彩色扫描件，</w:t>
            </w:r>
            <w: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vAlign w:val="center"/>
          </w:tcPr>
          <w:p>
            <w:pPr>
              <w:pStyle w:val="280"/>
              <w:numPr>
                <w:ilvl w:val="0"/>
                <w:numId w:val="24"/>
              </w:numPr>
              <w:spacing w:line="240" w:lineRule="exact"/>
              <w:ind w:firstLineChars="0"/>
              <w:jc w:val="center"/>
            </w:pPr>
          </w:p>
        </w:tc>
        <w:tc>
          <w:tcPr>
            <w:tcW w:w="987" w:type="pct"/>
            <w:vAlign w:val="center"/>
          </w:tcPr>
          <w:p>
            <w:pPr>
              <w:tabs>
                <w:tab w:val="clear" w:pos="426"/>
              </w:tabs>
              <w:adjustRightInd/>
              <w:snapToGrid/>
              <w:spacing w:line="240" w:lineRule="exact"/>
            </w:pPr>
            <w:r>
              <w:rPr>
                <w:rFonts w:hint="eastAsia"/>
              </w:rPr>
              <w:t>财政预算限额</w:t>
            </w:r>
          </w:p>
        </w:tc>
        <w:tc>
          <w:tcPr>
            <w:tcW w:w="3621" w:type="pct"/>
            <w:vAlign w:val="center"/>
          </w:tcPr>
          <w:p>
            <w:pPr>
              <w:tabs>
                <w:tab w:val="clear" w:pos="426"/>
              </w:tabs>
              <w:adjustRightInd/>
              <w:snapToGrid/>
              <w:spacing w:line="240" w:lineRule="exact"/>
              <w:rPr>
                <w:color w:val="FF0000"/>
              </w:rPr>
            </w:pPr>
            <w:r>
              <w:rPr>
                <w:rFonts w:hint="eastAsia"/>
                <w:b/>
              </w:rPr>
              <w:t>金额：</w:t>
            </w:r>
            <w:r>
              <w:rPr>
                <w:rFonts w:hint="eastAsia"/>
                <w:b/>
                <w:u w:val="single"/>
              </w:rPr>
              <w:t>人民币_</w:t>
            </w:r>
            <w:r>
              <w:rPr>
                <w:rFonts w:hint="eastAsia"/>
                <w:b/>
                <w:u w:val="single"/>
                <w:lang w:eastAsia="zh-CN"/>
              </w:rPr>
              <w:t>捌拾肆万柒仟玖佰零玖元捌角陆分</w:t>
            </w:r>
            <w:r>
              <w:rPr>
                <w:b/>
                <w:u w:val="single"/>
              </w:rPr>
              <w:t>（</w:t>
            </w:r>
            <w:r>
              <w:rPr>
                <w:rFonts w:hint="eastAsia" w:eastAsia="微软雅黑"/>
                <w:b/>
                <w:u w:val="single"/>
              </w:rPr>
              <w:t>￥</w:t>
            </w:r>
            <w:r>
              <w:rPr>
                <w:rFonts w:hint="eastAsia" w:eastAsia="微软雅黑"/>
                <w:b/>
                <w:u w:val="single"/>
                <w:lang w:eastAsia="zh-CN"/>
              </w:rPr>
              <w:t>847909.86</w:t>
            </w:r>
            <w:r>
              <w:rPr>
                <w:rFonts w:hint="eastAsia"/>
                <w:b/>
                <w:u w:val="single"/>
              </w:rPr>
              <w:t>元</w:t>
            </w:r>
            <w:r>
              <w:rPr>
                <w:b/>
                <w:u w:val="single"/>
              </w:rPr>
              <w:t>）</w:t>
            </w:r>
            <w:r>
              <w:rPr>
                <w:rFonts w:hint="eastAsia"/>
                <w:b/>
                <w:u w:val="single"/>
              </w:rPr>
              <w:t>，</w:t>
            </w:r>
            <w:r>
              <w:rPr>
                <w:rFonts w:hint="eastAsia"/>
              </w:rPr>
              <w:t>分项预算限额详见服务清单一览表，超出财政预算限额或分项预算限额的投标文件将不被接受。</w:t>
            </w:r>
          </w:p>
        </w:tc>
      </w:tr>
    </w:tbl>
    <w:p>
      <w:pPr>
        <w:pStyle w:val="33"/>
        <w:tabs>
          <w:tab w:val="clear" w:pos="426"/>
        </w:tabs>
      </w:pPr>
      <w:r>
        <w:br w:type="page"/>
      </w:r>
      <w:bookmarkStart w:id="34" w:name="_Toc18323385"/>
      <w:bookmarkStart w:id="35" w:name="_Toc432592816"/>
      <w:bookmarkStart w:id="36" w:name="_Toc398220525"/>
      <w:r>
        <w:rPr>
          <w:rFonts w:hint="eastAsia"/>
        </w:rPr>
        <w:t xml:space="preserve">第三章 </w:t>
      </w:r>
      <w:r>
        <w:t>项目</w:t>
      </w:r>
      <w:r>
        <w:rPr>
          <w:rFonts w:hint="eastAsia"/>
        </w:rPr>
        <w:t>需求</w:t>
      </w:r>
      <w:bookmarkEnd w:id="34"/>
    </w:p>
    <w:p>
      <w:pPr>
        <w:numPr>
          <w:ilvl w:val="0"/>
          <w:numId w:val="25"/>
        </w:numPr>
        <w:adjustRightInd/>
        <w:snapToGrid/>
        <w:spacing w:before="280" w:after="290" w:line="377" w:lineRule="auto"/>
        <w:outlineLvl w:val="2"/>
        <w:rPr>
          <w:b/>
          <w:sz w:val="24"/>
        </w:rPr>
      </w:pPr>
      <w:r>
        <w:rPr>
          <w:rFonts w:hint="eastAsia"/>
          <w:b/>
          <w:sz w:val="24"/>
        </w:rPr>
        <w:t>项目一览表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873"/>
        <w:gridCol w:w="1034"/>
        <w:gridCol w:w="831"/>
        <w:gridCol w:w="1057"/>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11"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2024"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项目</w:t>
            </w:r>
            <w:r>
              <w:rPr>
                <w:rFonts w:cs="Times New Roman"/>
                <w:b/>
                <w:bCs/>
                <w:szCs w:val="21"/>
              </w:rPr>
              <w:t>名称</w:t>
            </w:r>
          </w:p>
        </w:tc>
        <w:tc>
          <w:tcPr>
            <w:tcW w:w="540"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434"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552"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039" w:type="pct"/>
            <w:shd w:val="clear" w:color="auto" w:fill="C6D9F1"/>
            <w:vAlign w:val="center"/>
          </w:tcPr>
          <w:p>
            <w:pPr>
              <w:widowControl w:val="0"/>
              <w:shd w:val="clear" w:color="auto" w:fill="auto"/>
              <w:tabs>
                <w:tab w:val="clear" w:pos="426"/>
              </w:tabs>
              <w:adjustRightInd/>
              <w:snapToGrid/>
              <w:spacing w:line="240" w:lineRule="auto"/>
              <w:jc w:val="center"/>
              <w:rPr>
                <w:rFonts w:cs="Times New Roman"/>
                <w:b/>
                <w:bCs/>
                <w:szCs w:val="21"/>
              </w:rPr>
            </w:pPr>
            <w:r>
              <w:rPr>
                <w:rFonts w:hint="eastAsia" w:cs="Times New Roman"/>
                <w:b/>
                <w:bCs/>
                <w:szCs w:val="21"/>
              </w:rPr>
              <w:t>财政预算金额</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11" w:type="pct"/>
            <w:vAlign w:val="center"/>
          </w:tcPr>
          <w:p>
            <w:pPr>
              <w:spacing w:line="240" w:lineRule="auto"/>
              <w:jc w:val="center"/>
              <w:rPr>
                <w:bCs/>
                <w:szCs w:val="21"/>
              </w:rPr>
            </w:pPr>
            <w:r>
              <w:rPr>
                <w:rFonts w:hint="eastAsia"/>
                <w:bCs/>
                <w:szCs w:val="21"/>
              </w:rPr>
              <w:t>1</w:t>
            </w:r>
          </w:p>
        </w:tc>
        <w:tc>
          <w:tcPr>
            <w:tcW w:w="2024" w:type="pct"/>
            <w:vAlign w:val="center"/>
          </w:tcPr>
          <w:p>
            <w:pPr>
              <w:spacing w:line="240" w:lineRule="auto"/>
              <w:jc w:val="center"/>
              <w:rPr>
                <w:rFonts w:hint="eastAsia" w:eastAsia="宋体"/>
                <w:bCs/>
                <w:szCs w:val="21"/>
                <w:lang w:eastAsia="zh-CN"/>
              </w:rPr>
            </w:pPr>
            <w:r>
              <w:rPr>
                <w:rFonts w:hint="eastAsia"/>
                <w:bCs/>
                <w:szCs w:val="21"/>
                <w:lang w:eastAsia="zh-CN"/>
              </w:rPr>
              <w:t>公明兴文幼儿园改造工程</w:t>
            </w:r>
          </w:p>
        </w:tc>
        <w:tc>
          <w:tcPr>
            <w:tcW w:w="540" w:type="pct"/>
            <w:vAlign w:val="center"/>
          </w:tcPr>
          <w:p>
            <w:pPr>
              <w:spacing w:line="240" w:lineRule="auto"/>
              <w:jc w:val="center"/>
              <w:rPr>
                <w:bCs/>
                <w:szCs w:val="21"/>
              </w:rPr>
            </w:pPr>
            <w:r>
              <w:rPr>
                <w:rFonts w:hint="eastAsia"/>
                <w:bCs/>
                <w:szCs w:val="21"/>
              </w:rPr>
              <w:t>1</w:t>
            </w:r>
          </w:p>
        </w:tc>
        <w:tc>
          <w:tcPr>
            <w:tcW w:w="434" w:type="pct"/>
            <w:vAlign w:val="center"/>
          </w:tcPr>
          <w:p>
            <w:pPr>
              <w:spacing w:line="240" w:lineRule="auto"/>
              <w:jc w:val="center"/>
              <w:rPr>
                <w:bCs/>
                <w:szCs w:val="21"/>
              </w:rPr>
            </w:pPr>
            <w:r>
              <w:rPr>
                <w:rFonts w:hint="eastAsia"/>
                <w:szCs w:val="21"/>
              </w:rPr>
              <w:t>项</w:t>
            </w:r>
          </w:p>
        </w:tc>
        <w:tc>
          <w:tcPr>
            <w:tcW w:w="552" w:type="pct"/>
            <w:vAlign w:val="center"/>
          </w:tcPr>
          <w:p>
            <w:pPr>
              <w:spacing w:line="240" w:lineRule="auto"/>
              <w:jc w:val="center"/>
              <w:rPr>
                <w:bCs/>
                <w:szCs w:val="21"/>
              </w:rPr>
            </w:pPr>
            <w:r>
              <w:rPr>
                <w:rFonts w:hint="eastAsia"/>
                <w:bCs/>
                <w:szCs w:val="21"/>
              </w:rPr>
              <w:t>无</w:t>
            </w:r>
          </w:p>
        </w:tc>
        <w:tc>
          <w:tcPr>
            <w:tcW w:w="1039" w:type="pct"/>
            <w:vAlign w:val="center"/>
          </w:tcPr>
          <w:p>
            <w:pPr>
              <w:widowControl w:val="0"/>
              <w:shd w:val="clear" w:color="auto" w:fill="auto"/>
              <w:tabs>
                <w:tab w:val="clear" w:pos="426"/>
              </w:tabs>
              <w:adjustRightInd/>
              <w:snapToGrid/>
              <w:spacing w:line="240" w:lineRule="auto"/>
              <w:jc w:val="center"/>
              <w:rPr>
                <w:rFonts w:hint="eastAsia" w:eastAsia="宋体" w:cs="Times New Roman"/>
                <w:szCs w:val="21"/>
                <w:lang w:eastAsia="zh-CN"/>
              </w:rPr>
            </w:pPr>
            <w:r>
              <w:rPr>
                <w:rFonts w:hint="eastAsia" w:cs="Times New Roman"/>
                <w:szCs w:val="21"/>
                <w:lang w:eastAsia="zh-CN"/>
              </w:rPr>
              <w:t>847909.86</w:t>
            </w:r>
          </w:p>
        </w:tc>
      </w:tr>
    </w:tbl>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p>
    <w:p>
      <w:pPr>
        <w:numPr>
          <w:ilvl w:val="0"/>
          <w:numId w:val="25"/>
        </w:numPr>
        <w:adjustRightInd/>
        <w:snapToGrid/>
        <w:spacing w:before="280" w:after="290" w:line="377" w:lineRule="auto"/>
        <w:outlineLvl w:val="2"/>
        <w:rPr>
          <w:b/>
          <w:sz w:val="24"/>
        </w:rPr>
      </w:pPr>
      <w:r>
        <w:rPr>
          <w:rFonts w:hint="eastAsia"/>
          <w:b/>
          <w:sz w:val="24"/>
        </w:rPr>
        <w:t>实质性响应条款</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267"/>
        <w:gridCol w:w="552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vAlign w:val="center"/>
          </w:tcPr>
          <w:p>
            <w:pPr>
              <w:widowControl w:val="0"/>
              <w:shd w:val="clear" w:color="auto" w:fill="auto"/>
              <w:tabs>
                <w:tab w:val="clear" w:pos="426"/>
              </w:tabs>
              <w:spacing w:line="240" w:lineRule="auto"/>
              <w:jc w:val="center"/>
              <w:rPr>
                <w:rFonts w:cs="Times New Roman"/>
                <w:szCs w:val="21"/>
              </w:rPr>
            </w:pPr>
            <w:r>
              <w:rPr>
                <w:rFonts w:hint="eastAsia" w:cs="Times New Roman"/>
                <w:szCs w:val="21"/>
              </w:rPr>
              <w:t>序号</w:t>
            </w:r>
          </w:p>
        </w:tc>
        <w:tc>
          <w:tcPr>
            <w:tcW w:w="2267" w:type="dxa"/>
            <w:vAlign w:val="center"/>
          </w:tcPr>
          <w:p>
            <w:pPr>
              <w:widowControl w:val="0"/>
              <w:shd w:val="clear" w:color="auto" w:fill="auto"/>
              <w:tabs>
                <w:tab w:val="clear" w:pos="426"/>
              </w:tabs>
              <w:spacing w:line="240" w:lineRule="auto"/>
              <w:jc w:val="center"/>
              <w:rPr>
                <w:rFonts w:cs="Times New Roman"/>
                <w:szCs w:val="21"/>
              </w:rPr>
            </w:pPr>
            <w:r>
              <w:rPr>
                <w:rFonts w:hint="eastAsia" w:cs="Times New Roman"/>
                <w:szCs w:val="21"/>
              </w:rPr>
              <w:t>目录</w:t>
            </w:r>
          </w:p>
        </w:tc>
        <w:tc>
          <w:tcPr>
            <w:tcW w:w="5529" w:type="dxa"/>
            <w:vAlign w:val="center"/>
          </w:tcPr>
          <w:p>
            <w:pPr>
              <w:widowControl w:val="0"/>
              <w:spacing w:line="240" w:lineRule="auto"/>
              <w:jc w:val="center"/>
              <w:rPr>
                <w:rFonts w:cs="Times New Roman"/>
                <w:szCs w:val="21"/>
              </w:rPr>
            </w:pPr>
            <w:r>
              <w:rPr>
                <w:rFonts w:hint="eastAsia" w:cs="Times New Roman"/>
                <w:szCs w:val="21"/>
              </w:rPr>
              <w:t>具体内容</w:t>
            </w:r>
          </w:p>
        </w:tc>
        <w:tc>
          <w:tcPr>
            <w:tcW w:w="1098" w:type="dxa"/>
            <w:vAlign w:val="center"/>
          </w:tcPr>
          <w:p>
            <w:pPr>
              <w:widowControl w:val="0"/>
              <w:shd w:val="clear" w:color="auto" w:fill="auto"/>
              <w:tabs>
                <w:tab w:val="clear" w:pos="426"/>
              </w:tabs>
              <w:spacing w:line="240" w:lineRule="auto"/>
              <w:jc w:val="center"/>
              <w:rPr>
                <w:rFonts w:cs="Times New Roman"/>
                <w:szCs w:val="21"/>
              </w:rPr>
            </w:pPr>
            <w:r>
              <w:rPr>
                <w:rFonts w:hint="eastAsia"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vAlign w:val="center"/>
          </w:tcPr>
          <w:p>
            <w:pPr>
              <w:pStyle w:val="280"/>
              <w:numPr>
                <w:ilvl w:val="0"/>
                <w:numId w:val="26"/>
              </w:numPr>
              <w:spacing w:line="240" w:lineRule="auto"/>
              <w:ind w:firstLineChars="0"/>
              <w:jc w:val="center"/>
              <w:rPr>
                <w:szCs w:val="21"/>
              </w:rPr>
            </w:pPr>
          </w:p>
        </w:tc>
        <w:tc>
          <w:tcPr>
            <w:tcW w:w="2267"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5529"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凡出现《资格性审查表》及《符合性审查表》中情形之一的，将导致投标无效。以评审现场结论为准。</w:t>
            </w:r>
          </w:p>
        </w:tc>
        <w:tc>
          <w:tcPr>
            <w:tcW w:w="1098" w:type="dxa"/>
            <w:vAlign w:val="center"/>
          </w:tcPr>
          <w:p>
            <w:pPr>
              <w:widowControl w:val="0"/>
              <w:shd w:val="clear" w:color="auto" w:fill="auto"/>
              <w:tabs>
                <w:tab w:val="clear" w:pos="426"/>
              </w:tabs>
              <w:spacing w:line="240" w:lineRule="auto"/>
              <w:jc w:val="center"/>
              <w:rPr>
                <w:rFonts w:asci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vAlign w:val="center"/>
          </w:tcPr>
          <w:p>
            <w:pPr>
              <w:pStyle w:val="280"/>
              <w:numPr>
                <w:ilvl w:val="0"/>
                <w:numId w:val="26"/>
              </w:numPr>
              <w:spacing w:line="240" w:lineRule="auto"/>
              <w:ind w:firstLineChars="0"/>
              <w:jc w:val="center"/>
              <w:rPr>
                <w:szCs w:val="21"/>
              </w:rPr>
            </w:pPr>
          </w:p>
        </w:tc>
        <w:tc>
          <w:tcPr>
            <w:tcW w:w="2267"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工期</w:t>
            </w:r>
          </w:p>
        </w:tc>
        <w:tc>
          <w:tcPr>
            <w:tcW w:w="5529"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合同签订后</w:t>
            </w:r>
            <w:r>
              <w:rPr>
                <w:rFonts w:hint="eastAsia"/>
                <w:b/>
                <w:szCs w:val="21"/>
                <w:u w:val="single"/>
              </w:rPr>
              <w:t>_____30___</w:t>
            </w:r>
            <w:r>
              <w:rPr>
                <w:rFonts w:hint="eastAsia"/>
                <w:b/>
                <w:szCs w:val="21"/>
              </w:rPr>
              <w:t>个日历天</w:t>
            </w:r>
          </w:p>
        </w:tc>
        <w:tc>
          <w:tcPr>
            <w:tcW w:w="1098" w:type="dxa"/>
            <w:vAlign w:val="center"/>
          </w:tcPr>
          <w:p>
            <w:pPr>
              <w:widowControl w:val="0"/>
              <w:shd w:val="clear" w:color="auto" w:fill="auto"/>
              <w:tabs>
                <w:tab w:val="clear" w:pos="426"/>
              </w:tabs>
              <w:spacing w:line="240" w:lineRule="auto"/>
              <w:jc w:val="center"/>
              <w:rPr>
                <w:rFonts w:asci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6" w:type="dxa"/>
            <w:vAlign w:val="center"/>
          </w:tcPr>
          <w:p>
            <w:pPr>
              <w:pStyle w:val="280"/>
              <w:numPr>
                <w:ilvl w:val="0"/>
                <w:numId w:val="26"/>
              </w:numPr>
              <w:spacing w:line="240" w:lineRule="auto"/>
              <w:ind w:firstLineChars="0"/>
              <w:jc w:val="center"/>
              <w:rPr>
                <w:szCs w:val="21"/>
              </w:rPr>
            </w:pPr>
          </w:p>
        </w:tc>
        <w:tc>
          <w:tcPr>
            <w:tcW w:w="2267"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实质性要求</w:t>
            </w:r>
          </w:p>
        </w:tc>
        <w:tc>
          <w:tcPr>
            <w:tcW w:w="5529" w:type="dxa"/>
            <w:vAlign w:val="center"/>
          </w:tcPr>
          <w:p>
            <w:pPr>
              <w:widowControl w:val="0"/>
              <w:shd w:val="clear" w:color="auto" w:fill="auto"/>
              <w:tabs>
                <w:tab w:val="clear" w:pos="426"/>
              </w:tabs>
              <w:spacing w:line="240" w:lineRule="auto"/>
              <w:jc w:val="left"/>
              <w:rPr>
                <w:rFonts w:ascii="Times New Roman" w:cs="Times New Roman"/>
                <w:szCs w:val="21"/>
              </w:rPr>
            </w:pPr>
            <w:r>
              <w:rPr>
                <w:rFonts w:hint="eastAsia"/>
                <w:szCs w:val="21"/>
              </w:rPr>
              <w:t>实质性要求（以”★”标注）若出现不响应或任何的负偏离，将导致投标无效。以《技术规格偏离表》为准。</w:t>
            </w:r>
          </w:p>
        </w:tc>
        <w:tc>
          <w:tcPr>
            <w:tcW w:w="1098" w:type="dxa"/>
            <w:vAlign w:val="center"/>
          </w:tcPr>
          <w:p>
            <w:pPr>
              <w:widowControl w:val="0"/>
              <w:shd w:val="clear" w:color="auto" w:fill="auto"/>
              <w:tabs>
                <w:tab w:val="clear" w:pos="426"/>
              </w:tabs>
              <w:spacing w:line="240" w:lineRule="auto"/>
              <w:jc w:val="center"/>
              <w:rPr>
                <w:rFonts w:ascii="Times New Roman" w:cs="Times New Roman"/>
                <w:szCs w:val="21"/>
              </w:rPr>
            </w:pPr>
          </w:p>
        </w:tc>
      </w:tr>
    </w:tbl>
    <w:p>
      <w:pPr>
        <w:ind w:firstLine="420" w:firstLineChars="200"/>
        <w:rPr>
          <w:szCs w:val="21"/>
        </w:rPr>
      </w:pPr>
    </w:p>
    <w:p>
      <w:pPr>
        <w:rPr>
          <w:b/>
        </w:rPr>
      </w:pPr>
      <w:r>
        <w:rPr>
          <w:rFonts w:hint="eastAsia"/>
          <w:b/>
        </w:rPr>
        <w:t>备注：</w:t>
      </w:r>
    </w:p>
    <w:p>
      <w:pPr>
        <w:ind w:firstLine="422" w:firstLineChars="200"/>
        <w:rPr>
          <w:szCs w:val="21"/>
        </w:rPr>
      </w:pPr>
      <w:r>
        <w:rPr>
          <w:rFonts w:hint="eastAsia"/>
          <w:b/>
          <w:color w:val="FF0000"/>
        </w:rPr>
        <w:t>1.上表所列内容为不可负偏离条款，如投标人该部分内容出现负偏离或未对该部分内容进行响应，将按照符合性检查表作无效标处理。</w:t>
      </w:r>
    </w:p>
    <w:p>
      <w:pPr>
        <w:ind w:firstLine="420" w:firstLineChars="200"/>
        <w:rPr>
          <w:szCs w:val="21"/>
        </w:rPr>
      </w:pPr>
    </w:p>
    <w:p>
      <w:pPr>
        <w:numPr>
          <w:ilvl w:val="0"/>
          <w:numId w:val="25"/>
        </w:numPr>
        <w:adjustRightInd/>
        <w:snapToGrid/>
        <w:spacing w:before="280" w:after="290" w:line="377" w:lineRule="auto"/>
        <w:outlineLvl w:val="2"/>
        <w:rPr>
          <w:b/>
          <w:sz w:val="24"/>
        </w:rPr>
      </w:pPr>
      <w:r>
        <w:rPr>
          <w:rFonts w:hint="eastAsia"/>
          <w:b/>
          <w:sz w:val="24"/>
        </w:rPr>
        <w:t>招标项目概况</w:t>
      </w:r>
    </w:p>
    <w:p>
      <w:pPr>
        <w:ind w:firstLine="420" w:firstLineChars="200"/>
        <w:rPr>
          <w:szCs w:val="21"/>
        </w:rPr>
      </w:pPr>
      <w:r>
        <w:rPr>
          <w:rFonts w:hint="eastAsia"/>
          <w:szCs w:val="21"/>
        </w:rPr>
        <w:t xml:space="preserve">1.项目概况:                     </w:t>
      </w:r>
    </w:p>
    <w:p>
      <w:pPr>
        <w:spacing w:before="60" w:beforeLines="25" w:after="60" w:afterLines="25" w:line="276" w:lineRule="auto"/>
        <w:ind w:firstLine="392" w:firstLineChars="187"/>
        <w:rPr>
          <w:szCs w:val="21"/>
        </w:rPr>
      </w:pPr>
      <w:r>
        <w:rPr>
          <w:rFonts w:hint="eastAsia"/>
          <w:szCs w:val="21"/>
        </w:rPr>
        <w:t>2.、</w:t>
      </w:r>
      <w:r>
        <w:rPr>
          <w:szCs w:val="21"/>
        </w:rPr>
        <w:t>预算</w:t>
      </w:r>
      <w:r>
        <w:rPr>
          <w:rFonts w:hint="eastAsia"/>
          <w:szCs w:val="21"/>
        </w:rPr>
        <w:t>金额:</w:t>
      </w:r>
      <w:r>
        <w:rPr>
          <w:rFonts w:hint="eastAsia"/>
        </w:rPr>
        <w:t xml:space="preserve"> _</w:t>
      </w:r>
      <w:r>
        <w:rPr>
          <w:rFonts w:hint="eastAsia" w:cs="Times New Roman"/>
          <w:szCs w:val="21"/>
          <w:u w:val="single"/>
          <w:lang w:eastAsia="zh-CN"/>
        </w:rPr>
        <w:t>847909.86</w:t>
      </w:r>
      <w:r>
        <w:rPr>
          <w:rFonts w:hint="eastAsia" w:cs="Times New Roman"/>
          <w:szCs w:val="21"/>
          <w:u w:val="single"/>
        </w:rPr>
        <w:t>元</w:t>
      </w:r>
      <w:r>
        <w:rPr>
          <w:rFonts w:hint="eastAsia"/>
          <w:u w:val="single"/>
        </w:rPr>
        <w:t>_</w:t>
      </w:r>
      <w:r>
        <w:rPr>
          <w:rFonts w:hint="eastAsia"/>
          <w:szCs w:val="21"/>
        </w:rPr>
        <w:t>，</w:t>
      </w:r>
      <w:r>
        <w:rPr>
          <w:szCs w:val="21"/>
        </w:rPr>
        <w:t>最高投标限价</w:t>
      </w:r>
      <w:r>
        <w:rPr>
          <w:rFonts w:hint="eastAsia"/>
          <w:szCs w:val="21"/>
        </w:rPr>
        <w:t>:</w:t>
      </w:r>
      <w:r>
        <w:rPr>
          <w:rFonts w:hint="eastAsia"/>
        </w:rPr>
        <w:t xml:space="preserve"> _</w:t>
      </w:r>
      <w:r>
        <w:rPr>
          <w:rFonts w:hint="eastAsia" w:cs="Times New Roman"/>
          <w:szCs w:val="21"/>
          <w:u w:val="single"/>
          <w:lang w:eastAsia="zh-CN"/>
        </w:rPr>
        <w:t>847909.86</w:t>
      </w:r>
      <w:r>
        <w:rPr>
          <w:rFonts w:hint="eastAsia" w:cs="Times New Roman"/>
          <w:szCs w:val="21"/>
          <w:u w:val="single"/>
        </w:rPr>
        <w:t>元</w:t>
      </w:r>
      <w:r>
        <w:rPr>
          <w:rFonts w:hint="eastAsia"/>
        </w:rPr>
        <w:t>_</w:t>
      </w:r>
      <w:r>
        <w:rPr>
          <w:rFonts w:hint="eastAsia"/>
          <w:szCs w:val="21"/>
        </w:rPr>
        <w:t xml:space="preserve">                     </w:t>
      </w:r>
    </w:p>
    <w:p>
      <w:pPr>
        <w:tabs>
          <w:tab w:val="left" w:pos="2595"/>
        </w:tabs>
        <w:spacing w:line="276" w:lineRule="auto"/>
        <w:rPr>
          <w:szCs w:val="21"/>
        </w:rPr>
      </w:pPr>
      <w:r>
        <w:rPr>
          <w:rFonts w:hint="eastAsia"/>
          <w:szCs w:val="21"/>
        </w:rPr>
        <w:t xml:space="preserve">    3、项目实施地点：深圳市光明区                      </w:t>
      </w:r>
    </w:p>
    <w:p>
      <w:pPr>
        <w:spacing w:before="60" w:beforeLines="25" w:after="60" w:afterLines="25" w:line="276" w:lineRule="auto"/>
        <w:ind w:firstLine="392" w:firstLineChars="187"/>
        <w:rPr>
          <w:szCs w:val="21"/>
        </w:rPr>
      </w:pPr>
      <w:r>
        <w:rPr>
          <w:rFonts w:hint="eastAsia"/>
          <w:szCs w:val="21"/>
        </w:rPr>
        <w:t>4、项目工期要求：合同签订后</w:t>
      </w:r>
      <w:r>
        <w:rPr>
          <w:rFonts w:hint="eastAsia"/>
          <w:b/>
          <w:szCs w:val="21"/>
          <w:u w:val="single"/>
        </w:rPr>
        <w:t>____30____</w:t>
      </w:r>
      <w:r>
        <w:rPr>
          <w:rFonts w:hint="eastAsia"/>
          <w:b/>
          <w:szCs w:val="21"/>
        </w:rPr>
        <w:t>个日历天</w:t>
      </w:r>
      <w:r>
        <w:rPr>
          <w:rFonts w:hint="eastAsia"/>
          <w:szCs w:val="21"/>
        </w:rPr>
        <w:t>；</w:t>
      </w:r>
    </w:p>
    <w:p>
      <w:pPr>
        <w:spacing w:before="60" w:beforeLines="25" w:after="60" w:afterLines="25" w:line="276" w:lineRule="auto"/>
        <w:ind w:firstLine="392" w:firstLineChars="187"/>
        <w:rPr>
          <w:szCs w:val="21"/>
        </w:rPr>
      </w:pPr>
      <w:r>
        <w:rPr>
          <w:rFonts w:hint="eastAsia"/>
          <w:szCs w:val="21"/>
        </w:rPr>
        <w:t>5、合同方式：</w:t>
      </w:r>
    </w:p>
    <w:p>
      <w:pPr>
        <w:spacing w:before="60" w:beforeLines="25" w:after="60" w:afterLines="25" w:line="276" w:lineRule="auto"/>
        <w:ind w:firstLine="392" w:firstLineChars="187"/>
        <w:rPr>
          <w:szCs w:val="21"/>
        </w:rPr>
      </w:pPr>
      <w:r>
        <w:rPr>
          <w:rFonts w:hint="eastAsia"/>
          <w:szCs w:val="21"/>
        </w:rPr>
        <w:t xml:space="preserve">（1）固定单价合同，工程结算时，项目单价不做调整，按实际完成的工程量结算； </w:t>
      </w:r>
    </w:p>
    <w:p>
      <w:pPr>
        <w:rPr>
          <w:b/>
        </w:rPr>
      </w:pPr>
    </w:p>
    <w:p>
      <w:pPr>
        <w:numPr>
          <w:ilvl w:val="0"/>
          <w:numId w:val="25"/>
        </w:numPr>
        <w:adjustRightInd/>
        <w:snapToGrid/>
        <w:spacing w:before="280" w:after="290" w:line="377" w:lineRule="auto"/>
        <w:outlineLvl w:val="2"/>
        <w:rPr>
          <w:b/>
          <w:sz w:val="24"/>
        </w:rPr>
      </w:pPr>
      <w:r>
        <w:rPr>
          <w:rFonts w:hint="eastAsia"/>
          <w:b/>
          <w:sz w:val="24"/>
        </w:rPr>
        <w:t>项目管理要求</w:t>
      </w:r>
    </w:p>
    <w:p>
      <w:pPr>
        <w:pStyle w:val="7"/>
        <w:spacing w:before="60" w:beforeLines="25" w:after="60" w:afterLines="25"/>
        <w:ind w:firstLine="392" w:firstLineChars="187"/>
        <w:rPr>
          <w:rFonts w:ascii="宋体" w:hAnsi="宋体"/>
          <w:szCs w:val="21"/>
        </w:rPr>
      </w:pPr>
      <w:r>
        <w:rPr>
          <w:rFonts w:ascii="宋体" w:hAnsi="宋体"/>
          <w:szCs w:val="21"/>
        </w:rPr>
        <w:t>1、中标单位必须作好施工记录、隐蔽工程记录、施工资料的整理、竣工资料的编制等工作。</w:t>
      </w:r>
    </w:p>
    <w:p>
      <w:pPr>
        <w:pStyle w:val="7"/>
        <w:spacing w:before="60" w:beforeLines="25" w:after="60" w:afterLines="25"/>
        <w:ind w:firstLine="392" w:firstLineChars="187"/>
        <w:rPr>
          <w:rFonts w:ascii="宋体" w:hAnsi="宋体"/>
          <w:szCs w:val="21"/>
        </w:rPr>
      </w:pPr>
      <w:r>
        <w:rPr>
          <w:rFonts w:ascii="宋体" w:hAnsi="宋体"/>
          <w:szCs w:val="21"/>
        </w:rPr>
        <w:t>2、中标单位必须在施工现场显眼位置设置正规施工警示牌、工程概况牌，标注“温馨提示”语言。靠近人行通道边（或建设方以为有必要的其他周边）必须用整齐美观的板材围护密封施工。</w:t>
      </w:r>
    </w:p>
    <w:p>
      <w:pPr>
        <w:pStyle w:val="7"/>
        <w:spacing w:before="60" w:beforeLines="25" w:after="60" w:afterLines="25"/>
        <w:ind w:firstLine="392" w:firstLineChars="187"/>
        <w:rPr>
          <w:rFonts w:ascii="宋体" w:hAnsi="宋体"/>
          <w:szCs w:val="21"/>
        </w:rPr>
      </w:pPr>
      <w:r>
        <w:rPr>
          <w:rFonts w:ascii="宋体" w:hAnsi="宋体"/>
          <w:szCs w:val="21"/>
        </w:rPr>
        <w:t>3、中标单位施工必须达到有关部门规定的安全文明施工标准，服从</w:t>
      </w:r>
      <w:r>
        <w:rPr>
          <w:rFonts w:hint="eastAsia" w:ascii="宋体" w:hAnsi="宋体"/>
          <w:szCs w:val="21"/>
        </w:rPr>
        <w:t>采购人的</w:t>
      </w:r>
      <w:r>
        <w:rPr>
          <w:rFonts w:ascii="宋体" w:hAnsi="宋体"/>
          <w:szCs w:val="21"/>
        </w:rPr>
        <w:t>管理，避免干扰</w:t>
      </w:r>
      <w:r>
        <w:rPr>
          <w:rFonts w:hint="eastAsia" w:ascii="宋体" w:hAnsi="宋体"/>
          <w:szCs w:val="21"/>
        </w:rPr>
        <w:t>采购人</w:t>
      </w:r>
      <w:r>
        <w:rPr>
          <w:rFonts w:ascii="宋体" w:hAnsi="宋体"/>
          <w:szCs w:val="21"/>
        </w:rPr>
        <w:t>的正常工作秩序，认真做好施工现场防护、防火、噪音、用电等安全文明施工各项管理工作，承担相应一切责任，确保施工场地区域道路通畅，保持施工现场整洁，做到工完场清，达到国家卫生城市标准。</w:t>
      </w:r>
    </w:p>
    <w:p>
      <w:pPr>
        <w:pStyle w:val="7"/>
        <w:spacing w:before="60" w:beforeLines="25" w:after="60" w:afterLines="25"/>
        <w:ind w:firstLine="392" w:firstLineChars="187"/>
        <w:rPr>
          <w:rFonts w:ascii="宋体" w:hAnsi="宋体"/>
          <w:szCs w:val="21"/>
        </w:rPr>
      </w:pPr>
      <w:r>
        <w:rPr>
          <w:rFonts w:ascii="宋体" w:hAnsi="宋体"/>
          <w:szCs w:val="21"/>
        </w:rPr>
        <w:t>4、中标单位必须在施工过程中注意自身及周边安全，做好现场及周边安全设施搭设，遵守有关安全保护规程，负责施工过程中的所有事故处理和费用。</w:t>
      </w:r>
    </w:p>
    <w:p>
      <w:pPr>
        <w:pStyle w:val="7"/>
        <w:spacing w:before="60" w:beforeLines="25" w:after="60" w:afterLines="25"/>
        <w:ind w:firstLine="392" w:firstLineChars="187"/>
        <w:rPr>
          <w:rFonts w:ascii="宋体" w:hAnsi="宋体"/>
          <w:szCs w:val="21"/>
        </w:rPr>
      </w:pPr>
      <w:r>
        <w:rPr>
          <w:rFonts w:ascii="宋体" w:hAnsi="宋体"/>
          <w:szCs w:val="21"/>
        </w:rPr>
        <w:t>5、中标单位必须服从采购单位，监理公司的监督、指导并积极主动配合上述管理机构的工作。</w:t>
      </w:r>
    </w:p>
    <w:p>
      <w:pPr>
        <w:pStyle w:val="7"/>
        <w:spacing w:before="60" w:beforeLines="25" w:after="60" w:afterLines="25"/>
        <w:ind w:firstLine="392" w:firstLineChars="187"/>
        <w:rPr>
          <w:rFonts w:ascii="宋体" w:hAnsi="宋体"/>
          <w:szCs w:val="21"/>
        </w:rPr>
      </w:pPr>
      <w:r>
        <w:rPr>
          <w:rFonts w:ascii="宋体" w:hAnsi="宋体"/>
          <w:szCs w:val="21"/>
        </w:rPr>
        <w:t>6、中标单位施工时须提供材料样板，经采购人最终确认后，方可进场使用，供应商所提供的样板或厂家应符合设计图纸要求及甲方确认要求，如供应商不能提供的可由采购人根据市场考察情况确认并实施。</w:t>
      </w:r>
    </w:p>
    <w:p>
      <w:pPr>
        <w:pStyle w:val="7"/>
        <w:spacing w:before="60" w:beforeLines="25" w:after="60" w:afterLines="25"/>
        <w:ind w:firstLine="392" w:firstLineChars="187"/>
        <w:rPr>
          <w:rFonts w:ascii="宋体" w:hAnsi="宋体"/>
          <w:szCs w:val="21"/>
        </w:rPr>
      </w:pPr>
      <w:r>
        <w:rPr>
          <w:rFonts w:ascii="宋体" w:hAnsi="宋体"/>
          <w:szCs w:val="21"/>
        </w:rPr>
        <w:t>7、用在本工程的任何材料在使用前必须得到采购</w:t>
      </w:r>
      <w:r>
        <w:rPr>
          <w:rFonts w:hint="eastAsia" w:ascii="宋体" w:hAnsi="宋体"/>
          <w:szCs w:val="21"/>
        </w:rPr>
        <w:t>人</w:t>
      </w:r>
      <w:r>
        <w:rPr>
          <w:rFonts w:ascii="宋体" w:hAnsi="宋体"/>
          <w:szCs w:val="21"/>
        </w:rPr>
        <w:t>的批准，样品须在大批订货前送审。获准的样品存放在工地，作为以后验收材料的标准。样品和其包装，由中标人无偿提供。</w:t>
      </w:r>
    </w:p>
    <w:p>
      <w:pPr>
        <w:pStyle w:val="7"/>
        <w:spacing w:before="60" w:beforeLines="25" w:after="60" w:afterLines="25"/>
        <w:ind w:firstLine="392" w:firstLineChars="187"/>
        <w:rPr>
          <w:rFonts w:ascii="宋体" w:hAnsi="宋体"/>
          <w:szCs w:val="21"/>
        </w:rPr>
      </w:pPr>
      <w:r>
        <w:rPr>
          <w:rFonts w:ascii="宋体" w:hAnsi="宋体"/>
          <w:szCs w:val="21"/>
        </w:rPr>
        <w:t>8、承包人在工程施工前，须全面检查工地情况，若发现错误须立刻通知工程师。若未能遵从此规定，使本工程的任何项目因此等错误或缺陷而错误地建造，则中标人须自费予以拆除及重建。</w:t>
      </w:r>
    </w:p>
    <w:p>
      <w:pPr>
        <w:pStyle w:val="7"/>
        <w:spacing w:before="60" w:beforeLines="25" w:after="60" w:afterLines="25"/>
        <w:ind w:firstLine="392" w:firstLineChars="187"/>
        <w:rPr>
          <w:rFonts w:ascii="宋体" w:hAnsi="宋体"/>
          <w:szCs w:val="21"/>
        </w:rPr>
      </w:pPr>
      <w:r>
        <w:rPr>
          <w:rFonts w:ascii="宋体" w:hAnsi="宋体"/>
          <w:szCs w:val="21"/>
        </w:rPr>
        <w:t>9、实行项目经理负责制，并按投标文件配备项目管理班子。如未经采购人同意更换项目班子成员，采购人有权取消投标人的中标资格或单方面终止合同，由此造成的违约责任由承包人承担。</w:t>
      </w:r>
    </w:p>
    <w:p/>
    <w:p/>
    <w:p/>
    <w:p/>
    <w:p/>
    <w:p/>
    <w:p>
      <w:pPr>
        <w:numPr>
          <w:ilvl w:val="0"/>
          <w:numId w:val="25"/>
        </w:numPr>
        <w:adjustRightInd/>
        <w:snapToGrid/>
        <w:spacing w:before="280" w:after="290" w:line="377" w:lineRule="auto"/>
        <w:outlineLvl w:val="2"/>
        <w:rPr>
          <w:b/>
          <w:sz w:val="24"/>
        </w:rPr>
      </w:pPr>
      <w:r>
        <w:rPr>
          <w:rFonts w:hint="eastAsia"/>
          <w:b/>
          <w:sz w:val="24"/>
        </w:rPr>
        <w:t>工程量清单（见附件）</w:t>
      </w:r>
    </w:p>
    <w:p>
      <w:pPr>
        <w:pStyle w:val="24"/>
        <w:rPr>
          <w:rFonts w:hAnsi="宋体"/>
          <w:b/>
          <w:bCs/>
          <w:snapToGrid w:val="0"/>
          <w:kern w:val="0"/>
          <w:szCs w:val="21"/>
          <w:lang w:val="zh-CN"/>
        </w:rPr>
      </w:pPr>
    </w:p>
    <w:p>
      <w:pPr>
        <w:pStyle w:val="24"/>
        <w:rPr>
          <w:rFonts w:hAnsi="宋体"/>
          <w:b/>
          <w:bCs/>
          <w:snapToGrid w:val="0"/>
          <w:kern w:val="0"/>
          <w:szCs w:val="21"/>
          <w:lang w:val="zh-CN"/>
        </w:rPr>
      </w:pPr>
    </w:p>
    <w:p>
      <w:pPr>
        <w:pStyle w:val="24"/>
        <w:rPr>
          <w:rFonts w:hAnsi="宋体"/>
          <w:b/>
          <w:bCs/>
          <w:snapToGrid w:val="0"/>
          <w:kern w:val="0"/>
          <w:szCs w:val="21"/>
          <w:lang w:val="zh-CN"/>
        </w:rPr>
      </w:pPr>
    </w:p>
    <w:p>
      <w:pPr>
        <w:pStyle w:val="24"/>
        <w:rPr>
          <w:rFonts w:hAnsi="宋体"/>
          <w:b/>
          <w:bCs/>
          <w:snapToGrid w:val="0"/>
          <w:kern w:val="0"/>
          <w:szCs w:val="21"/>
          <w:lang w:val="zh-CN"/>
        </w:rPr>
      </w:pPr>
      <w:r>
        <w:rPr>
          <w:rFonts w:hint="eastAsia" w:hAnsi="宋体"/>
          <w:b/>
          <w:bCs/>
          <w:snapToGrid w:val="0"/>
          <w:kern w:val="0"/>
          <w:szCs w:val="21"/>
          <w:lang w:val="zh-CN"/>
        </w:rPr>
        <w:t>说明：</w:t>
      </w:r>
    </w:p>
    <w:p>
      <w:pPr>
        <w:pStyle w:val="7"/>
        <w:spacing w:before="60" w:beforeLines="25" w:after="60" w:afterLines="25"/>
        <w:ind w:firstLine="392" w:firstLineChars="187"/>
        <w:rPr>
          <w:rFonts w:ascii="宋体" w:hAnsi="宋体"/>
          <w:szCs w:val="21"/>
        </w:rPr>
      </w:pPr>
      <w:r>
        <w:rPr>
          <w:rFonts w:hint="eastAsia" w:ascii="宋体" w:hAnsi="宋体"/>
          <w:szCs w:val="21"/>
        </w:rPr>
        <w:t>1.工程计价办法：</w:t>
      </w:r>
      <w:r>
        <w:rPr>
          <w:rFonts w:hint="eastAsia" w:ascii="宋体" w:hAnsi="宋体"/>
          <w:b/>
          <w:szCs w:val="21"/>
          <w:u w:val="single"/>
        </w:rPr>
        <w:t>综合单价法</w:t>
      </w:r>
      <w:r>
        <w:rPr>
          <w:rFonts w:hint="eastAsia" w:ascii="宋体" w:hAnsi="宋体"/>
          <w:szCs w:val="21"/>
        </w:rPr>
        <w:t>。</w:t>
      </w:r>
    </w:p>
    <w:p>
      <w:pPr>
        <w:pStyle w:val="7"/>
        <w:spacing w:before="60" w:beforeLines="25" w:after="60" w:afterLines="25"/>
        <w:ind w:firstLine="392" w:firstLineChars="187"/>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工程量清单应与投标须知、合同条件、工程建设标准及技术要求和图纸等文件结合起来理解或解释。</w:t>
      </w:r>
    </w:p>
    <w:p>
      <w:pPr>
        <w:pStyle w:val="7"/>
        <w:spacing w:before="60" w:beforeLines="25" w:after="60" w:afterLines="25"/>
        <w:ind w:firstLine="392" w:firstLineChars="187"/>
        <w:rPr>
          <w:rFonts w:ascii="宋体" w:hAnsi="宋体"/>
          <w:szCs w:val="21"/>
        </w:rPr>
      </w:pPr>
      <w:r>
        <w:rPr>
          <w:rFonts w:hint="eastAsia" w:ascii="宋体" w:hAnsi="宋体"/>
          <w:szCs w:val="21"/>
        </w:rPr>
        <w:t>3.本工程量清单是采购人委托相关单位根据本招标文件中所提供的设计文件编制的。</w:t>
      </w:r>
    </w:p>
    <w:p>
      <w:pPr>
        <w:pStyle w:val="7"/>
        <w:spacing w:before="60" w:beforeLines="25" w:after="60" w:afterLines="25"/>
        <w:ind w:firstLine="392" w:firstLineChars="187"/>
        <w:rPr>
          <w:rFonts w:ascii="宋体" w:hAnsi="宋体"/>
          <w:szCs w:val="21"/>
        </w:rPr>
      </w:pPr>
      <w:r>
        <w:rPr>
          <w:rFonts w:hint="eastAsia" w:ascii="宋体" w:hAnsi="宋体"/>
          <w:szCs w:val="21"/>
        </w:rPr>
        <w:t>4.按照《建设工程工程量清单计价规范》的规定，“工程量清单格式”主要包括以下几个部分，但不局限于以下部分：</w:t>
      </w:r>
    </w:p>
    <w:p>
      <w:pPr>
        <w:pStyle w:val="7"/>
        <w:spacing w:before="60" w:beforeLines="25" w:after="60" w:afterLines="25"/>
        <w:ind w:firstLine="392" w:firstLineChars="187"/>
        <w:rPr>
          <w:rFonts w:ascii="宋体" w:hAnsi="宋体"/>
          <w:szCs w:val="21"/>
        </w:rPr>
      </w:pPr>
      <w:r>
        <w:rPr>
          <w:rFonts w:hint="eastAsia" w:ascii="宋体" w:hAnsi="宋体"/>
          <w:szCs w:val="21"/>
        </w:rPr>
        <w:t>⑴清单封面；</w:t>
      </w:r>
    </w:p>
    <w:p>
      <w:pPr>
        <w:pStyle w:val="7"/>
        <w:spacing w:before="60" w:beforeLines="25" w:after="60" w:afterLines="25"/>
        <w:ind w:firstLine="392" w:firstLineChars="187"/>
        <w:rPr>
          <w:rFonts w:ascii="宋体" w:hAnsi="宋体"/>
          <w:szCs w:val="21"/>
        </w:rPr>
      </w:pPr>
      <w:r>
        <w:rPr>
          <w:rFonts w:hint="eastAsia" w:ascii="宋体" w:hAnsi="宋体"/>
          <w:szCs w:val="21"/>
        </w:rPr>
        <w:t>⑵总说明；</w:t>
      </w:r>
    </w:p>
    <w:p>
      <w:pPr>
        <w:pStyle w:val="7"/>
        <w:spacing w:before="60" w:beforeLines="25" w:after="60" w:afterLines="25"/>
        <w:ind w:firstLine="392" w:firstLineChars="187"/>
        <w:rPr>
          <w:rFonts w:ascii="宋体" w:hAnsi="宋体"/>
          <w:szCs w:val="21"/>
        </w:rPr>
      </w:pPr>
      <w:r>
        <w:rPr>
          <w:rFonts w:hint="eastAsia" w:ascii="宋体" w:hAnsi="宋体"/>
          <w:szCs w:val="21"/>
        </w:rPr>
        <w:t>包括：工程概况、工程招标范围、工程量清单编制依据、工程质量、材料、施工的特殊要求、预留金及暂定金额的情况等。</w:t>
      </w:r>
    </w:p>
    <w:p>
      <w:pPr>
        <w:pStyle w:val="7"/>
        <w:spacing w:before="60" w:beforeLines="25" w:after="60" w:afterLines="25"/>
        <w:ind w:firstLine="392" w:firstLineChars="187"/>
        <w:rPr>
          <w:rFonts w:ascii="宋体" w:hAnsi="宋体"/>
          <w:szCs w:val="21"/>
        </w:rPr>
      </w:pPr>
      <w:r>
        <w:rPr>
          <w:rFonts w:hint="eastAsia" w:ascii="宋体" w:hAnsi="宋体"/>
          <w:szCs w:val="21"/>
        </w:rPr>
        <w:t>⑶</w:t>
      </w:r>
      <w:r>
        <w:rPr>
          <w:rFonts w:hint="eastAsia" w:ascii="宋体" w:hAnsi="宋体"/>
          <w:kern w:val="0"/>
          <w:szCs w:val="21"/>
        </w:rPr>
        <w:t>工程项目/单项工程汇总表</w:t>
      </w:r>
      <w:r>
        <w:rPr>
          <w:rFonts w:hint="eastAsia" w:ascii="宋体" w:hAnsi="宋体"/>
          <w:szCs w:val="21"/>
        </w:rPr>
        <w:t>；</w:t>
      </w:r>
    </w:p>
    <w:p>
      <w:pPr>
        <w:pStyle w:val="7"/>
        <w:spacing w:before="60" w:beforeLines="25" w:after="60" w:afterLines="25"/>
        <w:ind w:firstLine="392" w:firstLineChars="187"/>
        <w:rPr>
          <w:rFonts w:ascii="宋体" w:hAnsi="宋体"/>
          <w:szCs w:val="21"/>
        </w:rPr>
      </w:pPr>
      <w:r>
        <w:rPr>
          <w:rFonts w:hint="eastAsia" w:ascii="宋体" w:hAnsi="宋体"/>
          <w:szCs w:val="21"/>
        </w:rPr>
        <w:t>指本次招标的工程项目所包含的单项工程及每个单项工程所包含的单位工程，只有一个单位工程时可不填此表。</w:t>
      </w:r>
    </w:p>
    <w:p>
      <w:pPr>
        <w:pStyle w:val="7"/>
        <w:spacing w:before="60" w:beforeLines="25" w:after="60" w:afterLines="25"/>
        <w:ind w:firstLine="392" w:firstLineChars="187"/>
        <w:rPr>
          <w:rFonts w:ascii="宋体" w:hAnsi="宋体"/>
          <w:szCs w:val="21"/>
        </w:rPr>
      </w:pPr>
      <w:r>
        <w:rPr>
          <w:rFonts w:hint="eastAsia" w:ascii="宋体" w:hAnsi="宋体"/>
          <w:szCs w:val="21"/>
        </w:rPr>
        <w:t>⑷分部分项工程量清单；</w:t>
      </w:r>
    </w:p>
    <w:p>
      <w:pPr>
        <w:pStyle w:val="7"/>
        <w:spacing w:before="60" w:beforeLines="25" w:after="60" w:afterLines="25"/>
        <w:ind w:firstLine="392" w:firstLineChars="187"/>
        <w:rPr>
          <w:rFonts w:ascii="宋体" w:hAnsi="宋体"/>
          <w:szCs w:val="21"/>
        </w:rPr>
      </w:pPr>
      <w:r>
        <w:rPr>
          <w:rFonts w:hint="eastAsia" w:ascii="宋体" w:hAnsi="宋体"/>
          <w:szCs w:val="21"/>
        </w:rPr>
        <w:t>⑸</w:t>
      </w:r>
      <w:r>
        <w:rPr>
          <w:rFonts w:hint="eastAsia" w:ascii="宋体" w:hAnsi="宋体"/>
          <w:kern w:val="0"/>
          <w:szCs w:val="21"/>
        </w:rPr>
        <w:t>措施项目清单汇总表</w:t>
      </w:r>
      <w:r>
        <w:rPr>
          <w:rFonts w:hint="eastAsia" w:ascii="宋体" w:hAnsi="宋体"/>
          <w:szCs w:val="21"/>
        </w:rPr>
        <w:t>；</w:t>
      </w:r>
    </w:p>
    <w:p>
      <w:pPr>
        <w:ind w:firstLine="420" w:firstLineChars="200"/>
        <w:rPr>
          <w:szCs w:val="21"/>
        </w:rPr>
      </w:pPr>
      <w:r>
        <w:rPr>
          <w:rFonts w:hint="eastAsia"/>
          <w:szCs w:val="21"/>
        </w:rPr>
        <w:t>⑹措施项目清单（一）：指按分部分项工程量清单的方式采用综合单价计价的措施项目；</w:t>
      </w:r>
    </w:p>
    <w:p>
      <w:pPr>
        <w:pStyle w:val="7"/>
        <w:spacing w:before="60" w:beforeLines="25" w:after="60" w:afterLines="25"/>
        <w:ind w:firstLine="392" w:firstLineChars="187"/>
        <w:rPr>
          <w:rFonts w:ascii="宋体" w:hAnsi="宋体"/>
          <w:szCs w:val="21"/>
        </w:rPr>
      </w:pPr>
      <w:r>
        <w:rPr>
          <w:rFonts w:hint="eastAsia" w:ascii="宋体" w:hAnsi="宋体"/>
          <w:szCs w:val="21"/>
        </w:rPr>
        <w:t>⑺</w:t>
      </w:r>
      <w:r>
        <w:rPr>
          <w:rFonts w:hint="eastAsia" w:ascii="宋体" w:hAnsi="宋体"/>
          <w:kern w:val="0"/>
          <w:szCs w:val="21"/>
        </w:rPr>
        <w:t>其他项目清单汇总表</w:t>
      </w:r>
      <w:r>
        <w:rPr>
          <w:rFonts w:hint="eastAsia" w:ascii="宋体" w:hAnsi="宋体"/>
          <w:szCs w:val="21"/>
        </w:rPr>
        <w:t>；</w:t>
      </w:r>
    </w:p>
    <w:p>
      <w:pPr>
        <w:pStyle w:val="7"/>
        <w:spacing w:before="60" w:beforeLines="25" w:after="60" w:afterLines="25"/>
        <w:ind w:firstLine="392" w:firstLineChars="187"/>
        <w:rPr>
          <w:rFonts w:ascii="宋体" w:hAnsi="宋体"/>
          <w:szCs w:val="21"/>
        </w:rPr>
      </w:pPr>
      <w:r>
        <w:rPr>
          <w:rFonts w:hint="eastAsia" w:ascii="宋体" w:hAnsi="宋体"/>
          <w:szCs w:val="21"/>
        </w:rPr>
        <w:t>该表分为采购人部分和投标人部分，采购人部分可采购人另行招标采购材料设备费用等，由采购人填写；投标人部分可包括总承包服务费、零星工作项目费等，由投标人根据工程情况，投标报价时填写。</w:t>
      </w:r>
    </w:p>
    <w:p>
      <w:pPr>
        <w:ind w:firstLine="420" w:firstLineChars="200"/>
        <w:rPr>
          <w:szCs w:val="21"/>
        </w:rPr>
      </w:pPr>
      <w:r>
        <w:rPr>
          <w:rFonts w:hint="eastAsia"/>
          <w:szCs w:val="21"/>
        </w:rPr>
        <w:t>(8)材料设备暂估价表；</w:t>
      </w:r>
    </w:p>
    <w:p>
      <w:pPr>
        <w:ind w:firstLine="420" w:firstLineChars="200"/>
        <w:rPr>
          <w:szCs w:val="21"/>
        </w:rPr>
      </w:pPr>
      <w:r>
        <w:rPr>
          <w:rFonts w:hint="eastAsia"/>
          <w:szCs w:val="21"/>
        </w:rPr>
        <w:t>(9)计日工表；</w:t>
      </w:r>
    </w:p>
    <w:p>
      <w:pPr>
        <w:ind w:firstLine="420" w:firstLineChars="200"/>
        <w:rPr>
          <w:szCs w:val="21"/>
        </w:rPr>
      </w:pPr>
      <w:r>
        <w:rPr>
          <w:rFonts w:hint="eastAsia"/>
          <w:szCs w:val="21"/>
        </w:rPr>
        <w:t>(10)总承包服务费表；</w:t>
      </w:r>
    </w:p>
    <w:p>
      <w:pPr>
        <w:ind w:firstLine="420" w:firstLineChars="200"/>
        <w:rPr>
          <w:szCs w:val="21"/>
        </w:rPr>
      </w:pPr>
      <w:r>
        <w:rPr>
          <w:rFonts w:hint="eastAsia"/>
          <w:szCs w:val="21"/>
        </w:rPr>
        <w:t>(11)发包人供应材料设备明细表：指招标人计划自行采购的材料设备的数量价格等情况。</w:t>
      </w:r>
    </w:p>
    <w:p>
      <w:pPr>
        <w:ind w:firstLine="420" w:firstLineChars="200"/>
        <w:rPr>
          <w:szCs w:val="21"/>
        </w:rPr>
      </w:pPr>
      <w:r>
        <w:rPr>
          <w:rFonts w:hint="eastAsia"/>
          <w:szCs w:val="21"/>
        </w:rPr>
        <w:t>(12)规费、税金项目清单；</w:t>
      </w:r>
    </w:p>
    <w:p>
      <w:pPr>
        <w:ind w:firstLine="420" w:firstLineChars="200"/>
        <w:rPr>
          <w:szCs w:val="21"/>
        </w:rPr>
      </w:pPr>
      <w:r>
        <w:rPr>
          <w:rFonts w:hint="eastAsia"/>
          <w:szCs w:val="21"/>
        </w:rPr>
        <w:t>(13)暂列金额明细表；</w:t>
      </w:r>
    </w:p>
    <w:p>
      <w:pPr>
        <w:ind w:firstLine="420" w:firstLineChars="200"/>
        <w:rPr>
          <w:szCs w:val="21"/>
        </w:rPr>
      </w:pPr>
      <w:r>
        <w:rPr>
          <w:rFonts w:hint="eastAsia"/>
          <w:szCs w:val="21"/>
        </w:rPr>
        <w:t>(14)工程建设其他费：指招标人要求投标人完成的工程建设其他费项目。</w:t>
      </w:r>
    </w:p>
    <w:p>
      <w:pPr>
        <w:pStyle w:val="7"/>
        <w:spacing w:before="60" w:beforeLines="25" w:after="60" w:afterLines="25"/>
        <w:ind w:firstLine="392" w:firstLineChars="187"/>
        <w:rPr>
          <w:rFonts w:ascii="宋体" w:hAnsi="宋体"/>
          <w:szCs w:val="21"/>
        </w:rPr>
      </w:pPr>
      <w:r>
        <w:rPr>
          <w:rFonts w:hint="eastAsia" w:ascii="宋体" w:hAnsi="宋体"/>
          <w:kern w:val="0"/>
          <w:szCs w:val="21"/>
        </w:rPr>
        <w:t>(15)设备及工器具购置费：指招标工程中包含的不计算营业税的设备名称、规格、数量等情况。</w:t>
      </w:r>
      <w:r>
        <w:rPr>
          <w:rFonts w:hint="eastAsia" w:ascii="宋体" w:hAnsi="宋体"/>
          <w:szCs w:val="21"/>
        </w:rPr>
        <w:t>5.本工程要求采用的工程量计算规则，应作为本工程招投标双方进行工程招投标和结算计量、计价的共同依据。</w:t>
      </w:r>
    </w:p>
    <w:p>
      <w:pPr>
        <w:pStyle w:val="7"/>
        <w:spacing w:before="60" w:beforeLines="25" w:after="60" w:afterLines="25"/>
        <w:ind w:firstLine="392" w:firstLineChars="187"/>
        <w:rPr>
          <w:rFonts w:ascii="宋体" w:hAnsi="宋体"/>
          <w:szCs w:val="21"/>
        </w:rPr>
      </w:pPr>
      <w:r>
        <w:rPr>
          <w:rFonts w:hint="eastAsia" w:ascii="宋体" w:hAnsi="宋体"/>
          <w:szCs w:val="21"/>
        </w:rPr>
        <w:t>6.本工程要求采用的工程量计算规则是</w:t>
      </w:r>
      <w:r>
        <w:rPr>
          <w:rFonts w:hint="eastAsia" w:ascii="宋体" w:hAnsi="宋体"/>
          <w:kern w:val="0"/>
          <w:szCs w:val="21"/>
        </w:rPr>
        <w:t>《13清单计价规范》及《13清单计价规范》补充规范（深圳2013）</w:t>
      </w:r>
      <w:r>
        <w:rPr>
          <w:rFonts w:hint="eastAsia" w:ascii="宋体" w:hAnsi="宋体"/>
          <w:szCs w:val="21"/>
        </w:rPr>
        <w:t>；</w:t>
      </w:r>
    </w:p>
    <w:p>
      <w:pPr>
        <w:pStyle w:val="7"/>
        <w:spacing w:before="60" w:beforeLines="25" w:after="60" w:afterLines="25"/>
        <w:ind w:firstLine="392" w:firstLineChars="187"/>
        <w:rPr>
          <w:rFonts w:ascii="宋体" w:hAnsi="宋体"/>
          <w:szCs w:val="21"/>
        </w:rPr>
      </w:pPr>
      <w:r>
        <w:rPr>
          <w:rFonts w:hint="eastAsia" w:ascii="宋体" w:hAnsi="宋体"/>
          <w:szCs w:val="21"/>
        </w:rPr>
        <w:t>7.对“分部分项工程量清单”的说明和报价要求</w:t>
      </w:r>
    </w:p>
    <w:p>
      <w:pPr>
        <w:pStyle w:val="7"/>
        <w:spacing w:before="60" w:beforeLines="25" w:after="60" w:afterLines="25"/>
        <w:ind w:firstLine="392" w:firstLineChars="187"/>
        <w:rPr>
          <w:rFonts w:ascii="宋体" w:hAnsi="宋体"/>
          <w:szCs w:val="21"/>
        </w:rPr>
      </w:pPr>
      <w:r>
        <w:rPr>
          <w:rFonts w:hint="eastAsia" w:ascii="宋体" w:hAnsi="宋体"/>
          <w:szCs w:val="21"/>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pPr>
        <w:pStyle w:val="7"/>
        <w:spacing w:before="60" w:beforeLines="25" w:after="60" w:afterLines="25"/>
        <w:ind w:firstLine="392" w:firstLineChars="187"/>
        <w:rPr>
          <w:rFonts w:ascii="宋体" w:hAnsi="宋体"/>
          <w:szCs w:val="21"/>
        </w:rPr>
      </w:pPr>
      <w:r>
        <w:rPr>
          <w:rFonts w:hint="eastAsia" w:ascii="宋体" w:hAnsi="宋体"/>
          <w:szCs w:val="21"/>
        </w:rPr>
        <w:t>⑵该清单中所填入的综合单价和合价应包括直接成本（即人工、材料、机械）和费用（管理费、利润）、风险金等全部费用。但涉及到采购人自行采购的设备材料的项目不得计入材料设备的价格。</w:t>
      </w:r>
    </w:p>
    <w:p>
      <w:pPr>
        <w:pStyle w:val="7"/>
        <w:spacing w:before="60" w:beforeLines="25" w:after="60" w:afterLines="25"/>
        <w:ind w:firstLine="392" w:firstLineChars="187"/>
        <w:rPr>
          <w:rFonts w:ascii="宋体" w:hAnsi="宋体"/>
          <w:szCs w:val="21"/>
        </w:rPr>
      </w:pPr>
      <w:r>
        <w:rPr>
          <w:rFonts w:hint="eastAsia" w:ascii="宋体" w:hAnsi="宋体"/>
          <w:szCs w:val="21"/>
        </w:rPr>
        <w:t>⑶该清单中不再重复或概括工程及材料的一般说明，在编制和填写工程量清单的每一项的综合单价和合价时应参考投标须知和合同条件的有关条款。</w:t>
      </w:r>
    </w:p>
    <w:p>
      <w:pPr>
        <w:pStyle w:val="7"/>
        <w:spacing w:before="60" w:beforeLines="25" w:after="60" w:afterLines="25"/>
        <w:ind w:firstLine="392" w:firstLineChars="187"/>
        <w:rPr>
          <w:rFonts w:ascii="宋体" w:hAnsi="宋体"/>
          <w:szCs w:val="21"/>
        </w:rPr>
      </w:pPr>
      <w:r>
        <w:rPr>
          <w:rFonts w:hint="eastAsia" w:ascii="宋体" w:hAnsi="宋体"/>
          <w:szCs w:val="21"/>
        </w:rPr>
        <w:t>⑷该清单的各项目说明中含有“暂定材料设备单价”的，应明确说明此单价是否包括运输费、采保费等费用。投标时投标人不得修改。结算时，应按本招标文件的合同条件中约定的方法调整。</w:t>
      </w:r>
    </w:p>
    <w:p>
      <w:pPr>
        <w:pStyle w:val="7"/>
        <w:spacing w:before="60" w:beforeLines="25" w:after="60" w:afterLines="25"/>
        <w:ind w:firstLine="392" w:firstLineChars="187"/>
        <w:rPr>
          <w:rFonts w:ascii="宋体" w:hAnsi="宋体"/>
          <w:szCs w:val="21"/>
        </w:rPr>
      </w:pPr>
      <w:r>
        <w:rPr>
          <w:rFonts w:hint="eastAsia" w:ascii="宋体" w:hAnsi="宋体"/>
          <w:szCs w:val="21"/>
        </w:rPr>
        <w:t>⑸针对该清单，投标人报价时应提供 “分部分项工程量清单综合单价分析表”。</w:t>
      </w:r>
    </w:p>
    <w:p>
      <w:pPr>
        <w:pStyle w:val="7"/>
        <w:spacing w:before="60" w:beforeLines="25" w:after="60" w:afterLines="25"/>
        <w:ind w:firstLine="392" w:firstLineChars="187"/>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对</w:t>
      </w:r>
      <w:r>
        <w:rPr>
          <w:rFonts w:ascii="宋体" w:hAnsi="宋体"/>
          <w:szCs w:val="21"/>
        </w:rPr>
        <w:t>“</w:t>
      </w:r>
      <w:r>
        <w:rPr>
          <w:rFonts w:hint="eastAsia" w:ascii="宋体" w:hAnsi="宋体"/>
          <w:szCs w:val="21"/>
        </w:rPr>
        <w:t>措施项目清单</w:t>
      </w:r>
      <w:r>
        <w:rPr>
          <w:rFonts w:ascii="宋体" w:hAnsi="宋体"/>
          <w:szCs w:val="21"/>
        </w:rPr>
        <w:t>”</w:t>
      </w:r>
      <w:r>
        <w:rPr>
          <w:rFonts w:hint="eastAsia" w:ascii="宋体" w:hAnsi="宋体"/>
          <w:szCs w:val="21"/>
        </w:rPr>
        <w:t>的说明和报价要求：</w:t>
      </w:r>
    </w:p>
    <w:p>
      <w:pPr>
        <w:pStyle w:val="7"/>
        <w:spacing w:before="60" w:beforeLines="25" w:after="60" w:afterLines="25"/>
        <w:ind w:firstLine="392" w:firstLineChars="187"/>
        <w:rPr>
          <w:rFonts w:ascii="宋体" w:hAnsi="宋体"/>
          <w:szCs w:val="21"/>
        </w:rPr>
      </w:pPr>
      <w:r>
        <w:rPr>
          <w:rFonts w:hint="eastAsia" w:ascii="宋体" w:hAnsi="宋体"/>
          <w:szCs w:val="21"/>
        </w:rPr>
        <w:t>⑴该清单所列项目均以</w:t>
      </w:r>
      <w:r>
        <w:rPr>
          <w:rFonts w:ascii="宋体" w:hAnsi="宋体"/>
          <w:szCs w:val="21"/>
        </w:rPr>
        <w:t>“</w:t>
      </w:r>
      <w:r>
        <w:rPr>
          <w:rFonts w:hint="eastAsia" w:ascii="宋体" w:hAnsi="宋体"/>
          <w:szCs w:val="21"/>
        </w:rPr>
        <w:t>一项</w:t>
      </w:r>
      <w:r>
        <w:rPr>
          <w:rFonts w:ascii="宋体" w:hAnsi="宋体"/>
          <w:szCs w:val="21"/>
        </w:rPr>
        <w:t>”</w:t>
      </w:r>
      <w:r>
        <w:rPr>
          <w:rFonts w:hint="eastAsia" w:ascii="宋体" w:hAnsi="宋体"/>
          <w:szCs w:val="21"/>
        </w:rPr>
        <w:t>提出，是采购人根据一般情况估计的项目，投标人实际措施项目不同的，可以对具体列项内容进行调整。</w:t>
      </w:r>
    </w:p>
    <w:p>
      <w:pPr>
        <w:pStyle w:val="7"/>
        <w:spacing w:before="60" w:beforeLines="25" w:after="60" w:afterLines="25"/>
        <w:ind w:firstLine="392" w:firstLineChars="187"/>
        <w:rPr>
          <w:rFonts w:ascii="宋体" w:hAnsi="宋体"/>
          <w:szCs w:val="21"/>
        </w:rPr>
      </w:pPr>
      <w:r>
        <w:rPr>
          <w:rFonts w:hint="eastAsia" w:ascii="宋体" w:hAnsi="宋体"/>
          <w:szCs w:val="21"/>
        </w:rPr>
        <w:t>⑵</w:t>
      </w:r>
      <w:r>
        <w:rPr>
          <w:rFonts w:hint="eastAsia" w:ascii="宋体" w:hAnsi="宋体"/>
          <w:kern w:val="0"/>
          <w:szCs w:val="21"/>
        </w:rPr>
        <w:t>该清单中以“项”为单位的措施项目，投标人填报的价格应包括除规费、税金外的全部费用。</w:t>
      </w:r>
    </w:p>
    <w:p>
      <w:pPr>
        <w:ind w:firstLine="420" w:firstLineChars="200"/>
        <w:rPr>
          <w:szCs w:val="21"/>
        </w:rPr>
      </w:pPr>
      <w:r>
        <w:rPr>
          <w:rFonts w:hint="eastAsia"/>
          <w:szCs w:val="21"/>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pPr>
        <w:ind w:firstLine="420" w:firstLineChars="200"/>
        <w:rPr>
          <w:szCs w:val="21"/>
        </w:rPr>
      </w:pPr>
      <w:r>
        <w:rPr>
          <w:rFonts w:hint="eastAsia"/>
          <w:szCs w:val="21"/>
        </w:rPr>
        <w:t>⑶针对该清单，要求投标人报价时提供“措施项目清单与计价表（二）”。</w:t>
      </w:r>
    </w:p>
    <w:p>
      <w:pPr>
        <w:ind w:firstLine="420" w:firstLineChars="200"/>
        <w:rPr>
          <w:szCs w:val="21"/>
        </w:rPr>
      </w:pPr>
      <w:r>
        <w:rPr>
          <w:rFonts w:hint="eastAsia"/>
          <w:szCs w:val="21"/>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pPr>
        <w:ind w:firstLine="420" w:firstLineChars="200"/>
        <w:rPr>
          <w:szCs w:val="21"/>
        </w:rPr>
      </w:pPr>
      <w:r>
        <w:rPr>
          <w:rFonts w:hint="eastAsia"/>
          <w:szCs w:val="21"/>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ind w:firstLine="420" w:firstLineChars="200"/>
        <w:rPr>
          <w:szCs w:val="21"/>
        </w:rPr>
      </w:pPr>
      <w:r>
        <w:rPr>
          <w:rFonts w:hint="eastAsia"/>
          <w:szCs w:val="21"/>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pPr>
        <w:ind w:firstLine="420" w:firstLineChars="200"/>
        <w:rPr>
          <w:szCs w:val="21"/>
        </w:rPr>
      </w:pPr>
      <w:r>
        <w:rPr>
          <w:rFonts w:hint="eastAsia"/>
          <w:szCs w:val="21"/>
        </w:rPr>
        <w:t>投标人应当按照本招标文件的规定，结合自身实际及施工组织设计或施工方案，确定投标工期，自主填报夜间施工费和赶工措施费，并计入投标总价。</w:t>
      </w:r>
    </w:p>
    <w:p>
      <w:pPr>
        <w:ind w:firstLine="420" w:firstLineChars="200"/>
        <w:rPr>
          <w:szCs w:val="21"/>
        </w:rPr>
      </w:pPr>
      <w:r>
        <w:rPr>
          <w:rFonts w:hint="eastAsia"/>
          <w:szCs w:val="21"/>
        </w:rPr>
        <w:t>9.对“其他项目清单”的说明和报价要求：</w:t>
      </w:r>
    </w:p>
    <w:p>
      <w:pPr>
        <w:ind w:firstLine="420" w:firstLineChars="200"/>
        <w:rPr>
          <w:szCs w:val="21"/>
        </w:rPr>
      </w:pPr>
      <w:r>
        <w:rPr>
          <w:rFonts w:hint="eastAsia"/>
          <w:szCs w:val="21"/>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ind w:firstLine="420" w:firstLineChars="200"/>
        <w:rPr>
          <w:szCs w:val="21"/>
        </w:rPr>
      </w:pPr>
      <w:r>
        <w:rPr>
          <w:rFonts w:hint="eastAsia"/>
          <w:szCs w:val="21"/>
        </w:rPr>
        <w:t>(2)计日工指招标人提出的施工图纸以外的零星项目或工作。投标时，投标人应根据招标人提出的计日工表的要求自主确定综合单价，计算汇总后计入其他项目清单汇总表。</w:t>
      </w:r>
    </w:p>
    <w:p>
      <w:pPr>
        <w:ind w:firstLine="420" w:firstLineChars="200"/>
        <w:rPr>
          <w:szCs w:val="21"/>
        </w:rPr>
      </w:pPr>
      <w:r>
        <w:rPr>
          <w:rFonts w:hint="eastAsia"/>
          <w:szCs w:val="21"/>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pPr>
        <w:ind w:firstLine="420" w:firstLineChars="200"/>
        <w:rPr>
          <w:szCs w:val="21"/>
        </w:rPr>
      </w:pPr>
      <w:r>
        <w:rPr>
          <w:rFonts w:hint="eastAsia"/>
          <w:szCs w:val="21"/>
        </w:rPr>
        <w:t>9.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p>
      <w:pPr>
        <w:ind w:firstLine="420" w:firstLineChars="200"/>
        <w:rPr>
          <w:szCs w:val="21"/>
        </w:rPr>
      </w:pPr>
    </w:p>
    <w:p>
      <w:pPr>
        <w:numPr>
          <w:ilvl w:val="0"/>
          <w:numId w:val="25"/>
        </w:numPr>
        <w:adjustRightInd/>
        <w:snapToGrid/>
        <w:spacing w:before="280" w:after="290" w:line="377" w:lineRule="auto"/>
        <w:outlineLvl w:val="2"/>
        <w:rPr>
          <w:b/>
          <w:sz w:val="24"/>
        </w:rPr>
      </w:pPr>
      <w:r>
        <w:rPr>
          <w:rFonts w:hint="eastAsia"/>
          <w:b/>
          <w:sz w:val="24"/>
        </w:rPr>
        <w:t xml:space="preserve">项目商务要求 </w:t>
      </w:r>
    </w:p>
    <w:p>
      <w:r>
        <w:rPr>
          <w:rFonts w:hint="eastAsia"/>
        </w:rPr>
        <w:t>（一）付款方式</w:t>
      </w:r>
    </w:p>
    <w:p>
      <w:pPr>
        <w:ind w:firstLine="420" w:firstLineChars="200"/>
        <w:rPr>
          <w:szCs w:val="21"/>
        </w:rPr>
      </w:pPr>
      <w:r>
        <w:rPr>
          <w:rFonts w:hint="eastAsia"/>
          <w:szCs w:val="21"/>
        </w:rPr>
        <w:t>1.付款原则：工程进度款根据市财政拨款情况、监督、监理情况分期付给。由于投标单位原因造成工程款不能支付，责任由投标单位承担。</w:t>
      </w:r>
    </w:p>
    <w:p>
      <w:pPr>
        <w:ind w:firstLine="420" w:firstLineChars="200"/>
        <w:jc w:val="left"/>
        <w:rPr>
          <w:szCs w:val="21"/>
        </w:rPr>
      </w:pPr>
      <w:r>
        <w:rPr>
          <w:rFonts w:hint="eastAsia"/>
          <w:szCs w:val="21"/>
        </w:rPr>
        <w:t>2.预付款的支付：本工程开工预付款为合同价的</w:t>
      </w:r>
      <w:r>
        <w:rPr>
          <w:rFonts w:hint="eastAsia"/>
          <w:szCs w:val="21"/>
          <w:u w:val="single"/>
        </w:rPr>
        <w:t>______</w:t>
      </w:r>
      <w:r>
        <w:rPr>
          <w:rFonts w:hint="eastAsia"/>
          <w:szCs w:val="21"/>
        </w:rPr>
        <w:t xml:space="preserve"> % ，在本合同协议书签订生效且中标人提交开工预付款担保后，并经监理工程师签发的开工预付款证书报采购人后14天内，办理支付手续并提交给相关付款部门。</w:t>
      </w:r>
    </w:p>
    <w:p>
      <w:pPr>
        <w:ind w:firstLine="420" w:firstLineChars="200"/>
        <w:jc w:val="left"/>
        <w:rPr>
          <w:szCs w:val="21"/>
        </w:rPr>
      </w:pPr>
      <w:r>
        <w:rPr>
          <w:rFonts w:hint="eastAsia"/>
          <w:szCs w:val="21"/>
        </w:rPr>
        <w:t>3.工程进度款的支付：</w:t>
      </w:r>
      <w:r>
        <w:rPr>
          <w:rFonts w:hint="eastAsia"/>
          <w:szCs w:val="21"/>
          <w:u w:val="single"/>
        </w:rPr>
        <w:t>______</w:t>
      </w:r>
    </w:p>
    <w:p>
      <w:r>
        <w:rPr>
          <w:rFonts w:hint="eastAsia"/>
        </w:rPr>
        <w:t>（二）项目保修要求</w:t>
      </w:r>
    </w:p>
    <w:p>
      <w:pPr>
        <w:ind w:firstLine="525" w:firstLineChars="250"/>
        <w:rPr>
          <w:szCs w:val="21"/>
        </w:rPr>
      </w:pPr>
      <w:r>
        <w:rPr>
          <w:rFonts w:hint="eastAsia"/>
          <w:szCs w:val="21"/>
        </w:rPr>
        <w:t>根据《住房城乡建设部  财政部关于印发建设工程质量保证金管理办法的通知(建质[2017]138号)》意见，装修保修期为二年，防水保修期为五年，保修质保金为合同金额的3%。</w:t>
      </w:r>
    </w:p>
    <w:p>
      <w:pPr>
        <w:pStyle w:val="7"/>
        <w:spacing w:before="60" w:beforeLines="25" w:after="60" w:afterLines="25"/>
        <w:ind w:firstLine="392" w:firstLineChars="187"/>
        <w:rPr>
          <w:rFonts w:ascii="宋体" w:hAnsi="宋体"/>
          <w:szCs w:val="21"/>
        </w:rPr>
      </w:pPr>
      <w:r>
        <w:rPr>
          <w:rFonts w:hint="eastAsia" w:ascii="宋体" w:hAnsi="宋体"/>
          <w:szCs w:val="21"/>
        </w:rPr>
        <w:t xml:space="preserve"> 验收标准：符合国家相关规定。</w:t>
      </w:r>
    </w:p>
    <w:p>
      <w:pPr>
        <w:pStyle w:val="7"/>
        <w:spacing w:before="60" w:beforeLines="25" w:after="60" w:afterLines="25"/>
        <w:ind w:firstLine="497" w:firstLineChars="237"/>
        <w:rPr>
          <w:rFonts w:ascii="宋体" w:hAnsi="宋体"/>
          <w:szCs w:val="21"/>
        </w:rPr>
      </w:pPr>
      <w:r>
        <w:rPr>
          <w:rFonts w:hint="eastAsia" w:ascii="宋体" w:hAnsi="宋体"/>
          <w:szCs w:val="21"/>
        </w:rPr>
        <w:t>服务响应时间：________</w:t>
      </w:r>
    </w:p>
    <w:p>
      <w:r>
        <w:rPr>
          <w:rFonts w:hint="eastAsia"/>
        </w:rPr>
        <w:t>（三）质量考核验收标准及违约金</w:t>
      </w:r>
    </w:p>
    <w:p>
      <w:pPr>
        <w:pStyle w:val="7"/>
        <w:spacing w:before="60" w:beforeLines="25" w:after="60" w:afterLines="25"/>
        <w:ind w:firstLine="392" w:firstLineChars="187"/>
        <w:rPr>
          <w:szCs w:val="21"/>
        </w:rPr>
      </w:pPr>
      <w:r>
        <w:rPr>
          <w:rFonts w:ascii="宋体" w:hAnsi="宋体"/>
          <w:szCs w:val="21"/>
        </w:rPr>
        <w:t>1.质量考核验收标准</w:t>
      </w:r>
    </w:p>
    <w:p>
      <w:pPr>
        <w:pStyle w:val="7"/>
        <w:spacing w:before="60" w:beforeLines="25" w:after="60" w:afterLines="25"/>
        <w:ind w:firstLine="392" w:firstLineChars="187"/>
        <w:rPr>
          <w:szCs w:val="21"/>
        </w:rPr>
      </w:pPr>
      <w:r>
        <w:rPr>
          <w:rFonts w:ascii="宋体" w:hAnsi="宋体"/>
          <w:szCs w:val="21"/>
        </w:rPr>
        <w:t>2.违约金</w:t>
      </w:r>
    </w:p>
    <w:p>
      <w:pPr>
        <w:jc w:val="left"/>
        <w:rPr>
          <w:szCs w:val="21"/>
        </w:rPr>
      </w:pPr>
    </w:p>
    <w:p>
      <w:pPr>
        <w:numPr>
          <w:ilvl w:val="0"/>
          <w:numId w:val="25"/>
        </w:numPr>
        <w:adjustRightInd/>
        <w:snapToGrid/>
        <w:spacing w:before="280" w:after="290" w:line="377" w:lineRule="auto"/>
        <w:outlineLvl w:val="2"/>
        <w:rPr>
          <w:b/>
          <w:sz w:val="24"/>
        </w:rPr>
      </w:pPr>
      <w:r>
        <w:rPr>
          <w:rFonts w:hint="eastAsia"/>
          <w:b/>
          <w:sz w:val="24"/>
        </w:rPr>
        <w:t>投标报价</w:t>
      </w:r>
    </w:p>
    <w:p>
      <w:pPr>
        <w:ind w:firstLine="411" w:firstLineChars="196"/>
        <w:rPr>
          <w:szCs w:val="21"/>
        </w:rPr>
      </w:pPr>
      <w:r>
        <w:rPr>
          <w:rFonts w:hint="eastAsia"/>
          <w:szCs w:val="21"/>
        </w:rPr>
        <w:t>1.本工程的工程量清单的投标单价</w:t>
      </w:r>
      <w:bookmarkStart w:id="37" w:name="工程量清单计价方式"/>
      <w:r>
        <w:rPr>
          <w:rFonts w:hint="eastAsia"/>
          <w:szCs w:val="21"/>
        </w:rPr>
        <w:t>按综合单价方式</w:t>
      </w:r>
      <w:bookmarkEnd w:id="37"/>
      <w:r>
        <w:rPr>
          <w:rFonts w:hint="eastAsia"/>
          <w:szCs w:val="21"/>
        </w:rPr>
        <w:t>进行报价；</w:t>
      </w:r>
    </w:p>
    <w:p>
      <w:pPr>
        <w:pStyle w:val="7"/>
        <w:spacing w:before="60" w:beforeLines="25" w:after="60" w:afterLines="25"/>
        <w:ind w:firstLine="424" w:firstLineChars="202"/>
        <w:rPr>
          <w:rFonts w:ascii="宋体" w:hAnsi="宋体"/>
          <w:szCs w:val="21"/>
        </w:rPr>
      </w:pPr>
      <w:r>
        <w:rPr>
          <w:rFonts w:hint="eastAsia" w:ascii="宋体" w:hAnsi="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11" w:firstLineChars="196"/>
        <w:rPr>
          <w:szCs w:val="21"/>
        </w:rPr>
      </w:pPr>
      <w:r>
        <w:rPr>
          <w:rFonts w:hint="eastAsia"/>
          <w:szCs w:val="21"/>
        </w:rPr>
        <w:t>3.投标人的投标报价，应是本项目招标范围和招标文件及合同条款上所列的各项内容中所述的全部，不得以任何理由予以重复，并以投标人在工程量清单中提出的综合单价或总价为依据；</w:t>
      </w:r>
    </w:p>
    <w:p>
      <w:pPr>
        <w:ind w:firstLine="411" w:firstLineChars="196"/>
        <w:rPr>
          <w:szCs w:val="21"/>
        </w:rPr>
      </w:pPr>
      <w:r>
        <w:rPr>
          <w:rFonts w:hint="eastAsia"/>
          <w:szCs w:val="21"/>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pPr>
        <w:ind w:firstLine="411" w:firstLineChars="196"/>
        <w:rPr>
          <w:szCs w:val="21"/>
        </w:rPr>
      </w:pPr>
      <w:r>
        <w:rPr>
          <w:rFonts w:hint="eastAsia"/>
          <w:szCs w:val="21"/>
        </w:rPr>
        <w:t>5.投标人应先到工地踏勘以充分了解工地的位置、情况、道路、储存空间、装卸限制及任何其它足以影响投标报价的情况，任何因忽视或误解工地情况而导致的索赔或工期延长申请将不获批准；</w:t>
      </w:r>
    </w:p>
    <w:p>
      <w:pPr>
        <w:ind w:firstLine="411" w:firstLineChars="196"/>
        <w:rPr>
          <w:szCs w:val="21"/>
        </w:rPr>
      </w:pPr>
      <w:r>
        <w:rPr>
          <w:rFonts w:hint="eastAsia"/>
          <w:szCs w:val="21"/>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pPr>
        <w:ind w:firstLine="411" w:firstLineChars="196"/>
        <w:rPr>
          <w:szCs w:val="21"/>
        </w:rPr>
      </w:pPr>
      <w:r>
        <w:rPr>
          <w:rFonts w:hint="eastAsia"/>
          <w:szCs w:val="21"/>
        </w:rPr>
        <w:t>7.投标人投标报价总额一经中标后，即作为中标单位与采购单位签订该项目合同的总价。合同方式见第一章相关条款。</w:t>
      </w:r>
    </w:p>
    <w:p>
      <w:pPr>
        <w:ind w:firstLine="411" w:firstLineChars="196"/>
        <w:rPr>
          <w:szCs w:val="21"/>
        </w:rPr>
      </w:pPr>
      <w:r>
        <w:rPr>
          <w:rFonts w:hint="eastAsia"/>
          <w:szCs w:val="21"/>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pPr>
        <w:ind w:firstLine="411" w:firstLineChars="196"/>
        <w:rPr>
          <w:szCs w:val="21"/>
        </w:rPr>
      </w:pPr>
      <w:r>
        <w:rPr>
          <w:rFonts w:hint="eastAsia"/>
          <w:szCs w:val="21"/>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pPr>
        <w:ind w:firstLine="411" w:firstLineChars="196"/>
        <w:rPr>
          <w:szCs w:val="21"/>
        </w:rPr>
      </w:pPr>
      <w:r>
        <w:rPr>
          <w:rFonts w:hint="eastAsia"/>
          <w:szCs w:val="21"/>
        </w:rPr>
        <w:t>（3）投标人的投标报价必须充分考虑到在施工中实施的施工组织设计对工程造价的影响,并在投标报价中反映出来。</w:t>
      </w:r>
    </w:p>
    <w:p>
      <w:pPr>
        <w:ind w:firstLine="411" w:firstLineChars="196"/>
        <w:rPr>
          <w:szCs w:val="21"/>
        </w:rPr>
      </w:pPr>
      <w:r>
        <w:rPr>
          <w:rFonts w:hint="eastAsia"/>
          <w:szCs w:val="21"/>
        </w:rPr>
        <w:t>8.本项目不接受总价优惠折扣形式的报价，投标人应将对项目的优惠直接在清单报价中体现出来。</w:t>
      </w:r>
    </w:p>
    <w:p>
      <w:pPr>
        <w:ind w:firstLine="411" w:firstLineChars="196"/>
        <w:rPr>
          <w:szCs w:val="21"/>
        </w:rPr>
      </w:pPr>
      <w:r>
        <w:rPr>
          <w:rFonts w:hint="eastAsia"/>
          <w:szCs w:val="21"/>
        </w:rPr>
        <w:t>9.采购单位委托承包人办理的保险事项：</w:t>
      </w:r>
      <w:bookmarkStart w:id="38" w:name="发包人委托承包人办理的保险事项"/>
      <w:r>
        <w:rPr>
          <w:rFonts w:hint="eastAsia"/>
          <w:szCs w:val="21"/>
        </w:rPr>
        <w:t>建设工程一切险和第三者责任险，所需的保险费应包含在投标价中</w:t>
      </w:r>
      <w:bookmarkEnd w:id="38"/>
      <w:r>
        <w:rPr>
          <w:rFonts w:hint="eastAsia"/>
          <w:szCs w:val="21"/>
        </w:rPr>
        <w:t>，施工中若发生安全事故，一切责任及费用由施工单位负责。</w:t>
      </w:r>
    </w:p>
    <w:p>
      <w:pPr>
        <w:ind w:firstLine="411" w:firstLineChars="196"/>
        <w:rPr>
          <w:szCs w:val="21"/>
        </w:rPr>
      </w:pPr>
      <w:r>
        <w:rPr>
          <w:rFonts w:hint="eastAsia"/>
          <w:szCs w:val="21"/>
        </w:rPr>
        <w:t>10.工程完工后，承包人应恢复修建前的原有状态（工程量按实计算），并使监理工程师和采购单位满意，满足政府管理部门的规定和要求。</w:t>
      </w:r>
    </w:p>
    <w:p>
      <w:pPr>
        <w:ind w:firstLine="411" w:firstLineChars="196"/>
        <w:rPr>
          <w:szCs w:val="21"/>
        </w:rPr>
      </w:pPr>
      <w:r>
        <w:rPr>
          <w:rFonts w:hint="eastAsia"/>
          <w:szCs w:val="21"/>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pPr>
        <w:ind w:firstLine="411" w:firstLineChars="196"/>
        <w:rPr>
          <w:szCs w:val="21"/>
        </w:rPr>
      </w:pPr>
      <w:r>
        <w:rPr>
          <w:rFonts w:hint="eastAsia"/>
          <w:szCs w:val="21"/>
        </w:rPr>
        <w:t>12.一切与施工相关的检验实验费（政府有关部门规定由建设单位支付的检验实验费除外）已含在投标价中。</w:t>
      </w:r>
    </w:p>
    <w:p>
      <w:pPr>
        <w:pStyle w:val="7"/>
        <w:spacing w:before="60" w:beforeLines="25" w:after="60" w:afterLines="25"/>
        <w:ind w:firstLine="392" w:firstLineChars="187"/>
        <w:rPr>
          <w:rFonts w:ascii="宋体" w:hAnsi="宋体"/>
          <w:szCs w:val="21"/>
        </w:rPr>
      </w:pPr>
      <w:r>
        <w:rPr>
          <w:rFonts w:hint="eastAsia" w:ascii="宋体" w:hAnsi="宋体"/>
          <w:szCs w:val="21"/>
        </w:rPr>
        <w:t>13.承包人的交通维护方案必须保证施工期间的交通组织符合深圳市公安交通管理的有关规定，保证小区车辆运行通畅和施工安全，其费用已含在投标价中。</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p>
    <w:p>
      <w:pPr>
        <w:numPr>
          <w:ilvl w:val="0"/>
          <w:numId w:val="25"/>
        </w:numPr>
        <w:adjustRightInd/>
        <w:snapToGrid/>
        <w:spacing w:before="280" w:after="290" w:line="377" w:lineRule="auto"/>
        <w:outlineLvl w:val="2"/>
        <w:rPr>
          <w:b/>
          <w:sz w:val="24"/>
        </w:rPr>
      </w:pPr>
      <w:r>
        <w:rPr>
          <w:rFonts w:hint="eastAsia"/>
          <w:b/>
          <w:sz w:val="24"/>
        </w:rPr>
        <w:t>政策导向</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120" w:beforeLines="50" w:line="300" w:lineRule="auto"/>
        <w:ind w:firstLine="420" w:firstLineChars="200"/>
        <w:rPr>
          <w:kern w:val="2"/>
        </w:rPr>
      </w:pPr>
      <w:r>
        <w:rPr>
          <w:rFonts w:hint="eastAsia"/>
          <w:kern w:val="2"/>
        </w:rPr>
        <w:t>属于政府采购节能产品、环境标志产品实施品目清单的产品，详见中国政府采购网（</w:t>
      </w:r>
      <w:r>
        <w:rPr>
          <w:kern w:val="2"/>
        </w:rPr>
        <w:t>http://www.ccgp.gov.cn/）。</w:t>
      </w:r>
    </w:p>
    <w:p>
      <w:pPr>
        <w:widowControl w:val="0"/>
        <w:shd w:val="clear" w:color="auto" w:fill="auto"/>
        <w:tabs>
          <w:tab w:val="clear" w:pos="426"/>
        </w:tabs>
        <w:adjustRightInd/>
        <w:snapToGrid/>
        <w:spacing w:before="120" w:beforeLines="50" w:line="300" w:lineRule="auto"/>
        <w:ind w:firstLine="420" w:firstLineChars="200"/>
        <w:rPr>
          <w:kern w:val="2"/>
        </w:rPr>
      </w:pPr>
      <w:r>
        <w:rPr>
          <w:rFonts w:hint="eastAsia"/>
          <w:kern w:val="2"/>
        </w:rPr>
        <w:t>进入以上清单范围的投标产品将在评标时获得竞争优势。</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120" w:beforeLines="50" w:line="300" w:lineRule="auto"/>
        <w:ind w:firstLine="420" w:firstLineChars="200"/>
        <w:rPr>
          <w:kern w:val="2"/>
        </w:rPr>
      </w:pPr>
      <w:r>
        <w:rPr>
          <w:kern w:val="2"/>
        </w:rPr>
        <w:t>4.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r>
        <w:rPr>
          <w:rFonts w:hint="eastAsia"/>
          <w:kern w:val="2"/>
        </w:rPr>
        <w:t>5</w:t>
      </w:r>
      <w:r>
        <w:rPr>
          <w:kern w:val="2"/>
        </w:rPr>
        <w:t>.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p>
    <w:p>
      <w:pPr>
        <w:widowControl w:val="0"/>
        <w:shd w:val="clear" w:color="auto" w:fill="auto"/>
        <w:tabs>
          <w:tab w:val="clear" w:pos="426"/>
        </w:tabs>
        <w:adjustRightInd/>
        <w:snapToGrid/>
        <w:spacing w:before="120" w:beforeLines="50" w:line="300" w:lineRule="auto"/>
        <w:ind w:firstLine="420" w:firstLineChars="200"/>
        <w:rPr>
          <w:rFonts w:cs="Times New Roman"/>
          <w:kern w:val="2"/>
          <w:szCs w:val="21"/>
        </w:rPr>
      </w:pPr>
    </w:p>
    <w:bookmarkEnd w:id="35"/>
    <w:bookmarkEnd w:id="36"/>
    <w:p>
      <w:pPr>
        <w:shd w:val="clear" w:color="auto" w:fill="auto"/>
        <w:tabs>
          <w:tab w:val="clear" w:pos="426"/>
        </w:tabs>
        <w:adjustRightInd/>
        <w:snapToGrid/>
        <w:spacing w:line="240" w:lineRule="auto"/>
        <w:jc w:val="left"/>
        <w:rPr>
          <w:rFonts w:ascii="Cambria" w:hAnsi="Cambria" w:cs="Times New Roman"/>
          <w:b/>
          <w:bCs/>
          <w:kern w:val="28"/>
          <w:sz w:val="28"/>
          <w:szCs w:val="32"/>
        </w:rPr>
      </w:pPr>
      <w:bookmarkStart w:id="39" w:name="_Toc18323386"/>
      <w:r>
        <w:br w:type="page"/>
      </w:r>
    </w:p>
    <w:p/>
    <w:p>
      <w:pPr>
        <w:pStyle w:val="33"/>
        <w:tabs>
          <w:tab w:val="clear" w:pos="426"/>
        </w:tabs>
      </w:pPr>
      <w:r>
        <w:rPr>
          <w:rFonts w:hint="eastAsia"/>
        </w:rPr>
        <w:t>第四章 政府采购合同的签订、履约及验收</w:t>
      </w:r>
      <w:bookmarkEnd w:id="39"/>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jc w:val="center"/>
        <w:rPr>
          <w:rFonts w:cs="Times New Roman"/>
          <w:b/>
          <w:kern w:val="2"/>
          <w:szCs w:val="21"/>
        </w:rPr>
      </w:pPr>
      <w:r>
        <w:rPr>
          <w:rFonts w:hint="eastAsia" w:cs="Times New Roman"/>
          <w:b/>
          <w:kern w:val="2"/>
          <w:szCs w:val="21"/>
        </w:rPr>
        <w:t>一、重要提示</w:t>
      </w: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bookmarkStart w:id="40" w:name="_Hlk2096823"/>
      <w:r>
        <w:rPr>
          <w:rFonts w:hint="eastAsia" w:cs="Times New Roman"/>
          <w:kern w:val="2"/>
          <w:szCs w:val="21"/>
        </w:rPr>
        <w:t>（一）</w:t>
      </w:r>
      <w:r>
        <w:rPr>
          <w:rFonts w:cs="Times New Roman"/>
          <w:kern w:val="2"/>
          <w:szCs w:val="21"/>
        </w:rPr>
        <w:t xml:space="preserve"> 中标人将于中标通知书发出之日起十个工作日内，按照招标文件和投标文件内容与采购单位签订书面合同，</w:t>
      </w:r>
      <w:r>
        <w:rPr>
          <w:rFonts w:hint="eastAsia" w:cs="Times New Roman"/>
          <w:kern w:val="2"/>
          <w:szCs w:val="21"/>
        </w:rPr>
        <w:t>合同书可参考本招标文件规定的合同样本，有专业类别的格式合同范本请选择相应的合同</w:t>
      </w:r>
      <w:r>
        <w:rPr>
          <w:rFonts w:cs="Times New Roman"/>
          <w:kern w:val="2"/>
          <w:szCs w:val="21"/>
        </w:rPr>
        <w:t>；</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（二）</w:t>
      </w:r>
      <w:r>
        <w:rPr>
          <w:rFonts w:cs="Times New Roman"/>
          <w:kern w:val="2"/>
          <w:szCs w:val="21"/>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（三）</w:t>
      </w:r>
      <w:r>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kern w:val="2"/>
          <w:szCs w:val="21"/>
        </w:rPr>
      </w:pPr>
      <w:r>
        <w:rPr>
          <w:rFonts w:cs="Times New Roman"/>
          <w:b/>
          <w:kern w:val="2"/>
          <w:szCs w:val="21"/>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6.恶意投诉的；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（五）</w:t>
      </w:r>
      <w:r>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w:t>
      </w:r>
      <w:r>
        <w:rPr>
          <w:rFonts w:hint="eastAsia" w:cs="Times New Roman"/>
          <w:kern w:val="2"/>
          <w:szCs w:val="21"/>
        </w:rPr>
        <w:t>三</w:t>
      </w:r>
      <w:r>
        <w:rPr>
          <w:rFonts w:cs="Times New Roman"/>
          <w:kern w:val="2"/>
          <w:szCs w:val="21"/>
        </w:rPr>
        <w:t>）条规定进行处理。</w:t>
      </w:r>
      <w:bookmarkEnd w:id="40"/>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widowControl w:val="0"/>
        <w:shd w:val="clear" w:color="auto" w:fill="auto"/>
        <w:tabs>
          <w:tab w:val="clear" w:pos="426"/>
        </w:tabs>
        <w:adjustRightInd/>
        <w:snapToGrid/>
        <w:spacing w:line="240" w:lineRule="auto"/>
        <w:ind w:firstLine="420" w:firstLineChars="200"/>
        <w:rPr>
          <w:rFonts w:cs="Times New Roman"/>
          <w:kern w:val="2"/>
          <w:szCs w:val="21"/>
        </w:rPr>
      </w:pPr>
    </w:p>
    <w:p>
      <w:pPr>
        <w:shd w:val="clear" w:color="auto" w:fill="auto"/>
        <w:tabs>
          <w:tab w:val="clear" w:pos="426"/>
        </w:tabs>
        <w:adjustRightInd/>
        <w:snapToGrid/>
        <w:spacing w:line="240" w:lineRule="auto"/>
        <w:jc w:val="left"/>
        <w:rPr>
          <w:rFonts w:ascii="Arial" w:hAnsi="Arial" w:eastAsia="黑体" w:cs="Times New Roman"/>
          <w:b/>
          <w:bCs/>
          <w:kern w:val="2"/>
          <w:sz w:val="28"/>
          <w:szCs w:val="28"/>
        </w:rPr>
      </w:pPr>
      <w:r>
        <w:rPr>
          <w:rFonts w:ascii="Arial" w:hAnsi="Arial" w:eastAsia="黑体" w:cs="Times New Roman"/>
          <w:b/>
          <w:bCs/>
          <w:kern w:val="2"/>
          <w:sz w:val="28"/>
          <w:szCs w:val="28"/>
        </w:rPr>
        <w:br w:type="page"/>
      </w:r>
    </w:p>
    <w:p>
      <w:pPr>
        <w:widowControl w:val="0"/>
        <w:shd w:val="clear" w:color="auto" w:fill="auto"/>
        <w:tabs>
          <w:tab w:val="clear" w:pos="426"/>
        </w:tabs>
        <w:adjustRightInd/>
        <w:snapToGrid/>
        <w:spacing w:line="240" w:lineRule="auto"/>
        <w:jc w:val="center"/>
        <w:rPr>
          <w:rFonts w:cs="Times New Roman"/>
          <w:b/>
          <w:kern w:val="2"/>
          <w:szCs w:val="21"/>
        </w:rPr>
      </w:pPr>
    </w:p>
    <w:p>
      <w:pPr>
        <w:tabs>
          <w:tab w:val="clear" w:pos="426"/>
        </w:tabs>
        <w:jc w:val="center"/>
        <w:rPr>
          <w:b/>
          <w:sz w:val="24"/>
        </w:rPr>
      </w:pPr>
      <w:r>
        <w:rPr>
          <w:rFonts w:hint="eastAsia"/>
          <w:b/>
          <w:sz w:val="24"/>
        </w:rPr>
        <w:t>二、合同条款及格式</w:t>
      </w:r>
    </w:p>
    <w:p>
      <w:pPr>
        <w:tabs>
          <w:tab w:val="clear" w:pos="426"/>
        </w:tabs>
        <w:jc w:val="center"/>
        <w:rPr>
          <w:b/>
          <w:sz w:val="24"/>
        </w:rPr>
      </w:pPr>
      <w:r>
        <w:rPr>
          <w:rFonts w:hint="eastAsia"/>
          <w:b/>
          <w:sz w:val="24"/>
        </w:rPr>
        <w:t>有专业类别的格式合同范本请选择相应的合同</w:t>
      </w:r>
    </w:p>
    <w:p>
      <w:pPr>
        <w:rPr>
          <w:b/>
          <w:sz w:val="30"/>
          <w:szCs w:val="30"/>
        </w:rPr>
      </w:pPr>
    </w:p>
    <w:p>
      <w:pPr>
        <w:tabs>
          <w:tab w:val="clear" w:pos="426"/>
        </w:tabs>
        <w:jc w:val="center"/>
        <w:rPr>
          <w:b/>
          <w:sz w:val="30"/>
          <w:szCs w:val="30"/>
        </w:rPr>
      </w:pPr>
      <w:r>
        <w:rPr>
          <w:rFonts w:hint="eastAsia"/>
          <w:b/>
          <w:sz w:val="30"/>
          <w:szCs w:val="30"/>
        </w:rPr>
        <w:t>合同条款及格式（详见《深圳市建筑工程施工合同》范本）</w:t>
      </w:r>
    </w:p>
    <w:p>
      <w:pPr>
        <w:widowControl w:val="0"/>
        <w:shd w:val="clear" w:color="auto" w:fill="auto"/>
        <w:tabs>
          <w:tab w:val="clear" w:pos="426"/>
        </w:tabs>
        <w:adjustRightInd/>
        <w:snapToGrid/>
        <w:spacing w:line="240" w:lineRule="auto"/>
        <w:ind w:left="424" w:leftChars="202" w:firstLine="2"/>
        <w:rPr>
          <w:rFonts w:cs="Times New Roman"/>
          <w:kern w:val="2"/>
          <w:szCs w:val="21"/>
        </w:rPr>
      </w:pPr>
    </w:p>
    <w:p>
      <w:pPr>
        <w:widowControl w:val="0"/>
        <w:shd w:val="clear" w:color="auto" w:fill="auto"/>
        <w:tabs>
          <w:tab w:val="clear" w:pos="426"/>
        </w:tabs>
        <w:adjustRightInd/>
        <w:snapToGrid/>
        <w:spacing w:line="240" w:lineRule="auto"/>
        <w:ind w:left="424" w:leftChars="202" w:firstLine="2"/>
        <w:rPr>
          <w:rFonts w:cs="Times New Roman"/>
          <w:kern w:val="2"/>
          <w:szCs w:val="21"/>
        </w:rPr>
      </w:pPr>
    </w:p>
    <w:p>
      <w:pPr>
        <w:widowControl w:val="0"/>
        <w:shd w:val="clear" w:color="auto" w:fill="auto"/>
        <w:tabs>
          <w:tab w:val="clear" w:pos="426"/>
        </w:tabs>
        <w:adjustRightInd/>
        <w:snapToGrid/>
        <w:spacing w:line="240" w:lineRule="auto"/>
        <w:ind w:left="424" w:leftChars="202" w:firstLine="2"/>
        <w:rPr>
          <w:rFonts w:cs="Times New Roman"/>
          <w:kern w:val="2"/>
          <w:szCs w:val="21"/>
        </w:rPr>
      </w:pPr>
    </w:p>
    <w:p>
      <w:pPr>
        <w:widowControl w:val="0"/>
        <w:shd w:val="clear" w:color="auto" w:fill="auto"/>
        <w:tabs>
          <w:tab w:val="clear" w:pos="426"/>
        </w:tabs>
        <w:adjustRightInd/>
        <w:snapToGrid/>
        <w:spacing w:line="240" w:lineRule="auto"/>
        <w:ind w:left="424" w:leftChars="202" w:firstLine="2"/>
        <w:rPr>
          <w:rFonts w:cs="Times New Roman"/>
          <w:kern w:val="2"/>
          <w:szCs w:val="21"/>
        </w:rPr>
      </w:pPr>
    </w:p>
    <w:p>
      <w:pPr>
        <w:shd w:val="clear" w:color="auto" w:fill="auto"/>
        <w:tabs>
          <w:tab w:val="clear" w:pos="426"/>
        </w:tabs>
        <w:adjustRightInd/>
        <w:snapToGrid/>
        <w:spacing w:line="240" w:lineRule="auto"/>
        <w:jc w:val="left"/>
        <w:rPr>
          <w:rFonts w:cs="Times New Roman"/>
          <w:kern w:val="2"/>
          <w:szCs w:val="21"/>
        </w:rPr>
      </w:pPr>
      <w:r>
        <w:rPr>
          <w:rFonts w:cs="Times New Roman"/>
          <w:kern w:val="2"/>
          <w:szCs w:val="21"/>
        </w:rPr>
        <w:br w:type="page"/>
      </w:r>
    </w:p>
    <w:p>
      <w:pPr>
        <w:widowControl w:val="0"/>
        <w:shd w:val="clear" w:color="auto" w:fill="auto"/>
        <w:tabs>
          <w:tab w:val="clear" w:pos="426"/>
        </w:tabs>
        <w:adjustRightInd/>
        <w:snapToGrid/>
        <w:spacing w:line="240" w:lineRule="auto"/>
        <w:ind w:left="424" w:leftChars="202" w:firstLine="2"/>
        <w:rPr>
          <w:rFonts w:cs="Times New Roman"/>
          <w:b/>
          <w:kern w:val="2"/>
          <w:szCs w:val="21"/>
        </w:rPr>
      </w:pPr>
    </w:p>
    <w:p>
      <w:pPr>
        <w:tabs>
          <w:tab w:val="clear" w:pos="426"/>
        </w:tabs>
        <w:jc w:val="center"/>
        <w:rPr>
          <w:b/>
          <w:sz w:val="24"/>
        </w:rPr>
      </w:pPr>
      <w:r>
        <w:rPr>
          <w:rFonts w:hint="eastAsia"/>
          <w:b/>
          <w:sz w:val="24"/>
        </w:rPr>
        <w:t>四、政府采购履约情况反馈表</w:t>
      </w:r>
    </w:p>
    <w:p>
      <w:pPr>
        <w:tabs>
          <w:tab w:val="clear" w:pos="426"/>
        </w:tabs>
        <w:jc w:val="center"/>
        <w:rPr>
          <w:b/>
          <w:sz w:val="24"/>
        </w:rPr>
      </w:pPr>
    </w:p>
    <w:p>
      <w:pPr>
        <w:tabs>
          <w:tab w:val="clear" w:pos="426"/>
        </w:tabs>
        <w:rPr>
          <w:u w:val="single"/>
        </w:rPr>
      </w:pPr>
      <w:r>
        <w:rPr>
          <w:rFonts w:hint="eastAsia"/>
        </w:rPr>
        <w:t>采购单位名称：</w:t>
      </w:r>
      <w:r>
        <w:rPr>
          <w:rFonts w:hint="eastAsia"/>
          <w:u w:val="single"/>
        </w:rPr>
        <w:t>___________________________________</w:t>
      </w:r>
      <w:r>
        <w:rPr>
          <w:rFonts w:hint="eastAsia"/>
        </w:rPr>
        <w:t>联系人及电话：</w:t>
      </w:r>
      <w:r>
        <w:rPr>
          <w:rFonts w:hint="eastAsia"/>
          <w:u w:val="single"/>
        </w:rPr>
        <w:t>____________________________</w:t>
      </w:r>
    </w:p>
    <w:tbl>
      <w:tblPr>
        <w:tblStyle w:val="4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03"/>
        <w:gridCol w:w="773"/>
        <w:gridCol w:w="773"/>
        <w:gridCol w:w="2704"/>
        <w:gridCol w:w="2125"/>
        <w:gridCol w:w="22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80" w:type="pct"/>
            <w:gridSpan w:val="3"/>
            <w:vAlign w:val="center"/>
          </w:tcPr>
          <w:p>
            <w:pPr>
              <w:tabs>
                <w:tab w:val="clear" w:pos="426"/>
              </w:tabs>
              <w:spacing w:line="240" w:lineRule="auto"/>
            </w:pPr>
            <w:r>
              <w:rPr>
                <w:rFonts w:hint="eastAsia"/>
              </w:rPr>
              <w:t>采购项目名称</w:t>
            </w:r>
          </w:p>
        </w:tc>
        <w:tc>
          <w:tcPr>
            <w:tcW w:w="1413" w:type="pct"/>
            <w:vAlign w:val="center"/>
          </w:tcPr>
          <w:p>
            <w:pPr>
              <w:tabs>
                <w:tab w:val="clear" w:pos="426"/>
              </w:tabs>
              <w:spacing w:line="240" w:lineRule="auto"/>
            </w:pPr>
          </w:p>
        </w:tc>
        <w:tc>
          <w:tcPr>
            <w:tcW w:w="1110" w:type="pct"/>
            <w:vAlign w:val="center"/>
          </w:tcPr>
          <w:p>
            <w:pPr>
              <w:tabs>
                <w:tab w:val="clear" w:pos="426"/>
              </w:tabs>
              <w:spacing w:line="240" w:lineRule="auto"/>
            </w:pPr>
            <w:r>
              <w:rPr>
                <w:rFonts w:hint="eastAsia"/>
              </w:rPr>
              <w:t>招标项目编号</w:t>
            </w:r>
          </w:p>
        </w:tc>
        <w:tc>
          <w:tcPr>
            <w:tcW w:w="1197" w:type="pct"/>
            <w:vAlign w:val="center"/>
          </w:tcPr>
          <w:p>
            <w:pPr>
              <w:pStyle w:val="6"/>
              <w:tabs>
                <w:tab w:val="clear" w:pos="426"/>
              </w:tabs>
              <w:spacing w:line="240" w:lineRule="auto"/>
              <w:rPr>
                <w:rFonts w:ascii="宋体" w:hAnsi="宋体" w:cs="宋体"/>
                <w:kern w:val="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80" w:type="pct"/>
            <w:gridSpan w:val="3"/>
            <w:vAlign w:val="center"/>
          </w:tcPr>
          <w:p>
            <w:pPr>
              <w:tabs>
                <w:tab w:val="clear" w:pos="426"/>
              </w:tabs>
              <w:spacing w:line="240" w:lineRule="auto"/>
            </w:pPr>
            <w:r>
              <w:rPr>
                <w:rFonts w:hint="eastAsia"/>
              </w:rPr>
              <w:t>中标人名称</w:t>
            </w:r>
          </w:p>
        </w:tc>
        <w:tc>
          <w:tcPr>
            <w:tcW w:w="1413" w:type="pct"/>
            <w:vAlign w:val="center"/>
          </w:tcPr>
          <w:p>
            <w:pPr>
              <w:tabs>
                <w:tab w:val="clear" w:pos="426"/>
              </w:tabs>
              <w:spacing w:line="240" w:lineRule="auto"/>
            </w:pPr>
          </w:p>
        </w:tc>
        <w:tc>
          <w:tcPr>
            <w:tcW w:w="1110" w:type="pct"/>
            <w:vAlign w:val="center"/>
          </w:tcPr>
          <w:p>
            <w:pPr>
              <w:tabs>
                <w:tab w:val="clear" w:pos="426"/>
              </w:tabs>
              <w:spacing w:line="240" w:lineRule="auto"/>
            </w:pPr>
            <w:r>
              <w:rPr>
                <w:rFonts w:hint="eastAsia"/>
              </w:rPr>
              <w:t>供应商</w:t>
            </w:r>
          </w:p>
          <w:p>
            <w:pPr>
              <w:tabs>
                <w:tab w:val="clear" w:pos="426"/>
              </w:tabs>
              <w:spacing w:line="240" w:lineRule="auto"/>
            </w:pPr>
            <w:r>
              <w:rPr>
                <w:rFonts w:hint="eastAsia"/>
              </w:rPr>
              <w:t>联系人及电话</w:t>
            </w:r>
          </w:p>
        </w:tc>
        <w:tc>
          <w:tcPr>
            <w:tcW w:w="1197" w:type="pct"/>
            <w:vAlign w:val="center"/>
          </w:tcPr>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280" w:type="pct"/>
            <w:gridSpan w:val="3"/>
            <w:vAlign w:val="center"/>
          </w:tcPr>
          <w:p>
            <w:pPr>
              <w:tabs>
                <w:tab w:val="clear" w:pos="426"/>
              </w:tabs>
              <w:spacing w:line="240" w:lineRule="auto"/>
            </w:pPr>
            <w:r>
              <w:rPr>
                <w:rFonts w:hint="eastAsia"/>
              </w:rPr>
              <w:t>中标金额</w:t>
            </w:r>
          </w:p>
        </w:tc>
        <w:tc>
          <w:tcPr>
            <w:tcW w:w="1413" w:type="pct"/>
            <w:vAlign w:val="center"/>
          </w:tcPr>
          <w:p>
            <w:pPr>
              <w:tabs>
                <w:tab w:val="clear" w:pos="426"/>
              </w:tabs>
              <w:spacing w:line="240" w:lineRule="auto"/>
            </w:pPr>
          </w:p>
        </w:tc>
        <w:tc>
          <w:tcPr>
            <w:tcW w:w="1110" w:type="pct"/>
            <w:vAlign w:val="center"/>
          </w:tcPr>
          <w:p>
            <w:pPr>
              <w:tabs>
                <w:tab w:val="clear" w:pos="426"/>
              </w:tabs>
              <w:spacing w:line="240" w:lineRule="auto"/>
            </w:pPr>
            <w:r>
              <w:rPr>
                <w:rFonts w:hint="eastAsia"/>
              </w:rPr>
              <w:t>合同履约时间</w:t>
            </w:r>
          </w:p>
        </w:tc>
        <w:tc>
          <w:tcPr>
            <w:tcW w:w="1197" w:type="pct"/>
            <w:vAlign w:val="center"/>
          </w:tcPr>
          <w:p>
            <w:pPr>
              <w:tabs>
                <w:tab w:val="clear" w:pos="426"/>
              </w:tabs>
              <w:spacing w:line="240" w:lineRule="auto"/>
            </w:pPr>
            <w:r>
              <w:rPr>
                <w:rFonts w:hint="eastAsia"/>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472" w:type="pct"/>
            <w:vMerge w:val="restart"/>
            <w:vAlign w:val="center"/>
          </w:tcPr>
          <w:p>
            <w:pPr>
              <w:tabs>
                <w:tab w:val="clear" w:pos="426"/>
              </w:tabs>
              <w:spacing w:line="240" w:lineRule="auto"/>
            </w:pPr>
            <w:r>
              <w:rPr>
                <w:rFonts w:hint="eastAsia"/>
              </w:rPr>
              <w:t>履约情况评价</w:t>
            </w:r>
          </w:p>
        </w:tc>
        <w:tc>
          <w:tcPr>
            <w:tcW w:w="807" w:type="pct"/>
            <w:gridSpan w:val="2"/>
            <w:tcBorders>
              <w:right w:val="single" w:color="auto" w:sz="4" w:space="0"/>
            </w:tcBorders>
            <w:vAlign w:val="center"/>
          </w:tcPr>
          <w:p>
            <w:pPr>
              <w:tabs>
                <w:tab w:val="clear" w:pos="426"/>
              </w:tabs>
              <w:spacing w:line="240" w:lineRule="auto"/>
            </w:pPr>
            <w:r>
              <w:rPr>
                <w:rFonts w:hint="eastAsia"/>
              </w:rPr>
              <w:t>总体评价</w:t>
            </w:r>
          </w:p>
        </w:tc>
        <w:tc>
          <w:tcPr>
            <w:tcW w:w="3720" w:type="pct"/>
            <w:gridSpan w:val="3"/>
            <w:tcBorders>
              <w:left w:val="single" w:color="auto" w:sz="4" w:space="0"/>
            </w:tcBorders>
            <w:vAlign w:val="center"/>
          </w:tcPr>
          <w:p>
            <w:pPr>
              <w:tabs>
                <w:tab w:val="clear" w:pos="426"/>
              </w:tabs>
              <w:spacing w:line="240" w:lineRule="auto"/>
            </w:pPr>
            <w:r>
              <w:rPr>
                <w:rFonts w:hint="eastAsia"/>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restart"/>
            <w:tcBorders>
              <w:right w:val="single" w:color="auto" w:sz="4" w:space="0"/>
            </w:tcBorders>
            <w:vAlign w:val="center"/>
          </w:tcPr>
          <w:p>
            <w:pPr>
              <w:tabs>
                <w:tab w:val="clear" w:pos="426"/>
              </w:tabs>
              <w:spacing w:line="240" w:lineRule="auto"/>
            </w:pPr>
            <w:r>
              <w:rPr>
                <w:rFonts w:hint="eastAsia"/>
              </w:rPr>
              <w:t>分项评价</w:t>
            </w: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质量方面</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continue"/>
            <w:tcBorders>
              <w:right w:val="single" w:color="auto" w:sz="4" w:space="0"/>
            </w:tcBorders>
            <w:vAlign w:val="center"/>
          </w:tcPr>
          <w:p>
            <w:pPr>
              <w:tabs>
                <w:tab w:val="clear" w:pos="426"/>
              </w:tabs>
              <w:spacing w:line="240" w:lineRule="auto"/>
            </w:pP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价格方面</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continue"/>
            <w:tcBorders>
              <w:right w:val="single" w:color="auto" w:sz="4" w:space="0"/>
            </w:tcBorders>
            <w:vAlign w:val="center"/>
          </w:tcPr>
          <w:p>
            <w:pPr>
              <w:tabs>
                <w:tab w:val="clear" w:pos="426"/>
              </w:tabs>
              <w:spacing w:line="240" w:lineRule="auto"/>
            </w:pP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服务方面</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continue"/>
            <w:tcBorders>
              <w:right w:val="single" w:color="auto" w:sz="4" w:space="0"/>
            </w:tcBorders>
            <w:vAlign w:val="center"/>
          </w:tcPr>
          <w:p>
            <w:pPr>
              <w:tabs>
                <w:tab w:val="clear" w:pos="426"/>
              </w:tabs>
              <w:spacing w:line="240" w:lineRule="auto"/>
            </w:pP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时间方面</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continue"/>
            <w:tcBorders>
              <w:right w:val="single" w:color="auto" w:sz="4" w:space="0"/>
            </w:tcBorders>
            <w:vAlign w:val="center"/>
          </w:tcPr>
          <w:p>
            <w:pPr>
              <w:tabs>
                <w:tab w:val="clear" w:pos="426"/>
              </w:tabs>
              <w:spacing w:line="240" w:lineRule="auto"/>
            </w:pP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环境保护</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472" w:type="pct"/>
            <w:vMerge w:val="continue"/>
            <w:vAlign w:val="center"/>
          </w:tcPr>
          <w:p>
            <w:pPr>
              <w:tabs>
                <w:tab w:val="clear" w:pos="426"/>
              </w:tabs>
              <w:spacing w:line="240" w:lineRule="auto"/>
            </w:pPr>
          </w:p>
        </w:tc>
        <w:tc>
          <w:tcPr>
            <w:tcW w:w="404" w:type="pct"/>
            <w:vMerge w:val="continue"/>
            <w:tcBorders>
              <w:right w:val="single" w:color="auto" w:sz="4" w:space="0"/>
            </w:tcBorders>
            <w:vAlign w:val="center"/>
          </w:tcPr>
          <w:p>
            <w:pPr>
              <w:tabs>
                <w:tab w:val="clear" w:pos="426"/>
              </w:tabs>
              <w:spacing w:line="240" w:lineRule="auto"/>
            </w:pPr>
          </w:p>
        </w:tc>
        <w:tc>
          <w:tcPr>
            <w:tcW w:w="404" w:type="pct"/>
            <w:tcBorders>
              <w:left w:val="single" w:color="auto" w:sz="4" w:space="0"/>
              <w:right w:val="single" w:color="auto" w:sz="4" w:space="0"/>
            </w:tcBorders>
            <w:vAlign w:val="center"/>
          </w:tcPr>
          <w:p>
            <w:pPr>
              <w:tabs>
                <w:tab w:val="clear" w:pos="426"/>
              </w:tabs>
              <w:spacing w:line="240" w:lineRule="auto"/>
            </w:pPr>
            <w:r>
              <w:rPr>
                <w:rFonts w:hint="eastAsia"/>
              </w:rPr>
              <w:t>其他</w:t>
            </w:r>
          </w:p>
        </w:tc>
        <w:tc>
          <w:tcPr>
            <w:tcW w:w="3720" w:type="pct"/>
            <w:gridSpan w:val="3"/>
            <w:tcBorders>
              <w:left w:val="single" w:color="auto" w:sz="4" w:space="0"/>
            </w:tcBorders>
            <w:vAlign w:val="center"/>
          </w:tcPr>
          <w:p>
            <w:pPr>
              <w:tabs>
                <w:tab w:val="clear" w:pos="426"/>
              </w:tabs>
              <w:spacing w:line="240" w:lineRule="auto"/>
            </w:pPr>
            <w:r>
              <w:rPr>
                <w:rFonts w:hint="eastAsia"/>
              </w:rPr>
              <w:t xml:space="preserve">评价内容为：                    </w:t>
            </w:r>
          </w:p>
          <w:p>
            <w:pPr>
              <w:tabs>
                <w:tab w:val="clear" w:pos="426"/>
              </w:tabs>
              <w:spacing w:line="240" w:lineRule="auto"/>
            </w:pPr>
            <w:r>
              <w:rPr>
                <w:rFonts w:hint="eastAsia"/>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876" w:type="pct"/>
            <w:gridSpan w:val="2"/>
            <w:vAlign w:val="center"/>
          </w:tcPr>
          <w:p>
            <w:pPr>
              <w:tabs>
                <w:tab w:val="clear" w:pos="426"/>
              </w:tabs>
              <w:spacing w:line="240" w:lineRule="auto"/>
            </w:pPr>
            <w:r>
              <w:rPr>
                <w:rFonts w:hint="eastAsia"/>
              </w:rPr>
              <w:t>具体情况说明</w:t>
            </w:r>
          </w:p>
        </w:tc>
        <w:tc>
          <w:tcPr>
            <w:tcW w:w="4124" w:type="pct"/>
            <w:gridSpan w:val="4"/>
            <w:vAlign w:val="center"/>
          </w:tcPr>
          <w:p>
            <w:pPr>
              <w:tabs>
                <w:tab w:val="clear" w:pos="426"/>
              </w:tabs>
              <w:spacing w:line="240" w:lineRule="auto"/>
            </w:pPr>
          </w:p>
          <w:p>
            <w:pPr>
              <w:tabs>
                <w:tab w:val="clear" w:pos="426"/>
              </w:tabs>
              <w:spacing w:line="240" w:lineRule="auto"/>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41" w:hRule="atLeast"/>
          <w:jc w:val="center"/>
        </w:trPr>
        <w:tc>
          <w:tcPr>
            <w:tcW w:w="876" w:type="pct"/>
            <w:gridSpan w:val="2"/>
            <w:vAlign w:val="center"/>
          </w:tcPr>
          <w:p>
            <w:pPr>
              <w:tabs>
                <w:tab w:val="clear" w:pos="426"/>
              </w:tabs>
              <w:spacing w:line="240" w:lineRule="auto"/>
            </w:pPr>
            <w:r>
              <w:rPr>
                <w:rFonts w:hint="eastAsia"/>
              </w:rPr>
              <w:t>采购单位意见</w:t>
            </w:r>
          </w:p>
          <w:p>
            <w:pPr>
              <w:tabs>
                <w:tab w:val="clear" w:pos="426"/>
              </w:tabs>
              <w:spacing w:line="240" w:lineRule="auto"/>
            </w:pPr>
            <w:r>
              <w:rPr>
                <w:rFonts w:hint="eastAsia"/>
              </w:rPr>
              <w:t>（公章）</w:t>
            </w:r>
          </w:p>
        </w:tc>
        <w:tc>
          <w:tcPr>
            <w:tcW w:w="4124" w:type="pct"/>
            <w:gridSpan w:val="4"/>
            <w:vAlign w:val="center"/>
          </w:tcPr>
          <w:p>
            <w:pPr>
              <w:tabs>
                <w:tab w:val="clear" w:pos="426"/>
              </w:tabs>
              <w:spacing w:line="240" w:lineRule="auto"/>
            </w:pPr>
          </w:p>
          <w:p>
            <w:pPr>
              <w:tabs>
                <w:tab w:val="clear" w:pos="426"/>
              </w:tabs>
              <w:spacing w:line="240" w:lineRule="auto"/>
            </w:pPr>
          </w:p>
          <w:p>
            <w:pPr>
              <w:tabs>
                <w:tab w:val="clear" w:pos="426"/>
              </w:tabs>
              <w:spacing w:line="240" w:lineRule="auto"/>
            </w:pPr>
          </w:p>
          <w:p>
            <w:pPr>
              <w:tabs>
                <w:tab w:val="clear" w:pos="426"/>
              </w:tabs>
              <w:spacing w:line="240" w:lineRule="auto"/>
            </w:pPr>
            <w:r>
              <w:rPr>
                <w:rFonts w:hint="eastAsia"/>
              </w:rPr>
              <w:t>日期：   年   月   日</w:t>
            </w:r>
          </w:p>
        </w:tc>
      </w:tr>
    </w:tbl>
    <w:p>
      <w:pPr>
        <w:tabs>
          <w:tab w:val="clear" w:pos="426"/>
        </w:tabs>
      </w:pPr>
      <w:r>
        <w:rPr>
          <w:rFonts w:hint="eastAsia"/>
        </w:rPr>
        <w:t>说明：</w:t>
      </w:r>
    </w:p>
    <w:p>
      <w:pPr>
        <w:tabs>
          <w:tab w:val="clear" w:pos="426"/>
        </w:tabs>
      </w:pPr>
      <w:r>
        <w:rPr>
          <w:rFonts w:hint="eastAsia"/>
        </w:rPr>
        <w:t>1、本表为采购单位向深圳市政府采购中心反映政府采购项目履约情况时所用</w:t>
      </w:r>
      <w:r>
        <w:rPr>
          <w:rFonts w:hint="eastAsia"/>
          <w:highlight w:val="yellow"/>
        </w:rPr>
        <w:t>，投标文件中无需提供</w:t>
      </w:r>
      <w:r>
        <w:rPr>
          <w:rFonts w:hint="eastAsia"/>
        </w:rPr>
        <w:t>；</w:t>
      </w:r>
    </w:p>
    <w:p>
      <w:pPr>
        <w:tabs>
          <w:tab w:val="clear" w:pos="426"/>
        </w:tabs>
      </w:pPr>
      <w:r>
        <w:rPr>
          <w:rFonts w:hint="eastAsia"/>
        </w:rPr>
        <w:t>2、履约情况评价分为优、良、中、差四个等级，请在对应的框前打“√”，然后在“具体情况说明”一栏详细说明有关情况。</w:t>
      </w:r>
    </w:p>
    <w:p>
      <w:pPr>
        <w:pStyle w:val="33"/>
        <w:tabs>
          <w:tab w:val="clear" w:pos="426"/>
        </w:tabs>
      </w:pPr>
      <w:r>
        <w:br w:type="page"/>
      </w:r>
      <w:bookmarkStart w:id="41" w:name="_Toc18323387"/>
      <w:r>
        <w:rPr>
          <w:rFonts w:hint="eastAsia"/>
        </w:rPr>
        <w:t>第五章 投标文件格式、附件</w:t>
      </w:r>
      <w:bookmarkEnd w:id="41"/>
    </w:p>
    <w:p>
      <w:pPr>
        <w:tabs>
          <w:tab w:val="clear" w:pos="426"/>
        </w:tabs>
        <w:rPr>
          <w:rStyle w:val="59"/>
          <w:rFonts w:ascii="宋体" w:eastAsia="宋体"/>
          <w:sz w:val="24"/>
        </w:rPr>
      </w:pPr>
    </w:p>
    <w:p>
      <w:pPr>
        <w:tabs>
          <w:tab w:val="clear" w:pos="426"/>
        </w:tabs>
      </w:pPr>
      <w:r>
        <w:rPr>
          <w:rStyle w:val="59"/>
          <w:rFonts w:hint="eastAsia" w:ascii="宋体" w:eastAsia="宋体"/>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pPr>
        <w:tabs>
          <w:tab w:val="clear" w:pos="426"/>
        </w:tabs>
      </w:pPr>
    </w:p>
    <w:p>
      <w:pPr>
        <w:tabs>
          <w:tab w:val="clear" w:pos="426"/>
        </w:tabs>
      </w:pPr>
    </w:p>
    <w:p>
      <w:pPr>
        <w:tabs>
          <w:tab w:val="clear" w:pos="426"/>
        </w:tabs>
      </w:pPr>
      <w:r>
        <w:rPr>
          <w:rFonts w:hint="eastAsia"/>
        </w:rPr>
        <w:t>投标文件组成：</w:t>
      </w:r>
    </w:p>
    <w:p>
      <w:pPr>
        <w:tabs>
          <w:tab w:val="clear" w:pos="426"/>
        </w:tabs>
      </w:pPr>
    </w:p>
    <w:p>
      <w:pPr>
        <w:tabs>
          <w:tab w:val="clear" w:pos="426"/>
        </w:tabs>
      </w:pPr>
      <w:r>
        <w:rPr>
          <w:rFonts w:hint="eastAsia"/>
        </w:rPr>
        <w:t>密封袋封条格式</w:t>
      </w:r>
    </w:p>
    <w:p>
      <w:pPr>
        <w:tabs>
          <w:tab w:val="clear" w:pos="426"/>
        </w:tabs>
      </w:pPr>
      <w:r>
        <w:rPr>
          <w:rFonts w:hint="eastAsia"/>
        </w:rPr>
        <w:t>投标文件封面格式</w:t>
      </w:r>
    </w:p>
    <w:p>
      <w:pPr>
        <w:tabs>
          <w:tab w:val="clear" w:pos="426"/>
        </w:tabs>
      </w:pPr>
      <w:r>
        <w:rPr>
          <w:rFonts w:hint="eastAsia"/>
        </w:rPr>
        <w:t>目录（目录格式自定）</w:t>
      </w:r>
    </w:p>
    <w:p>
      <w:pPr>
        <w:tabs>
          <w:tab w:val="clear" w:pos="426"/>
        </w:tabs>
      </w:pPr>
      <w:r>
        <w:rPr>
          <w:rFonts w:hint="eastAsia"/>
        </w:rPr>
        <w:t>评标指引表</w:t>
      </w:r>
    </w:p>
    <w:p>
      <w:pPr>
        <w:numPr>
          <w:ilvl w:val="1"/>
          <w:numId w:val="27"/>
        </w:numPr>
        <w:tabs>
          <w:tab w:val="clear" w:pos="426"/>
        </w:tabs>
        <w:spacing w:line="276" w:lineRule="auto"/>
      </w:pPr>
      <w:r>
        <w:rPr>
          <w:rFonts w:hint="eastAsia"/>
        </w:rPr>
        <w:t>投标函</w:t>
      </w:r>
    </w:p>
    <w:p>
      <w:pPr>
        <w:numPr>
          <w:ilvl w:val="1"/>
          <w:numId w:val="27"/>
        </w:numPr>
        <w:tabs>
          <w:tab w:val="clear" w:pos="426"/>
        </w:tabs>
        <w:spacing w:line="276" w:lineRule="auto"/>
      </w:pPr>
      <w:r>
        <w:rPr>
          <w:rFonts w:hint="eastAsia"/>
        </w:rPr>
        <w:t>政府采购投标及履约承诺函</w:t>
      </w:r>
    </w:p>
    <w:p>
      <w:pPr>
        <w:numPr>
          <w:ilvl w:val="1"/>
          <w:numId w:val="27"/>
        </w:numPr>
        <w:tabs>
          <w:tab w:val="clear" w:pos="426"/>
        </w:tabs>
        <w:spacing w:line="276" w:lineRule="auto"/>
      </w:pPr>
      <w:r>
        <w:rPr>
          <w:rFonts w:hint="eastAsia"/>
        </w:rPr>
        <w:t>法定代表人授权委托书、法定代表人证明书</w:t>
      </w:r>
      <w:r>
        <w:rPr>
          <w:rFonts w:hint="eastAsia"/>
          <w:bCs/>
        </w:rPr>
        <w:t>（信息不公开部分）</w:t>
      </w:r>
    </w:p>
    <w:p>
      <w:pPr>
        <w:numPr>
          <w:ilvl w:val="1"/>
          <w:numId w:val="27"/>
        </w:numPr>
        <w:tabs>
          <w:tab w:val="clear" w:pos="426"/>
        </w:tabs>
        <w:spacing w:line="276" w:lineRule="auto"/>
      </w:pPr>
      <w:r>
        <w:rPr>
          <w:rFonts w:hint="eastAsia"/>
        </w:rPr>
        <w:t>投标人基本情况表</w:t>
      </w:r>
    </w:p>
    <w:p>
      <w:pPr>
        <w:numPr>
          <w:ilvl w:val="1"/>
          <w:numId w:val="27"/>
        </w:numPr>
        <w:tabs>
          <w:tab w:val="clear" w:pos="426"/>
        </w:tabs>
        <w:spacing w:line="276" w:lineRule="auto"/>
      </w:pPr>
      <w:r>
        <w:rPr>
          <w:rFonts w:hint="eastAsia"/>
        </w:rPr>
        <w:t>开标一览表（报价表）</w:t>
      </w:r>
    </w:p>
    <w:p>
      <w:pPr>
        <w:numPr>
          <w:ilvl w:val="1"/>
          <w:numId w:val="27"/>
        </w:numPr>
        <w:tabs>
          <w:tab w:val="clear" w:pos="426"/>
        </w:tabs>
        <w:spacing w:line="276" w:lineRule="auto"/>
      </w:pPr>
      <w:r>
        <w:rPr>
          <w:rFonts w:hint="eastAsia"/>
        </w:rPr>
        <w:t>工程量清单报价格式</w:t>
      </w:r>
      <w:r>
        <w:rPr>
          <w:rFonts w:hint="eastAsia"/>
          <w:bCs/>
        </w:rPr>
        <w:t>（信息不公开部分）</w:t>
      </w:r>
    </w:p>
    <w:p>
      <w:pPr>
        <w:numPr>
          <w:ilvl w:val="1"/>
          <w:numId w:val="27"/>
        </w:numPr>
        <w:tabs>
          <w:tab w:val="clear" w:pos="426"/>
        </w:tabs>
        <w:spacing w:line="276" w:lineRule="auto"/>
      </w:pPr>
      <w:bookmarkStart w:id="42" w:name="_Hlk2110363"/>
      <w:r>
        <w:rPr>
          <w:rFonts w:hint="eastAsia"/>
        </w:rPr>
        <w:t>实质性响应条款偏离表</w:t>
      </w:r>
      <w:r>
        <w:rPr>
          <w:rFonts w:hint="eastAsia"/>
          <w:bCs/>
        </w:rPr>
        <w:t>（信息不公开部分）</w:t>
      </w:r>
    </w:p>
    <w:p>
      <w:pPr>
        <w:numPr>
          <w:ilvl w:val="1"/>
          <w:numId w:val="27"/>
        </w:numPr>
        <w:tabs>
          <w:tab w:val="clear" w:pos="426"/>
        </w:tabs>
        <w:spacing w:line="276" w:lineRule="auto"/>
        <w:rPr>
          <w:bCs/>
        </w:rPr>
      </w:pPr>
      <w:r>
        <w:rPr>
          <w:rFonts w:hint="eastAsia"/>
          <w:bCs/>
        </w:rPr>
        <w:t>项目需求响应表（实质性条款除外）（信息不公开部分）</w:t>
      </w:r>
    </w:p>
    <w:p>
      <w:pPr>
        <w:numPr>
          <w:ilvl w:val="1"/>
          <w:numId w:val="27"/>
        </w:numPr>
        <w:tabs>
          <w:tab w:val="clear" w:pos="426"/>
        </w:tabs>
        <w:spacing w:line="276" w:lineRule="auto"/>
        <w:rPr>
          <w:bCs/>
        </w:rPr>
      </w:pPr>
      <w:r>
        <w:rPr>
          <w:rFonts w:hint="eastAsia"/>
          <w:bCs/>
        </w:rPr>
        <w:t>项目总体概述及理解（信息不公开部分）</w:t>
      </w:r>
    </w:p>
    <w:p>
      <w:pPr>
        <w:numPr>
          <w:ilvl w:val="1"/>
          <w:numId w:val="27"/>
        </w:numPr>
        <w:tabs>
          <w:tab w:val="clear" w:pos="426"/>
        </w:tabs>
        <w:spacing w:line="276" w:lineRule="auto"/>
      </w:pPr>
      <w:r>
        <w:rPr>
          <w:rFonts w:hint="eastAsia"/>
          <w:szCs w:val="21"/>
        </w:rPr>
        <w:t>施工组织计划、施工技术、施工工艺及相关的合理化建议</w:t>
      </w:r>
      <w:r>
        <w:rPr>
          <w:rFonts w:hint="eastAsia"/>
          <w:bCs/>
        </w:rPr>
        <w:t>（信息不公开部分）</w:t>
      </w:r>
    </w:p>
    <w:p>
      <w:pPr>
        <w:numPr>
          <w:ilvl w:val="1"/>
          <w:numId w:val="27"/>
        </w:numPr>
        <w:tabs>
          <w:tab w:val="clear" w:pos="426"/>
        </w:tabs>
        <w:spacing w:line="276" w:lineRule="auto"/>
      </w:pPr>
      <w:r>
        <w:rPr>
          <w:rFonts w:hint="eastAsia"/>
          <w:szCs w:val="21"/>
        </w:rPr>
        <w:t>项目实施关键施工技术（重点难点）分析及解决方案</w:t>
      </w:r>
      <w:r>
        <w:rPr>
          <w:rFonts w:hint="eastAsia"/>
          <w:bCs/>
        </w:rPr>
        <w:t>（信息不公开部分）</w:t>
      </w:r>
    </w:p>
    <w:p>
      <w:pPr>
        <w:numPr>
          <w:ilvl w:val="1"/>
          <w:numId w:val="27"/>
        </w:numPr>
        <w:tabs>
          <w:tab w:val="clear" w:pos="426"/>
        </w:tabs>
        <w:spacing w:line="276" w:lineRule="auto"/>
      </w:pPr>
      <w:r>
        <w:rPr>
          <w:rFonts w:hint="eastAsia"/>
        </w:rPr>
        <w:t>拟采用设备（材料）的性能（节能环保情况）、档次及质量可靠性（格式自定）</w:t>
      </w:r>
      <w:r>
        <w:rPr>
          <w:rFonts w:hint="eastAsia"/>
          <w:bCs/>
        </w:rPr>
        <w:t>（信息不公开部分）</w:t>
      </w:r>
    </w:p>
    <w:p>
      <w:pPr>
        <w:numPr>
          <w:ilvl w:val="1"/>
          <w:numId w:val="27"/>
        </w:numPr>
        <w:tabs>
          <w:tab w:val="clear" w:pos="426"/>
        </w:tabs>
        <w:spacing w:line="276" w:lineRule="auto"/>
      </w:pPr>
      <w:r>
        <w:rPr>
          <w:rFonts w:hint="eastAsia"/>
          <w:szCs w:val="21"/>
        </w:rPr>
        <w:t>施工质量（安全、环保、工期、售后服务）保障措施及相关的违约承诺</w:t>
      </w:r>
      <w:r>
        <w:rPr>
          <w:rFonts w:hint="eastAsia"/>
          <w:bCs/>
        </w:rPr>
        <w:t>（信息不公开部分）</w:t>
      </w:r>
    </w:p>
    <w:p>
      <w:pPr>
        <w:numPr>
          <w:ilvl w:val="1"/>
          <w:numId w:val="27"/>
        </w:numPr>
        <w:tabs>
          <w:tab w:val="clear" w:pos="426"/>
        </w:tabs>
        <w:spacing w:line="276" w:lineRule="auto"/>
      </w:pPr>
      <w:r>
        <w:rPr>
          <w:rFonts w:hint="eastAsia"/>
        </w:rPr>
        <w:t>投标人通过相关认证情况</w:t>
      </w:r>
    </w:p>
    <w:p>
      <w:pPr>
        <w:numPr>
          <w:ilvl w:val="1"/>
          <w:numId w:val="27"/>
        </w:numPr>
        <w:tabs>
          <w:tab w:val="clear" w:pos="426"/>
        </w:tabs>
        <w:spacing w:line="276" w:lineRule="auto"/>
      </w:pPr>
      <w:r>
        <w:rPr>
          <w:rFonts w:hint="eastAsia"/>
        </w:rPr>
        <w:t>投标人同类项目业绩情况</w:t>
      </w:r>
    </w:p>
    <w:p>
      <w:pPr>
        <w:numPr>
          <w:ilvl w:val="1"/>
          <w:numId w:val="27"/>
        </w:numPr>
        <w:tabs>
          <w:tab w:val="clear" w:pos="426"/>
        </w:tabs>
        <w:spacing w:line="276" w:lineRule="auto"/>
      </w:pPr>
      <w:r>
        <w:rPr>
          <w:rFonts w:hint="eastAsia"/>
          <w:szCs w:val="21"/>
        </w:rPr>
        <w:t>投标人本地服务能力</w:t>
      </w:r>
      <w:bookmarkEnd w:id="42"/>
    </w:p>
    <w:p>
      <w:pPr>
        <w:numPr>
          <w:ilvl w:val="1"/>
          <w:numId w:val="27"/>
        </w:numPr>
        <w:tabs>
          <w:tab w:val="clear" w:pos="426"/>
        </w:tabs>
        <w:spacing w:line="276" w:lineRule="auto"/>
      </w:pPr>
      <w:r>
        <w:rPr>
          <w:rFonts w:hint="eastAsia"/>
        </w:rPr>
        <w:t>招标代理服务费承诺书</w:t>
      </w:r>
    </w:p>
    <w:p>
      <w:pPr>
        <w:numPr>
          <w:ilvl w:val="1"/>
          <w:numId w:val="27"/>
        </w:numPr>
        <w:tabs>
          <w:tab w:val="clear" w:pos="426"/>
        </w:tabs>
        <w:spacing w:line="276" w:lineRule="auto"/>
        <w:rPr>
          <w:b/>
          <w:bCs/>
        </w:rPr>
      </w:pPr>
      <w:r>
        <w:rPr>
          <w:rFonts w:hint="eastAsia"/>
        </w:rPr>
        <w:t>招标文件要求的其他内容及投标人认为需要加以说明的其他内容</w:t>
      </w:r>
    </w:p>
    <w:p>
      <w:pPr>
        <w:tabs>
          <w:tab w:val="clear" w:pos="426"/>
        </w:tabs>
        <w:rPr>
          <w:b/>
          <w:bCs/>
        </w:rPr>
      </w:pPr>
    </w:p>
    <w:p>
      <w:pPr>
        <w:adjustRightInd/>
        <w:snapToGrid/>
        <w:spacing w:before="280" w:after="290" w:line="377" w:lineRule="auto"/>
        <w:jc w:val="center"/>
        <w:outlineLvl w:val="2"/>
        <w:rPr>
          <w:b/>
          <w:sz w:val="24"/>
        </w:rPr>
      </w:pPr>
      <w:r>
        <w:br w:type="page"/>
      </w:r>
      <w:r>
        <w:rPr>
          <w:rFonts w:hint="eastAsia"/>
          <w:b/>
          <w:sz w:val="24"/>
        </w:rPr>
        <w:t>密封袋封条格式</w:t>
      </w:r>
    </w:p>
    <w:p>
      <w:pPr>
        <w:tabs>
          <w:tab w:val="clear" w:pos="426"/>
        </w:tabs>
        <w:jc w:val="center"/>
        <w:rPr>
          <w:sz w:val="44"/>
          <w:szCs w:val="44"/>
          <w:u w:val="single"/>
        </w:rPr>
      </w:pPr>
    </w:p>
    <w:p>
      <w:pPr>
        <w:tabs>
          <w:tab w:val="clear" w:pos="426"/>
        </w:tabs>
        <w:jc w:val="center"/>
        <w:rPr>
          <w:sz w:val="44"/>
          <w:szCs w:val="44"/>
        </w:rPr>
      </w:pPr>
      <w:r>
        <w:rPr>
          <w:rFonts w:hint="eastAsia"/>
          <w:sz w:val="44"/>
          <w:szCs w:val="44"/>
          <w:highlight w:val="yellow"/>
          <w:u w:val="single"/>
          <w:lang w:eastAsia="zh-CN"/>
        </w:rPr>
        <w:t>深圳市公明兴文幼儿园</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招标项目编号：</w:t>
      </w:r>
      <w:r>
        <w:rPr>
          <w:rFonts w:hint="eastAsia"/>
          <w:sz w:val="28"/>
          <w:szCs w:val="28"/>
          <w:u w:val="single"/>
        </w:rPr>
        <w:t>__________________________________________</w:t>
      </w:r>
    </w:p>
    <w:p>
      <w:pPr>
        <w:tabs>
          <w:tab w:val="clear" w:pos="426"/>
        </w:tabs>
        <w:ind w:left="708" w:leftChars="337"/>
        <w:rPr>
          <w:sz w:val="28"/>
          <w:szCs w:val="28"/>
        </w:rPr>
      </w:pPr>
      <w:r>
        <w:rPr>
          <w:rFonts w:hint="eastAsia"/>
          <w:sz w:val="28"/>
          <w:szCs w:val="28"/>
        </w:rPr>
        <w:t>投标人名称（公章)：</w:t>
      </w:r>
      <w:r>
        <w:rPr>
          <w:rFonts w:hint="eastAsia"/>
          <w:sz w:val="28"/>
          <w:szCs w:val="28"/>
          <w:u w:val="single"/>
        </w:rPr>
        <w:t>_____________________________________</w:t>
      </w:r>
    </w:p>
    <w:p>
      <w:pPr>
        <w:tabs>
          <w:tab w:val="clear" w:pos="426"/>
        </w:tabs>
        <w:ind w:left="708" w:leftChars="337"/>
        <w:rPr>
          <w:sz w:val="28"/>
          <w:szCs w:val="28"/>
        </w:rPr>
      </w:pPr>
      <w:r>
        <w:rPr>
          <w:rFonts w:hint="eastAsia"/>
          <w:sz w:val="28"/>
          <w:szCs w:val="28"/>
        </w:rPr>
        <w:t>投标人代表（签名）：</w:t>
      </w:r>
      <w:r>
        <w:rPr>
          <w:rFonts w:hint="eastAsia"/>
          <w:sz w:val="28"/>
          <w:szCs w:val="28"/>
          <w:u w:val="single"/>
        </w:rPr>
        <w:t>____________________________________</w:t>
      </w:r>
    </w:p>
    <w:p>
      <w:pPr>
        <w:tabs>
          <w:tab w:val="clear" w:pos="426"/>
        </w:tabs>
        <w:ind w:left="708" w:leftChars="337"/>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pPr>
        <w:adjustRightInd/>
        <w:snapToGrid/>
        <w:spacing w:before="280" w:after="290" w:line="377" w:lineRule="auto"/>
        <w:jc w:val="center"/>
        <w:outlineLvl w:val="2"/>
        <w:rPr>
          <w:b/>
          <w:sz w:val="24"/>
        </w:rPr>
      </w:pPr>
      <w:r>
        <w:br w:type="page"/>
      </w:r>
      <w:r>
        <w:rPr>
          <w:rFonts w:hint="eastAsia"/>
          <w:b/>
          <w:sz w:val="24"/>
        </w:rPr>
        <w:t>投标文件封面格式</w:t>
      </w:r>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highlight w:val="yellow"/>
          <w:u w:val="single"/>
          <w:lang w:eastAsia="zh-CN"/>
        </w:rPr>
        <w:t>深圳市公明兴文幼儿园</w:t>
      </w:r>
      <w:r>
        <w:rPr>
          <w:rFonts w:hint="eastAsia"/>
          <w:sz w:val="44"/>
          <w:szCs w:val="44"/>
        </w:rPr>
        <w:t>项目</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rPr>
          <w:sz w:val="52"/>
          <w:szCs w:val="52"/>
        </w:rPr>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招标项目编号：</w:t>
      </w:r>
      <w:r>
        <w:rPr>
          <w:rFonts w:hint="eastAsia"/>
          <w:sz w:val="28"/>
          <w:szCs w:val="28"/>
          <w:u w:val="single"/>
        </w:rPr>
        <w:t>___________________________________</w:t>
      </w:r>
    </w:p>
    <w:p>
      <w:pPr>
        <w:tabs>
          <w:tab w:val="clear" w:pos="426"/>
        </w:tabs>
        <w:ind w:left="1275" w:leftChars="607"/>
        <w:rPr>
          <w:sz w:val="28"/>
          <w:szCs w:val="28"/>
        </w:rPr>
      </w:pPr>
      <w:r>
        <w:rPr>
          <w:rFonts w:hint="eastAsia"/>
          <w:sz w:val="28"/>
          <w:szCs w:val="28"/>
        </w:rPr>
        <w:t>投标人名称（公章)：</w:t>
      </w:r>
      <w:r>
        <w:rPr>
          <w:rFonts w:hint="eastAsia"/>
          <w:sz w:val="28"/>
          <w:szCs w:val="28"/>
          <w:u w:val="single"/>
        </w:rPr>
        <w:t>__________________________</w:t>
      </w:r>
    </w:p>
    <w:p>
      <w:pPr>
        <w:tabs>
          <w:tab w:val="clear" w:pos="426"/>
        </w:tabs>
        <w:ind w:left="1275" w:leftChars="607"/>
        <w:rPr>
          <w:sz w:val="28"/>
          <w:szCs w:val="28"/>
        </w:rPr>
      </w:pPr>
      <w:r>
        <w:rPr>
          <w:rFonts w:hint="eastAsia"/>
          <w:sz w:val="28"/>
          <w:szCs w:val="28"/>
        </w:rPr>
        <w:t>投标人代表（签名）：</w:t>
      </w:r>
      <w:r>
        <w:rPr>
          <w:rFonts w:hint="eastAsia"/>
          <w:sz w:val="28"/>
          <w:szCs w:val="28"/>
          <w:u w:val="single"/>
        </w:rPr>
        <w:t>_________________________</w:t>
      </w:r>
    </w:p>
    <w:p>
      <w:pPr>
        <w:tabs>
          <w:tab w:val="clear" w:pos="426"/>
        </w:tabs>
        <w:ind w:left="1275" w:leftChars="607"/>
        <w:rPr>
          <w:sz w:val="28"/>
          <w:szCs w:val="28"/>
        </w:rPr>
      </w:pPr>
      <w:r>
        <w:rPr>
          <w:rFonts w:hint="eastAsia"/>
          <w:sz w:val="28"/>
          <w:szCs w:val="28"/>
        </w:rPr>
        <w:t>投标日期：</w:t>
      </w:r>
      <w:r>
        <w:rPr>
          <w:rFonts w:hint="eastAsia"/>
          <w:sz w:val="28"/>
          <w:szCs w:val="28"/>
          <w:u w:val="single"/>
        </w:rPr>
        <w:t>__________________年_____月______日</w:t>
      </w:r>
    </w:p>
    <w:p>
      <w:pPr>
        <w:tabs>
          <w:tab w:val="clear" w:pos="426"/>
        </w:tabs>
      </w:pPr>
    </w:p>
    <w:p>
      <w:pPr>
        <w:adjustRightInd/>
        <w:snapToGrid/>
        <w:spacing w:before="280" w:after="290" w:line="377" w:lineRule="auto"/>
        <w:jc w:val="center"/>
        <w:outlineLvl w:val="2"/>
        <w:rPr>
          <w:b/>
          <w:sz w:val="24"/>
        </w:rPr>
      </w:pPr>
      <w:r>
        <w:br w:type="page"/>
      </w:r>
      <w:r>
        <w:rPr>
          <w:rFonts w:hint="eastAsia"/>
          <w:b/>
          <w:sz w:val="24"/>
        </w:rPr>
        <w:t>投标文件目录（目录格式自定）</w:t>
      </w:r>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tabs>
          <w:tab w:val="clear" w:pos="426"/>
        </w:tabs>
        <w:adjustRightInd/>
        <w:snapToGrid/>
        <w:spacing w:before="280" w:after="290" w:line="377" w:lineRule="auto"/>
        <w:jc w:val="center"/>
        <w:outlineLvl w:val="2"/>
        <w:rPr>
          <w:b/>
          <w:sz w:val="24"/>
        </w:rPr>
      </w:pPr>
      <w:r>
        <w:br w:type="page"/>
      </w:r>
      <w:r>
        <w:rPr>
          <w:rFonts w:hint="eastAsia"/>
          <w:b/>
          <w:sz w:val="24"/>
        </w:rPr>
        <w:t>评标指引表</w:t>
      </w:r>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为方便参与该项目的评委专家的评标，快速找到评标事项与该项目投标文件所对应的位置，请投标人参照下表格式，编制本项目评标指引表。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招标项目编号：</w:t>
      </w:r>
    </w:p>
    <w:p>
      <w:pPr>
        <w:tabs>
          <w:tab w:val="clear" w:pos="426"/>
        </w:tabs>
        <w:jc w:val="center"/>
        <w:rPr>
          <w:b/>
        </w:rPr>
      </w:pPr>
      <w:r>
        <w:rPr>
          <w:rFonts w:hint="eastAsia"/>
          <w:b/>
        </w:rPr>
        <w:t>项目评标指引表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tabs>
                <w:tab w:val="clear" w:pos="426"/>
              </w:tabs>
              <w:adjustRightInd/>
              <w:snapToGrid/>
              <w:spacing w:line="240" w:lineRule="auto"/>
              <w:jc w:val="center"/>
              <w:rPr>
                <w:b/>
              </w:rPr>
            </w:pPr>
            <w:r>
              <w:rPr>
                <w:rFonts w:hint="eastAsia"/>
                <w:b/>
              </w:rPr>
              <w:t>序号</w:t>
            </w:r>
          </w:p>
        </w:tc>
        <w:tc>
          <w:tcPr>
            <w:tcW w:w="2196" w:type="pct"/>
            <w:gridSpan w:val="2"/>
            <w:vAlign w:val="center"/>
          </w:tcPr>
          <w:p>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pPr>
              <w:tabs>
                <w:tab w:val="clear" w:pos="426"/>
              </w:tabs>
              <w:adjustRightInd/>
              <w:snapToGrid/>
              <w:spacing w:line="240" w:lineRule="auto"/>
              <w:jc w:val="center"/>
              <w:rPr>
                <w:b/>
              </w:rPr>
            </w:pPr>
            <w:r>
              <w:rPr>
                <w:rFonts w:hint="eastAsia"/>
                <w:b/>
              </w:rPr>
              <w:t>证明文件</w:t>
            </w:r>
          </w:p>
        </w:tc>
        <w:tc>
          <w:tcPr>
            <w:tcW w:w="730" w:type="pct"/>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restart"/>
            <w:vAlign w:val="center"/>
          </w:tcPr>
          <w:p>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pPr>
              <w:tabs>
                <w:tab w:val="clear" w:pos="426"/>
              </w:tabs>
              <w:adjustRightInd/>
              <w:snapToGrid/>
              <w:spacing w:line="240" w:lineRule="auto"/>
              <w:jc w:val="center"/>
            </w:pPr>
            <w:r>
              <w:rPr>
                <w:rFonts w:hint="eastAsia"/>
              </w:rPr>
              <w:t>营业执照</w:t>
            </w:r>
          </w:p>
        </w:tc>
        <w:tc>
          <w:tcPr>
            <w:tcW w:w="730" w:type="pct"/>
            <w:shd w:val="clear" w:color="auto" w:fill="auto"/>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continue"/>
            <w:vAlign w:val="center"/>
          </w:tcPr>
          <w:p>
            <w:pPr>
              <w:tabs>
                <w:tab w:val="clear" w:pos="426"/>
              </w:tabs>
              <w:adjustRightInd/>
              <w:snapToGrid/>
              <w:spacing w:line="240" w:lineRule="auto"/>
              <w:jc w:val="center"/>
              <w:rPr>
                <w:b/>
              </w:rPr>
            </w:pPr>
          </w:p>
        </w:tc>
        <w:tc>
          <w:tcPr>
            <w:tcW w:w="2196" w:type="pct"/>
            <w:gridSpan w:val="2"/>
            <w:vMerge w:val="continue"/>
            <w:vAlign w:val="center"/>
          </w:tcPr>
          <w:p>
            <w:pPr>
              <w:tabs>
                <w:tab w:val="clear" w:pos="426"/>
              </w:tabs>
              <w:adjustRightInd/>
              <w:snapToGrid/>
              <w:spacing w:line="240" w:lineRule="auto"/>
              <w:jc w:val="center"/>
              <w:rPr>
                <w:color w:val="000000"/>
              </w:rPr>
            </w:pPr>
          </w:p>
        </w:tc>
        <w:tc>
          <w:tcPr>
            <w:tcW w:w="1622" w:type="pct"/>
            <w:gridSpan w:val="3"/>
            <w:vAlign w:val="center"/>
          </w:tcPr>
          <w:p>
            <w:pPr>
              <w:tabs>
                <w:tab w:val="clear" w:pos="426"/>
              </w:tabs>
              <w:adjustRightInd/>
              <w:snapToGrid/>
              <w:spacing w:line="240" w:lineRule="auto"/>
              <w:jc w:val="center"/>
            </w:pPr>
          </w:p>
        </w:tc>
        <w:tc>
          <w:tcPr>
            <w:tcW w:w="730" w:type="pct"/>
            <w:shd w:val="clear" w:color="auto" w:fill="auto"/>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continue"/>
            <w:vAlign w:val="center"/>
          </w:tcPr>
          <w:p>
            <w:pPr>
              <w:tabs>
                <w:tab w:val="clear" w:pos="426"/>
              </w:tabs>
              <w:adjustRightInd/>
              <w:snapToGrid/>
              <w:spacing w:line="240" w:lineRule="auto"/>
              <w:jc w:val="center"/>
              <w:rPr>
                <w:b/>
              </w:rPr>
            </w:pPr>
          </w:p>
        </w:tc>
        <w:tc>
          <w:tcPr>
            <w:tcW w:w="2196" w:type="pct"/>
            <w:gridSpan w:val="2"/>
            <w:vMerge w:val="continue"/>
            <w:vAlign w:val="center"/>
          </w:tcPr>
          <w:p>
            <w:pPr>
              <w:tabs>
                <w:tab w:val="clear" w:pos="426"/>
              </w:tabs>
              <w:adjustRightInd/>
              <w:snapToGrid/>
              <w:spacing w:line="240" w:lineRule="auto"/>
              <w:jc w:val="center"/>
              <w:rPr>
                <w:color w:val="000000"/>
              </w:rPr>
            </w:pPr>
          </w:p>
        </w:tc>
        <w:tc>
          <w:tcPr>
            <w:tcW w:w="1622" w:type="pct"/>
            <w:gridSpan w:val="3"/>
            <w:vAlign w:val="center"/>
          </w:tcPr>
          <w:p>
            <w:pPr>
              <w:tabs>
                <w:tab w:val="clear" w:pos="426"/>
              </w:tabs>
              <w:adjustRightInd/>
              <w:snapToGrid/>
              <w:spacing w:line="240" w:lineRule="auto"/>
              <w:jc w:val="cente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continue"/>
            <w:vAlign w:val="center"/>
          </w:tcPr>
          <w:p>
            <w:pPr>
              <w:tabs>
                <w:tab w:val="clear" w:pos="426"/>
              </w:tabs>
              <w:adjustRightInd/>
              <w:snapToGrid/>
              <w:spacing w:line="240" w:lineRule="auto"/>
              <w:jc w:val="center"/>
              <w:rPr>
                <w:b/>
              </w:rPr>
            </w:pPr>
          </w:p>
        </w:tc>
        <w:tc>
          <w:tcPr>
            <w:tcW w:w="2196" w:type="pct"/>
            <w:gridSpan w:val="2"/>
            <w:vMerge w:val="continue"/>
            <w:vAlign w:val="center"/>
          </w:tcPr>
          <w:p>
            <w:pPr>
              <w:tabs>
                <w:tab w:val="clear" w:pos="426"/>
              </w:tabs>
              <w:adjustRightInd/>
              <w:snapToGrid/>
              <w:spacing w:line="240" w:lineRule="auto"/>
              <w:jc w:val="center"/>
              <w:rPr>
                <w:color w:val="000000"/>
              </w:rPr>
            </w:pPr>
          </w:p>
        </w:tc>
        <w:tc>
          <w:tcPr>
            <w:tcW w:w="1622" w:type="pct"/>
            <w:gridSpan w:val="3"/>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continue"/>
            <w:vAlign w:val="center"/>
          </w:tcPr>
          <w:p>
            <w:pPr>
              <w:tabs>
                <w:tab w:val="clear" w:pos="426"/>
              </w:tabs>
              <w:adjustRightInd/>
              <w:snapToGrid/>
              <w:spacing w:line="240" w:lineRule="auto"/>
              <w:jc w:val="center"/>
              <w:rPr>
                <w:b/>
              </w:rPr>
            </w:pPr>
          </w:p>
        </w:tc>
        <w:tc>
          <w:tcPr>
            <w:tcW w:w="2196" w:type="pct"/>
            <w:gridSpan w:val="2"/>
            <w:vMerge w:val="continue"/>
            <w:vAlign w:val="center"/>
          </w:tcPr>
          <w:p>
            <w:pPr>
              <w:tabs>
                <w:tab w:val="clear" w:pos="426"/>
              </w:tabs>
              <w:adjustRightInd/>
              <w:snapToGrid/>
              <w:spacing w:line="240" w:lineRule="auto"/>
              <w:jc w:val="center"/>
              <w:rPr>
                <w:color w:val="000000"/>
              </w:rPr>
            </w:pPr>
          </w:p>
        </w:tc>
        <w:tc>
          <w:tcPr>
            <w:tcW w:w="1622" w:type="pct"/>
            <w:gridSpan w:val="3"/>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Merge w:val="continue"/>
            <w:vAlign w:val="center"/>
          </w:tcPr>
          <w:p>
            <w:pPr>
              <w:tabs>
                <w:tab w:val="clear" w:pos="426"/>
              </w:tabs>
              <w:adjustRightInd/>
              <w:snapToGrid/>
              <w:spacing w:line="240" w:lineRule="auto"/>
              <w:jc w:val="center"/>
              <w:rPr>
                <w:b/>
              </w:rPr>
            </w:pPr>
          </w:p>
        </w:tc>
        <w:tc>
          <w:tcPr>
            <w:tcW w:w="2196" w:type="pct"/>
            <w:gridSpan w:val="2"/>
            <w:vMerge w:val="continue"/>
            <w:vAlign w:val="center"/>
          </w:tcPr>
          <w:p>
            <w:pPr>
              <w:tabs>
                <w:tab w:val="clear" w:pos="426"/>
              </w:tabs>
              <w:adjustRightInd/>
              <w:snapToGrid/>
              <w:spacing w:line="240" w:lineRule="auto"/>
              <w:jc w:val="center"/>
              <w:rPr>
                <w:color w:val="000000"/>
              </w:rPr>
            </w:pPr>
          </w:p>
        </w:tc>
        <w:tc>
          <w:tcPr>
            <w:tcW w:w="1622" w:type="pct"/>
            <w:gridSpan w:val="3"/>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adjustRightInd/>
              <w:snapToGrid/>
              <w:spacing w:line="240" w:lineRule="auto"/>
              <w:jc w:val="center"/>
              <w:rPr>
                <w:b/>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tabs>
                <w:tab w:val="clear" w:pos="426"/>
              </w:tabs>
              <w:adjustRightInd/>
              <w:snapToGrid/>
              <w:spacing w:line="240" w:lineRule="auto"/>
              <w:jc w:val="center"/>
              <w:rPr>
                <w:b/>
              </w:rPr>
            </w:pPr>
            <w:r>
              <w:rPr>
                <w:rFonts w:hint="eastAsia"/>
                <w:b/>
              </w:rPr>
              <w:t>序号</w:t>
            </w:r>
          </w:p>
        </w:tc>
        <w:tc>
          <w:tcPr>
            <w:tcW w:w="3105" w:type="pct"/>
            <w:gridSpan w:val="4"/>
            <w:vAlign w:val="center"/>
          </w:tcPr>
          <w:p>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pPr>
              <w:tabs>
                <w:tab w:val="clear" w:pos="426"/>
              </w:tabs>
              <w:adjustRightInd/>
              <w:snapToGrid/>
              <w:spacing w:line="240" w:lineRule="auto"/>
              <w:jc w:val="center"/>
              <w:rPr>
                <w:b/>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w:t>
            </w:r>
            <w:r>
              <w:t xml:space="preserve"> </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8</w:t>
            </w:r>
          </w:p>
        </w:tc>
        <w:tc>
          <w:tcPr>
            <w:tcW w:w="3105" w:type="pct"/>
            <w:gridSpan w:val="4"/>
            <w:vAlign w:val="center"/>
          </w:tcPr>
          <w:p>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pPr>
              <w:tabs>
                <w:tab w:val="clear" w:pos="426"/>
              </w:tabs>
              <w:adjustRightInd/>
              <w:snapToGrid/>
              <w:spacing w:line="240" w:lineRule="auto"/>
            </w:pPr>
            <w:r>
              <w:rPr>
                <w:rFonts w:hint="eastAsia"/>
              </w:rPr>
              <w:t>投标报价没有严重缺漏项目；投标报价没有对招标文件规定的工程清单项目及数量进行修改；</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2" w:type="pct"/>
            <w:vAlign w:val="center"/>
          </w:tcPr>
          <w:p>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vAlign w:val="center"/>
          </w:tcPr>
          <w:p>
            <w:pPr>
              <w:tabs>
                <w:tab w:val="clear" w:pos="426"/>
              </w:tabs>
              <w:adjustRightInd/>
              <w:snapToGrid/>
              <w:spacing w:line="240" w:lineRule="auto"/>
              <w:jc w:val="center"/>
              <w:rPr>
                <w:b/>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Align w:val="center"/>
          </w:tcPr>
          <w:p>
            <w:pPr>
              <w:tabs>
                <w:tab w:val="clear" w:pos="426"/>
              </w:tabs>
              <w:adjustRightInd/>
              <w:snapToGrid/>
              <w:spacing w:line="240" w:lineRule="auto"/>
              <w:jc w:val="center"/>
              <w:rPr>
                <w:b/>
              </w:rPr>
            </w:pPr>
            <w:r>
              <w:rPr>
                <w:rFonts w:hint="eastAsia"/>
                <w:b/>
              </w:rPr>
              <w:t>评分类别</w:t>
            </w:r>
          </w:p>
        </w:tc>
        <w:tc>
          <w:tcPr>
            <w:tcW w:w="2873" w:type="pct"/>
            <w:gridSpan w:val="2"/>
            <w:vAlign w:val="center"/>
          </w:tcPr>
          <w:p>
            <w:pPr>
              <w:tabs>
                <w:tab w:val="clear" w:pos="426"/>
              </w:tabs>
              <w:adjustRightInd/>
              <w:snapToGrid/>
              <w:spacing w:line="240" w:lineRule="auto"/>
              <w:jc w:val="center"/>
              <w:rPr>
                <w:b/>
              </w:rPr>
            </w:pPr>
            <w:r>
              <w:rPr>
                <w:rFonts w:hint="eastAsia"/>
                <w:b/>
              </w:rPr>
              <w:t>评分项目</w:t>
            </w:r>
          </w:p>
        </w:tc>
        <w:tc>
          <w:tcPr>
            <w:tcW w:w="764" w:type="pct"/>
            <w:gridSpan w:val="2"/>
            <w:vAlign w:val="center"/>
          </w:tcPr>
          <w:p>
            <w:pPr>
              <w:tabs>
                <w:tab w:val="clear" w:pos="426"/>
              </w:tabs>
              <w:adjustRightInd/>
              <w:snapToGrid/>
              <w:spacing w:line="240" w:lineRule="auto"/>
              <w:jc w:val="center"/>
              <w:rPr>
                <w:b/>
              </w:rPr>
            </w:pPr>
            <w:r>
              <w:rPr>
                <w:rFonts w:hint="eastAsia"/>
                <w:b/>
              </w:rPr>
              <w:t>对应章节</w:t>
            </w:r>
          </w:p>
        </w:tc>
        <w:tc>
          <w:tcPr>
            <w:tcW w:w="730" w:type="pct"/>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Align w:val="center"/>
          </w:tcPr>
          <w:p>
            <w:pPr>
              <w:tabs>
                <w:tab w:val="clear" w:pos="426"/>
              </w:tabs>
              <w:adjustRightInd/>
              <w:snapToGrid/>
              <w:spacing w:line="240" w:lineRule="auto"/>
              <w:jc w:val="center"/>
              <w:rPr>
                <w:b/>
              </w:rPr>
            </w:pPr>
            <w:r>
              <w:rPr>
                <w:rFonts w:hint="eastAsia"/>
                <w:b/>
              </w:rPr>
              <w:t>价格部分</w:t>
            </w:r>
          </w:p>
        </w:tc>
        <w:tc>
          <w:tcPr>
            <w:tcW w:w="2873" w:type="pct"/>
            <w:gridSpan w:val="2"/>
            <w:vAlign w:val="center"/>
          </w:tcPr>
          <w:p>
            <w:pPr>
              <w:tabs>
                <w:tab w:val="clear" w:pos="426"/>
              </w:tabs>
              <w:adjustRightInd/>
              <w:snapToGrid/>
              <w:spacing w:line="240" w:lineRule="auto"/>
              <w:jc w:val="center"/>
              <w:rPr>
                <w:b/>
              </w:rPr>
            </w:pPr>
          </w:p>
        </w:tc>
        <w:tc>
          <w:tcPr>
            <w:tcW w:w="764" w:type="pct"/>
            <w:gridSpan w:val="2"/>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Merge w:val="restart"/>
            <w:vAlign w:val="center"/>
          </w:tcPr>
          <w:p>
            <w:pPr>
              <w:tabs>
                <w:tab w:val="clear" w:pos="426"/>
              </w:tabs>
              <w:adjustRightInd/>
              <w:snapToGrid/>
              <w:spacing w:line="240" w:lineRule="auto"/>
              <w:jc w:val="center"/>
              <w:rPr>
                <w:b/>
              </w:rPr>
            </w:pPr>
            <w:r>
              <w:rPr>
                <w:rFonts w:hint="eastAsia"/>
                <w:b/>
              </w:rPr>
              <w:t>技术部分</w:t>
            </w:r>
          </w:p>
        </w:tc>
        <w:tc>
          <w:tcPr>
            <w:tcW w:w="2873" w:type="pct"/>
            <w:gridSpan w:val="2"/>
            <w:shd w:val="clear" w:color="auto" w:fill="auto"/>
            <w:vAlign w:val="center"/>
          </w:tcPr>
          <w:p>
            <w:pPr>
              <w:tabs>
                <w:tab w:val="clear" w:pos="426"/>
              </w:tabs>
              <w:adjustRightInd/>
              <w:snapToGrid/>
              <w:spacing w:line="240" w:lineRule="auto"/>
              <w:jc w:val="center"/>
            </w:pPr>
          </w:p>
        </w:tc>
        <w:tc>
          <w:tcPr>
            <w:tcW w:w="764" w:type="pct"/>
            <w:gridSpan w:val="2"/>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Merge w:val="continue"/>
            <w:vAlign w:val="center"/>
          </w:tcPr>
          <w:p>
            <w:pPr>
              <w:tabs>
                <w:tab w:val="clear" w:pos="426"/>
              </w:tabs>
              <w:adjustRightInd/>
              <w:snapToGrid/>
              <w:spacing w:line="240" w:lineRule="auto"/>
              <w:jc w:val="center"/>
              <w:rPr>
                <w:b/>
              </w:rPr>
            </w:pPr>
          </w:p>
        </w:tc>
        <w:tc>
          <w:tcPr>
            <w:tcW w:w="2873" w:type="pct"/>
            <w:gridSpan w:val="2"/>
            <w:shd w:val="clear" w:color="auto" w:fill="auto"/>
            <w:vAlign w:val="center"/>
          </w:tcPr>
          <w:p>
            <w:pPr>
              <w:tabs>
                <w:tab w:val="clear" w:pos="426"/>
              </w:tabs>
              <w:adjustRightInd/>
              <w:snapToGrid/>
              <w:spacing w:line="240" w:lineRule="auto"/>
              <w:jc w:val="center"/>
              <w:rPr>
                <w:b/>
              </w:rPr>
            </w:pPr>
          </w:p>
        </w:tc>
        <w:tc>
          <w:tcPr>
            <w:tcW w:w="764" w:type="pct"/>
            <w:gridSpan w:val="2"/>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Merge w:val="restart"/>
            <w:vAlign w:val="center"/>
          </w:tcPr>
          <w:p>
            <w:pPr>
              <w:tabs>
                <w:tab w:val="clear" w:pos="426"/>
              </w:tabs>
              <w:adjustRightInd/>
              <w:snapToGrid/>
              <w:spacing w:line="240" w:lineRule="auto"/>
              <w:jc w:val="center"/>
              <w:rPr>
                <w:b/>
              </w:rPr>
            </w:pPr>
            <w:r>
              <w:rPr>
                <w:rFonts w:hint="eastAsia"/>
                <w:b/>
              </w:rPr>
              <w:t>综合实力部分</w:t>
            </w:r>
          </w:p>
        </w:tc>
        <w:tc>
          <w:tcPr>
            <w:tcW w:w="2873" w:type="pct"/>
            <w:gridSpan w:val="2"/>
            <w:shd w:val="clear" w:color="auto" w:fill="auto"/>
            <w:vAlign w:val="center"/>
          </w:tcPr>
          <w:p>
            <w:pPr>
              <w:tabs>
                <w:tab w:val="clear" w:pos="426"/>
              </w:tabs>
              <w:adjustRightInd/>
              <w:snapToGrid/>
              <w:spacing w:line="240" w:lineRule="auto"/>
              <w:jc w:val="center"/>
              <w:rPr>
                <w:b/>
              </w:rPr>
            </w:pPr>
          </w:p>
        </w:tc>
        <w:tc>
          <w:tcPr>
            <w:tcW w:w="764" w:type="pct"/>
            <w:gridSpan w:val="2"/>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3" w:type="pct"/>
            <w:gridSpan w:val="2"/>
            <w:vMerge w:val="continue"/>
            <w:vAlign w:val="center"/>
          </w:tcPr>
          <w:p>
            <w:pPr>
              <w:tabs>
                <w:tab w:val="clear" w:pos="426"/>
              </w:tabs>
              <w:adjustRightInd/>
              <w:snapToGrid/>
              <w:spacing w:line="240" w:lineRule="auto"/>
              <w:jc w:val="center"/>
              <w:rPr>
                <w:b/>
              </w:rPr>
            </w:pPr>
          </w:p>
        </w:tc>
        <w:tc>
          <w:tcPr>
            <w:tcW w:w="2873" w:type="pct"/>
            <w:gridSpan w:val="2"/>
            <w:shd w:val="clear" w:color="auto" w:fill="auto"/>
            <w:vAlign w:val="center"/>
          </w:tcPr>
          <w:p>
            <w:pPr>
              <w:tabs>
                <w:tab w:val="clear" w:pos="426"/>
              </w:tabs>
              <w:adjustRightInd/>
              <w:snapToGrid/>
              <w:spacing w:line="240" w:lineRule="auto"/>
              <w:jc w:val="center"/>
              <w:rPr>
                <w:b/>
              </w:rPr>
            </w:pPr>
          </w:p>
        </w:tc>
        <w:tc>
          <w:tcPr>
            <w:tcW w:w="764" w:type="pct"/>
            <w:gridSpan w:val="2"/>
            <w:vAlign w:val="center"/>
          </w:tcPr>
          <w:p>
            <w:pPr>
              <w:tabs>
                <w:tab w:val="clear" w:pos="426"/>
              </w:tabs>
              <w:adjustRightInd/>
              <w:snapToGrid/>
              <w:spacing w:line="240" w:lineRule="auto"/>
              <w:jc w:val="center"/>
              <w:rPr>
                <w:b/>
              </w:rPr>
            </w:pPr>
          </w:p>
        </w:tc>
        <w:tc>
          <w:tcPr>
            <w:tcW w:w="730" w:type="pct"/>
            <w:vAlign w:val="center"/>
          </w:tcPr>
          <w:p>
            <w:pPr>
              <w:tabs>
                <w:tab w:val="clear" w:pos="426"/>
              </w:tabs>
              <w:adjustRightInd/>
              <w:snapToGrid/>
              <w:spacing w:line="240" w:lineRule="auto"/>
              <w:jc w:val="center"/>
              <w:rPr>
                <w:b/>
              </w:rPr>
            </w:pPr>
          </w:p>
        </w:tc>
      </w:tr>
    </w:tbl>
    <w:p>
      <w:pPr>
        <w:tabs>
          <w:tab w:val="clear" w:pos="426"/>
        </w:tabs>
        <w:rPr>
          <w:szCs w:val="21"/>
        </w:rPr>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pPr>
        <w:tabs>
          <w:tab w:val="clear" w:pos="426"/>
        </w:tabs>
      </w:pPr>
    </w:p>
    <w:p>
      <w:pPr>
        <w:numPr>
          <w:ilvl w:val="0"/>
          <w:numId w:val="28"/>
        </w:numPr>
        <w:tabs>
          <w:tab w:val="clear" w:pos="426"/>
        </w:tabs>
        <w:adjustRightInd/>
        <w:snapToGrid/>
        <w:spacing w:before="280" w:after="290" w:line="377" w:lineRule="auto"/>
        <w:jc w:val="left"/>
        <w:outlineLvl w:val="2"/>
        <w:rPr>
          <w:b/>
          <w:sz w:val="24"/>
        </w:rPr>
      </w:pPr>
      <w:r>
        <w:rPr>
          <w:rFonts w:ascii="黑体" w:eastAsia="黑体"/>
          <w:bCs/>
          <w:sz w:val="28"/>
        </w:rPr>
        <w:br w:type="page"/>
      </w:r>
      <w:r>
        <w:rPr>
          <w:rFonts w:hint="eastAsia"/>
          <w:b/>
          <w:sz w:val="24"/>
        </w:rPr>
        <w:t>投标函</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3" w:name="_Toc201719122"/>
      <w:bookmarkStart w:id="44" w:name="_Toc201743120"/>
      <w:bookmarkStart w:id="45" w:name="_Toc201742865"/>
      <w:bookmarkStart w:id="46" w:name="_Toc201997950"/>
      <w:r>
        <w:rPr>
          <w:rFonts w:hint="eastAsia" w:cs="Times New Roman"/>
          <w:bCs/>
          <w:kern w:val="2"/>
          <w:sz w:val="32"/>
          <w:szCs w:val="32"/>
        </w:rPr>
        <w:t>投标函</w:t>
      </w:r>
      <w:bookmarkEnd w:id="43"/>
      <w:bookmarkEnd w:id="44"/>
      <w:bookmarkEnd w:id="45"/>
      <w:bookmarkEnd w:id="46"/>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_______（采购人名称)__________</w:t>
      </w:r>
    </w:p>
    <w:p>
      <w:pPr>
        <w:spacing w:after="120" w:afterLines="50"/>
        <w:ind w:firstLine="420" w:firstLineChars="200"/>
        <w:rPr>
          <w:szCs w:val="21"/>
        </w:rPr>
      </w:pPr>
      <w:r>
        <w:rPr>
          <w:rFonts w:hint="eastAsia"/>
          <w:szCs w:val="21"/>
        </w:rPr>
        <w:t>1.根据已收到贵方的招标项目编号为</w:t>
      </w:r>
      <w:r>
        <w:rPr>
          <w:rFonts w:hint="eastAsia"/>
          <w:szCs w:val="21"/>
          <w:u w:val="single"/>
        </w:rPr>
        <w:t>________</w:t>
      </w:r>
      <w:r>
        <w:rPr>
          <w:rFonts w:hint="eastAsia"/>
          <w:szCs w:val="21"/>
        </w:rPr>
        <w:t>的</w:t>
      </w:r>
      <w:r>
        <w:rPr>
          <w:rFonts w:hint="eastAsia"/>
          <w:szCs w:val="21"/>
          <w:u w:val="single"/>
        </w:rPr>
        <w:t>_______________</w:t>
      </w:r>
      <w:r>
        <w:rPr>
          <w:rFonts w:hint="eastAsia"/>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pPr>
        <w:spacing w:after="120"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120" w:afterLines="50"/>
        <w:ind w:firstLine="420" w:firstLineChars="200"/>
        <w:rPr>
          <w:szCs w:val="21"/>
        </w:rPr>
      </w:pPr>
      <w:r>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pPr>
        <w:spacing w:after="120" w:afterLines="50"/>
        <w:ind w:firstLine="411" w:firstLineChars="196"/>
        <w:rPr>
          <w:szCs w:val="21"/>
        </w:rPr>
      </w:pPr>
      <w:r>
        <w:rPr>
          <w:rFonts w:hint="eastAsia"/>
          <w:szCs w:val="21"/>
        </w:rPr>
        <w:t>5.除非另外达成协议并生效，贵方的中标通知书和本投标文件将构成约束我们双方的合同。</w:t>
      </w:r>
    </w:p>
    <w:p>
      <w:pPr>
        <w:spacing w:after="120" w:afterLines="50"/>
        <w:ind w:firstLine="411" w:firstLineChars="196"/>
        <w:rPr>
          <w:szCs w:val="21"/>
        </w:rPr>
      </w:pPr>
      <w:r>
        <w:rPr>
          <w:rFonts w:hint="eastAsia"/>
          <w:szCs w:val="21"/>
        </w:rPr>
        <w:t>6.我方理解贵方将不受必须接受你们所收到的最低标价或其它任何投标文件的约束。</w:t>
      </w:r>
    </w:p>
    <w:p>
      <w:pPr>
        <w:spacing w:after="120" w:afterLines="50"/>
        <w:ind w:firstLine="411" w:firstLineChars="196"/>
        <w:rPr>
          <w:szCs w:val="21"/>
        </w:rPr>
      </w:pPr>
    </w:p>
    <w:p>
      <w:pPr>
        <w:spacing w:after="120" w:afterLines="50"/>
        <w:ind w:firstLine="411" w:firstLineChars="196"/>
        <w:rPr>
          <w:szCs w:val="21"/>
        </w:rPr>
      </w:pPr>
    </w:p>
    <w:p>
      <w:pPr>
        <w:tabs>
          <w:tab w:val="clear" w:pos="426"/>
        </w:tabs>
        <w:spacing w:line="300" w:lineRule="auto"/>
        <w:ind w:left="424" w:leftChars="202"/>
        <w:rPr>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 xml:space="preserve">投标人代表（签字)： </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ind w:left="424" w:leftChars="202"/>
        <w:rPr>
          <w:szCs w:val="21"/>
          <w:u w:val="single"/>
        </w:rPr>
      </w:pPr>
      <w:r>
        <w:rPr>
          <w:b/>
        </w:rPr>
        <w:br w:type="page"/>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政府采购投标及履约承诺函</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pPr>
        <w:tabs>
          <w:tab w:val="clear" w:pos="426"/>
        </w:tabs>
      </w:pPr>
    </w:p>
    <w:p>
      <w:pPr>
        <w:tabs>
          <w:tab w:val="clear" w:pos="426"/>
        </w:tabs>
      </w:pPr>
      <w:r>
        <w:rPr>
          <w:rFonts w:hint="eastAsia"/>
        </w:rPr>
        <w:t>深圳市深水水务咨询有限公司：</w:t>
      </w:r>
    </w:p>
    <w:p>
      <w:pPr>
        <w:tabs>
          <w:tab w:val="clear" w:pos="426"/>
        </w:tabs>
        <w:spacing w:before="120" w:beforeLines="50" w:line="240" w:lineRule="auto"/>
        <w:ind w:firstLine="424" w:firstLineChars="202"/>
      </w:pPr>
      <w:r>
        <w:rPr>
          <w:rFonts w:hint="eastAsia"/>
        </w:rPr>
        <w:t>关于贵公司</w:t>
      </w:r>
      <w:r>
        <w:rPr>
          <w:rFonts w:hint="eastAsia"/>
          <w:u w:val="single"/>
        </w:rPr>
        <w:t>______</w:t>
      </w:r>
      <w:r>
        <w:rPr>
          <w:rFonts w:hint="eastAsia"/>
        </w:rPr>
        <w:t>年</w:t>
      </w:r>
      <w:r>
        <w:rPr>
          <w:rFonts w:hint="eastAsia"/>
          <w:u w:val="single"/>
        </w:rPr>
        <w:t>____</w:t>
      </w:r>
      <w:r>
        <w:rPr>
          <w:rFonts w:hint="eastAsia"/>
        </w:rPr>
        <w:t>月</w:t>
      </w:r>
      <w:r>
        <w:rPr>
          <w:rFonts w:hint="eastAsia"/>
          <w:u w:val="single"/>
        </w:rPr>
        <w:t>____</w:t>
      </w:r>
      <w:r>
        <w:rPr>
          <w:rFonts w:hint="eastAsia"/>
        </w:rPr>
        <w:t>日发布</w:t>
      </w:r>
      <w:r>
        <w:rPr>
          <w:u w:val="single"/>
        </w:rPr>
        <w:t>__</w:t>
      </w:r>
      <w:r>
        <w:rPr>
          <w:rFonts w:hint="eastAsia"/>
          <w:szCs w:val="21"/>
          <w:u w:val="single"/>
        </w:rPr>
        <w:t>（项目名称)_</w:t>
      </w:r>
      <w:r>
        <w:rPr>
          <w:u w:val="single"/>
        </w:rPr>
        <w:t>_</w:t>
      </w:r>
      <w:r>
        <w:rPr>
          <w:rFonts w:hint="eastAsia"/>
        </w:rPr>
        <w:t>项目（招标项目编号：</w:t>
      </w:r>
      <w:r>
        <w:rPr>
          <w:rFonts w:hint="eastAsia"/>
          <w:u w:val="single"/>
        </w:rPr>
        <w:t>__（招标项目编号）__</w:t>
      </w:r>
      <w:r>
        <w:rPr>
          <w:rFonts w:hint="eastAsia"/>
        </w:rPr>
        <w:t>）的采购公告，本公司（企业）愿意参加投标，并声明：</w:t>
      </w:r>
    </w:p>
    <w:p>
      <w:pPr>
        <w:tabs>
          <w:tab w:val="clear" w:pos="426"/>
        </w:tabs>
        <w:spacing w:line="240" w:lineRule="auto"/>
        <w:ind w:firstLine="424" w:firstLineChars="202"/>
      </w:pPr>
      <w:r>
        <w:t>1.我公司本招标项目所提供的货物或服务未侵犯知识产权。</w:t>
      </w:r>
    </w:p>
    <w:p>
      <w:pPr>
        <w:tabs>
          <w:tab w:val="clear" w:pos="426"/>
        </w:tabs>
        <w:spacing w:line="240" w:lineRule="auto"/>
        <w:ind w:firstLine="426" w:firstLineChars="202"/>
        <w:rPr>
          <w:b/>
        </w:rPr>
      </w:pPr>
      <w:r>
        <w:rPr>
          <w:b/>
        </w:rPr>
        <w:t>2.我公司参与本项目投标前三年内，在经营活动中没有重大违法记录。</w:t>
      </w:r>
    </w:p>
    <w:p>
      <w:pPr>
        <w:tabs>
          <w:tab w:val="clear" w:pos="426"/>
        </w:tabs>
        <w:spacing w:line="240" w:lineRule="auto"/>
        <w:ind w:firstLine="426" w:firstLineChars="202"/>
        <w:rPr>
          <w:b/>
        </w:rPr>
      </w:pPr>
      <w:r>
        <w:rPr>
          <w:b/>
        </w:rPr>
        <w:t>3.我公司参与本项目政府采购活动时不存在被有关部门禁止参与政府采购活动且在有效期内的情况。</w:t>
      </w:r>
    </w:p>
    <w:p>
      <w:pPr>
        <w:tabs>
          <w:tab w:val="clear" w:pos="426"/>
        </w:tabs>
        <w:spacing w:line="240" w:lineRule="auto"/>
        <w:ind w:firstLine="426" w:firstLineChars="202"/>
        <w:rPr>
          <w:b/>
        </w:rPr>
      </w:pPr>
      <w:r>
        <w:rPr>
          <w:b/>
        </w:rPr>
        <w:t>4.我公司具备《中华人民共和国政府采购法》第二十二条规定的资质。</w:t>
      </w:r>
    </w:p>
    <w:p>
      <w:pPr>
        <w:tabs>
          <w:tab w:val="clear" w:pos="426"/>
        </w:tabs>
        <w:spacing w:line="240" w:lineRule="auto"/>
        <w:ind w:firstLine="426" w:firstLineChars="202"/>
        <w:rPr>
          <w:b/>
        </w:rPr>
      </w:pPr>
      <w:r>
        <w:rPr>
          <w:b/>
        </w:rPr>
        <w:t>5.我公司未被列入失信被执行人、重大税收违法案件当事人名单、政府采购严重违法失信行为记录名单</w:t>
      </w:r>
    </w:p>
    <w:p>
      <w:pPr>
        <w:tabs>
          <w:tab w:val="clear" w:pos="426"/>
        </w:tabs>
        <w:spacing w:line="240" w:lineRule="auto"/>
        <w:ind w:firstLine="424" w:firstLineChars="202"/>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pPr>
      <w: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pPr>
        <w:tabs>
          <w:tab w:val="clear" w:pos="426"/>
        </w:tabs>
        <w:spacing w:line="240" w:lineRule="auto"/>
        <w:ind w:firstLine="424" w:firstLineChars="202"/>
      </w:pPr>
      <w:r>
        <w:rPr>
          <w:rFonts w:hint="eastAsia"/>
        </w:rPr>
        <w:t>9.我公司已认真阅读本项目需求，特别是完工期和服务期的要求，我司承诺完全满足本项目的完工期和服务期要求。</w:t>
      </w:r>
    </w:p>
    <w:p>
      <w:pPr>
        <w:tabs>
          <w:tab w:val="clear" w:pos="426"/>
        </w:tabs>
        <w:spacing w:line="240" w:lineRule="auto"/>
        <w:ind w:firstLine="424" w:firstLineChars="202"/>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pPr>
      <w:r>
        <w:t>1</w:t>
      </w:r>
      <w:r>
        <w:rPr>
          <w:rFonts w:hint="eastAsia"/>
        </w:rPr>
        <w:t>1</w:t>
      </w:r>
      <w:r>
        <w:t>.我公司承诺不非法转包</w:t>
      </w:r>
      <w:r>
        <w:rPr>
          <w:rFonts w:hint="eastAsia"/>
        </w:rPr>
        <w:t>或</w:t>
      </w:r>
      <w:r>
        <w:t>分包。</w:t>
      </w:r>
    </w:p>
    <w:p>
      <w:pPr>
        <w:tabs>
          <w:tab w:val="clear" w:pos="426"/>
        </w:tabs>
        <w:spacing w:line="240" w:lineRule="auto"/>
        <w:ind w:firstLine="424" w:firstLineChars="202"/>
      </w:pPr>
      <w:r>
        <w:rPr>
          <w:rFonts w:hint="eastAsia"/>
        </w:rPr>
        <w:t>以上承诺，如有违反，愿依照国家相关法律处理，并承担由此给采购人带来的损失。</w:t>
      </w:r>
    </w:p>
    <w:p>
      <w:pPr>
        <w:tabs>
          <w:tab w:val="clear" w:pos="426"/>
        </w:tabs>
        <w:spacing w:line="240" w:lineRule="auto"/>
        <w:ind w:firstLine="420"/>
      </w:pPr>
      <w:r>
        <w:rPr>
          <w:rFonts w:hint="eastAsia"/>
        </w:rPr>
        <w:t>特此声明！</w:t>
      </w:r>
    </w:p>
    <w:p>
      <w:pPr>
        <w:tabs>
          <w:tab w:val="clear" w:pos="426"/>
        </w:tabs>
        <w:spacing w:line="240" w:lineRule="auto"/>
        <w:ind w:firstLine="420"/>
      </w:pPr>
    </w:p>
    <w:p>
      <w:pPr>
        <w:tabs>
          <w:tab w:val="clear" w:pos="426"/>
        </w:tabs>
        <w:ind w:firstLine="420"/>
      </w:pPr>
    </w:p>
    <w:p>
      <w:pPr>
        <w:tabs>
          <w:tab w:val="clear" w:pos="426"/>
        </w:tabs>
        <w:ind w:firstLine="420"/>
      </w:pPr>
    </w:p>
    <w:p>
      <w:pPr>
        <w:tabs>
          <w:tab w:val="clear" w:pos="426"/>
        </w:tabs>
        <w:ind w:firstLine="420"/>
        <w:rPr>
          <w:u w:val="single"/>
        </w:rPr>
      </w:pPr>
      <w:r>
        <w:rPr>
          <w:rFonts w:hint="eastAsia"/>
        </w:rPr>
        <w:t>单位名称：</w:t>
      </w:r>
      <w:r>
        <w:rPr>
          <w:rFonts w:hint="eastAsia"/>
          <w:u w:val="single"/>
        </w:rPr>
        <w:t>_____________________________________________________________</w:t>
      </w:r>
    </w:p>
    <w:p>
      <w:pPr>
        <w:tabs>
          <w:tab w:val="clear" w:pos="426"/>
        </w:tabs>
        <w:ind w:firstLine="420"/>
        <w:rPr>
          <w:u w:val="single"/>
        </w:rPr>
      </w:pPr>
      <w:r>
        <w:rPr>
          <w:rFonts w:hint="eastAsia"/>
        </w:rPr>
        <w:t>法定代表人或投标人授权代表（签名或盖章）：</w:t>
      </w:r>
      <w:r>
        <w:rPr>
          <w:rFonts w:hint="eastAsia"/>
          <w:u w:val="single"/>
        </w:rPr>
        <w:t>_____________________________</w:t>
      </w:r>
    </w:p>
    <w:p>
      <w:pPr>
        <w:tabs>
          <w:tab w:val="clear" w:pos="426"/>
        </w:tabs>
        <w:ind w:firstLine="420"/>
        <w:rPr>
          <w:u w:val="single"/>
        </w:rPr>
      </w:pPr>
      <w:r>
        <w:rPr>
          <w:rFonts w:hint="eastAsia"/>
        </w:rPr>
        <w:t>单位地址：</w:t>
      </w:r>
      <w:r>
        <w:rPr>
          <w:rFonts w:hint="eastAsia"/>
          <w:u w:val="single"/>
        </w:rPr>
        <w:t>_____________________________________________________________</w:t>
      </w:r>
    </w:p>
    <w:p>
      <w:pPr>
        <w:tabs>
          <w:tab w:val="clear" w:pos="426"/>
        </w:tabs>
        <w:ind w:firstLine="420"/>
        <w:rPr>
          <w:u w:val="single"/>
        </w:rPr>
      </w:pPr>
      <w:r>
        <w:rPr>
          <w:rFonts w:hint="eastAsia"/>
        </w:rPr>
        <w:t>单位公章：</w:t>
      </w:r>
      <w:r>
        <w:rPr>
          <w:rFonts w:hint="eastAsia"/>
          <w:u w:val="single"/>
        </w:rPr>
        <w:t>_____________________________________________________________</w:t>
      </w:r>
    </w:p>
    <w:p>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u w:val="single"/>
        </w:rPr>
      </w:pPr>
      <w:r>
        <w:rPr>
          <w:rFonts w:hint="eastAsia"/>
        </w:rPr>
        <w:t>联系电话：</w:t>
      </w:r>
      <w:r>
        <w:rPr>
          <w:rFonts w:hint="eastAsia"/>
          <w:u w:val="single"/>
        </w:rPr>
        <w:t>_____________________________________________________________</w:t>
      </w:r>
    </w:p>
    <w:p>
      <w:pPr>
        <w:tabs>
          <w:tab w:val="clear" w:pos="426"/>
        </w:tabs>
        <w:spacing w:line="300" w:lineRule="auto"/>
        <w:ind w:firstLine="422" w:firstLineChars="200"/>
        <w:rPr>
          <w:b/>
          <w:bCs/>
          <w:color w:val="FF0000"/>
        </w:rPr>
      </w:pPr>
    </w:p>
    <w:p>
      <w:pPr>
        <w:numPr>
          <w:ilvl w:val="0"/>
          <w:numId w:val="28"/>
        </w:numPr>
        <w:tabs>
          <w:tab w:val="clear" w:pos="426"/>
        </w:tabs>
        <w:adjustRightInd/>
        <w:snapToGrid/>
        <w:spacing w:before="280" w:after="290" w:line="377" w:lineRule="auto"/>
        <w:jc w:val="left"/>
        <w:outlineLvl w:val="2"/>
        <w:rPr>
          <w:b/>
          <w:sz w:val="24"/>
        </w:rPr>
      </w:pPr>
      <w:r>
        <w:rPr>
          <w:b/>
        </w:rPr>
        <w:br w:type="page"/>
      </w:r>
      <w:r>
        <w:rPr>
          <w:rFonts w:hint="eastAsia"/>
          <w:b/>
          <w:sz w:val="24"/>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47" w:name="_Toc50737297"/>
      <w:bookmarkStart w:id="48" w:name="_Toc275865607"/>
      <w:bookmarkStart w:id="49" w:name="_Toc50737329"/>
      <w:bookmarkStart w:id="50" w:name="_Toc52165081"/>
      <w:bookmarkStart w:id="51" w:name="_Toc480754205"/>
      <w:bookmarkStart w:id="52" w:name="_Toc50736477"/>
      <w:bookmarkStart w:id="53" w:name="_Toc52165080"/>
      <w:bookmarkStart w:id="54" w:name="_Toc50691034"/>
      <w:bookmarkStart w:id="55" w:name="_Toc50737328"/>
      <w:bookmarkStart w:id="56" w:name="_Toc50737296"/>
      <w:bookmarkStart w:id="57" w:name="_Toc50736476"/>
      <w:r>
        <w:rPr>
          <w:rFonts w:hint="eastAsia" w:cs="Times New Roman"/>
          <w:bCs/>
          <w:kern w:val="2"/>
          <w:sz w:val="32"/>
          <w:szCs w:val="32"/>
        </w:rPr>
        <w:t>法定代表人授权委托书</w:t>
      </w:r>
      <w:bookmarkEnd w:id="47"/>
      <w:bookmarkEnd w:id="48"/>
      <w:bookmarkEnd w:id="49"/>
      <w:bookmarkEnd w:id="50"/>
      <w:bookmarkEnd w:id="51"/>
      <w:bookmarkEnd w:id="52"/>
    </w:p>
    <w:p>
      <w:pPr>
        <w:pStyle w:val="24"/>
        <w:tabs>
          <w:tab w:val="clear" w:pos="426"/>
        </w:tabs>
        <w:ind w:firstLine="420" w:firstLineChars="200"/>
      </w:pPr>
    </w:p>
    <w:p>
      <w:pPr>
        <w:pStyle w:val="24"/>
        <w:tabs>
          <w:tab w:val="clear" w:pos="426"/>
        </w:tabs>
        <w:ind w:firstLine="420" w:firstLineChars="20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pPr>
        <w:pStyle w:val="24"/>
        <w:tabs>
          <w:tab w:val="clear" w:pos="426"/>
        </w:tabs>
        <w:ind w:firstLine="420" w:firstLineChars="200"/>
      </w:pPr>
      <w:r>
        <w:rPr>
          <w:rFonts w:hint="eastAsia"/>
        </w:rPr>
        <w:t>被授权人（投标人授权代表）无转委托权限。</w:t>
      </w:r>
    </w:p>
    <w:p>
      <w:pPr>
        <w:tabs>
          <w:tab w:val="clear" w:pos="426"/>
        </w:tabs>
        <w:ind w:firstLine="420" w:firstLineChars="200"/>
        <w:rPr>
          <w:szCs w:val="21"/>
        </w:rPr>
      </w:pPr>
      <w:r>
        <w:rPr>
          <w:rFonts w:hint="eastAsia"/>
          <w:szCs w:val="21"/>
        </w:rPr>
        <w:t>本授权书自法定代表人签字之日起生效，特此声明。</w:t>
      </w:r>
    </w:p>
    <w:p>
      <w:pPr>
        <w:tabs>
          <w:tab w:val="clear" w:pos="426"/>
        </w:tabs>
        <w:ind w:firstLine="422" w:firstLineChars="200"/>
        <w:rPr>
          <w:b/>
          <w:szCs w:val="21"/>
        </w:rPr>
      </w:pPr>
      <w:r>
        <w:rPr>
          <w:rFonts w:hint="eastAsia"/>
          <w:b/>
          <w:szCs w:val="21"/>
        </w:rPr>
        <w:t>随附《法定代表人证明》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szCs w:val="21"/>
        </w:rPr>
      </w:pPr>
      <w:r>
        <w:rPr>
          <w:rFonts w:hint="eastAsia"/>
          <w:szCs w:val="21"/>
        </w:rPr>
        <w:t>法定代表人（签字或盖章）：</w:t>
      </w:r>
      <w:r>
        <w:rPr>
          <w:rFonts w:hint="eastAsia"/>
          <w:szCs w:val="21"/>
          <w:u w:val="single"/>
        </w:rPr>
        <w:t>______________________</w:t>
      </w:r>
      <w:r>
        <w:rPr>
          <w:rFonts w:hint="eastAsia"/>
          <w:szCs w:val="21"/>
        </w:rPr>
        <w:t xml:space="preserve"> 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____________________________________</w:t>
      </w:r>
      <w:r>
        <w:rPr>
          <w:rFonts w:hint="eastAsia"/>
          <w:szCs w:val="21"/>
        </w:rPr>
        <w:t xml:space="preserve"> </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附：被授权人身份证复印件：</w:t>
      </w:r>
    </w:p>
    <w:p>
      <w:pPr>
        <w:tabs>
          <w:tab w:val="clear" w:pos="426"/>
        </w:tabs>
        <w:ind w:firstLine="424" w:firstLineChars="202"/>
        <w:rPr>
          <w:szCs w:val="21"/>
        </w:rPr>
      </w:pPr>
    </w:p>
    <w:bookmarkEnd w:id="53"/>
    <w:bookmarkEnd w:id="54"/>
    <w:bookmarkEnd w:id="55"/>
    <w:bookmarkEnd w:id="56"/>
    <w:bookmarkEnd w:id="57"/>
    <w:p>
      <w:pPr>
        <w:tabs>
          <w:tab w:val="clear" w:pos="426"/>
        </w:tabs>
        <w:spacing w:line="300" w:lineRule="auto"/>
        <w:jc w:val="center"/>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_________</w:t>
      </w:r>
      <w:r>
        <w:rPr>
          <w:rFonts w:hint="eastAsia"/>
        </w:rPr>
        <w:t>职务，为法定代表人，特此证明。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u w:val="single"/>
        </w:rPr>
      </w:pPr>
      <w:r>
        <w:rPr>
          <w:rFonts w:hint="eastAsia"/>
        </w:rPr>
        <w:t>兼营（产）：</w:t>
      </w:r>
      <w:r>
        <w:rPr>
          <w:rFonts w:hint="eastAsia"/>
          <w:u w:val="single"/>
        </w:rPr>
        <w:t>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附：法定代表人身份证复印件：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b/>
          <w:bCs/>
          <w:u w:val="single"/>
        </w:rPr>
      </w:pPr>
    </w:p>
    <w:p>
      <w:pPr>
        <w:numPr>
          <w:ilvl w:val="0"/>
          <w:numId w:val="28"/>
        </w:numPr>
        <w:tabs>
          <w:tab w:val="clear" w:pos="426"/>
        </w:tabs>
        <w:adjustRightInd/>
        <w:snapToGrid/>
        <w:spacing w:before="280" w:after="290" w:line="377" w:lineRule="auto"/>
        <w:jc w:val="left"/>
        <w:outlineLvl w:val="2"/>
        <w:rPr>
          <w:b/>
          <w:sz w:val="24"/>
        </w:rPr>
      </w:pPr>
      <w:r>
        <w:br w:type="page"/>
      </w:r>
      <w:r>
        <w:rPr>
          <w:rFonts w:hint="eastAsia"/>
          <w:b/>
          <w:sz w:val="24"/>
        </w:rPr>
        <w:t>投标人基本情况表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480755928"/>
      <w:bookmarkStart w:id="59" w:name="_Toc173553182"/>
      <w:bookmarkStart w:id="60" w:name="_Toc480756074"/>
      <w:bookmarkStart w:id="61" w:name="_Toc480789478"/>
      <w:bookmarkStart w:id="62" w:name="_Toc480754207"/>
      <w:bookmarkStart w:id="63" w:name="_Toc275865616"/>
      <w:r>
        <w:rPr>
          <w:rFonts w:hint="eastAsia" w:cs="Times New Roman"/>
          <w:bCs/>
          <w:kern w:val="2"/>
          <w:sz w:val="32"/>
          <w:szCs w:val="32"/>
        </w:rPr>
        <w:t>投标人基本情况表</w:t>
      </w:r>
      <w:bookmarkEnd w:id="58"/>
      <w:bookmarkEnd w:id="59"/>
      <w:bookmarkEnd w:id="60"/>
      <w:bookmarkEnd w:id="61"/>
      <w:bookmarkEnd w:id="62"/>
      <w:bookmarkEnd w:id="63"/>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_____________________________</w:t>
      </w:r>
    </w:p>
    <w:p>
      <w:pPr>
        <w:widowControl w:val="0"/>
        <w:numPr>
          <w:ilvl w:val="1"/>
          <w:numId w:val="29"/>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____</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公司开户银行名称及账号：</w:t>
      </w:r>
      <w:r>
        <w:rPr>
          <w:rFonts w:hint="eastAsia" w:cs="Arial"/>
          <w:szCs w:val="21"/>
          <w:u w:val="single"/>
        </w:rPr>
        <w:t>_________________________________________________________</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营业注册执照号：</w:t>
      </w:r>
      <w:r>
        <w:rPr>
          <w:rFonts w:hint="eastAsia" w:cs="Arial"/>
          <w:szCs w:val="21"/>
          <w:u w:val="single"/>
        </w:rPr>
        <w:t>__________________________________________________________________</w:t>
      </w:r>
    </w:p>
    <w:p>
      <w:pPr>
        <w:widowControl w:val="0"/>
        <w:numPr>
          <w:ilvl w:val="1"/>
          <w:numId w:val="29"/>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widowControl w:val="0"/>
        <w:shd w:val="clear" w:color="auto" w:fill="auto"/>
        <w:tabs>
          <w:tab w:val="clear" w:pos="426"/>
        </w:tabs>
        <w:adjustRightInd/>
        <w:snapToGrid/>
        <w:rPr>
          <w:rFonts w:cs="Arial"/>
          <w:b/>
          <w:szCs w:val="21"/>
        </w:rPr>
      </w:pPr>
      <w:r>
        <w:rPr>
          <w:rFonts w:hint="eastAsia" w:cs="Arial"/>
          <w:b/>
          <w:szCs w:val="21"/>
        </w:rPr>
        <w:t>二、供应商资格证明文件</w:t>
      </w:r>
    </w:p>
    <w:p>
      <w:pPr>
        <w:tabs>
          <w:tab w:val="clear" w:pos="426"/>
        </w:tabs>
        <w:spacing w:before="120" w:beforeLines="50"/>
        <w:ind w:firstLine="424" w:firstLineChars="201"/>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szCs w:val="21"/>
        </w:rPr>
      </w:pPr>
      <w:r>
        <w:rPr>
          <w:rFonts w:hint="eastAsia" w:cs="Arial"/>
          <w:b/>
          <w:szCs w:val="21"/>
        </w:rPr>
        <w:t>三、</w:t>
      </w:r>
      <w:r>
        <w:rPr>
          <w:rFonts w:cs="Arial"/>
          <w:b/>
          <w:szCs w:val="21"/>
        </w:rPr>
        <w:t>如联合体投标，投标人还必须提供《联合体投标协议》（格式自定）。</w:t>
      </w:r>
    </w:p>
    <w:p>
      <w:pPr>
        <w:tabs>
          <w:tab w:val="clear" w:pos="426"/>
        </w:tabs>
        <w:spacing w:line="500" w:lineRule="exact"/>
        <w:ind w:left="424" w:leftChars="202"/>
        <w:rPr>
          <w:spacing w:val="4"/>
        </w:rPr>
      </w:pPr>
    </w:p>
    <w:p>
      <w:pPr>
        <w:tabs>
          <w:tab w:val="clear" w:pos="426"/>
        </w:tabs>
        <w:spacing w:line="500" w:lineRule="exact"/>
        <w:ind w:left="424" w:leftChars="202"/>
        <w:rPr>
          <w:spacing w:val="4"/>
        </w:rPr>
      </w:pPr>
    </w:p>
    <w:p>
      <w:pPr>
        <w:tabs>
          <w:tab w:val="clear" w:pos="426"/>
        </w:tabs>
        <w:spacing w:line="500" w:lineRule="exact"/>
        <w:ind w:left="424" w:leftChars="202"/>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w:t>
      </w:r>
    </w:p>
    <w:p>
      <w:pPr>
        <w:tabs>
          <w:tab w:val="clear" w:pos="426"/>
        </w:tabs>
        <w:spacing w:line="520" w:lineRule="exact"/>
        <w:ind w:left="424" w:leftChars="202"/>
        <w:rPr>
          <w:spacing w:val="4"/>
        </w:rPr>
      </w:pPr>
      <w:r>
        <w:rPr>
          <w:rFonts w:hint="eastAsia"/>
        </w:rPr>
        <w:t>法定代表人或投标人授权代表（签名或盖章）：</w:t>
      </w:r>
      <w:r>
        <w:rPr>
          <w:spacing w:val="4"/>
          <w:u w:val="single"/>
        </w:rPr>
        <w:t>________</w:t>
      </w:r>
      <w:r>
        <w:rPr>
          <w:rFonts w:hint="eastAsia"/>
          <w:spacing w:val="4"/>
          <w:u w:val="single"/>
        </w:rPr>
        <w:t>_</w:t>
      </w:r>
      <w:r>
        <w:rPr>
          <w:spacing w:val="4"/>
          <w:u w:val="single"/>
        </w:rPr>
        <w:t>_</w:t>
      </w:r>
      <w:r>
        <w:rPr>
          <w:rFonts w:hint="eastAsia"/>
          <w:spacing w:val="4"/>
          <w:u w:val="single"/>
        </w:rPr>
        <w:t>_</w:t>
      </w:r>
      <w:r>
        <w:rPr>
          <w:spacing w:val="4"/>
          <w:u w:val="single"/>
        </w:rPr>
        <w:t>_</w:t>
      </w:r>
      <w:r>
        <w:rPr>
          <w:rFonts w:hint="eastAsia"/>
          <w:spacing w:val="4"/>
          <w:u w:val="single"/>
        </w:rPr>
        <w:t>_</w:t>
      </w:r>
      <w:r>
        <w:rPr>
          <w:spacing w:val="4"/>
          <w:u w:val="single"/>
        </w:rPr>
        <w:t>___</w:t>
      </w:r>
    </w:p>
    <w:p>
      <w:pPr>
        <w:tabs>
          <w:tab w:val="clear" w:pos="426"/>
        </w:tabs>
        <w:spacing w:line="520" w:lineRule="exact"/>
        <w:ind w:left="424" w:leftChars="202"/>
        <w:rPr>
          <w:spacing w:val="4"/>
        </w:rPr>
      </w:pPr>
      <w:r>
        <w:rPr>
          <w:rFonts w:hint="eastAsia"/>
          <w:spacing w:val="4"/>
        </w:rPr>
        <w:t>职务：</w:t>
      </w:r>
      <w:r>
        <w:rPr>
          <w:spacing w:val="4"/>
          <w:u w:val="single"/>
        </w:rPr>
        <w:t>____</w:t>
      </w:r>
      <w:r>
        <w:rPr>
          <w:rFonts w:hint="eastAsia"/>
          <w:spacing w:val="4"/>
          <w:u w:val="single"/>
        </w:rPr>
        <w:t>_________________________________________</w:t>
      </w:r>
      <w:r>
        <w:rPr>
          <w:spacing w:val="4"/>
          <w:u w:val="single"/>
        </w:rPr>
        <w:t>____</w:t>
      </w:r>
    </w:p>
    <w:p>
      <w:pPr>
        <w:tabs>
          <w:tab w:val="clear" w:pos="426"/>
        </w:tabs>
        <w:spacing w:line="520" w:lineRule="exact"/>
        <w:ind w:left="424" w:leftChars="202"/>
        <w:rPr>
          <w:rFonts w:ascii="黑体" w:eastAsia="黑体"/>
          <w:b/>
          <w:bCs/>
          <w:sz w:val="28"/>
        </w:rPr>
      </w:pPr>
      <w:r>
        <w:rPr>
          <w:rFonts w:hint="eastAsia"/>
          <w:spacing w:val="4"/>
        </w:rPr>
        <w:t>日期</w:t>
      </w:r>
      <w:r>
        <w:rPr>
          <w:spacing w:val="4"/>
          <w:u w:val="single"/>
        </w:rPr>
        <w:t>_____</w:t>
      </w:r>
      <w:r>
        <w:rPr>
          <w:rFonts w:hint="eastAsia"/>
          <w:spacing w:val="4"/>
          <w:u w:val="single"/>
        </w:rPr>
        <w:t>__________________________________________</w:t>
      </w:r>
      <w:r>
        <w:rPr>
          <w:spacing w:val="4"/>
          <w:u w:val="single"/>
        </w:rPr>
        <w:t>____</w:t>
      </w:r>
    </w:p>
    <w:p>
      <w:pPr>
        <w:tabs>
          <w:tab w:val="clear" w:pos="426"/>
        </w:tabs>
        <w:spacing w:line="520" w:lineRule="exact"/>
        <w:ind w:left="424" w:leftChars="202"/>
        <w:rPr>
          <w:rFonts w:ascii="黑体" w:eastAsia="黑体"/>
          <w:b/>
          <w:bCs/>
          <w:sz w:val="28"/>
        </w:rPr>
      </w:pPr>
    </w:p>
    <w:p>
      <w:pPr>
        <w:tabs>
          <w:tab w:val="clear" w:pos="426"/>
        </w:tabs>
        <w:spacing w:line="520" w:lineRule="exact"/>
        <w:ind w:left="424" w:leftChars="202"/>
        <w:rPr>
          <w:rFonts w:ascii="黑体" w:eastAsia="黑体"/>
          <w:b/>
          <w:bCs/>
          <w:sz w:val="28"/>
        </w:rPr>
      </w:pPr>
    </w:p>
    <w:p>
      <w:pPr>
        <w:numPr>
          <w:ilvl w:val="0"/>
          <w:numId w:val="28"/>
        </w:numPr>
        <w:tabs>
          <w:tab w:val="clear" w:pos="426"/>
        </w:tabs>
        <w:adjustRightInd/>
        <w:snapToGrid/>
        <w:spacing w:before="280" w:after="290" w:line="377" w:lineRule="auto"/>
        <w:jc w:val="left"/>
        <w:outlineLvl w:val="2"/>
        <w:rPr>
          <w:b/>
          <w:sz w:val="24"/>
        </w:rPr>
      </w:pPr>
      <w:r>
        <w:br w:type="page"/>
      </w:r>
      <w:r>
        <w:rPr>
          <w:rFonts w:hint="eastAsia"/>
          <w:b/>
          <w:sz w:val="24"/>
        </w:rPr>
        <w:t>开标一览表(报价表)</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64" w:name="_Toc480754208"/>
      <w:bookmarkStart w:id="65" w:name="_Toc480755929"/>
      <w:bookmarkStart w:id="66" w:name="_Toc480756075"/>
      <w:bookmarkStart w:id="67" w:name="_Toc480789479"/>
      <w:r>
        <w:rPr>
          <w:rFonts w:hint="eastAsia" w:cs="Times New Roman"/>
          <w:bCs/>
          <w:kern w:val="2"/>
          <w:sz w:val="32"/>
          <w:szCs w:val="32"/>
        </w:rPr>
        <w:t>开标一览表(报价表)</w:t>
      </w:r>
      <w:bookmarkEnd w:id="64"/>
      <w:bookmarkEnd w:id="65"/>
      <w:bookmarkEnd w:id="66"/>
      <w:bookmarkEnd w:id="67"/>
    </w:p>
    <w:p>
      <w:pPr>
        <w:tabs>
          <w:tab w:val="clear" w:pos="426"/>
        </w:tabs>
        <w:jc w:val="left"/>
      </w:pPr>
    </w:p>
    <w:p>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064"/>
        <w:gridCol w:w="1742"/>
        <w:gridCol w:w="1179"/>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1" w:type="pct"/>
            <w:shd w:val="clear" w:color="auto" w:fill="auto"/>
            <w:vAlign w:val="center"/>
          </w:tcPr>
          <w:p>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pPr>
              <w:tabs>
                <w:tab w:val="clear" w:pos="426"/>
              </w:tabs>
              <w:spacing w:line="240" w:lineRule="auto"/>
              <w:jc w:val="center"/>
              <w:rPr>
                <w:b/>
                <w:szCs w:val="21"/>
              </w:rPr>
            </w:pPr>
            <w:r>
              <w:rPr>
                <w:rFonts w:hint="eastAsia"/>
                <w:b/>
                <w:szCs w:val="21"/>
              </w:rPr>
              <w:t>工期</w:t>
            </w:r>
          </w:p>
        </w:tc>
        <w:tc>
          <w:tcPr>
            <w:tcW w:w="479" w:type="pct"/>
            <w:shd w:val="clear" w:color="auto" w:fill="auto"/>
            <w:vAlign w:val="center"/>
          </w:tcPr>
          <w:p>
            <w:pPr>
              <w:tabs>
                <w:tab w:val="clear" w:pos="426"/>
              </w:tabs>
              <w:spacing w:line="24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71" w:type="pct"/>
            <w:shd w:val="clear" w:color="auto" w:fill="auto"/>
            <w:vAlign w:val="center"/>
          </w:tcPr>
          <w:p>
            <w:pPr>
              <w:tabs>
                <w:tab w:val="clear" w:pos="426"/>
              </w:tabs>
              <w:jc w:val="center"/>
              <w:rPr>
                <w:bCs/>
                <w:szCs w:val="21"/>
              </w:rPr>
            </w:pPr>
          </w:p>
        </w:tc>
        <w:tc>
          <w:tcPr>
            <w:tcW w:w="2123" w:type="pct"/>
            <w:shd w:val="clear" w:color="auto" w:fill="auto"/>
            <w:vAlign w:val="center"/>
          </w:tcPr>
          <w:p>
            <w:pPr>
              <w:tabs>
                <w:tab w:val="clear" w:pos="426"/>
              </w:tabs>
              <w:jc w:val="center"/>
              <w:rPr>
                <w:b/>
                <w:szCs w:val="21"/>
              </w:rPr>
            </w:pPr>
          </w:p>
        </w:tc>
        <w:tc>
          <w:tcPr>
            <w:tcW w:w="910" w:type="pct"/>
            <w:shd w:val="clear" w:color="auto" w:fill="auto"/>
            <w:vAlign w:val="center"/>
          </w:tcPr>
          <w:p>
            <w:pPr>
              <w:tabs>
                <w:tab w:val="clear" w:pos="426"/>
              </w:tabs>
              <w:jc w:val="center"/>
              <w:rPr>
                <w:b/>
                <w:szCs w:val="21"/>
              </w:rPr>
            </w:pPr>
          </w:p>
        </w:tc>
        <w:tc>
          <w:tcPr>
            <w:tcW w:w="616" w:type="pct"/>
            <w:shd w:val="clear" w:color="auto" w:fill="auto"/>
            <w:vAlign w:val="center"/>
          </w:tcPr>
          <w:p>
            <w:pPr>
              <w:tabs>
                <w:tab w:val="clear" w:pos="426"/>
              </w:tabs>
              <w:jc w:val="center"/>
              <w:rPr>
                <w:b/>
                <w:szCs w:val="21"/>
              </w:rPr>
            </w:pPr>
          </w:p>
        </w:tc>
        <w:tc>
          <w:tcPr>
            <w:tcW w:w="479" w:type="pct"/>
            <w:shd w:val="clear" w:color="auto" w:fill="auto"/>
            <w:vAlign w:val="center"/>
          </w:tcPr>
          <w:p>
            <w:pPr>
              <w:tabs>
                <w:tab w:val="clear" w:pos="426"/>
              </w:tabs>
              <w:jc w:val="center"/>
              <w:rPr>
                <w:b/>
                <w:szCs w:val="21"/>
              </w:rPr>
            </w:pPr>
          </w:p>
        </w:tc>
      </w:tr>
    </w:tbl>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_____________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pPr>
        <w:tabs>
          <w:tab w:val="clear" w:pos="426"/>
        </w:tabs>
        <w:spacing w:line="400" w:lineRule="exact"/>
        <w:rPr>
          <w:b/>
          <w:bCs/>
          <w:szCs w:val="21"/>
        </w:rPr>
      </w:pPr>
      <w:r>
        <w:rPr>
          <w:rFonts w:hint="eastAsia"/>
          <w:b/>
          <w:bCs/>
          <w:szCs w:val="21"/>
        </w:rPr>
        <w:t>备注：</w:t>
      </w:r>
    </w:p>
    <w:p>
      <w:pPr>
        <w:widowControl w:val="0"/>
        <w:numPr>
          <w:ilvl w:val="1"/>
          <w:numId w:val="30"/>
        </w:numPr>
        <w:shd w:val="clear" w:color="auto" w:fill="auto"/>
        <w:tabs>
          <w:tab w:val="clear" w:pos="426"/>
        </w:tabs>
        <w:adjustRightInd/>
        <w:ind w:left="0" w:firstLine="424" w:firstLineChars="201"/>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pPr>
        <w:widowControl w:val="0"/>
        <w:numPr>
          <w:ilvl w:val="1"/>
          <w:numId w:val="30"/>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pPr>
        <w:widowControl w:val="0"/>
        <w:numPr>
          <w:ilvl w:val="1"/>
          <w:numId w:val="30"/>
        </w:numPr>
        <w:shd w:val="clear" w:color="auto" w:fill="auto"/>
        <w:tabs>
          <w:tab w:val="clear" w:pos="426"/>
        </w:tabs>
        <w:adjustRightInd/>
        <w:ind w:left="0" w:firstLine="424" w:firstLineChars="201"/>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numPr>
          <w:ilvl w:val="0"/>
          <w:numId w:val="28"/>
        </w:numPr>
        <w:tabs>
          <w:tab w:val="clear" w:pos="426"/>
        </w:tabs>
        <w:adjustRightInd/>
        <w:snapToGrid/>
        <w:spacing w:before="280" w:after="290" w:line="377" w:lineRule="auto"/>
        <w:jc w:val="left"/>
        <w:outlineLvl w:val="2"/>
        <w:rPr>
          <w:b/>
          <w:sz w:val="24"/>
        </w:rPr>
      </w:pPr>
      <w:r>
        <w:rPr>
          <w:b/>
        </w:rPr>
        <w:br w:type="page"/>
      </w:r>
      <w:r>
        <w:rPr>
          <w:rFonts w:hint="eastAsia"/>
          <w:b/>
          <w:sz w:val="24"/>
        </w:rPr>
        <w:t>工程量清单报价格式</w:t>
      </w:r>
    </w:p>
    <w:p>
      <w:pPr>
        <w:jc w:val="center"/>
        <w:rPr>
          <w:b/>
        </w:rPr>
      </w:pPr>
      <w:r>
        <w:rPr>
          <w:rFonts w:hint="eastAsia"/>
        </w:rPr>
        <w:t>工程量清单报价格式</w:t>
      </w:r>
    </w:p>
    <w:p>
      <w:r>
        <w:rPr>
          <w:rFonts w:hint="eastAsia"/>
        </w:rPr>
        <w:t>（一）工程项目投标价汇总表</w:t>
      </w:r>
    </w:p>
    <w:tbl>
      <w:tblPr>
        <w:tblStyle w:val="44"/>
        <w:tblW w:w="5000" w:type="pct"/>
        <w:tblInd w:w="0" w:type="dxa"/>
        <w:tblLayout w:type="fixed"/>
        <w:tblCellMar>
          <w:top w:w="0" w:type="dxa"/>
          <w:left w:w="108" w:type="dxa"/>
          <w:bottom w:w="0" w:type="dxa"/>
          <w:right w:w="108" w:type="dxa"/>
        </w:tblCellMar>
      </w:tblPr>
      <w:tblGrid>
        <w:gridCol w:w="827"/>
        <w:gridCol w:w="3238"/>
        <w:gridCol w:w="1133"/>
        <w:gridCol w:w="1296"/>
        <w:gridCol w:w="1619"/>
        <w:gridCol w:w="1457"/>
      </w:tblGrid>
      <w:tr>
        <w:tblPrEx>
          <w:tblCellMar>
            <w:top w:w="0" w:type="dxa"/>
            <w:left w:w="108" w:type="dxa"/>
            <w:bottom w:w="0" w:type="dxa"/>
            <w:right w:w="108" w:type="dxa"/>
          </w:tblCellMar>
        </w:tblPrEx>
        <w:trPr>
          <w:trHeight w:val="340" w:hRule="atLeast"/>
        </w:trPr>
        <w:tc>
          <w:tcPr>
            <w:tcW w:w="3392" w:type="pct"/>
            <w:gridSpan w:val="4"/>
            <w:tcBorders>
              <w:top w:val="nil"/>
              <w:left w:val="nil"/>
              <w:bottom w:val="nil"/>
              <w:right w:val="nil"/>
            </w:tcBorders>
            <w:shd w:val="clear" w:color="auto" w:fill="auto"/>
            <w:vAlign w:val="center"/>
          </w:tcPr>
          <w:p>
            <w:pPr>
              <w:spacing w:line="240" w:lineRule="auto"/>
              <w:jc w:val="left"/>
              <w:rPr>
                <w:sz w:val="20"/>
                <w:szCs w:val="20"/>
              </w:rPr>
            </w:pPr>
            <w:r>
              <w:rPr>
                <w:rFonts w:hint="eastAsia"/>
                <w:sz w:val="20"/>
                <w:szCs w:val="20"/>
              </w:rPr>
              <w:t>工程名称:</w:t>
            </w:r>
          </w:p>
        </w:tc>
        <w:tc>
          <w:tcPr>
            <w:tcW w:w="1608" w:type="pct"/>
            <w:gridSpan w:val="2"/>
            <w:tcBorders>
              <w:top w:val="nil"/>
              <w:left w:val="nil"/>
              <w:bottom w:val="nil"/>
              <w:right w:val="nil"/>
            </w:tcBorders>
            <w:shd w:val="clear" w:color="auto" w:fill="auto"/>
            <w:vAlign w:val="center"/>
          </w:tcPr>
          <w:p>
            <w:pPr>
              <w:tabs>
                <w:tab w:val="clear" w:pos="426"/>
              </w:tabs>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432" w:type="pct"/>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1692" w:type="pct"/>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单项工程名称</w:t>
            </w:r>
          </w:p>
        </w:tc>
        <w:tc>
          <w:tcPr>
            <w:tcW w:w="592" w:type="pct"/>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c>
          <w:tcPr>
            <w:tcW w:w="2284" w:type="pct"/>
            <w:gridSpan w:val="3"/>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40" w:hRule="atLeast"/>
        </w:trPr>
        <w:tc>
          <w:tcPr>
            <w:tcW w:w="432"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169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59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677" w:type="pct"/>
            <w:tcBorders>
              <w:top w:val="nil"/>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暂估价(元)</w:t>
            </w:r>
          </w:p>
        </w:tc>
        <w:tc>
          <w:tcPr>
            <w:tcW w:w="846" w:type="pct"/>
            <w:tcBorders>
              <w:top w:val="nil"/>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安全文明施工措施费(元)</w:t>
            </w:r>
          </w:p>
        </w:tc>
        <w:tc>
          <w:tcPr>
            <w:tcW w:w="761" w:type="pct"/>
            <w:tcBorders>
              <w:top w:val="nil"/>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规费(元)</w:t>
            </w:r>
          </w:p>
        </w:tc>
      </w:tr>
      <w:tr>
        <w:tblPrEx>
          <w:tblCellMar>
            <w:top w:w="0" w:type="dxa"/>
            <w:left w:w="108" w:type="dxa"/>
            <w:bottom w:w="0" w:type="dxa"/>
            <w:right w:w="108" w:type="dxa"/>
          </w:tblCellMar>
        </w:tblPrEx>
        <w:trPr>
          <w:trHeight w:val="340" w:hRule="atLeast"/>
        </w:trPr>
        <w:tc>
          <w:tcPr>
            <w:tcW w:w="432"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r>
              <w:rPr>
                <w:rFonts w:hint="eastAsia"/>
                <w:sz w:val="20"/>
                <w:szCs w:val="20"/>
              </w:rPr>
              <w:t>1</w:t>
            </w:r>
          </w:p>
        </w:tc>
        <w:tc>
          <w:tcPr>
            <w:tcW w:w="1692" w:type="pct"/>
            <w:tcBorders>
              <w:top w:val="nil"/>
              <w:left w:val="nil"/>
              <w:bottom w:val="single" w:color="auto" w:sz="4" w:space="0"/>
              <w:right w:val="single" w:color="auto" w:sz="4" w:space="0"/>
            </w:tcBorders>
            <w:shd w:val="clear" w:color="000000" w:fill="FFFFFF"/>
            <w:vAlign w:val="center"/>
          </w:tcPr>
          <w:p>
            <w:pPr>
              <w:spacing w:line="240" w:lineRule="auto"/>
              <w:jc w:val="center"/>
              <w:rPr>
                <w:sz w:val="20"/>
                <w:szCs w:val="20"/>
              </w:rPr>
            </w:pPr>
          </w:p>
        </w:tc>
        <w:tc>
          <w:tcPr>
            <w:tcW w:w="592"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432"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6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432"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6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432"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6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432"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6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12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auto"/>
              <w:jc w:val="center"/>
              <w:rPr>
                <w:sz w:val="20"/>
                <w:szCs w:val="20"/>
              </w:rPr>
            </w:pPr>
            <w:r>
              <w:rPr>
                <w:rFonts w:hint="eastAsia"/>
                <w:sz w:val="20"/>
                <w:szCs w:val="20"/>
              </w:rPr>
              <w:t>合    计</w:t>
            </w:r>
          </w:p>
        </w:tc>
        <w:tc>
          <w:tcPr>
            <w:tcW w:w="59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77"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46"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6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bl>
    <w:p/>
    <w:p>
      <w:r>
        <w:rPr>
          <w:rFonts w:hint="eastAsia"/>
        </w:rPr>
        <w:t>（二）单项工程投标价汇总表</w:t>
      </w:r>
    </w:p>
    <w:tbl>
      <w:tblPr>
        <w:tblStyle w:val="44"/>
        <w:tblW w:w="5000" w:type="pct"/>
        <w:tblInd w:w="0" w:type="dxa"/>
        <w:tblLayout w:type="fixed"/>
        <w:tblCellMar>
          <w:top w:w="0" w:type="dxa"/>
          <w:left w:w="108" w:type="dxa"/>
          <w:bottom w:w="0" w:type="dxa"/>
          <w:right w:w="108" w:type="dxa"/>
        </w:tblCellMar>
      </w:tblPr>
      <w:tblGrid>
        <w:gridCol w:w="461"/>
        <w:gridCol w:w="3985"/>
        <w:gridCol w:w="810"/>
        <w:gridCol w:w="1365"/>
        <w:gridCol w:w="1644"/>
        <w:gridCol w:w="1305"/>
      </w:tblGrid>
      <w:tr>
        <w:tblPrEx>
          <w:tblCellMar>
            <w:top w:w="0" w:type="dxa"/>
            <w:left w:w="108" w:type="dxa"/>
            <w:bottom w:w="0" w:type="dxa"/>
            <w:right w:w="108" w:type="dxa"/>
          </w:tblCellMar>
        </w:tblPrEx>
        <w:trPr>
          <w:trHeight w:val="340" w:hRule="atLeast"/>
        </w:trPr>
        <w:tc>
          <w:tcPr>
            <w:tcW w:w="3459" w:type="pct"/>
            <w:gridSpan w:val="4"/>
            <w:tcBorders>
              <w:top w:val="nil"/>
              <w:left w:val="nil"/>
              <w:bottom w:val="nil"/>
              <w:right w:val="nil"/>
            </w:tcBorders>
            <w:shd w:val="clear" w:color="auto" w:fill="auto"/>
            <w:vAlign w:val="center"/>
          </w:tcPr>
          <w:p>
            <w:pPr>
              <w:spacing w:line="240" w:lineRule="auto"/>
              <w:jc w:val="left"/>
              <w:rPr>
                <w:sz w:val="20"/>
                <w:szCs w:val="20"/>
              </w:rPr>
            </w:pPr>
            <w:r>
              <w:rPr>
                <w:rFonts w:hint="eastAsia"/>
                <w:sz w:val="20"/>
                <w:szCs w:val="20"/>
              </w:rPr>
              <w:t>工程名称:</w:t>
            </w:r>
          </w:p>
        </w:tc>
        <w:tc>
          <w:tcPr>
            <w:tcW w:w="1541" w:type="pct"/>
            <w:gridSpan w:val="2"/>
            <w:tcBorders>
              <w:top w:val="nil"/>
              <w:left w:val="nil"/>
              <w:bottom w:val="nil"/>
              <w:right w:val="nil"/>
            </w:tcBorders>
            <w:shd w:val="clear" w:color="auto" w:fill="auto"/>
            <w:vAlign w:val="center"/>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241" w:type="pct"/>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2082" w:type="pct"/>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单位工程名称</w:t>
            </w:r>
          </w:p>
        </w:tc>
        <w:tc>
          <w:tcPr>
            <w:tcW w:w="423" w:type="pct"/>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c>
          <w:tcPr>
            <w:tcW w:w="2254" w:type="pct"/>
            <w:gridSpan w:val="3"/>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其中</w:t>
            </w:r>
          </w:p>
        </w:tc>
      </w:tr>
      <w:tr>
        <w:tblPrEx>
          <w:tblCellMar>
            <w:top w:w="0" w:type="dxa"/>
            <w:left w:w="108" w:type="dxa"/>
            <w:bottom w:w="0" w:type="dxa"/>
            <w:right w:w="108" w:type="dxa"/>
          </w:tblCellMar>
        </w:tblPrEx>
        <w:trPr>
          <w:trHeight w:val="340" w:hRule="atLeast"/>
        </w:trPr>
        <w:tc>
          <w:tcPr>
            <w:tcW w:w="241" w:type="pct"/>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2082"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423"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713" w:type="pct"/>
            <w:tcBorders>
              <w:top w:val="nil"/>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材料设备暂估价(元)</w:t>
            </w:r>
          </w:p>
        </w:tc>
        <w:tc>
          <w:tcPr>
            <w:tcW w:w="859" w:type="pct"/>
            <w:tcBorders>
              <w:top w:val="nil"/>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安全文明施工措施费(元)</w:t>
            </w:r>
          </w:p>
        </w:tc>
        <w:tc>
          <w:tcPr>
            <w:tcW w:w="682" w:type="pct"/>
            <w:tcBorders>
              <w:top w:val="nil"/>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规费(元)</w:t>
            </w:r>
          </w:p>
        </w:tc>
      </w:tr>
      <w:tr>
        <w:tblPrEx>
          <w:tblCellMar>
            <w:top w:w="0" w:type="dxa"/>
            <w:left w:w="108" w:type="dxa"/>
            <w:bottom w:w="0" w:type="dxa"/>
            <w:right w:w="108" w:type="dxa"/>
          </w:tblCellMar>
        </w:tblPrEx>
        <w:trPr>
          <w:trHeight w:val="340" w:hRule="atLeast"/>
        </w:trPr>
        <w:tc>
          <w:tcPr>
            <w:tcW w:w="241"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r>
              <w:rPr>
                <w:rFonts w:hint="eastAsia"/>
                <w:sz w:val="20"/>
                <w:szCs w:val="20"/>
              </w:rPr>
              <w:t>1</w:t>
            </w:r>
          </w:p>
        </w:tc>
        <w:tc>
          <w:tcPr>
            <w:tcW w:w="2082" w:type="pct"/>
            <w:tcBorders>
              <w:top w:val="nil"/>
              <w:left w:val="nil"/>
              <w:bottom w:val="single" w:color="auto" w:sz="4" w:space="0"/>
              <w:right w:val="single" w:color="auto" w:sz="4" w:space="0"/>
            </w:tcBorders>
            <w:shd w:val="clear" w:color="000000" w:fill="FFFFFF"/>
            <w:vAlign w:val="center"/>
          </w:tcPr>
          <w:p>
            <w:pPr>
              <w:spacing w:line="240" w:lineRule="auto"/>
              <w:jc w:val="center"/>
              <w:rPr>
                <w:sz w:val="20"/>
                <w:szCs w:val="20"/>
              </w:rPr>
            </w:pPr>
          </w:p>
        </w:tc>
        <w:tc>
          <w:tcPr>
            <w:tcW w:w="423"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41"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42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41"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42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41"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42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41" w:type="pct"/>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42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2322"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auto"/>
              <w:jc w:val="center"/>
              <w:rPr>
                <w:sz w:val="20"/>
                <w:szCs w:val="20"/>
              </w:rPr>
            </w:pPr>
            <w:r>
              <w:rPr>
                <w:rFonts w:hint="eastAsia"/>
                <w:sz w:val="20"/>
                <w:szCs w:val="20"/>
              </w:rPr>
              <w:t>合    计</w:t>
            </w:r>
          </w:p>
        </w:tc>
        <w:tc>
          <w:tcPr>
            <w:tcW w:w="42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13"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9"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682"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bl>
    <w:p/>
    <w:p>
      <w:r>
        <w:rPr>
          <w:rFonts w:hint="eastAsia"/>
        </w:rPr>
        <w:t>（三）单位工程投标报价汇总表</w:t>
      </w:r>
    </w:p>
    <w:tbl>
      <w:tblPr>
        <w:tblStyle w:val="44"/>
        <w:tblW w:w="5000" w:type="pct"/>
        <w:tblInd w:w="0" w:type="dxa"/>
        <w:tblLayout w:type="fixed"/>
        <w:tblCellMar>
          <w:top w:w="0" w:type="dxa"/>
          <w:left w:w="108" w:type="dxa"/>
          <w:bottom w:w="0" w:type="dxa"/>
          <w:right w:w="108" w:type="dxa"/>
        </w:tblCellMar>
      </w:tblPr>
      <w:tblGrid>
        <w:gridCol w:w="1585"/>
        <w:gridCol w:w="5244"/>
        <w:gridCol w:w="1016"/>
        <w:gridCol w:w="1725"/>
      </w:tblGrid>
      <w:tr>
        <w:tblPrEx>
          <w:tblCellMar>
            <w:top w:w="0" w:type="dxa"/>
            <w:left w:w="108" w:type="dxa"/>
            <w:bottom w:w="0" w:type="dxa"/>
            <w:right w:w="108" w:type="dxa"/>
          </w:tblCellMar>
        </w:tblPrEx>
        <w:trPr>
          <w:trHeight w:val="340" w:hRule="atLeast"/>
        </w:trPr>
        <w:tc>
          <w:tcPr>
            <w:tcW w:w="828" w:type="pct"/>
            <w:tcBorders>
              <w:top w:val="nil"/>
              <w:left w:val="nil"/>
              <w:bottom w:val="nil"/>
              <w:right w:val="nil"/>
            </w:tcBorders>
            <w:shd w:val="clear" w:color="auto" w:fill="auto"/>
            <w:vAlign w:val="center"/>
          </w:tcPr>
          <w:p>
            <w:pPr>
              <w:spacing w:line="240" w:lineRule="auto"/>
              <w:jc w:val="left"/>
              <w:rPr>
                <w:sz w:val="20"/>
                <w:szCs w:val="20"/>
              </w:rPr>
            </w:pPr>
            <w:r>
              <w:rPr>
                <w:rFonts w:hint="eastAsia"/>
                <w:sz w:val="20"/>
                <w:szCs w:val="20"/>
              </w:rPr>
              <w:t>工程名称:</w:t>
            </w:r>
          </w:p>
        </w:tc>
        <w:tc>
          <w:tcPr>
            <w:tcW w:w="2740" w:type="pct"/>
            <w:tcBorders>
              <w:top w:val="nil"/>
              <w:left w:val="nil"/>
              <w:bottom w:val="nil"/>
              <w:right w:val="nil"/>
            </w:tcBorders>
            <w:shd w:val="clear" w:color="auto" w:fill="auto"/>
            <w:vAlign w:val="center"/>
          </w:tcPr>
          <w:p>
            <w:pPr>
              <w:spacing w:line="240" w:lineRule="auto"/>
              <w:jc w:val="center"/>
              <w:rPr>
                <w:sz w:val="20"/>
                <w:szCs w:val="20"/>
              </w:rPr>
            </w:pPr>
          </w:p>
        </w:tc>
        <w:tc>
          <w:tcPr>
            <w:tcW w:w="1432" w:type="pct"/>
            <w:gridSpan w:val="2"/>
            <w:tcBorders>
              <w:top w:val="nil"/>
              <w:left w:val="nil"/>
              <w:bottom w:val="nil"/>
              <w:right w:val="nil"/>
            </w:tcBorders>
            <w:shd w:val="clear" w:color="auto" w:fill="auto"/>
            <w:vAlign w:val="center"/>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828" w:type="pc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 号</w:t>
            </w:r>
          </w:p>
        </w:tc>
        <w:tc>
          <w:tcPr>
            <w:tcW w:w="2740" w:type="pct"/>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汇 总 内 容</w:t>
            </w:r>
          </w:p>
        </w:tc>
        <w:tc>
          <w:tcPr>
            <w:tcW w:w="531" w:type="pct"/>
            <w:tcBorders>
              <w:top w:val="single" w:color="auto" w:sz="4" w:space="0"/>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c>
          <w:tcPr>
            <w:tcW w:w="901" w:type="pct"/>
            <w:tcBorders>
              <w:top w:val="single" w:color="auto" w:sz="4" w:space="0"/>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其中：材料设备暂估价(元)</w:t>
            </w:r>
          </w:p>
        </w:tc>
      </w:tr>
      <w:tr>
        <w:tblPrEx>
          <w:tblCellMar>
            <w:top w:w="0" w:type="dxa"/>
            <w:left w:w="108" w:type="dxa"/>
            <w:bottom w:w="0" w:type="dxa"/>
            <w:right w:w="108" w:type="dxa"/>
          </w:tblCellMar>
        </w:tblPrEx>
        <w:trPr>
          <w:trHeight w:val="340" w:hRule="atLeast"/>
        </w:trPr>
        <w:tc>
          <w:tcPr>
            <w:tcW w:w="828"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2740" w:type="pct"/>
            <w:tcBorders>
              <w:top w:val="single" w:color="auto" w:sz="4" w:space="0"/>
              <w:left w:val="nil"/>
              <w:bottom w:val="single" w:color="auto" w:sz="4" w:space="0"/>
              <w:right w:val="single" w:color="000000" w:sz="4" w:space="0"/>
            </w:tcBorders>
            <w:shd w:val="clear" w:color="000000" w:fill="FFFFFF"/>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8"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2740" w:type="pct"/>
            <w:tcBorders>
              <w:top w:val="single" w:color="auto" w:sz="4" w:space="0"/>
              <w:left w:val="nil"/>
              <w:bottom w:val="single" w:color="auto" w:sz="4" w:space="0"/>
              <w:right w:val="single" w:color="000000" w:sz="4" w:space="0"/>
            </w:tcBorders>
            <w:shd w:val="clear" w:color="000000" w:fill="FFFFFF"/>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8"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2740" w:type="pct"/>
            <w:tcBorders>
              <w:top w:val="single" w:color="auto" w:sz="4" w:space="0"/>
              <w:left w:val="nil"/>
              <w:bottom w:val="single" w:color="auto" w:sz="4" w:space="0"/>
              <w:right w:val="single" w:color="000000" w:sz="4" w:space="0"/>
            </w:tcBorders>
            <w:shd w:val="clear" w:color="000000" w:fill="FFFFFF"/>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8"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2740" w:type="pct"/>
            <w:tcBorders>
              <w:top w:val="single" w:color="auto" w:sz="4" w:space="0"/>
              <w:left w:val="nil"/>
              <w:bottom w:val="single" w:color="auto" w:sz="4" w:space="0"/>
              <w:right w:val="single" w:color="000000" w:sz="4" w:space="0"/>
            </w:tcBorders>
            <w:shd w:val="clear" w:color="000000" w:fill="FFFFFF"/>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8" w:type="pct"/>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2740" w:type="pct"/>
            <w:tcBorders>
              <w:top w:val="single" w:color="auto" w:sz="4" w:space="0"/>
              <w:left w:val="nil"/>
              <w:bottom w:val="single" w:color="auto" w:sz="4" w:space="0"/>
              <w:right w:val="single" w:color="000000" w:sz="4" w:space="0"/>
            </w:tcBorders>
            <w:shd w:val="clear" w:color="000000" w:fill="FFFFFF"/>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000000" w:fill="FFFFFF"/>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3568"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sz w:val="20"/>
                <w:szCs w:val="20"/>
              </w:rPr>
            </w:pPr>
          </w:p>
        </w:tc>
        <w:tc>
          <w:tcPr>
            <w:tcW w:w="53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901" w:type="pct"/>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bl>
    <w:p/>
    <w:p>
      <w:pPr>
        <w:shd w:val="clear" w:color="auto" w:fill="auto"/>
        <w:tabs>
          <w:tab w:val="clear" w:pos="426"/>
        </w:tabs>
        <w:adjustRightInd/>
        <w:snapToGrid/>
        <w:spacing w:line="240" w:lineRule="auto"/>
        <w:jc w:val="left"/>
      </w:pPr>
      <w:r>
        <w:br w:type="page"/>
      </w:r>
    </w:p>
    <w:p/>
    <w:p>
      <w:r>
        <w:rPr>
          <w:rFonts w:hint="eastAsia"/>
        </w:rPr>
        <w:t>（四）分部分项工程量清单与计价表</w:t>
      </w:r>
    </w:p>
    <w:tbl>
      <w:tblPr>
        <w:tblStyle w:val="44"/>
        <w:tblW w:w="9760" w:type="dxa"/>
        <w:tblInd w:w="93" w:type="dxa"/>
        <w:tblLayout w:type="fixed"/>
        <w:tblCellMar>
          <w:top w:w="0" w:type="dxa"/>
          <w:left w:w="108" w:type="dxa"/>
          <w:bottom w:w="0" w:type="dxa"/>
          <w:right w:w="108" w:type="dxa"/>
        </w:tblCellMar>
      </w:tblPr>
      <w:tblGrid>
        <w:gridCol w:w="824"/>
        <w:gridCol w:w="1428"/>
        <w:gridCol w:w="2062"/>
        <w:gridCol w:w="1513"/>
        <w:gridCol w:w="709"/>
        <w:gridCol w:w="567"/>
        <w:gridCol w:w="709"/>
        <w:gridCol w:w="850"/>
        <w:gridCol w:w="1098"/>
      </w:tblGrid>
      <w:tr>
        <w:tblPrEx>
          <w:tblCellMar>
            <w:top w:w="0" w:type="dxa"/>
            <w:left w:w="108" w:type="dxa"/>
            <w:bottom w:w="0" w:type="dxa"/>
            <w:right w:w="108" w:type="dxa"/>
          </w:tblCellMar>
        </w:tblPrEx>
        <w:trPr>
          <w:trHeight w:val="340" w:hRule="atLeast"/>
        </w:trPr>
        <w:tc>
          <w:tcPr>
            <w:tcW w:w="4314"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2789"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w:t>
            </w:r>
          </w:p>
        </w:tc>
        <w:tc>
          <w:tcPr>
            <w:tcW w:w="2657" w:type="dxa"/>
            <w:gridSpan w:val="3"/>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824"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1428"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项目编码</w:t>
            </w:r>
          </w:p>
        </w:tc>
        <w:tc>
          <w:tcPr>
            <w:tcW w:w="2062"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1513"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18"/>
                <w:szCs w:val="18"/>
              </w:rPr>
            </w:pPr>
            <w:r>
              <w:rPr>
                <w:rFonts w:hint="eastAsia"/>
                <w:sz w:val="18"/>
                <w:szCs w:val="18"/>
              </w:rPr>
              <w:t>项目特征描述</w:t>
            </w:r>
          </w:p>
        </w:tc>
        <w:tc>
          <w:tcPr>
            <w:tcW w:w="70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计量单位</w:t>
            </w:r>
          </w:p>
        </w:tc>
        <w:tc>
          <w:tcPr>
            <w:tcW w:w="567"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工程量</w:t>
            </w:r>
          </w:p>
        </w:tc>
        <w:tc>
          <w:tcPr>
            <w:tcW w:w="2657" w:type="dxa"/>
            <w:gridSpan w:val="3"/>
            <w:tcBorders>
              <w:top w:val="single" w:color="auto" w:sz="4" w:space="0"/>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r>
      <w:tr>
        <w:tblPrEx>
          <w:tblCellMar>
            <w:top w:w="0" w:type="dxa"/>
            <w:left w:w="108" w:type="dxa"/>
            <w:bottom w:w="0" w:type="dxa"/>
            <w:right w:w="108" w:type="dxa"/>
          </w:tblCellMar>
        </w:tblPrEx>
        <w:trPr>
          <w:trHeight w:val="340" w:hRule="atLeast"/>
        </w:trPr>
        <w:tc>
          <w:tcPr>
            <w:tcW w:w="82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142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20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151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18"/>
                <w:szCs w:val="18"/>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56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rPr>
                <w:sz w:val="20"/>
                <w:szCs w:val="20"/>
              </w:rPr>
            </w:pPr>
          </w:p>
        </w:tc>
        <w:tc>
          <w:tcPr>
            <w:tcW w:w="709" w:type="dxa"/>
            <w:tcBorders>
              <w:top w:val="nil"/>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综合单价</w:t>
            </w:r>
          </w:p>
        </w:tc>
        <w:tc>
          <w:tcPr>
            <w:tcW w:w="850" w:type="dxa"/>
            <w:tcBorders>
              <w:top w:val="nil"/>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合价</w:t>
            </w:r>
          </w:p>
        </w:tc>
        <w:tc>
          <w:tcPr>
            <w:tcW w:w="1098" w:type="dxa"/>
            <w:tcBorders>
              <w:top w:val="nil"/>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材料设备暂估合价</w:t>
            </w:r>
          </w:p>
        </w:tc>
      </w:tr>
      <w:tr>
        <w:tblPrEx>
          <w:tblCellMar>
            <w:top w:w="0" w:type="dxa"/>
            <w:left w:w="108" w:type="dxa"/>
            <w:bottom w:w="0" w:type="dxa"/>
            <w:right w:w="108" w:type="dxa"/>
          </w:tblCellMar>
        </w:tblPrEx>
        <w:trPr>
          <w:trHeight w:val="340" w:hRule="atLeast"/>
        </w:trPr>
        <w:tc>
          <w:tcPr>
            <w:tcW w:w="824"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28"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06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513"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709"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567"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85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098"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r>
      <w:tr>
        <w:tblPrEx>
          <w:tblCellMar>
            <w:top w:w="0" w:type="dxa"/>
            <w:left w:w="108" w:type="dxa"/>
            <w:bottom w:w="0" w:type="dxa"/>
            <w:right w:w="108" w:type="dxa"/>
          </w:tblCellMar>
        </w:tblPrEx>
        <w:trPr>
          <w:trHeight w:val="340" w:hRule="atLeast"/>
        </w:trPr>
        <w:tc>
          <w:tcPr>
            <w:tcW w:w="824"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sz w:val="18"/>
                <w:szCs w:val="18"/>
              </w:rPr>
            </w:pPr>
          </w:p>
        </w:tc>
        <w:tc>
          <w:tcPr>
            <w:tcW w:w="1428" w:type="dxa"/>
            <w:tcBorders>
              <w:top w:val="nil"/>
              <w:left w:val="nil"/>
              <w:bottom w:val="single" w:color="auto" w:sz="4" w:space="0"/>
              <w:right w:val="single" w:color="auto" w:sz="4" w:space="0"/>
            </w:tcBorders>
            <w:shd w:val="clear" w:color="auto" w:fill="auto"/>
            <w:vAlign w:val="center"/>
          </w:tcPr>
          <w:p>
            <w:pPr>
              <w:spacing w:line="240" w:lineRule="auto"/>
              <w:jc w:val="center"/>
              <w:rPr>
                <w:sz w:val="18"/>
                <w:szCs w:val="18"/>
              </w:rPr>
            </w:pPr>
          </w:p>
        </w:tc>
        <w:tc>
          <w:tcPr>
            <w:tcW w:w="2062" w:type="dxa"/>
            <w:tcBorders>
              <w:top w:val="nil"/>
              <w:left w:val="nil"/>
              <w:bottom w:val="single" w:color="auto" w:sz="4" w:space="0"/>
              <w:right w:val="single" w:color="auto" w:sz="4" w:space="0"/>
            </w:tcBorders>
            <w:shd w:val="clear" w:color="auto" w:fill="auto"/>
            <w:vAlign w:val="center"/>
          </w:tcPr>
          <w:p>
            <w:pPr>
              <w:spacing w:line="240" w:lineRule="auto"/>
              <w:jc w:val="center"/>
              <w:rPr>
                <w:sz w:val="18"/>
                <w:szCs w:val="18"/>
              </w:rPr>
            </w:pPr>
          </w:p>
        </w:tc>
        <w:tc>
          <w:tcPr>
            <w:tcW w:w="1513" w:type="dxa"/>
            <w:tcBorders>
              <w:top w:val="nil"/>
              <w:left w:val="nil"/>
              <w:bottom w:val="single" w:color="auto" w:sz="4" w:space="0"/>
              <w:right w:val="single" w:color="auto" w:sz="4" w:space="0"/>
            </w:tcBorders>
            <w:shd w:val="clear" w:color="auto" w:fill="auto"/>
            <w:vAlign w:val="center"/>
          </w:tcPr>
          <w:p>
            <w:pPr>
              <w:spacing w:line="240" w:lineRule="auto"/>
              <w:jc w:val="center"/>
              <w:rPr>
                <w:sz w:val="18"/>
                <w:szCs w:val="18"/>
              </w:rPr>
            </w:pPr>
          </w:p>
        </w:tc>
        <w:tc>
          <w:tcPr>
            <w:tcW w:w="709" w:type="dxa"/>
            <w:tcBorders>
              <w:top w:val="nil"/>
              <w:left w:val="nil"/>
              <w:bottom w:val="single" w:color="auto" w:sz="4" w:space="0"/>
              <w:right w:val="single" w:color="auto" w:sz="4" w:space="0"/>
            </w:tcBorders>
            <w:shd w:val="clear" w:color="auto" w:fill="auto"/>
            <w:vAlign w:val="center"/>
          </w:tcPr>
          <w:p>
            <w:pPr>
              <w:spacing w:line="240" w:lineRule="auto"/>
              <w:jc w:val="center"/>
              <w:rPr>
                <w:sz w:val="18"/>
                <w:szCs w:val="18"/>
              </w:rPr>
            </w:pPr>
          </w:p>
        </w:tc>
        <w:tc>
          <w:tcPr>
            <w:tcW w:w="567"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18"/>
                <w:szCs w:val="18"/>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18"/>
                <w:szCs w:val="18"/>
              </w:rPr>
            </w:pPr>
          </w:p>
        </w:tc>
        <w:tc>
          <w:tcPr>
            <w:tcW w:w="1098"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18"/>
                <w:szCs w:val="18"/>
              </w:rPr>
            </w:pPr>
          </w:p>
        </w:tc>
      </w:tr>
      <w:tr>
        <w:tblPrEx>
          <w:tblCellMar>
            <w:top w:w="0" w:type="dxa"/>
            <w:left w:w="108" w:type="dxa"/>
            <w:bottom w:w="0" w:type="dxa"/>
            <w:right w:w="108" w:type="dxa"/>
          </w:tblCellMar>
        </w:tblPrEx>
        <w:trPr>
          <w:trHeight w:val="340" w:hRule="atLeast"/>
        </w:trPr>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42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6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098"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428"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62"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513"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67"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098"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r>
        <w:tblPrEx>
          <w:tblCellMar>
            <w:top w:w="0" w:type="dxa"/>
            <w:left w:w="108" w:type="dxa"/>
            <w:bottom w:w="0" w:type="dxa"/>
            <w:right w:w="108" w:type="dxa"/>
          </w:tblCellMar>
        </w:tblPrEx>
        <w:trPr>
          <w:trHeight w:val="340"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428"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2062"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513"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567"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709"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850"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c>
          <w:tcPr>
            <w:tcW w:w="1098" w:type="dxa"/>
            <w:tcBorders>
              <w:top w:val="nil"/>
              <w:left w:val="nil"/>
              <w:bottom w:val="single" w:color="auto" w:sz="4" w:space="0"/>
              <w:right w:val="single" w:color="auto" w:sz="4" w:space="0"/>
            </w:tcBorders>
            <w:shd w:val="clear" w:color="auto" w:fill="auto"/>
            <w:noWrap/>
            <w:vAlign w:val="center"/>
          </w:tcPr>
          <w:p>
            <w:pPr>
              <w:spacing w:line="240" w:lineRule="auto"/>
              <w:jc w:val="center"/>
              <w:rPr>
                <w:sz w:val="20"/>
                <w:szCs w:val="20"/>
              </w:rPr>
            </w:pPr>
          </w:p>
        </w:tc>
      </w:tr>
    </w:tbl>
    <w:p/>
    <w:p>
      <w:r>
        <w:rPr>
          <w:rFonts w:hint="eastAsia"/>
        </w:rPr>
        <w:t>（五）措施项目清单与计价汇总表</w:t>
      </w:r>
    </w:p>
    <w:tbl>
      <w:tblPr>
        <w:tblStyle w:val="44"/>
        <w:tblW w:w="9926" w:type="dxa"/>
        <w:tblInd w:w="93" w:type="dxa"/>
        <w:tblLayout w:type="fixed"/>
        <w:tblCellMar>
          <w:top w:w="0" w:type="dxa"/>
          <w:left w:w="108" w:type="dxa"/>
          <w:bottom w:w="0" w:type="dxa"/>
          <w:right w:w="108" w:type="dxa"/>
        </w:tblCellMar>
      </w:tblPr>
      <w:tblGrid>
        <w:gridCol w:w="866"/>
        <w:gridCol w:w="6546"/>
        <w:gridCol w:w="2514"/>
      </w:tblGrid>
      <w:tr>
        <w:tblPrEx>
          <w:tblCellMar>
            <w:top w:w="0" w:type="dxa"/>
            <w:left w:w="108" w:type="dxa"/>
            <w:bottom w:w="0" w:type="dxa"/>
            <w:right w:w="108" w:type="dxa"/>
          </w:tblCellMar>
        </w:tblPrEx>
        <w:trPr>
          <w:trHeight w:val="340" w:hRule="atLeast"/>
        </w:trPr>
        <w:tc>
          <w:tcPr>
            <w:tcW w:w="7412" w:type="dxa"/>
            <w:gridSpan w:val="2"/>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2514" w:type="dxa"/>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866" w:type="dxa"/>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6546"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2514" w:type="dxa"/>
            <w:tcBorders>
              <w:top w:val="single" w:color="auto" w:sz="4" w:space="0"/>
              <w:left w:val="nil"/>
              <w:bottom w:val="single" w:color="000000" w:sz="4" w:space="0"/>
              <w:right w:val="single" w:color="auto" w:sz="4" w:space="0"/>
            </w:tcBorders>
            <w:shd w:val="clear" w:color="000000" w:fill="FFFFFF"/>
            <w:noWrap/>
            <w:vAlign w:val="center"/>
          </w:tcPr>
          <w:p>
            <w:pPr>
              <w:spacing w:line="240" w:lineRule="auto"/>
              <w:jc w:val="center"/>
              <w:rPr>
                <w:sz w:val="20"/>
                <w:szCs w:val="20"/>
              </w:rPr>
            </w:pPr>
            <w:r>
              <w:rPr>
                <w:rFonts w:hint="eastAsia"/>
                <w:sz w:val="20"/>
                <w:szCs w:val="20"/>
              </w:rPr>
              <w:t>金额(元)</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6546"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6546"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6546"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6546"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6546"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741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spacing w:line="240" w:lineRule="auto"/>
              <w:jc w:val="center"/>
              <w:rPr>
                <w:sz w:val="18"/>
                <w:szCs w:val="18"/>
              </w:rPr>
            </w:pPr>
            <w:r>
              <w:rPr>
                <w:rFonts w:hint="eastAsia"/>
                <w:sz w:val="18"/>
                <w:szCs w:val="18"/>
              </w:rPr>
              <w:t xml:space="preserve">   合  计</w:t>
            </w:r>
          </w:p>
        </w:tc>
        <w:tc>
          <w:tcPr>
            <w:tcW w:w="251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bl>
    <w:p/>
    <w:p>
      <w:r>
        <w:rPr>
          <w:rFonts w:hint="eastAsia"/>
        </w:rPr>
        <w:t>（六）措施项目清单与计价表(一)</w:t>
      </w:r>
    </w:p>
    <w:tbl>
      <w:tblPr>
        <w:tblStyle w:val="44"/>
        <w:tblW w:w="9780" w:type="dxa"/>
        <w:tblInd w:w="93" w:type="dxa"/>
        <w:tblLayout w:type="fixed"/>
        <w:tblCellMar>
          <w:top w:w="0" w:type="dxa"/>
          <w:left w:w="108" w:type="dxa"/>
          <w:bottom w:w="0" w:type="dxa"/>
          <w:right w:w="108" w:type="dxa"/>
        </w:tblCellMar>
      </w:tblPr>
      <w:tblGrid>
        <w:gridCol w:w="430"/>
        <w:gridCol w:w="1322"/>
        <w:gridCol w:w="1923"/>
        <w:gridCol w:w="1727"/>
        <w:gridCol w:w="699"/>
        <w:gridCol w:w="883"/>
        <w:gridCol w:w="1253"/>
        <w:gridCol w:w="1543"/>
      </w:tblGrid>
      <w:tr>
        <w:tblPrEx>
          <w:tblCellMar>
            <w:top w:w="0" w:type="dxa"/>
            <w:left w:w="108" w:type="dxa"/>
            <w:bottom w:w="0" w:type="dxa"/>
            <w:right w:w="108" w:type="dxa"/>
          </w:tblCellMar>
        </w:tblPrEx>
        <w:trPr>
          <w:trHeight w:val="340" w:hRule="atLeast"/>
        </w:trPr>
        <w:tc>
          <w:tcPr>
            <w:tcW w:w="3675"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3309"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w:t>
            </w:r>
          </w:p>
        </w:tc>
        <w:tc>
          <w:tcPr>
            <w:tcW w:w="2796" w:type="dxa"/>
            <w:gridSpan w:val="2"/>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430"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1322"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项目编码</w:t>
            </w:r>
          </w:p>
        </w:tc>
        <w:tc>
          <w:tcPr>
            <w:tcW w:w="1923"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1727"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项目特征描述</w:t>
            </w:r>
          </w:p>
        </w:tc>
        <w:tc>
          <w:tcPr>
            <w:tcW w:w="69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计量单位</w:t>
            </w:r>
          </w:p>
        </w:tc>
        <w:tc>
          <w:tcPr>
            <w:tcW w:w="883"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工程量</w:t>
            </w:r>
          </w:p>
        </w:tc>
        <w:tc>
          <w:tcPr>
            <w:tcW w:w="2796" w:type="dxa"/>
            <w:gridSpan w:val="2"/>
            <w:tcBorders>
              <w:top w:val="single" w:color="auto" w:sz="4" w:space="0"/>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r>
      <w:tr>
        <w:tblPrEx>
          <w:tblCellMar>
            <w:top w:w="0" w:type="dxa"/>
            <w:left w:w="108" w:type="dxa"/>
            <w:bottom w:w="0" w:type="dxa"/>
            <w:right w:w="108" w:type="dxa"/>
          </w:tblCellMar>
        </w:tblPrEx>
        <w:trPr>
          <w:trHeight w:val="340" w:hRule="atLeast"/>
        </w:trPr>
        <w:tc>
          <w:tcPr>
            <w:tcW w:w="4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32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92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7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69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88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253" w:type="dxa"/>
            <w:tcBorders>
              <w:top w:val="nil"/>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综合单价</w:t>
            </w:r>
          </w:p>
        </w:tc>
        <w:tc>
          <w:tcPr>
            <w:tcW w:w="1543" w:type="dxa"/>
            <w:tcBorders>
              <w:top w:val="nil"/>
              <w:left w:val="nil"/>
              <w:bottom w:val="single" w:color="000000" w:sz="4" w:space="0"/>
              <w:right w:val="single" w:color="auto" w:sz="4" w:space="0"/>
            </w:tcBorders>
            <w:shd w:val="clear" w:color="000000" w:fill="FFFFFF"/>
            <w:noWrap/>
            <w:vAlign w:val="center"/>
          </w:tcPr>
          <w:p>
            <w:pPr>
              <w:spacing w:line="240" w:lineRule="auto"/>
              <w:jc w:val="center"/>
              <w:rPr>
                <w:sz w:val="20"/>
                <w:szCs w:val="20"/>
              </w:rPr>
            </w:pPr>
            <w:r>
              <w:rPr>
                <w:rFonts w:hint="eastAsia"/>
                <w:sz w:val="20"/>
                <w:szCs w:val="20"/>
              </w:rPr>
              <w:t>合价</w:t>
            </w:r>
          </w:p>
        </w:tc>
      </w:tr>
      <w:tr>
        <w:tblPrEx>
          <w:tblCellMar>
            <w:top w:w="0" w:type="dxa"/>
            <w:left w:w="108" w:type="dxa"/>
            <w:bottom w:w="0" w:type="dxa"/>
            <w:right w:w="108" w:type="dxa"/>
          </w:tblCellMar>
        </w:tblPrEx>
        <w:trPr>
          <w:trHeight w:val="340" w:hRule="atLeast"/>
        </w:trPr>
        <w:tc>
          <w:tcPr>
            <w:tcW w:w="4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32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92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727"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99"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8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25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5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32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92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727"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99"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8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2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54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32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92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727"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99"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8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2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54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32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92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727"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99"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8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2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54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32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92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727"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99"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8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2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54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823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sz w:val="20"/>
                <w:szCs w:val="20"/>
              </w:rPr>
            </w:pPr>
            <w:r>
              <w:rPr>
                <w:rFonts w:hint="eastAsia"/>
                <w:sz w:val="20"/>
                <w:szCs w:val="20"/>
              </w:rPr>
              <w:t>本页小计</w:t>
            </w:r>
          </w:p>
        </w:tc>
        <w:tc>
          <w:tcPr>
            <w:tcW w:w="1543" w:type="dxa"/>
            <w:tcBorders>
              <w:top w:val="nil"/>
              <w:left w:val="nil"/>
              <w:bottom w:val="single" w:color="auto" w:sz="4" w:space="0"/>
              <w:right w:val="single" w:color="auto" w:sz="4" w:space="0"/>
            </w:tcBorders>
            <w:shd w:val="clear" w:color="auto" w:fill="auto"/>
            <w:noWrap/>
            <w:vAlign w:val="center"/>
          </w:tcPr>
          <w:p>
            <w:pPr>
              <w:spacing w:line="240" w:lineRule="auto"/>
              <w:jc w:val="right"/>
              <w:rPr>
                <w:sz w:val="20"/>
                <w:szCs w:val="20"/>
              </w:rPr>
            </w:pPr>
            <w:r>
              <w:rPr>
                <w:rFonts w:hint="eastAsia"/>
                <w:sz w:val="20"/>
                <w:szCs w:val="20"/>
              </w:rPr>
              <w:t>　</w:t>
            </w:r>
          </w:p>
        </w:tc>
      </w:tr>
      <w:tr>
        <w:tblPrEx>
          <w:tblCellMar>
            <w:top w:w="0" w:type="dxa"/>
            <w:left w:w="108" w:type="dxa"/>
            <w:bottom w:w="0" w:type="dxa"/>
            <w:right w:w="108" w:type="dxa"/>
          </w:tblCellMar>
        </w:tblPrEx>
        <w:trPr>
          <w:trHeight w:val="340" w:hRule="atLeast"/>
        </w:trPr>
        <w:tc>
          <w:tcPr>
            <w:tcW w:w="8237"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pPr>
              <w:spacing w:line="240" w:lineRule="auto"/>
              <w:jc w:val="center"/>
              <w:rPr>
                <w:sz w:val="18"/>
                <w:szCs w:val="18"/>
              </w:rPr>
            </w:pPr>
            <w:r>
              <w:rPr>
                <w:rFonts w:hint="eastAsia"/>
                <w:sz w:val="18"/>
                <w:szCs w:val="18"/>
              </w:rPr>
              <w:t xml:space="preserve">   合  计</w:t>
            </w:r>
          </w:p>
        </w:tc>
        <w:tc>
          <w:tcPr>
            <w:tcW w:w="1543"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bl>
    <w:p/>
    <w:p>
      <w:pPr>
        <w:shd w:val="clear" w:color="auto" w:fill="auto"/>
        <w:tabs>
          <w:tab w:val="clear" w:pos="426"/>
        </w:tabs>
        <w:adjustRightInd/>
        <w:snapToGrid/>
        <w:spacing w:line="240" w:lineRule="auto"/>
        <w:jc w:val="left"/>
      </w:pPr>
      <w:r>
        <w:br w:type="page"/>
      </w:r>
    </w:p>
    <w:p/>
    <w:p>
      <w:r>
        <w:rPr>
          <w:rFonts w:hint="eastAsia"/>
        </w:rPr>
        <w:t>（七）安全文明施工措施费详细清单与计价表</w:t>
      </w:r>
    </w:p>
    <w:tbl>
      <w:tblPr>
        <w:tblStyle w:val="44"/>
        <w:tblW w:w="10005" w:type="dxa"/>
        <w:tblInd w:w="93" w:type="dxa"/>
        <w:tblLayout w:type="fixed"/>
        <w:tblCellMar>
          <w:top w:w="0" w:type="dxa"/>
          <w:left w:w="108" w:type="dxa"/>
          <w:bottom w:w="0" w:type="dxa"/>
          <w:right w:w="108" w:type="dxa"/>
        </w:tblCellMar>
      </w:tblPr>
      <w:tblGrid>
        <w:gridCol w:w="416"/>
        <w:gridCol w:w="1400"/>
        <w:gridCol w:w="2468"/>
        <w:gridCol w:w="1841"/>
        <w:gridCol w:w="832"/>
        <w:gridCol w:w="1014"/>
        <w:gridCol w:w="1018"/>
        <w:gridCol w:w="1016"/>
      </w:tblGrid>
      <w:tr>
        <w:tblPrEx>
          <w:tblCellMar>
            <w:top w:w="0" w:type="dxa"/>
            <w:left w:w="108" w:type="dxa"/>
            <w:bottom w:w="0" w:type="dxa"/>
            <w:right w:w="108" w:type="dxa"/>
          </w:tblCellMar>
        </w:tblPrEx>
        <w:trPr>
          <w:trHeight w:val="340" w:hRule="atLeast"/>
        </w:trPr>
        <w:tc>
          <w:tcPr>
            <w:tcW w:w="4284"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3687" w:type="dxa"/>
            <w:gridSpan w:val="3"/>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w:t>
            </w:r>
          </w:p>
        </w:tc>
        <w:tc>
          <w:tcPr>
            <w:tcW w:w="2034" w:type="dxa"/>
            <w:gridSpan w:val="2"/>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416"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w:t>
            </w:r>
            <w:r>
              <w:rPr>
                <w:rFonts w:hint="eastAsia"/>
                <w:sz w:val="20"/>
                <w:szCs w:val="20"/>
              </w:rPr>
              <w:br w:type="textWrapping"/>
            </w:r>
            <w:r>
              <w:rPr>
                <w:rFonts w:hint="eastAsia"/>
                <w:sz w:val="20"/>
                <w:szCs w:val="20"/>
              </w:rPr>
              <w:t>号</w:t>
            </w:r>
          </w:p>
        </w:tc>
        <w:tc>
          <w:tcPr>
            <w:tcW w:w="1400"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项目编码</w:t>
            </w:r>
          </w:p>
        </w:tc>
        <w:tc>
          <w:tcPr>
            <w:tcW w:w="2468"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1841"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项目特征描述</w:t>
            </w:r>
          </w:p>
        </w:tc>
        <w:tc>
          <w:tcPr>
            <w:tcW w:w="832"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计量</w:t>
            </w:r>
            <w:r>
              <w:rPr>
                <w:rFonts w:hint="eastAsia"/>
                <w:sz w:val="20"/>
                <w:szCs w:val="20"/>
              </w:rPr>
              <w:br w:type="textWrapping"/>
            </w:r>
            <w:r>
              <w:rPr>
                <w:rFonts w:hint="eastAsia"/>
                <w:sz w:val="20"/>
                <w:szCs w:val="20"/>
              </w:rPr>
              <w:t>单位</w:t>
            </w:r>
          </w:p>
        </w:tc>
        <w:tc>
          <w:tcPr>
            <w:tcW w:w="1014"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工程量</w:t>
            </w:r>
          </w:p>
        </w:tc>
        <w:tc>
          <w:tcPr>
            <w:tcW w:w="2034" w:type="dxa"/>
            <w:gridSpan w:val="2"/>
            <w:tcBorders>
              <w:top w:val="single" w:color="auto" w:sz="4" w:space="0"/>
              <w:left w:val="nil"/>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金额(元)</w:t>
            </w:r>
          </w:p>
        </w:tc>
      </w:tr>
      <w:tr>
        <w:tblPrEx>
          <w:tblCellMar>
            <w:top w:w="0" w:type="dxa"/>
            <w:left w:w="108" w:type="dxa"/>
            <w:bottom w:w="0" w:type="dxa"/>
            <w:right w:w="108" w:type="dxa"/>
          </w:tblCellMar>
        </w:tblPrEx>
        <w:trPr>
          <w:trHeight w:val="340" w:hRule="atLeast"/>
        </w:trPr>
        <w:tc>
          <w:tcPr>
            <w:tcW w:w="41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40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246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84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83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01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left"/>
              <w:rPr>
                <w:sz w:val="20"/>
                <w:szCs w:val="20"/>
              </w:rPr>
            </w:pPr>
          </w:p>
        </w:tc>
        <w:tc>
          <w:tcPr>
            <w:tcW w:w="1018" w:type="dxa"/>
            <w:tcBorders>
              <w:top w:val="nil"/>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综合单价</w:t>
            </w:r>
          </w:p>
        </w:tc>
        <w:tc>
          <w:tcPr>
            <w:tcW w:w="1016" w:type="dxa"/>
            <w:tcBorders>
              <w:top w:val="nil"/>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合价</w:t>
            </w: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0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468"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841"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83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0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8"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0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468"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841"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83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0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8"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0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468"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841"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83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0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8"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0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468"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841"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83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0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8"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1400" w:type="dxa"/>
            <w:tcBorders>
              <w:top w:val="nil"/>
              <w:left w:val="nil"/>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2468"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841"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832" w:type="dxa"/>
            <w:tcBorders>
              <w:top w:val="nil"/>
              <w:left w:val="nil"/>
              <w:bottom w:val="single" w:color="auto" w:sz="4" w:space="0"/>
              <w:right w:val="single" w:color="auto" w:sz="4" w:space="0"/>
            </w:tcBorders>
            <w:shd w:val="clear" w:color="000000" w:fill="FFFFFF"/>
            <w:vAlign w:val="center"/>
          </w:tcPr>
          <w:p>
            <w:pPr>
              <w:spacing w:line="240" w:lineRule="auto"/>
              <w:jc w:val="center"/>
              <w:rPr>
                <w:sz w:val="18"/>
                <w:szCs w:val="18"/>
              </w:rPr>
            </w:pPr>
          </w:p>
        </w:tc>
        <w:tc>
          <w:tcPr>
            <w:tcW w:w="101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8"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46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8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3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46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8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3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46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8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3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40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46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8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832"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8"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8989"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sz w:val="20"/>
                <w:szCs w:val="20"/>
              </w:rPr>
            </w:pPr>
            <w:r>
              <w:rPr>
                <w:rFonts w:hint="eastAsia"/>
                <w:sz w:val="20"/>
                <w:szCs w:val="20"/>
              </w:rPr>
              <w:t>本页小计</w:t>
            </w: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right"/>
              <w:rPr>
                <w:sz w:val="20"/>
                <w:szCs w:val="20"/>
              </w:rPr>
            </w:pPr>
            <w:r>
              <w:rPr>
                <w:rFonts w:hint="eastAsia"/>
                <w:sz w:val="20"/>
                <w:szCs w:val="20"/>
              </w:rPr>
              <w:t>　</w:t>
            </w:r>
          </w:p>
        </w:tc>
      </w:tr>
      <w:tr>
        <w:tblPrEx>
          <w:tblCellMar>
            <w:top w:w="0" w:type="dxa"/>
            <w:left w:w="108" w:type="dxa"/>
            <w:bottom w:w="0" w:type="dxa"/>
            <w:right w:w="108" w:type="dxa"/>
          </w:tblCellMar>
        </w:tblPrEx>
        <w:trPr>
          <w:trHeight w:val="340" w:hRule="atLeast"/>
        </w:trPr>
        <w:tc>
          <w:tcPr>
            <w:tcW w:w="8989"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auto"/>
              <w:jc w:val="center"/>
              <w:rPr>
                <w:sz w:val="20"/>
                <w:szCs w:val="20"/>
              </w:rPr>
            </w:pPr>
            <w:r>
              <w:rPr>
                <w:rFonts w:hint="eastAsia"/>
                <w:sz w:val="20"/>
                <w:szCs w:val="20"/>
              </w:rPr>
              <w:t>合  计</w:t>
            </w:r>
          </w:p>
        </w:tc>
        <w:tc>
          <w:tcPr>
            <w:tcW w:w="1016"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r>
              <w:rPr>
                <w:rFonts w:hint="eastAsia"/>
                <w:sz w:val="20"/>
                <w:szCs w:val="20"/>
              </w:rPr>
              <w:t>　</w:t>
            </w:r>
          </w:p>
        </w:tc>
      </w:tr>
    </w:tbl>
    <w:p/>
    <w:p>
      <w:pPr>
        <w:shd w:val="clear" w:color="auto" w:fill="auto"/>
        <w:tabs>
          <w:tab w:val="clear" w:pos="426"/>
        </w:tabs>
        <w:adjustRightInd/>
        <w:snapToGrid/>
        <w:spacing w:line="240" w:lineRule="auto"/>
        <w:jc w:val="left"/>
      </w:pPr>
      <w:r>
        <w:rPr>
          <w:rFonts w:hint="eastAsia"/>
        </w:rPr>
        <w:t>（八）其他项目清单与计价汇总表</w:t>
      </w:r>
    </w:p>
    <w:tbl>
      <w:tblPr>
        <w:tblStyle w:val="44"/>
        <w:tblW w:w="9858" w:type="dxa"/>
        <w:tblInd w:w="93" w:type="dxa"/>
        <w:tblLayout w:type="fixed"/>
        <w:tblCellMar>
          <w:top w:w="0" w:type="dxa"/>
          <w:left w:w="108" w:type="dxa"/>
          <w:bottom w:w="0" w:type="dxa"/>
          <w:right w:w="108" w:type="dxa"/>
        </w:tblCellMar>
      </w:tblPr>
      <w:tblGrid>
        <w:gridCol w:w="1575"/>
        <w:gridCol w:w="3402"/>
        <w:gridCol w:w="2551"/>
        <w:gridCol w:w="2330"/>
      </w:tblGrid>
      <w:tr>
        <w:tblPrEx>
          <w:tblCellMar>
            <w:top w:w="0" w:type="dxa"/>
            <w:left w:w="108" w:type="dxa"/>
            <w:bottom w:w="0" w:type="dxa"/>
            <w:right w:w="108" w:type="dxa"/>
          </w:tblCellMar>
        </w:tblPrEx>
        <w:trPr>
          <w:trHeight w:val="340" w:hRule="atLeast"/>
        </w:trPr>
        <w:tc>
          <w:tcPr>
            <w:tcW w:w="1575" w:type="dxa"/>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5953" w:type="dxa"/>
            <w:gridSpan w:val="2"/>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标段：</w:t>
            </w:r>
          </w:p>
        </w:tc>
        <w:tc>
          <w:tcPr>
            <w:tcW w:w="2330" w:type="dxa"/>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1575" w:type="dxa"/>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3402"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2551"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金额(元)</w:t>
            </w:r>
          </w:p>
        </w:tc>
        <w:tc>
          <w:tcPr>
            <w:tcW w:w="2330" w:type="dxa"/>
            <w:tcBorders>
              <w:top w:val="single" w:color="auto" w:sz="4" w:space="0"/>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备注</w:t>
            </w: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402"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51"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233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402"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51"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233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402"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51"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233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402" w:type="dxa"/>
            <w:tcBorders>
              <w:top w:val="single" w:color="auto" w:sz="4" w:space="0"/>
              <w:left w:val="nil"/>
              <w:bottom w:val="single" w:color="auto" w:sz="4" w:space="0"/>
              <w:right w:val="single" w:color="000000" w:sz="4" w:space="0"/>
            </w:tcBorders>
            <w:shd w:val="clear" w:color="000000" w:fill="FFFFFF"/>
            <w:vAlign w:val="center"/>
          </w:tcPr>
          <w:p>
            <w:pPr>
              <w:spacing w:line="240" w:lineRule="auto"/>
              <w:jc w:val="left"/>
              <w:rPr>
                <w:sz w:val="18"/>
                <w:szCs w:val="18"/>
              </w:rPr>
            </w:pPr>
          </w:p>
        </w:tc>
        <w:tc>
          <w:tcPr>
            <w:tcW w:w="2551"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233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402" w:type="dxa"/>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sz w:val="20"/>
                <w:szCs w:val="20"/>
              </w:rPr>
            </w:pP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402" w:type="dxa"/>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sz w:val="20"/>
                <w:szCs w:val="20"/>
              </w:rPr>
            </w:pP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402" w:type="dxa"/>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sz w:val="20"/>
                <w:szCs w:val="20"/>
              </w:rPr>
            </w:pP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402" w:type="dxa"/>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sz w:val="20"/>
                <w:szCs w:val="20"/>
              </w:rPr>
            </w:pP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402" w:type="dxa"/>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left"/>
              <w:rPr>
                <w:sz w:val="20"/>
                <w:szCs w:val="20"/>
              </w:rPr>
            </w:pP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rPr>
          <w:trHeight w:val="340" w:hRule="atLeast"/>
        </w:trPr>
        <w:tc>
          <w:tcPr>
            <w:tcW w:w="752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sz w:val="20"/>
                <w:szCs w:val="20"/>
              </w:rPr>
            </w:pPr>
            <w:r>
              <w:rPr>
                <w:rFonts w:hint="eastAsia"/>
                <w:sz w:val="20"/>
                <w:szCs w:val="20"/>
              </w:rPr>
              <w:t>本页小计</w:t>
            </w: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right"/>
              <w:rPr>
                <w:sz w:val="20"/>
                <w:szCs w:val="20"/>
              </w:rPr>
            </w:pPr>
            <w:r>
              <w:rPr>
                <w:rFonts w:hint="eastAsia"/>
                <w:sz w:val="20"/>
                <w:szCs w:val="20"/>
              </w:rPr>
              <w:t>　</w:t>
            </w:r>
          </w:p>
        </w:tc>
      </w:tr>
      <w:tr>
        <w:tblPrEx>
          <w:tblCellMar>
            <w:top w:w="0" w:type="dxa"/>
            <w:left w:w="108" w:type="dxa"/>
            <w:bottom w:w="0" w:type="dxa"/>
            <w:right w:w="108" w:type="dxa"/>
          </w:tblCellMar>
        </w:tblPrEx>
        <w:trPr>
          <w:trHeight w:val="340" w:hRule="atLeast"/>
        </w:trPr>
        <w:tc>
          <w:tcPr>
            <w:tcW w:w="7528"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40" w:lineRule="auto"/>
              <w:jc w:val="center"/>
              <w:rPr>
                <w:sz w:val="20"/>
                <w:szCs w:val="20"/>
              </w:rPr>
            </w:pPr>
            <w:r>
              <w:rPr>
                <w:rFonts w:hint="eastAsia"/>
                <w:sz w:val="20"/>
                <w:szCs w:val="20"/>
              </w:rPr>
              <w:t>合  计</w:t>
            </w:r>
          </w:p>
        </w:tc>
        <w:tc>
          <w:tcPr>
            <w:tcW w:w="2330"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r>
              <w:rPr>
                <w:rFonts w:hint="eastAsia"/>
                <w:sz w:val="20"/>
                <w:szCs w:val="20"/>
              </w:rPr>
              <w:t>　</w:t>
            </w:r>
          </w:p>
        </w:tc>
      </w:tr>
    </w:tbl>
    <w:p/>
    <w:p>
      <w:pPr>
        <w:shd w:val="clear" w:color="auto" w:fill="auto"/>
        <w:tabs>
          <w:tab w:val="clear" w:pos="426"/>
        </w:tabs>
        <w:adjustRightInd/>
        <w:snapToGrid/>
        <w:spacing w:line="240" w:lineRule="auto"/>
        <w:jc w:val="left"/>
      </w:pPr>
      <w:r>
        <w:br w:type="page"/>
      </w:r>
    </w:p>
    <w:p/>
    <w:p>
      <w:r>
        <w:rPr>
          <w:rFonts w:hint="eastAsia"/>
        </w:rPr>
        <w:t>（九）材料设备暂估价计价表</w:t>
      </w:r>
    </w:p>
    <w:tbl>
      <w:tblPr>
        <w:tblStyle w:val="44"/>
        <w:tblW w:w="9780" w:type="dxa"/>
        <w:tblInd w:w="93" w:type="dxa"/>
        <w:tblLayout w:type="fixed"/>
        <w:tblCellMar>
          <w:top w:w="0" w:type="dxa"/>
          <w:left w:w="108" w:type="dxa"/>
          <w:bottom w:w="0" w:type="dxa"/>
          <w:right w:w="108" w:type="dxa"/>
        </w:tblCellMar>
      </w:tblPr>
      <w:tblGrid>
        <w:gridCol w:w="430"/>
        <w:gridCol w:w="3805"/>
        <w:gridCol w:w="794"/>
        <w:gridCol w:w="653"/>
        <w:gridCol w:w="941"/>
        <w:gridCol w:w="941"/>
        <w:gridCol w:w="1103"/>
        <w:gridCol w:w="1113"/>
      </w:tblGrid>
      <w:tr>
        <w:tblPrEx>
          <w:tblCellMar>
            <w:top w:w="0" w:type="dxa"/>
            <w:left w:w="108" w:type="dxa"/>
            <w:bottom w:w="0" w:type="dxa"/>
            <w:right w:w="108" w:type="dxa"/>
          </w:tblCellMar>
        </w:tblPrEx>
        <w:trPr>
          <w:trHeight w:val="340" w:hRule="atLeast"/>
        </w:trPr>
        <w:tc>
          <w:tcPr>
            <w:tcW w:w="4235" w:type="dxa"/>
            <w:gridSpan w:val="2"/>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3329" w:type="dxa"/>
            <w:gridSpan w:val="4"/>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w:t>
            </w:r>
          </w:p>
        </w:tc>
        <w:tc>
          <w:tcPr>
            <w:tcW w:w="2216" w:type="dxa"/>
            <w:gridSpan w:val="2"/>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430" w:type="dxa"/>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3805"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材料名称、规格、型号</w:t>
            </w:r>
          </w:p>
        </w:tc>
        <w:tc>
          <w:tcPr>
            <w:tcW w:w="794"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计量</w:t>
            </w:r>
            <w:r>
              <w:rPr>
                <w:rFonts w:hint="eastAsia"/>
                <w:sz w:val="20"/>
                <w:szCs w:val="20"/>
              </w:rPr>
              <w:br w:type="textWrapping"/>
            </w:r>
            <w:r>
              <w:rPr>
                <w:rFonts w:hint="eastAsia"/>
                <w:sz w:val="20"/>
                <w:szCs w:val="20"/>
              </w:rPr>
              <w:t>单位</w:t>
            </w:r>
          </w:p>
        </w:tc>
        <w:tc>
          <w:tcPr>
            <w:tcW w:w="653"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数量</w:t>
            </w:r>
          </w:p>
        </w:tc>
        <w:tc>
          <w:tcPr>
            <w:tcW w:w="941"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暂估单</w:t>
            </w:r>
            <w:r>
              <w:rPr>
                <w:rFonts w:hint="eastAsia"/>
                <w:sz w:val="20"/>
                <w:szCs w:val="20"/>
              </w:rPr>
              <w:br w:type="textWrapping"/>
            </w:r>
            <w:r>
              <w:rPr>
                <w:rFonts w:hint="eastAsia"/>
                <w:sz w:val="20"/>
                <w:szCs w:val="20"/>
              </w:rPr>
              <w:t>价(元)</w:t>
            </w:r>
          </w:p>
        </w:tc>
        <w:tc>
          <w:tcPr>
            <w:tcW w:w="941"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结算单</w:t>
            </w:r>
            <w:r>
              <w:rPr>
                <w:rFonts w:hint="eastAsia"/>
                <w:sz w:val="20"/>
                <w:szCs w:val="20"/>
              </w:rPr>
              <w:br w:type="textWrapping"/>
            </w:r>
            <w:r>
              <w:rPr>
                <w:rFonts w:hint="eastAsia"/>
                <w:sz w:val="20"/>
                <w:szCs w:val="20"/>
              </w:rPr>
              <w:t>价(元)</w:t>
            </w:r>
          </w:p>
        </w:tc>
        <w:tc>
          <w:tcPr>
            <w:tcW w:w="1103"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价差(元)</w:t>
            </w:r>
          </w:p>
        </w:tc>
        <w:tc>
          <w:tcPr>
            <w:tcW w:w="1113" w:type="dxa"/>
            <w:tcBorders>
              <w:top w:val="single" w:color="auto" w:sz="4" w:space="0"/>
              <w:left w:val="nil"/>
              <w:bottom w:val="single" w:color="000000" w:sz="4" w:space="0"/>
              <w:right w:val="single" w:color="auto" w:sz="4" w:space="0"/>
            </w:tcBorders>
            <w:shd w:val="clear" w:color="000000" w:fill="FFFFFF"/>
            <w:noWrap/>
            <w:vAlign w:val="center"/>
          </w:tcPr>
          <w:p>
            <w:pPr>
              <w:spacing w:line="240" w:lineRule="auto"/>
              <w:jc w:val="center"/>
              <w:rPr>
                <w:sz w:val="20"/>
                <w:szCs w:val="20"/>
              </w:rPr>
            </w:pPr>
            <w:r>
              <w:rPr>
                <w:rFonts w:hint="eastAsia"/>
                <w:sz w:val="20"/>
                <w:szCs w:val="20"/>
              </w:rPr>
              <w:t>合价(元)</w:t>
            </w:r>
          </w:p>
        </w:tc>
      </w:tr>
      <w:tr>
        <w:tblPrEx>
          <w:tblCellMar>
            <w:top w:w="0" w:type="dxa"/>
            <w:left w:w="108" w:type="dxa"/>
            <w:bottom w:w="0" w:type="dxa"/>
            <w:right w:w="108" w:type="dxa"/>
          </w:tblCellMar>
        </w:tblPrEx>
        <w:trPr>
          <w:trHeight w:val="340" w:hRule="atLeast"/>
        </w:trPr>
        <w:tc>
          <w:tcPr>
            <w:tcW w:w="4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80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79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5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0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1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805"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79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0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805"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79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0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805"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79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0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3805"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794"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65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941"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0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p>
        </w:tc>
      </w:tr>
      <w:tr>
        <w:tblPrEx>
          <w:tblCellMar>
            <w:top w:w="0" w:type="dxa"/>
            <w:left w:w="108" w:type="dxa"/>
            <w:bottom w:w="0" w:type="dxa"/>
            <w:right w:w="108" w:type="dxa"/>
          </w:tblCellMar>
        </w:tblPrEx>
        <w:trPr>
          <w:trHeight w:val="340" w:hRule="atLeast"/>
        </w:trPr>
        <w:tc>
          <w:tcPr>
            <w:tcW w:w="866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spacing w:line="240" w:lineRule="auto"/>
              <w:jc w:val="center"/>
              <w:rPr>
                <w:sz w:val="20"/>
                <w:szCs w:val="20"/>
              </w:rPr>
            </w:pPr>
            <w:r>
              <w:rPr>
                <w:rFonts w:hint="eastAsia"/>
                <w:sz w:val="20"/>
                <w:szCs w:val="20"/>
              </w:rPr>
              <w:t>本页小计</w:t>
            </w: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right"/>
              <w:rPr>
                <w:sz w:val="20"/>
                <w:szCs w:val="20"/>
              </w:rPr>
            </w:pPr>
            <w:r>
              <w:rPr>
                <w:rFonts w:hint="eastAsia"/>
                <w:sz w:val="20"/>
                <w:szCs w:val="20"/>
              </w:rPr>
              <w:t>　</w:t>
            </w:r>
          </w:p>
        </w:tc>
      </w:tr>
      <w:tr>
        <w:tblPrEx>
          <w:tblCellMar>
            <w:top w:w="0" w:type="dxa"/>
            <w:left w:w="108" w:type="dxa"/>
            <w:bottom w:w="0" w:type="dxa"/>
            <w:right w:w="108" w:type="dxa"/>
          </w:tblCellMar>
        </w:tblPrEx>
        <w:trPr>
          <w:trHeight w:val="340" w:hRule="atLeast"/>
        </w:trPr>
        <w:tc>
          <w:tcPr>
            <w:tcW w:w="8667"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pPr>
              <w:spacing w:line="240" w:lineRule="auto"/>
              <w:jc w:val="center"/>
              <w:rPr>
                <w:sz w:val="18"/>
                <w:szCs w:val="18"/>
              </w:rPr>
            </w:pPr>
            <w:r>
              <w:rPr>
                <w:rFonts w:hint="eastAsia"/>
                <w:sz w:val="18"/>
                <w:szCs w:val="18"/>
              </w:rPr>
              <w:t xml:space="preserve">   合  计</w:t>
            </w:r>
          </w:p>
        </w:tc>
        <w:tc>
          <w:tcPr>
            <w:tcW w:w="1113" w:type="dxa"/>
            <w:tcBorders>
              <w:top w:val="nil"/>
              <w:left w:val="nil"/>
              <w:bottom w:val="single" w:color="auto" w:sz="4" w:space="0"/>
              <w:right w:val="single" w:color="auto" w:sz="4" w:space="0"/>
            </w:tcBorders>
            <w:shd w:val="clear" w:color="auto" w:fill="auto"/>
            <w:noWrap/>
            <w:vAlign w:val="center"/>
          </w:tcPr>
          <w:p>
            <w:pPr>
              <w:spacing w:line="240" w:lineRule="auto"/>
              <w:jc w:val="left"/>
              <w:rPr>
                <w:sz w:val="20"/>
                <w:szCs w:val="20"/>
              </w:rPr>
            </w:pPr>
            <w:r>
              <w:rPr>
                <w:rFonts w:hint="eastAsia"/>
                <w:sz w:val="20"/>
                <w:szCs w:val="20"/>
              </w:rPr>
              <w:t>　</w:t>
            </w:r>
          </w:p>
        </w:tc>
      </w:tr>
    </w:tbl>
    <w:p/>
    <w:p>
      <w:r>
        <w:rPr>
          <w:rFonts w:hint="eastAsia"/>
        </w:rPr>
        <w:t>（十）规费、应纳税费项目清单与计价表</w:t>
      </w:r>
    </w:p>
    <w:tbl>
      <w:tblPr>
        <w:tblStyle w:val="44"/>
        <w:tblW w:w="9856" w:type="dxa"/>
        <w:tblInd w:w="93" w:type="dxa"/>
        <w:tblLayout w:type="fixed"/>
        <w:tblCellMar>
          <w:top w:w="0" w:type="dxa"/>
          <w:left w:w="108" w:type="dxa"/>
          <w:bottom w:w="0" w:type="dxa"/>
          <w:right w:w="108" w:type="dxa"/>
        </w:tblCellMar>
      </w:tblPr>
      <w:tblGrid>
        <w:gridCol w:w="486"/>
        <w:gridCol w:w="3900"/>
        <w:gridCol w:w="3026"/>
        <w:gridCol w:w="1140"/>
        <w:gridCol w:w="1304"/>
      </w:tblGrid>
      <w:tr>
        <w:tblPrEx>
          <w:tblCellMar>
            <w:top w:w="0" w:type="dxa"/>
            <w:left w:w="108" w:type="dxa"/>
            <w:bottom w:w="0" w:type="dxa"/>
            <w:right w:w="108" w:type="dxa"/>
          </w:tblCellMar>
        </w:tblPrEx>
        <w:trPr>
          <w:trHeight w:val="340" w:hRule="atLeast"/>
        </w:trPr>
        <w:tc>
          <w:tcPr>
            <w:tcW w:w="4386" w:type="dxa"/>
            <w:gridSpan w:val="2"/>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工程名称:</w:t>
            </w:r>
            <w:r>
              <w:rPr>
                <w:sz w:val="20"/>
                <w:szCs w:val="20"/>
              </w:rPr>
              <w:t xml:space="preserve"> </w:t>
            </w:r>
          </w:p>
        </w:tc>
        <w:tc>
          <w:tcPr>
            <w:tcW w:w="3026" w:type="dxa"/>
            <w:tcBorders>
              <w:top w:val="nil"/>
              <w:left w:val="nil"/>
              <w:bottom w:val="nil"/>
              <w:right w:val="nil"/>
            </w:tcBorders>
            <w:shd w:val="clear" w:color="auto" w:fill="auto"/>
            <w:vAlign w:val="bottom"/>
          </w:tcPr>
          <w:p>
            <w:pPr>
              <w:spacing w:line="240" w:lineRule="auto"/>
              <w:jc w:val="left"/>
              <w:rPr>
                <w:sz w:val="20"/>
                <w:szCs w:val="20"/>
              </w:rPr>
            </w:pPr>
            <w:r>
              <w:rPr>
                <w:rFonts w:hint="eastAsia"/>
                <w:sz w:val="20"/>
                <w:szCs w:val="20"/>
              </w:rPr>
              <w:t xml:space="preserve">     </w:t>
            </w:r>
          </w:p>
        </w:tc>
        <w:tc>
          <w:tcPr>
            <w:tcW w:w="2444" w:type="dxa"/>
            <w:gridSpan w:val="2"/>
            <w:tcBorders>
              <w:top w:val="nil"/>
              <w:left w:val="nil"/>
              <w:bottom w:val="nil"/>
              <w:right w:val="nil"/>
            </w:tcBorders>
            <w:shd w:val="clear" w:color="auto" w:fill="auto"/>
            <w:vAlign w:val="bottom"/>
          </w:tcPr>
          <w:p>
            <w:pPr>
              <w:spacing w:line="240" w:lineRule="auto"/>
              <w:jc w:val="right"/>
              <w:rPr>
                <w:sz w:val="20"/>
                <w:szCs w:val="20"/>
              </w:rPr>
            </w:pPr>
            <w:r>
              <w:rPr>
                <w:rFonts w:hint="eastAsia"/>
                <w:sz w:val="20"/>
                <w:szCs w:val="20"/>
              </w:rPr>
              <w:t>第1页 共1页</w:t>
            </w:r>
          </w:p>
        </w:tc>
      </w:tr>
      <w:tr>
        <w:tblPrEx>
          <w:tblCellMar>
            <w:top w:w="0" w:type="dxa"/>
            <w:left w:w="108" w:type="dxa"/>
            <w:bottom w:w="0" w:type="dxa"/>
            <w:right w:w="108" w:type="dxa"/>
          </w:tblCellMar>
        </w:tblPrEx>
        <w:trPr>
          <w:trHeight w:val="340" w:hRule="atLeast"/>
        </w:trPr>
        <w:tc>
          <w:tcPr>
            <w:tcW w:w="486" w:type="dxa"/>
            <w:tcBorders>
              <w:top w:val="single" w:color="auto" w:sz="4" w:space="0"/>
              <w:left w:val="single" w:color="auto" w:sz="4" w:space="0"/>
              <w:bottom w:val="single" w:color="000000" w:sz="4" w:space="0"/>
              <w:right w:val="single" w:color="000000" w:sz="4" w:space="0"/>
            </w:tcBorders>
            <w:shd w:val="clear" w:color="000000" w:fill="FFFFFF"/>
            <w:noWrap/>
            <w:vAlign w:val="center"/>
          </w:tcPr>
          <w:p>
            <w:pPr>
              <w:spacing w:line="240" w:lineRule="auto"/>
              <w:jc w:val="center"/>
              <w:rPr>
                <w:sz w:val="20"/>
                <w:szCs w:val="20"/>
              </w:rPr>
            </w:pPr>
            <w:r>
              <w:rPr>
                <w:rFonts w:hint="eastAsia"/>
                <w:sz w:val="20"/>
                <w:szCs w:val="20"/>
              </w:rPr>
              <w:t>序号</w:t>
            </w:r>
          </w:p>
        </w:tc>
        <w:tc>
          <w:tcPr>
            <w:tcW w:w="3900"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项目名称</w:t>
            </w:r>
          </w:p>
        </w:tc>
        <w:tc>
          <w:tcPr>
            <w:tcW w:w="3026"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计算基础</w:t>
            </w:r>
          </w:p>
        </w:tc>
        <w:tc>
          <w:tcPr>
            <w:tcW w:w="1140" w:type="dxa"/>
            <w:tcBorders>
              <w:top w:val="single" w:color="auto" w:sz="4" w:space="0"/>
              <w:left w:val="nil"/>
              <w:bottom w:val="single" w:color="000000" w:sz="4" w:space="0"/>
              <w:right w:val="single" w:color="000000" w:sz="4" w:space="0"/>
            </w:tcBorders>
            <w:shd w:val="clear" w:color="000000" w:fill="FFFFFF"/>
            <w:vAlign w:val="center"/>
          </w:tcPr>
          <w:p>
            <w:pPr>
              <w:spacing w:line="240" w:lineRule="auto"/>
              <w:jc w:val="center"/>
              <w:rPr>
                <w:sz w:val="20"/>
                <w:szCs w:val="20"/>
              </w:rPr>
            </w:pPr>
            <w:r>
              <w:rPr>
                <w:rFonts w:hint="eastAsia"/>
                <w:sz w:val="20"/>
                <w:szCs w:val="20"/>
              </w:rPr>
              <w:t>费率(%)</w:t>
            </w:r>
          </w:p>
        </w:tc>
        <w:tc>
          <w:tcPr>
            <w:tcW w:w="1304" w:type="dxa"/>
            <w:tcBorders>
              <w:top w:val="single" w:color="auto" w:sz="4" w:space="0"/>
              <w:left w:val="nil"/>
              <w:bottom w:val="single" w:color="000000" w:sz="4" w:space="0"/>
              <w:right w:val="single" w:color="auto" w:sz="4" w:space="0"/>
            </w:tcBorders>
            <w:shd w:val="clear" w:color="000000" w:fill="FFFFFF"/>
            <w:vAlign w:val="center"/>
          </w:tcPr>
          <w:p>
            <w:pPr>
              <w:spacing w:line="240" w:lineRule="auto"/>
              <w:jc w:val="center"/>
              <w:rPr>
                <w:sz w:val="20"/>
                <w:szCs w:val="20"/>
              </w:rPr>
            </w:pPr>
            <w:r>
              <w:rPr>
                <w:rFonts w:hint="eastAsia"/>
                <w:sz w:val="20"/>
                <w:szCs w:val="20"/>
              </w:rPr>
              <w:t>金额(元)</w:t>
            </w: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r>
              <w:rPr>
                <w:rFonts w:hint="eastAsia"/>
                <w:sz w:val="18"/>
                <w:szCs w:val="18"/>
              </w:rPr>
              <w:t>1</w:t>
            </w: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规费</w:t>
            </w: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(分部分项工程费+措施项目费+其他项目费)中的人工费</w:t>
            </w: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r>
              <w:rPr>
                <w:rFonts w:hint="eastAsia"/>
                <w:sz w:val="18"/>
                <w:szCs w:val="18"/>
              </w:rPr>
              <w:t>2</w:t>
            </w: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应纳税费</w:t>
            </w: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应纳税费合计</w:t>
            </w: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r>
              <w:rPr>
                <w:rFonts w:hint="eastAsia"/>
                <w:sz w:val="18"/>
                <w:szCs w:val="18"/>
              </w:rPr>
              <w:t>2.1</w:t>
            </w: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增值税应纳税额</w:t>
            </w: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分部分项工程费+措施项目费+其他项目费+规费</w:t>
            </w: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r>
              <w:rPr>
                <w:rFonts w:hint="eastAsia"/>
                <w:sz w:val="18"/>
                <w:szCs w:val="18"/>
              </w:rPr>
              <w:t>2.2</w:t>
            </w: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城市维护建设税、教育费附加及地方教育费附加</w:t>
            </w: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r>
              <w:rPr>
                <w:rFonts w:hint="eastAsia"/>
                <w:sz w:val="18"/>
                <w:szCs w:val="18"/>
              </w:rPr>
              <w:t>增值税应纳税额</w:t>
            </w: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pPr>
              <w:spacing w:line="240" w:lineRule="auto"/>
              <w:jc w:val="center"/>
              <w:rPr>
                <w:sz w:val="18"/>
                <w:szCs w:val="18"/>
              </w:rPr>
            </w:pPr>
          </w:p>
        </w:tc>
        <w:tc>
          <w:tcPr>
            <w:tcW w:w="3900"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3026" w:type="dxa"/>
            <w:tcBorders>
              <w:top w:val="nil"/>
              <w:left w:val="nil"/>
              <w:bottom w:val="single" w:color="auto" w:sz="4" w:space="0"/>
              <w:right w:val="single" w:color="auto" w:sz="4" w:space="0"/>
            </w:tcBorders>
            <w:shd w:val="clear" w:color="000000" w:fill="FFFFFF"/>
            <w:vAlign w:val="center"/>
          </w:tcPr>
          <w:p>
            <w:pPr>
              <w:spacing w:line="240" w:lineRule="auto"/>
              <w:jc w:val="left"/>
              <w:rPr>
                <w:sz w:val="18"/>
                <w:szCs w:val="18"/>
              </w:rPr>
            </w:pPr>
          </w:p>
        </w:tc>
        <w:tc>
          <w:tcPr>
            <w:tcW w:w="1140"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p>
        </w:tc>
      </w:tr>
      <w:tr>
        <w:tblPrEx>
          <w:tblCellMar>
            <w:top w:w="0" w:type="dxa"/>
            <w:left w:w="108" w:type="dxa"/>
            <w:bottom w:w="0" w:type="dxa"/>
            <w:right w:w="108" w:type="dxa"/>
          </w:tblCellMar>
        </w:tblPrEx>
        <w:trPr>
          <w:trHeight w:val="340" w:hRule="atLeast"/>
        </w:trPr>
        <w:tc>
          <w:tcPr>
            <w:tcW w:w="8552"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pPr>
              <w:spacing w:line="240" w:lineRule="auto"/>
              <w:jc w:val="center"/>
              <w:rPr>
                <w:sz w:val="18"/>
                <w:szCs w:val="18"/>
              </w:rPr>
            </w:pPr>
            <w:r>
              <w:rPr>
                <w:rFonts w:hint="eastAsia"/>
                <w:sz w:val="18"/>
                <w:szCs w:val="18"/>
              </w:rPr>
              <w:t xml:space="preserve">   合  计</w:t>
            </w:r>
          </w:p>
        </w:tc>
        <w:tc>
          <w:tcPr>
            <w:tcW w:w="1304" w:type="dxa"/>
            <w:tcBorders>
              <w:top w:val="nil"/>
              <w:left w:val="nil"/>
              <w:bottom w:val="single" w:color="auto" w:sz="4" w:space="0"/>
              <w:right w:val="single" w:color="auto" w:sz="4" w:space="0"/>
            </w:tcBorders>
            <w:shd w:val="clear" w:color="000000" w:fill="FFFFFF"/>
            <w:noWrap/>
            <w:vAlign w:val="center"/>
          </w:tcPr>
          <w:p>
            <w:pPr>
              <w:spacing w:line="240" w:lineRule="auto"/>
              <w:jc w:val="right"/>
              <w:rPr>
                <w:sz w:val="18"/>
                <w:szCs w:val="18"/>
              </w:rPr>
            </w:pPr>
            <w:r>
              <w:rPr>
                <w:rFonts w:hint="eastAsia"/>
                <w:sz w:val="18"/>
                <w:szCs w:val="18"/>
              </w:rPr>
              <w:t xml:space="preserve"> </w:t>
            </w:r>
          </w:p>
        </w:tc>
      </w:tr>
    </w:tbl>
    <w:p/>
    <w:p>
      <w:r>
        <w:rPr>
          <w:rFonts w:hint="eastAsia"/>
        </w:rPr>
        <w:t>（十一）材料设备表</w:t>
      </w:r>
    </w:p>
    <w:p>
      <w:pPr>
        <w:rPr>
          <w:b/>
          <w:bCs/>
          <w:szCs w:val="21"/>
        </w:rPr>
      </w:pPr>
      <w:r>
        <w:rPr>
          <w:rFonts w:hint="eastAsia"/>
          <w:szCs w:val="21"/>
        </w:rPr>
        <w:t>专业或专项工程名称：</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78"/>
        <w:gridCol w:w="1131"/>
        <w:gridCol w:w="1005"/>
        <w:gridCol w:w="1235"/>
        <w:gridCol w:w="14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 w:type="pct"/>
            <w:vAlign w:val="center"/>
          </w:tcPr>
          <w:p>
            <w:pPr>
              <w:spacing w:line="240" w:lineRule="auto"/>
              <w:jc w:val="center"/>
              <w:rPr>
                <w:szCs w:val="21"/>
              </w:rPr>
            </w:pPr>
            <w:r>
              <w:rPr>
                <w:rFonts w:hint="eastAsia"/>
                <w:szCs w:val="21"/>
              </w:rPr>
              <w:t>序号</w:t>
            </w:r>
          </w:p>
        </w:tc>
        <w:tc>
          <w:tcPr>
            <w:tcW w:w="1138" w:type="pct"/>
            <w:vAlign w:val="center"/>
          </w:tcPr>
          <w:p>
            <w:pPr>
              <w:spacing w:line="240" w:lineRule="auto"/>
              <w:jc w:val="center"/>
              <w:rPr>
                <w:szCs w:val="21"/>
              </w:rPr>
            </w:pPr>
            <w:r>
              <w:rPr>
                <w:rFonts w:hint="eastAsia"/>
                <w:szCs w:val="21"/>
              </w:rPr>
              <w:t>材料设备编码</w:t>
            </w:r>
          </w:p>
        </w:tc>
        <w:tc>
          <w:tcPr>
            <w:tcW w:w="591" w:type="pct"/>
            <w:vAlign w:val="center"/>
          </w:tcPr>
          <w:p>
            <w:pPr>
              <w:pStyle w:val="30"/>
              <w:pBdr>
                <w:bottom w:val="none" w:color="auto" w:sz="0" w:space="0"/>
              </w:pBdr>
              <w:tabs>
                <w:tab w:val="clear" w:pos="4153"/>
                <w:tab w:val="clear" w:pos="8306"/>
              </w:tabs>
              <w:snapToGrid/>
              <w:spacing w:line="240" w:lineRule="auto"/>
              <w:rPr>
                <w:rFonts w:ascii="宋体" w:hAnsi="宋体"/>
                <w:sz w:val="21"/>
                <w:szCs w:val="21"/>
              </w:rPr>
            </w:pPr>
            <w:r>
              <w:rPr>
                <w:rFonts w:hint="eastAsia" w:ascii="宋体" w:hAnsi="宋体"/>
                <w:szCs w:val="21"/>
              </w:rPr>
              <w:t>设备（材料）名称</w:t>
            </w:r>
          </w:p>
        </w:tc>
        <w:tc>
          <w:tcPr>
            <w:tcW w:w="525" w:type="pct"/>
            <w:vAlign w:val="center"/>
          </w:tcPr>
          <w:p>
            <w:pPr>
              <w:spacing w:line="240" w:lineRule="auto"/>
              <w:jc w:val="center"/>
              <w:rPr>
                <w:szCs w:val="21"/>
              </w:rPr>
            </w:pPr>
            <w:r>
              <w:rPr>
                <w:rFonts w:hint="eastAsia"/>
                <w:szCs w:val="21"/>
              </w:rPr>
              <w:t>品牌</w:t>
            </w:r>
          </w:p>
        </w:tc>
        <w:tc>
          <w:tcPr>
            <w:tcW w:w="645" w:type="pct"/>
            <w:vAlign w:val="center"/>
          </w:tcPr>
          <w:p>
            <w:pPr>
              <w:spacing w:line="240" w:lineRule="auto"/>
              <w:jc w:val="center"/>
              <w:rPr>
                <w:szCs w:val="21"/>
              </w:rPr>
            </w:pPr>
            <w:r>
              <w:rPr>
                <w:rFonts w:hint="eastAsia"/>
                <w:szCs w:val="21"/>
              </w:rPr>
              <w:t>规格/型号等</w:t>
            </w:r>
          </w:p>
        </w:tc>
        <w:tc>
          <w:tcPr>
            <w:tcW w:w="732" w:type="pct"/>
            <w:vAlign w:val="center"/>
          </w:tcPr>
          <w:p>
            <w:pPr>
              <w:pStyle w:val="30"/>
              <w:pBdr>
                <w:bottom w:val="none" w:color="auto" w:sz="0" w:space="0"/>
              </w:pBdr>
              <w:tabs>
                <w:tab w:val="clear" w:pos="4153"/>
                <w:tab w:val="clear" w:pos="8306"/>
              </w:tabs>
              <w:snapToGrid/>
              <w:spacing w:line="240" w:lineRule="auto"/>
              <w:rPr>
                <w:rFonts w:ascii="宋体" w:hAnsi="宋体"/>
                <w:sz w:val="21"/>
                <w:szCs w:val="21"/>
              </w:rPr>
            </w:pPr>
            <w:r>
              <w:rPr>
                <w:rFonts w:hint="eastAsia" w:ascii="宋体" w:hAnsi="宋体"/>
                <w:sz w:val="21"/>
                <w:szCs w:val="21"/>
              </w:rPr>
              <w:t>单位</w:t>
            </w:r>
          </w:p>
        </w:tc>
        <w:tc>
          <w:tcPr>
            <w:tcW w:w="932" w:type="pct"/>
            <w:vAlign w:val="center"/>
          </w:tcPr>
          <w:p>
            <w:pPr>
              <w:spacing w:line="240" w:lineRule="auto"/>
              <w:jc w:val="center"/>
              <w:rPr>
                <w:szCs w:val="21"/>
              </w:rPr>
            </w:pPr>
            <w:r>
              <w:rPr>
                <w:rFonts w:hint="eastAsia"/>
                <w:szCs w:val="21"/>
              </w:rPr>
              <w:t>材料设备单价（元）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Pr>
          <w:p>
            <w:pPr>
              <w:spacing w:line="240" w:lineRule="auto"/>
              <w:jc w:val="center"/>
              <w:rPr>
                <w:szCs w:val="21"/>
              </w:rPr>
            </w:pPr>
          </w:p>
        </w:tc>
        <w:tc>
          <w:tcPr>
            <w:tcW w:w="1138" w:type="pct"/>
          </w:tcPr>
          <w:p>
            <w:pPr>
              <w:spacing w:line="240" w:lineRule="auto"/>
              <w:jc w:val="center"/>
              <w:rPr>
                <w:szCs w:val="21"/>
              </w:rPr>
            </w:pPr>
          </w:p>
        </w:tc>
        <w:tc>
          <w:tcPr>
            <w:tcW w:w="591" w:type="pct"/>
          </w:tcPr>
          <w:p>
            <w:pPr>
              <w:spacing w:line="240" w:lineRule="auto"/>
              <w:jc w:val="center"/>
              <w:rPr>
                <w:szCs w:val="21"/>
              </w:rPr>
            </w:pPr>
          </w:p>
        </w:tc>
        <w:tc>
          <w:tcPr>
            <w:tcW w:w="525" w:type="pct"/>
          </w:tcPr>
          <w:p>
            <w:pPr>
              <w:spacing w:line="240" w:lineRule="auto"/>
              <w:jc w:val="center"/>
              <w:rPr>
                <w:szCs w:val="21"/>
              </w:rPr>
            </w:pPr>
          </w:p>
        </w:tc>
        <w:tc>
          <w:tcPr>
            <w:tcW w:w="645" w:type="pct"/>
          </w:tcPr>
          <w:p>
            <w:pPr>
              <w:spacing w:line="240" w:lineRule="auto"/>
              <w:jc w:val="center"/>
              <w:rPr>
                <w:szCs w:val="21"/>
              </w:rPr>
            </w:pPr>
          </w:p>
        </w:tc>
        <w:tc>
          <w:tcPr>
            <w:tcW w:w="732" w:type="pct"/>
          </w:tcPr>
          <w:p>
            <w:pPr>
              <w:spacing w:line="240" w:lineRule="auto"/>
              <w:jc w:val="center"/>
              <w:rPr>
                <w:szCs w:val="21"/>
              </w:rPr>
            </w:pPr>
          </w:p>
        </w:tc>
        <w:tc>
          <w:tcPr>
            <w:tcW w:w="932" w:type="pct"/>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Pr>
          <w:p>
            <w:pPr>
              <w:spacing w:line="240" w:lineRule="auto"/>
              <w:jc w:val="center"/>
              <w:rPr>
                <w:szCs w:val="21"/>
              </w:rPr>
            </w:pPr>
          </w:p>
        </w:tc>
        <w:tc>
          <w:tcPr>
            <w:tcW w:w="1138" w:type="pct"/>
          </w:tcPr>
          <w:p>
            <w:pPr>
              <w:spacing w:line="240" w:lineRule="auto"/>
              <w:jc w:val="center"/>
              <w:rPr>
                <w:szCs w:val="21"/>
              </w:rPr>
            </w:pPr>
          </w:p>
        </w:tc>
        <w:tc>
          <w:tcPr>
            <w:tcW w:w="591" w:type="pct"/>
          </w:tcPr>
          <w:p>
            <w:pPr>
              <w:spacing w:line="240" w:lineRule="auto"/>
              <w:jc w:val="center"/>
              <w:rPr>
                <w:szCs w:val="21"/>
              </w:rPr>
            </w:pPr>
          </w:p>
        </w:tc>
        <w:tc>
          <w:tcPr>
            <w:tcW w:w="525" w:type="pct"/>
          </w:tcPr>
          <w:p>
            <w:pPr>
              <w:spacing w:line="240" w:lineRule="auto"/>
              <w:jc w:val="center"/>
              <w:rPr>
                <w:szCs w:val="21"/>
              </w:rPr>
            </w:pPr>
          </w:p>
        </w:tc>
        <w:tc>
          <w:tcPr>
            <w:tcW w:w="645" w:type="pct"/>
          </w:tcPr>
          <w:p>
            <w:pPr>
              <w:spacing w:line="240" w:lineRule="auto"/>
              <w:jc w:val="center"/>
              <w:rPr>
                <w:szCs w:val="21"/>
              </w:rPr>
            </w:pPr>
          </w:p>
        </w:tc>
        <w:tc>
          <w:tcPr>
            <w:tcW w:w="732" w:type="pct"/>
          </w:tcPr>
          <w:p>
            <w:pPr>
              <w:spacing w:line="240" w:lineRule="auto"/>
              <w:jc w:val="center"/>
              <w:rPr>
                <w:szCs w:val="21"/>
              </w:rPr>
            </w:pPr>
          </w:p>
        </w:tc>
        <w:tc>
          <w:tcPr>
            <w:tcW w:w="932" w:type="pct"/>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Pr>
          <w:p>
            <w:pPr>
              <w:spacing w:line="240" w:lineRule="auto"/>
              <w:jc w:val="center"/>
              <w:rPr>
                <w:szCs w:val="21"/>
              </w:rPr>
            </w:pPr>
          </w:p>
        </w:tc>
        <w:tc>
          <w:tcPr>
            <w:tcW w:w="1138" w:type="pct"/>
          </w:tcPr>
          <w:p>
            <w:pPr>
              <w:spacing w:line="240" w:lineRule="auto"/>
              <w:jc w:val="center"/>
              <w:rPr>
                <w:szCs w:val="21"/>
              </w:rPr>
            </w:pPr>
          </w:p>
        </w:tc>
        <w:tc>
          <w:tcPr>
            <w:tcW w:w="591" w:type="pct"/>
          </w:tcPr>
          <w:p>
            <w:pPr>
              <w:spacing w:line="240" w:lineRule="auto"/>
              <w:jc w:val="center"/>
              <w:rPr>
                <w:szCs w:val="21"/>
              </w:rPr>
            </w:pPr>
          </w:p>
        </w:tc>
        <w:tc>
          <w:tcPr>
            <w:tcW w:w="525" w:type="pct"/>
          </w:tcPr>
          <w:p>
            <w:pPr>
              <w:spacing w:line="240" w:lineRule="auto"/>
              <w:jc w:val="center"/>
              <w:rPr>
                <w:szCs w:val="21"/>
              </w:rPr>
            </w:pPr>
          </w:p>
        </w:tc>
        <w:tc>
          <w:tcPr>
            <w:tcW w:w="645" w:type="pct"/>
          </w:tcPr>
          <w:p>
            <w:pPr>
              <w:spacing w:line="240" w:lineRule="auto"/>
              <w:jc w:val="center"/>
              <w:rPr>
                <w:szCs w:val="21"/>
              </w:rPr>
            </w:pPr>
          </w:p>
        </w:tc>
        <w:tc>
          <w:tcPr>
            <w:tcW w:w="732" w:type="pct"/>
          </w:tcPr>
          <w:p>
            <w:pPr>
              <w:spacing w:line="240" w:lineRule="auto"/>
              <w:jc w:val="center"/>
              <w:rPr>
                <w:szCs w:val="21"/>
              </w:rPr>
            </w:pPr>
          </w:p>
        </w:tc>
        <w:tc>
          <w:tcPr>
            <w:tcW w:w="932" w:type="pct"/>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 w:type="pct"/>
          </w:tcPr>
          <w:p>
            <w:pPr>
              <w:spacing w:line="240" w:lineRule="auto"/>
              <w:jc w:val="center"/>
              <w:rPr>
                <w:szCs w:val="21"/>
              </w:rPr>
            </w:pPr>
          </w:p>
        </w:tc>
        <w:tc>
          <w:tcPr>
            <w:tcW w:w="1138" w:type="pct"/>
          </w:tcPr>
          <w:p>
            <w:pPr>
              <w:spacing w:line="240" w:lineRule="auto"/>
              <w:jc w:val="center"/>
              <w:rPr>
                <w:szCs w:val="21"/>
              </w:rPr>
            </w:pPr>
          </w:p>
        </w:tc>
        <w:tc>
          <w:tcPr>
            <w:tcW w:w="591" w:type="pct"/>
          </w:tcPr>
          <w:p>
            <w:pPr>
              <w:spacing w:line="240" w:lineRule="auto"/>
              <w:jc w:val="center"/>
              <w:rPr>
                <w:szCs w:val="21"/>
              </w:rPr>
            </w:pPr>
          </w:p>
        </w:tc>
        <w:tc>
          <w:tcPr>
            <w:tcW w:w="525" w:type="pct"/>
          </w:tcPr>
          <w:p>
            <w:pPr>
              <w:spacing w:line="240" w:lineRule="auto"/>
              <w:jc w:val="center"/>
              <w:rPr>
                <w:szCs w:val="21"/>
              </w:rPr>
            </w:pPr>
          </w:p>
        </w:tc>
        <w:tc>
          <w:tcPr>
            <w:tcW w:w="645" w:type="pct"/>
          </w:tcPr>
          <w:p>
            <w:pPr>
              <w:spacing w:line="240" w:lineRule="auto"/>
              <w:jc w:val="center"/>
              <w:rPr>
                <w:szCs w:val="21"/>
              </w:rPr>
            </w:pPr>
          </w:p>
        </w:tc>
        <w:tc>
          <w:tcPr>
            <w:tcW w:w="732" w:type="pct"/>
          </w:tcPr>
          <w:p>
            <w:pPr>
              <w:spacing w:line="240" w:lineRule="auto"/>
              <w:jc w:val="center"/>
              <w:rPr>
                <w:szCs w:val="21"/>
              </w:rPr>
            </w:pPr>
          </w:p>
        </w:tc>
        <w:tc>
          <w:tcPr>
            <w:tcW w:w="932" w:type="pct"/>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tcPr>
          <w:p>
            <w:pPr>
              <w:spacing w:line="240" w:lineRule="auto"/>
              <w:jc w:val="center"/>
              <w:rPr>
                <w:szCs w:val="21"/>
              </w:rPr>
            </w:pPr>
          </w:p>
        </w:tc>
        <w:tc>
          <w:tcPr>
            <w:tcW w:w="1138" w:type="pct"/>
          </w:tcPr>
          <w:p>
            <w:pPr>
              <w:spacing w:line="240" w:lineRule="auto"/>
              <w:jc w:val="center"/>
              <w:rPr>
                <w:szCs w:val="21"/>
              </w:rPr>
            </w:pPr>
          </w:p>
        </w:tc>
        <w:tc>
          <w:tcPr>
            <w:tcW w:w="591" w:type="pct"/>
          </w:tcPr>
          <w:p>
            <w:pPr>
              <w:spacing w:line="240" w:lineRule="auto"/>
              <w:jc w:val="center"/>
              <w:rPr>
                <w:szCs w:val="21"/>
              </w:rPr>
            </w:pPr>
          </w:p>
        </w:tc>
        <w:tc>
          <w:tcPr>
            <w:tcW w:w="525" w:type="pct"/>
          </w:tcPr>
          <w:p>
            <w:pPr>
              <w:spacing w:line="240" w:lineRule="auto"/>
              <w:jc w:val="center"/>
              <w:rPr>
                <w:szCs w:val="21"/>
              </w:rPr>
            </w:pPr>
          </w:p>
        </w:tc>
        <w:tc>
          <w:tcPr>
            <w:tcW w:w="645" w:type="pct"/>
          </w:tcPr>
          <w:p>
            <w:pPr>
              <w:spacing w:line="240" w:lineRule="auto"/>
              <w:jc w:val="center"/>
              <w:rPr>
                <w:szCs w:val="21"/>
              </w:rPr>
            </w:pPr>
          </w:p>
        </w:tc>
        <w:tc>
          <w:tcPr>
            <w:tcW w:w="732" w:type="pct"/>
          </w:tcPr>
          <w:p>
            <w:pPr>
              <w:spacing w:line="240" w:lineRule="auto"/>
              <w:jc w:val="center"/>
              <w:rPr>
                <w:szCs w:val="21"/>
              </w:rPr>
            </w:pPr>
          </w:p>
        </w:tc>
        <w:tc>
          <w:tcPr>
            <w:tcW w:w="932" w:type="pct"/>
          </w:tcPr>
          <w:p>
            <w:pPr>
              <w:spacing w:line="240" w:lineRule="auto"/>
              <w:jc w:val="center"/>
              <w:rPr>
                <w:szCs w:val="21"/>
              </w:rPr>
            </w:pPr>
          </w:p>
        </w:tc>
      </w:tr>
    </w:tbl>
    <w:p/>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pPr>
    </w:p>
    <w:p>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pPr>
        <w:tabs>
          <w:tab w:val="clear" w:pos="426"/>
        </w:tabs>
        <w:spacing w:line="400" w:lineRule="exact"/>
        <w:ind w:left="750" w:hanging="749" w:hangingChars="357"/>
      </w:pPr>
    </w:p>
    <w:p>
      <w:pPr>
        <w:tabs>
          <w:tab w:val="clear" w:pos="426"/>
        </w:tabs>
        <w:spacing w:line="400" w:lineRule="exact"/>
        <w:ind w:left="750" w:hanging="749" w:hangingChars="357"/>
      </w:pPr>
      <w:r>
        <w:rPr>
          <w:rFonts w:hint="eastAsia"/>
        </w:rPr>
        <w:t>备注：</w:t>
      </w:r>
    </w:p>
    <w:p>
      <w:pPr>
        <w:tabs>
          <w:tab w:val="clear" w:pos="426"/>
        </w:tabs>
        <w:spacing w:line="400" w:lineRule="exact"/>
        <w:ind w:left="749" w:leftChars="200" w:hanging="329" w:hangingChars="157"/>
      </w:pPr>
      <w:r>
        <w:t>1.</w:t>
      </w:r>
      <w:r>
        <w:rPr>
          <w:rFonts w:hint="eastAsia"/>
        </w:rPr>
        <w:t xml:space="preserve"> 此表为《开标一览表(报价表)》的报价明细表。</w:t>
      </w:r>
    </w:p>
    <w:p>
      <w:pPr>
        <w:tabs>
          <w:tab w:val="clear" w:pos="426"/>
        </w:tabs>
        <w:spacing w:line="400" w:lineRule="exact"/>
        <w:ind w:left="749" w:leftChars="200" w:hanging="329" w:hangingChars="157"/>
      </w:pPr>
      <w:r>
        <w:rPr>
          <w:rFonts w:hint="eastAsia"/>
        </w:rPr>
        <w:t>2. 所有价格均以人民币作为货币单位填写及计算。</w:t>
      </w:r>
    </w:p>
    <w:p>
      <w:pPr>
        <w:tabs>
          <w:tab w:val="clear" w:pos="426"/>
        </w:tabs>
        <w:spacing w:line="400" w:lineRule="exact"/>
        <w:ind w:left="539" w:leftChars="200" w:hanging="119" w:hangingChars="57"/>
      </w:pPr>
      <w:r>
        <w:rPr>
          <w:rFonts w:hint="eastAsia"/>
        </w:rPr>
        <w:t>3. 该格式仅作参考，投标人的详细报价表格式可自定。</w:t>
      </w:r>
    </w:p>
    <w:p>
      <w:pPr>
        <w:tabs>
          <w:tab w:val="clear" w:pos="426"/>
        </w:tabs>
        <w:spacing w:line="400" w:lineRule="exact"/>
        <w:ind w:left="539" w:leftChars="200" w:hanging="119" w:hangingChars="57"/>
      </w:pPr>
    </w:p>
    <w:p>
      <w:pPr>
        <w:tabs>
          <w:tab w:val="clear" w:pos="426"/>
        </w:tabs>
        <w:spacing w:line="400" w:lineRule="exact"/>
        <w:ind w:left="539" w:leftChars="200" w:hanging="119" w:hangingChars="57"/>
      </w:pPr>
    </w:p>
    <w:p>
      <w:pPr>
        <w:shd w:val="clear" w:color="auto" w:fill="auto"/>
        <w:tabs>
          <w:tab w:val="clear" w:pos="426"/>
        </w:tabs>
        <w:adjustRightInd/>
        <w:snapToGrid/>
        <w:spacing w:line="240" w:lineRule="auto"/>
        <w:jc w:val="left"/>
      </w:pPr>
      <w: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 xml:space="preserve">项目报价表（仅适用于资格招标项目）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1958"/>
        <w:gridCol w:w="1602"/>
        <w:gridCol w:w="1780"/>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001"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r>
              <w:rPr>
                <w:rFonts w:hint="eastAsia" w:ascii="Times New Roman" w:hAnsi="Times New Roman" w:cs="Times New Roman"/>
                <w:snapToGrid w:val="0"/>
              </w:rPr>
              <w:t>项目名称</w:t>
            </w:r>
          </w:p>
        </w:tc>
        <w:tc>
          <w:tcPr>
            <w:tcW w:w="1023"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r>
              <w:rPr>
                <w:rFonts w:hint="eastAsia" w:ascii="Times New Roman" w:hAnsi="Times New Roman" w:cs="Times New Roman"/>
                <w:snapToGrid w:val="0"/>
              </w:rPr>
              <w:t>招标项目编号</w:t>
            </w:r>
          </w:p>
        </w:tc>
        <w:tc>
          <w:tcPr>
            <w:tcW w:w="837"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r>
              <w:rPr>
                <w:rFonts w:hint="eastAsia" w:ascii="Times New Roman" w:hAnsi="Times New Roman" w:cs="Times New Roman"/>
                <w:snapToGrid w:val="0"/>
              </w:rPr>
              <w:t>包号</w:t>
            </w:r>
          </w:p>
        </w:tc>
        <w:tc>
          <w:tcPr>
            <w:tcW w:w="930"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r>
              <w:rPr>
                <w:rFonts w:hint="eastAsia" w:ascii="Times New Roman" w:hAnsi="Times New Roman" w:cs="Times New Roman"/>
                <w:snapToGrid w:val="0"/>
              </w:rPr>
              <w:t>（1-下浮率）</w:t>
            </w:r>
          </w:p>
        </w:tc>
        <w:tc>
          <w:tcPr>
            <w:tcW w:w="1209"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r>
              <w:rPr>
                <w:rFonts w:hint="eastAsia" w:ascii="Times New Roman" w:hAnsi="Times New Roman" w:cs="Times New Roman"/>
                <w:snapToGrid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1001"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u w:val="single"/>
              </w:rPr>
            </w:pPr>
          </w:p>
        </w:tc>
        <w:tc>
          <w:tcPr>
            <w:tcW w:w="1023"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p>
        </w:tc>
        <w:tc>
          <w:tcPr>
            <w:tcW w:w="837"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p>
        </w:tc>
        <w:tc>
          <w:tcPr>
            <w:tcW w:w="930"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p>
        </w:tc>
        <w:tc>
          <w:tcPr>
            <w:tcW w:w="1209" w:type="pct"/>
            <w:vAlign w:val="center"/>
          </w:tcPr>
          <w:p>
            <w:pPr>
              <w:widowControl w:val="0"/>
              <w:shd w:val="clear" w:color="auto" w:fill="auto"/>
              <w:tabs>
                <w:tab w:val="clear" w:pos="426"/>
              </w:tabs>
              <w:adjustRightInd/>
              <w:snapToGrid/>
              <w:spacing w:line="240" w:lineRule="auto"/>
              <w:jc w:val="center"/>
              <w:rPr>
                <w:rFonts w:ascii="Times New Roman" w:hAnsi="Times New Roman" w:cs="Times New Roman"/>
                <w:snapToGrid w:val="0"/>
              </w:rPr>
            </w:pPr>
          </w:p>
        </w:tc>
      </w:tr>
    </w:tbl>
    <w:p>
      <w:pPr>
        <w:widowControl w:val="0"/>
        <w:shd w:val="clear" w:color="auto" w:fill="auto"/>
        <w:tabs>
          <w:tab w:val="clear" w:pos="426"/>
        </w:tabs>
        <w:adjustRightInd/>
        <w:snapToGrid/>
        <w:spacing w:line="240" w:lineRule="auto"/>
        <w:ind w:firstLine="426" w:firstLineChars="202"/>
        <w:rPr>
          <w:rFonts w:cs="Times New Roman"/>
          <w:kern w:val="2"/>
          <w:szCs w:val="21"/>
        </w:rPr>
      </w:pPr>
      <w:r>
        <w:rPr>
          <w:rFonts w:hint="eastAsia" w:ascii="Times New Roman" w:hAnsi="Times New Roman" w:cs="Times New Roman"/>
          <w:b/>
          <w:bCs/>
          <w:snapToGrid w:val="0"/>
        </w:rPr>
        <w:t>1.本次招标不涉及具体投标金额（无须投标人在投标文件中填报具体投标金额），投标人只需填报唯一的“1-下浮率”。</w:t>
      </w:r>
      <w:r>
        <w:rPr>
          <w:rFonts w:hint="eastAsia" w:cs="Times New Roman"/>
          <w:kern w:val="2"/>
          <w:szCs w:val="21"/>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240" w:lineRule="auto"/>
        <w:ind w:firstLine="426" w:firstLineChars="202"/>
        <w:rPr>
          <w:rFonts w:ascii="Times New Roman" w:hAnsi="Times New Roman" w:cs="Times New Roman"/>
          <w:b/>
          <w:bCs/>
          <w:snapToGrid w:val="0"/>
        </w:rPr>
      </w:pPr>
      <w:r>
        <w:rPr>
          <w:rFonts w:hint="eastAsia" w:ascii="Times New Roman" w:hAnsi="Times New Roman" w:cs="Times New Roman"/>
          <w:b/>
          <w:bCs/>
          <w:snapToGrid w:val="0"/>
        </w:rPr>
        <w:t>2.开标一览表中的“投标总价”必须与上表“（1-下浮率）”一致。</w:t>
      </w:r>
    </w:p>
    <w:p>
      <w:pPr>
        <w:widowControl w:val="0"/>
        <w:shd w:val="clear" w:color="auto" w:fill="auto"/>
        <w:tabs>
          <w:tab w:val="clear" w:pos="426"/>
        </w:tabs>
        <w:adjustRightInd/>
        <w:snapToGrid/>
        <w:spacing w:line="240" w:lineRule="auto"/>
        <w:ind w:firstLine="426" w:firstLineChars="202"/>
        <w:rPr>
          <w:rFonts w:ascii="Times New Roman" w:hAnsi="Times New Roman" w:cs="Times New Roman"/>
          <w:snapToGrid w:val="0"/>
        </w:rPr>
      </w:pPr>
      <w:r>
        <w:rPr>
          <w:rFonts w:hint="eastAsia" w:ascii="Times New Roman" w:hAnsi="Times New Roman" w:cs="Times New Roman"/>
          <w:b/>
          <w:bCs/>
          <w:snapToGrid w:val="0"/>
        </w:rPr>
        <w:t>3.本项目基准价格：_________</w:t>
      </w:r>
    </w:p>
    <w:p>
      <w:pPr>
        <w:widowControl w:val="0"/>
        <w:shd w:val="clear" w:color="auto" w:fill="auto"/>
        <w:tabs>
          <w:tab w:val="clear" w:pos="426"/>
        </w:tabs>
        <w:adjustRightInd/>
        <w:snapToGrid/>
        <w:spacing w:line="240" w:lineRule="auto"/>
        <w:ind w:firstLine="426" w:firstLineChars="202"/>
        <w:rPr>
          <w:rFonts w:ascii="Times New Roman" w:hAnsi="Times New Roman" w:cs="Times New Roman"/>
          <w:snapToGrid w:val="0"/>
        </w:rPr>
      </w:pPr>
      <w:r>
        <w:rPr>
          <w:rFonts w:hint="eastAsia" w:ascii="Times New Roman" w:hAnsi="Times New Roman" w:cs="Times New Roman"/>
          <w:b/>
          <w:bCs/>
          <w:snapToGrid w:val="0"/>
        </w:rPr>
        <w:t>4.结算价=基准价格*（1-下浮率）</w:t>
      </w:r>
    </w:p>
    <w:p>
      <w:pPr>
        <w:widowControl w:val="0"/>
        <w:shd w:val="clear" w:color="auto" w:fill="auto"/>
        <w:tabs>
          <w:tab w:val="clear" w:pos="426"/>
        </w:tabs>
        <w:adjustRightInd/>
        <w:snapToGrid/>
        <w:spacing w:line="240" w:lineRule="auto"/>
        <w:ind w:firstLine="426" w:firstLineChars="202"/>
        <w:rPr>
          <w:rFonts w:ascii="Times New Roman" w:hAnsi="Times New Roman" w:cs="Times New Roman"/>
          <w:snapToGrid w:val="0"/>
        </w:rPr>
      </w:pPr>
      <w:r>
        <w:rPr>
          <w:rFonts w:hint="eastAsia" w:ascii="Times New Roman" w:hAnsi="Times New Roman" w:cs="Times New Roman"/>
          <w:b/>
          <w:bCs/>
          <w:snapToGrid w:val="0"/>
        </w:rPr>
        <w:t>5.“1-下浮率”率填写要求：</w:t>
      </w:r>
    </w:p>
    <w:p>
      <w:pPr>
        <w:widowControl w:val="0"/>
        <w:shd w:val="clear" w:color="auto" w:fill="auto"/>
        <w:tabs>
          <w:tab w:val="clear" w:pos="426"/>
        </w:tabs>
        <w:adjustRightInd/>
        <w:snapToGrid/>
        <w:ind w:firstLine="426" w:firstLineChars="202"/>
        <w:rPr>
          <w:rFonts w:ascii="Times New Roman" w:hAnsi="Times New Roman" w:cs="Times New Roman"/>
          <w:b/>
          <w:bCs/>
          <w:snapToGrid w:val="0"/>
        </w:rPr>
      </w:pPr>
      <w:r>
        <w:rPr>
          <w:rFonts w:hint="eastAsia" w:ascii="Times New Roman" w:hAnsi="Times New Roman" w:cs="Times New Roman"/>
          <w:b/>
          <w:bCs/>
          <w:snapToGrid w:val="0"/>
        </w:rPr>
        <w:t>（1）填写要求：0＜1-下浮率≤1，未按此要求填写将作投标无效处理；</w:t>
      </w:r>
    </w:p>
    <w:p>
      <w:pPr>
        <w:widowControl w:val="0"/>
        <w:shd w:val="clear" w:color="auto" w:fill="auto"/>
        <w:tabs>
          <w:tab w:val="clear" w:pos="426"/>
        </w:tabs>
        <w:adjustRightInd/>
        <w:snapToGrid/>
        <w:ind w:firstLine="426" w:firstLineChars="202"/>
        <w:rPr>
          <w:rFonts w:ascii="Times New Roman" w:hAnsi="Times New Roman" w:cs="Times New Roman"/>
          <w:b/>
          <w:bCs/>
          <w:snapToGrid w:val="0"/>
        </w:rPr>
      </w:pPr>
      <w:r>
        <w:rPr>
          <w:rFonts w:hint="eastAsia" w:ascii="Times New Roman" w:hAnsi="Times New Roman" w:cs="Times New Roman"/>
          <w:b/>
          <w:bCs/>
          <w:snapToGrid w:val="0"/>
        </w:rPr>
        <w:t>（2）填写的“1-下浮率”应为小数，如0.95、0.80、0.78；</w:t>
      </w:r>
    </w:p>
    <w:p>
      <w:pPr>
        <w:widowControl w:val="0"/>
        <w:shd w:val="clear" w:color="auto" w:fill="auto"/>
        <w:tabs>
          <w:tab w:val="clear" w:pos="426"/>
        </w:tabs>
        <w:adjustRightInd/>
        <w:snapToGrid/>
        <w:ind w:firstLine="426" w:firstLineChars="202"/>
        <w:rPr>
          <w:rFonts w:ascii="Times New Roman" w:hAnsi="Times New Roman" w:cs="Times New Roman"/>
          <w:b/>
          <w:bCs/>
          <w:snapToGrid w:val="0"/>
        </w:rPr>
      </w:pPr>
      <w:r>
        <w:rPr>
          <w:rFonts w:hint="eastAsia" w:ascii="Times New Roman" w:hAnsi="Times New Roman" w:cs="Times New Roman"/>
          <w:b/>
          <w:bCs/>
          <w:snapToGrid w:val="0"/>
        </w:rPr>
        <w:t>（3）投标人参与投标只允许填报唯一1个“1-下浮率”，不允许填报2个（或以上）的“1-下浮率”；填报了2个或以上“1-下浮率”的，其投标将直接作投标无效处理；</w:t>
      </w:r>
    </w:p>
    <w:p>
      <w:pPr>
        <w:widowControl w:val="0"/>
        <w:shd w:val="clear" w:color="auto" w:fill="auto"/>
        <w:tabs>
          <w:tab w:val="clear" w:pos="426"/>
        </w:tabs>
        <w:adjustRightInd/>
        <w:snapToGrid/>
        <w:ind w:firstLine="426" w:firstLineChars="202"/>
        <w:rPr>
          <w:rFonts w:ascii="Times New Roman" w:hAnsi="Times New Roman" w:cs="Times New Roman"/>
          <w:b/>
          <w:bCs/>
          <w:snapToGrid w:val="0"/>
        </w:rPr>
      </w:pPr>
      <w:r>
        <w:rPr>
          <w:rFonts w:hint="eastAsia" w:ascii="Times New Roman" w:hAnsi="Times New Roman" w:cs="Times New Roman"/>
          <w:b/>
          <w:bCs/>
          <w:snapToGrid w:val="0"/>
          <w:szCs w:val="20"/>
        </w:rPr>
        <w:t>（4）“1-下浮率”缺填、漏填将直接作</w:t>
      </w:r>
      <w:r>
        <w:rPr>
          <w:rFonts w:hint="eastAsia" w:ascii="Times New Roman" w:hAnsi="Times New Roman" w:cs="Times New Roman"/>
          <w:b/>
          <w:bCs/>
          <w:snapToGrid w:val="0"/>
        </w:rPr>
        <w:t>投标无效</w:t>
      </w:r>
      <w:r>
        <w:rPr>
          <w:rFonts w:hint="eastAsia" w:ascii="Times New Roman" w:hAnsi="Times New Roman" w:cs="Times New Roman"/>
          <w:b/>
          <w:bCs/>
          <w:snapToGrid w:val="0"/>
          <w:szCs w:val="20"/>
        </w:rPr>
        <w:t>处理。</w:t>
      </w:r>
    </w:p>
    <w:p>
      <w:pPr>
        <w:widowControl w:val="0"/>
        <w:shd w:val="clear" w:color="auto" w:fill="auto"/>
        <w:tabs>
          <w:tab w:val="clear" w:pos="426"/>
        </w:tabs>
        <w:adjustRightInd/>
        <w:ind w:firstLine="426" w:firstLineChars="202"/>
        <w:rPr>
          <w:b/>
          <w:bCs/>
          <w:szCs w:val="21"/>
        </w:rPr>
      </w:pPr>
      <w:r>
        <w:rPr>
          <w:rFonts w:hint="eastAsia" w:ascii="Times New Roman" w:hAnsi="Times New Roman" w:cs="Times New Roman"/>
          <w:b/>
          <w:bCs/>
          <w:snapToGrid w:val="0"/>
        </w:rPr>
        <w:t>6.投标人如果需要对报价或其它内容加以说明，可在备注栏填写。</w:t>
      </w:r>
    </w:p>
    <w:p>
      <w:pPr>
        <w:tabs>
          <w:tab w:val="clear" w:pos="426"/>
        </w:tabs>
        <w:spacing w:line="400" w:lineRule="exact"/>
        <w:ind w:left="539" w:leftChars="200" w:hanging="119" w:hangingChars="57"/>
      </w:pPr>
    </w:p>
    <w:p>
      <w:pPr>
        <w:tabs>
          <w:tab w:val="clear" w:pos="426"/>
        </w:tabs>
        <w:spacing w:line="520" w:lineRule="exact"/>
        <w:ind w:left="424" w:leftChars="202"/>
        <w:rPr>
          <w:rFonts w:ascii="黑体" w:eastAsia="黑体"/>
          <w:b/>
          <w:bCs/>
          <w:sz w:val="28"/>
        </w:rPr>
      </w:pPr>
    </w:p>
    <w:p>
      <w:pPr>
        <w:numPr>
          <w:ilvl w:val="0"/>
          <w:numId w:val="28"/>
        </w:numPr>
        <w:tabs>
          <w:tab w:val="clear" w:pos="426"/>
        </w:tabs>
        <w:adjustRightInd/>
        <w:snapToGrid/>
        <w:spacing w:before="280" w:after="290" w:line="377" w:lineRule="auto"/>
        <w:jc w:val="left"/>
        <w:outlineLvl w:val="2"/>
        <w:rPr>
          <w:b/>
          <w:sz w:val="24"/>
        </w:rPr>
      </w:pPr>
      <w:r>
        <w:br w:type="page"/>
      </w:r>
      <w:r>
        <w:rPr>
          <w:rFonts w:hint="eastAsia"/>
          <w:b/>
          <w:sz w:val="24"/>
        </w:rPr>
        <w:t>实质性响应条款偏离表</w:t>
      </w:r>
    </w:p>
    <w:p>
      <w:pPr>
        <w:jc w:val="center"/>
        <w:rPr>
          <w:rFonts w:cs="Times New Roman"/>
          <w:bCs/>
          <w:kern w:val="2"/>
          <w:sz w:val="32"/>
          <w:szCs w:val="32"/>
          <w:highlight w:val="yellow"/>
        </w:rPr>
      </w:pPr>
      <w:r>
        <w:rPr>
          <w:rFonts w:hint="eastAsia" w:cs="Times New Roman"/>
          <w:bCs/>
          <w:kern w:val="2"/>
          <w:sz w:val="32"/>
          <w:szCs w:val="32"/>
          <w:highlight w:val="yellow"/>
        </w:rPr>
        <w:t>实质性响应条款偏离表</w:t>
      </w:r>
    </w:p>
    <w:p>
      <w:pPr>
        <w:tabs>
          <w:tab w:val="clear" w:pos="426"/>
        </w:tabs>
        <w:wordWrap w:val="0"/>
        <w:rPr>
          <w:rFonts w:ascii="ˎ̥" w:hAnsi="ˎ̥"/>
          <w:sz w:val="18"/>
          <w:szCs w:val="18"/>
          <w:highlight w:val="yellow"/>
          <w:u w:val="single"/>
        </w:rPr>
      </w:pPr>
      <w:r>
        <w:rPr>
          <w:rFonts w:hint="eastAsia"/>
          <w:highlight w:val="yellow"/>
        </w:rPr>
        <w:t>项目名称：</w:t>
      </w:r>
      <w:r>
        <w:rPr>
          <w:rFonts w:hint="eastAsia"/>
          <w:highlight w:val="yellow"/>
          <w:u w:val="single"/>
        </w:rPr>
        <w:t>_________________________________________</w:t>
      </w:r>
      <w:r>
        <w:rPr>
          <w:highlight w:val="yellow"/>
        </w:rPr>
        <w:t xml:space="preserve"> </w:t>
      </w:r>
      <w:r>
        <w:rPr>
          <w:rFonts w:hint="eastAsia"/>
          <w:highlight w:val="yellow"/>
        </w:rPr>
        <w:t>招标项目编号：</w:t>
      </w:r>
      <w:r>
        <w:rPr>
          <w:rFonts w:hint="eastAsia" w:ascii="ˎ̥" w:hAnsi="ˎ̥"/>
          <w:sz w:val="18"/>
          <w:szCs w:val="18"/>
          <w:highlight w:val="yellow"/>
          <w:u w:val="single"/>
        </w:rPr>
        <w:t>___________________________</w:t>
      </w:r>
    </w:p>
    <w:p>
      <w:pPr>
        <w:tabs>
          <w:tab w:val="clear" w:pos="426"/>
        </w:tabs>
        <w:wordWrap w:val="0"/>
        <w:rPr>
          <w:highlight w:val="yellow"/>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114"/>
        <w:gridCol w:w="2815"/>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spacing w:line="240" w:lineRule="auto"/>
              <w:jc w:val="center"/>
              <w:rPr>
                <w:szCs w:val="21"/>
              </w:rPr>
            </w:pPr>
            <w:r>
              <w:rPr>
                <w:rFonts w:hint="eastAsia"/>
                <w:szCs w:val="21"/>
              </w:rPr>
              <w:t>序号</w:t>
            </w:r>
          </w:p>
        </w:tc>
        <w:tc>
          <w:tcPr>
            <w:tcW w:w="1627" w:type="pct"/>
            <w:vAlign w:val="center"/>
          </w:tcPr>
          <w:p>
            <w:pPr>
              <w:spacing w:line="240" w:lineRule="auto"/>
              <w:jc w:val="center"/>
              <w:rPr>
                <w:szCs w:val="21"/>
              </w:rPr>
            </w:pPr>
            <w:r>
              <w:rPr>
                <w:rFonts w:hint="eastAsia"/>
                <w:szCs w:val="21"/>
              </w:rPr>
              <w:t>采购人要求内容</w:t>
            </w:r>
          </w:p>
        </w:tc>
        <w:tc>
          <w:tcPr>
            <w:tcW w:w="1471" w:type="pct"/>
            <w:vAlign w:val="center"/>
          </w:tcPr>
          <w:p>
            <w:pPr>
              <w:spacing w:line="240" w:lineRule="auto"/>
              <w:jc w:val="center"/>
              <w:rPr>
                <w:szCs w:val="21"/>
              </w:rPr>
            </w:pPr>
            <w:r>
              <w:rPr>
                <w:rFonts w:hint="eastAsia"/>
                <w:szCs w:val="21"/>
              </w:rPr>
              <w:t>供应商响应情况</w:t>
            </w:r>
          </w:p>
        </w:tc>
        <w:tc>
          <w:tcPr>
            <w:tcW w:w="1472" w:type="pct"/>
            <w:vAlign w:val="center"/>
          </w:tcPr>
          <w:p>
            <w:pPr>
              <w:spacing w:line="240" w:lineRule="auto"/>
              <w:jc w:val="center"/>
              <w:rPr>
                <w:szCs w:val="21"/>
              </w:rPr>
            </w:pPr>
            <w:r>
              <w:rPr>
                <w:rFonts w:hint="eastAsia"/>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spacing w:line="240" w:lineRule="auto"/>
              <w:jc w:val="center"/>
              <w:rPr>
                <w:color w:val="000000"/>
              </w:rPr>
            </w:pPr>
            <w:r>
              <w:rPr>
                <w:rFonts w:hint="eastAsia"/>
                <w:color w:val="000000"/>
              </w:rPr>
              <w:t>1</w:t>
            </w:r>
          </w:p>
        </w:tc>
        <w:tc>
          <w:tcPr>
            <w:tcW w:w="1627" w:type="pct"/>
            <w:vAlign w:val="center"/>
          </w:tcPr>
          <w:p>
            <w:pPr>
              <w:spacing w:line="240" w:lineRule="auto"/>
              <w:jc w:val="center"/>
              <w:rPr>
                <w:color w:val="000000"/>
              </w:rPr>
            </w:pPr>
          </w:p>
        </w:tc>
        <w:tc>
          <w:tcPr>
            <w:tcW w:w="1471" w:type="pct"/>
            <w:vAlign w:val="center"/>
          </w:tcPr>
          <w:p>
            <w:pPr>
              <w:spacing w:line="240" w:lineRule="auto"/>
              <w:jc w:val="center"/>
              <w:rPr>
                <w:szCs w:val="21"/>
              </w:rPr>
            </w:pPr>
          </w:p>
        </w:tc>
        <w:tc>
          <w:tcPr>
            <w:tcW w:w="1472" w:type="pct"/>
            <w:vAlign w:val="center"/>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spacing w:line="240" w:lineRule="auto"/>
              <w:jc w:val="center"/>
              <w:rPr>
                <w:color w:val="000000"/>
              </w:rPr>
            </w:pPr>
            <w:r>
              <w:rPr>
                <w:rFonts w:hint="eastAsia"/>
                <w:color w:val="000000"/>
              </w:rPr>
              <w:t>2</w:t>
            </w:r>
          </w:p>
        </w:tc>
        <w:tc>
          <w:tcPr>
            <w:tcW w:w="1627" w:type="pct"/>
            <w:vAlign w:val="center"/>
          </w:tcPr>
          <w:p>
            <w:pPr>
              <w:spacing w:line="240" w:lineRule="auto"/>
              <w:jc w:val="center"/>
              <w:rPr>
                <w:color w:val="000000"/>
              </w:rPr>
            </w:pPr>
          </w:p>
        </w:tc>
        <w:tc>
          <w:tcPr>
            <w:tcW w:w="1471" w:type="pct"/>
            <w:vAlign w:val="center"/>
          </w:tcPr>
          <w:p>
            <w:pPr>
              <w:spacing w:line="240" w:lineRule="auto"/>
              <w:jc w:val="center"/>
              <w:rPr>
                <w:szCs w:val="21"/>
              </w:rPr>
            </w:pPr>
          </w:p>
        </w:tc>
        <w:tc>
          <w:tcPr>
            <w:tcW w:w="1472" w:type="pct"/>
            <w:vAlign w:val="center"/>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spacing w:line="240" w:lineRule="auto"/>
              <w:jc w:val="center"/>
              <w:rPr>
                <w:color w:val="000000"/>
              </w:rPr>
            </w:pPr>
            <w:r>
              <w:rPr>
                <w:rFonts w:hint="eastAsia"/>
                <w:color w:val="000000"/>
              </w:rPr>
              <w:t>3</w:t>
            </w:r>
          </w:p>
        </w:tc>
        <w:tc>
          <w:tcPr>
            <w:tcW w:w="1627" w:type="pct"/>
            <w:vAlign w:val="center"/>
          </w:tcPr>
          <w:p>
            <w:pPr>
              <w:spacing w:line="240" w:lineRule="auto"/>
              <w:jc w:val="center"/>
              <w:rPr>
                <w:color w:val="000000"/>
              </w:rPr>
            </w:pPr>
          </w:p>
        </w:tc>
        <w:tc>
          <w:tcPr>
            <w:tcW w:w="1471" w:type="pct"/>
            <w:vAlign w:val="center"/>
          </w:tcPr>
          <w:p>
            <w:pPr>
              <w:spacing w:line="240" w:lineRule="auto"/>
              <w:jc w:val="center"/>
              <w:rPr>
                <w:szCs w:val="21"/>
              </w:rPr>
            </w:pPr>
          </w:p>
        </w:tc>
        <w:tc>
          <w:tcPr>
            <w:tcW w:w="1472" w:type="pct"/>
            <w:vAlign w:val="center"/>
          </w:tcPr>
          <w:p>
            <w:pPr>
              <w:spacing w:line="24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Align w:val="center"/>
          </w:tcPr>
          <w:p>
            <w:pPr>
              <w:spacing w:line="240" w:lineRule="auto"/>
              <w:jc w:val="center"/>
              <w:rPr>
                <w:color w:val="000000"/>
              </w:rPr>
            </w:pPr>
            <w:r>
              <w:rPr>
                <w:rFonts w:hint="eastAsia"/>
                <w:color w:val="000000"/>
              </w:rPr>
              <w:t>……</w:t>
            </w:r>
          </w:p>
        </w:tc>
        <w:tc>
          <w:tcPr>
            <w:tcW w:w="1627" w:type="pct"/>
            <w:vAlign w:val="center"/>
          </w:tcPr>
          <w:p>
            <w:pPr>
              <w:spacing w:line="240" w:lineRule="auto"/>
              <w:jc w:val="center"/>
              <w:rPr>
                <w:color w:val="000000"/>
              </w:rPr>
            </w:pPr>
          </w:p>
        </w:tc>
        <w:tc>
          <w:tcPr>
            <w:tcW w:w="1471" w:type="pct"/>
            <w:vAlign w:val="center"/>
          </w:tcPr>
          <w:p>
            <w:pPr>
              <w:spacing w:line="240" w:lineRule="auto"/>
              <w:jc w:val="center"/>
              <w:rPr>
                <w:szCs w:val="21"/>
              </w:rPr>
            </w:pPr>
          </w:p>
        </w:tc>
        <w:tc>
          <w:tcPr>
            <w:tcW w:w="1472" w:type="pct"/>
            <w:vAlign w:val="center"/>
          </w:tcPr>
          <w:p>
            <w:pPr>
              <w:spacing w:line="240" w:lineRule="auto"/>
              <w:jc w:val="center"/>
              <w:rPr>
                <w:szCs w:val="21"/>
              </w:rPr>
            </w:pPr>
          </w:p>
        </w:tc>
      </w:tr>
    </w:tbl>
    <w:p>
      <w:pPr>
        <w:tabs>
          <w:tab w:val="clear" w:pos="426"/>
        </w:tabs>
        <w:spacing w:line="400" w:lineRule="exact"/>
        <w:ind w:left="539" w:leftChars="200" w:hanging="119" w:hangingChars="57"/>
      </w:pPr>
    </w:p>
    <w:p>
      <w:pPr>
        <w:pStyle w:val="78"/>
        <w:ind w:firstLine="0" w:firstLineChars="0"/>
        <w:jc w:val="left"/>
      </w:pPr>
      <w:r>
        <w:rPr>
          <w:rFonts w:hint="eastAsia"/>
        </w:rPr>
        <w:t>备注：</w:t>
      </w:r>
    </w:p>
    <w:p>
      <w:pPr>
        <w:pStyle w:val="78"/>
        <w:tabs>
          <w:tab w:val="clear" w:pos="426"/>
        </w:tabs>
        <w:ind w:firstLine="424" w:firstLineChars="202"/>
        <w:jc w:val="left"/>
      </w:pPr>
      <w:r>
        <w:rPr>
          <w:rFonts w:hint="eastAsia"/>
        </w:rPr>
        <w:t>1.上表所列内容为不可负偏离条款，如投标人该部分内容出现负偏离或未对该部分内容进行响应，将按照符合性检查表作无效标处理；</w:t>
      </w:r>
    </w:p>
    <w:p>
      <w:pPr>
        <w:tabs>
          <w:tab w:val="clear" w:pos="426"/>
        </w:tabs>
        <w:ind w:firstLine="426" w:firstLineChars="202"/>
        <w:jc w:val="left"/>
        <w:rPr>
          <w:b/>
          <w:color w:val="FF0000"/>
        </w:rPr>
      </w:pPr>
      <w:r>
        <w:rPr>
          <w:rFonts w:hint="eastAsia"/>
          <w:b/>
          <w:color w:val="FF0000"/>
        </w:rPr>
        <w:t>2.“偏离情况”一栏应如实填写“正偏离”、“负偏离”或“无偏离”。</w:t>
      </w:r>
    </w:p>
    <w:p>
      <w:pPr>
        <w:numPr>
          <w:ilvl w:val="0"/>
          <w:numId w:val="28"/>
        </w:numPr>
        <w:tabs>
          <w:tab w:val="clear" w:pos="426"/>
        </w:tabs>
        <w:adjustRightInd/>
        <w:snapToGrid/>
        <w:spacing w:before="280" w:after="290" w:line="377" w:lineRule="auto"/>
        <w:jc w:val="left"/>
        <w:outlineLvl w:val="2"/>
        <w:rPr>
          <w:b/>
          <w:bCs/>
          <w:sz w:val="24"/>
          <w:highlight w:val="yellow"/>
        </w:rPr>
      </w:pPr>
      <w:r>
        <w:br w:type="page"/>
      </w:r>
      <w:r>
        <w:rPr>
          <w:rFonts w:hint="eastAsia"/>
          <w:b/>
          <w:bCs/>
          <w:sz w:val="24"/>
          <w:highlight w:val="yellow"/>
        </w:rPr>
        <w:t>项目需求响应表（实质性条款除外）</w:t>
      </w: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项目需求响应表（实质性条款除外）</w:t>
      </w:r>
    </w:p>
    <w:p>
      <w:pPr>
        <w:tabs>
          <w:tab w:val="clear" w:pos="426"/>
        </w:tabs>
        <w:wordWrap w:val="0"/>
        <w:rPr>
          <w:highlight w:val="yellow"/>
        </w:rPr>
      </w:pPr>
    </w:p>
    <w:p>
      <w:pPr>
        <w:tabs>
          <w:tab w:val="clear" w:pos="426"/>
        </w:tabs>
        <w:wordWrap w:val="0"/>
        <w:rPr>
          <w:highlight w:val="yellow"/>
        </w:rPr>
      </w:pPr>
      <w:r>
        <w:rPr>
          <w:rFonts w:hint="eastAsia"/>
          <w:highlight w:val="yellow"/>
        </w:rPr>
        <w:t>项目名称：</w:t>
      </w:r>
      <w:r>
        <w:rPr>
          <w:rFonts w:hint="eastAsia"/>
          <w:highlight w:val="yellow"/>
          <w:u w:val="single"/>
        </w:rPr>
        <w:t>_________________________________________</w:t>
      </w:r>
      <w:r>
        <w:rPr>
          <w:rFonts w:hint="eastAsia"/>
          <w:highlight w:val="yellow"/>
        </w:rPr>
        <w:t>招标项目编号：</w:t>
      </w:r>
      <w:r>
        <w:rPr>
          <w:rFonts w:hint="eastAsia" w:ascii="ˎ̥" w:hAnsi="ˎ̥"/>
          <w:sz w:val="18"/>
          <w:szCs w:val="18"/>
          <w:highlight w:val="yellow"/>
          <w:u w:val="single"/>
        </w:rPr>
        <w:t>___________________________</w:t>
      </w:r>
    </w:p>
    <w:p>
      <w:pPr>
        <w:rPr>
          <w:rFonts w:cs="Arial"/>
          <w:bCs/>
        </w:rPr>
      </w:pPr>
      <w:r>
        <w:rPr>
          <w:rFonts w:hint="eastAsia" w:cs="Arial"/>
          <w:bCs/>
        </w:rPr>
        <w:t>（一）据招标文件要求，我公司承诺响应如下：</w:t>
      </w:r>
    </w:p>
    <w:tbl>
      <w:tblPr>
        <w:tblStyle w:val="4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587"/>
        <w:gridCol w:w="3587"/>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pPr>
              <w:spacing w:line="240" w:lineRule="auto"/>
              <w:jc w:val="center"/>
              <w:rPr>
                <w:rFonts w:cs="Arial"/>
                <w:szCs w:val="21"/>
              </w:rPr>
            </w:pPr>
            <w:r>
              <w:rPr>
                <w:rFonts w:hint="eastAsia" w:cs="Arial"/>
                <w:szCs w:val="21"/>
              </w:rPr>
              <w:t>序号</w:t>
            </w:r>
          </w:p>
        </w:tc>
        <w:tc>
          <w:tcPr>
            <w:tcW w:w="3587" w:type="dxa"/>
            <w:vAlign w:val="center"/>
          </w:tcPr>
          <w:p>
            <w:pPr>
              <w:spacing w:line="240" w:lineRule="auto"/>
              <w:jc w:val="center"/>
              <w:rPr>
                <w:rFonts w:cs="Arial"/>
                <w:szCs w:val="21"/>
              </w:rPr>
            </w:pPr>
            <w:r>
              <w:rPr>
                <w:rFonts w:hint="eastAsia" w:cs="Arial"/>
                <w:szCs w:val="21"/>
              </w:rPr>
              <w:t>招标文件要求</w:t>
            </w:r>
          </w:p>
        </w:tc>
        <w:tc>
          <w:tcPr>
            <w:tcW w:w="3587" w:type="dxa"/>
            <w:vAlign w:val="center"/>
          </w:tcPr>
          <w:p>
            <w:pPr>
              <w:spacing w:line="240" w:lineRule="auto"/>
              <w:jc w:val="center"/>
              <w:rPr>
                <w:rFonts w:cs="Arial"/>
                <w:szCs w:val="21"/>
              </w:rPr>
            </w:pPr>
            <w:r>
              <w:rPr>
                <w:rFonts w:hint="eastAsia" w:cs="Arial"/>
                <w:szCs w:val="21"/>
              </w:rPr>
              <w:t>投标文件响应</w:t>
            </w:r>
          </w:p>
        </w:tc>
        <w:tc>
          <w:tcPr>
            <w:tcW w:w="1820" w:type="dxa"/>
            <w:vAlign w:val="center"/>
          </w:tcPr>
          <w:p>
            <w:pPr>
              <w:spacing w:line="240" w:lineRule="auto"/>
              <w:jc w:val="center"/>
              <w:rPr>
                <w:rFonts w:cs="Arial"/>
                <w:szCs w:val="21"/>
              </w:rPr>
            </w:pPr>
            <w:r>
              <w:rPr>
                <w:rFonts w:hint="eastAsia" w:cs="Arial"/>
                <w:szCs w:val="21"/>
              </w:rPr>
              <w:t>偏离说明（符合/正偏离/负偏离）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2" w:type="dxa"/>
            <w:vAlign w:val="center"/>
          </w:tcPr>
          <w:p>
            <w:pPr>
              <w:spacing w:line="240" w:lineRule="auto"/>
              <w:jc w:val="center"/>
              <w:rPr>
                <w:rFonts w:cs="Arial"/>
                <w:szCs w:val="21"/>
              </w:rPr>
            </w:pPr>
            <w:r>
              <w:rPr>
                <w:rFonts w:hint="eastAsia" w:cs="Arial"/>
                <w:szCs w:val="21"/>
              </w:rPr>
              <w:t>1</w:t>
            </w:r>
          </w:p>
        </w:tc>
        <w:tc>
          <w:tcPr>
            <w:tcW w:w="3587" w:type="dxa"/>
            <w:vAlign w:val="center"/>
          </w:tcPr>
          <w:p>
            <w:pPr>
              <w:spacing w:line="240" w:lineRule="auto"/>
              <w:jc w:val="center"/>
              <w:rPr>
                <w:bCs/>
              </w:rPr>
            </w:pPr>
            <w:r>
              <w:rPr>
                <w:rFonts w:hint="eastAsia" w:cs="Arial"/>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pPr>
              <w:spacing w:line="240" w:lineRule="auto"/>
              <w:jc w:val="center"/>
              <w:rPr>
                <w:rFonts w:cs="Arial"/>
              </w:rPr>
            </w:pPr>
            <w:r>
              <w:rPr>
                <w:rFonts w:hint="eastAsia" w:cs="Arial"/>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pPr>
              <w:spacing w:line="240" w:lineRule="auto"/>
              <w:jc w:val="center"/>
              <w:rPr>
                <w:szCs w:val="21"/>
              </w:rPr>
            </w:pPr>
            <w:r>
              <w:rPr>
                <w:rFonts w:hint="eastAsia" w:cs="Arial"/>
              </w:rPr>
              <w:t>符合</w:t>
            </w:r>
          </w:p>
        </w:tc>
      </w:tr>
    </w:tbl>
    <w:p>
      <w:pPr>
        <w:rPr>
          <w:bCs/>
        </w:rPr>
      </w:pPr>
    </w:p>
    <w:p>
      <w:pPr>
        <w:rPr>
          <w:bCs/>
        </w:rPr>
      </w:pPr>
      <w:r>
        <w:rPr>
          <w:rFonts w:hint="eastAsia"/>
          <w:bCs/>
        </w:rPr>
        <w:t>（二）对《项目需求响应表》的补充说明</w:t>
      </w:r>
    </w:p>
    <w:p>
      <w:pPr>
        <w:tabs>
          <w:tab w:val="clear" w:pos="426"/>
        </w:tabs>
        <w:ind w:firstLine="424" w:firstLineChars="202"/>
        <w:rPr>
          <w:bCs/>
        </w:rPr>
      </w:pPr>
      <w:r>
        <w:rPr>
          <w:rFonts w:hint="eastAsia"/>
          <w:bCs/>
        </w:rPr>
        <w:t>填写表中“偏离说明”一栏的未尽内容（例如：偏离原因、解决方案等）及投标人认为需要补充说明的其他内容，格式自定。</w:t>
      </w:r>
    </w:p>
    <w:p>
      <w:pPr>
        <w:rPr>
          <w:bCs/>
        </w:rPr>
      </w:pPr>
    </w:p>
    <w:p>
      <w:pPr>
        <w:rPr>
          <w:bCs/>
        </w:rPr>
      </w:pPr>
    </w:p>
    <w:p>
      <w:pPr>
        <w:tabs>
          <w:tab w:val="clear" w:pos="426"/>
        </w:tabs>
        <w:ind w:firstLine="420"/>
        <w:rPr>
          <w:u w:val="single"/>
        </w:rPr>
      </w:pPr>
      <w:r>
        <w:rPr>
          <w:rFonts w:hint="eastAsia"/>
        </w:rPr>
        <w:t>单位名称：</w:t>
      </w:r>
      <w:r>
        <w:rPr>
          <w:rFonts w:hint="eastAsia"/>
          <w:u w:val="single"/>
        </w:rPr>
        <w:t>_____________________________________________________________</w:t>
      </w:r>
    </w:p>
    <w:p>
      <w:pPr>
        <w:tabs>
          <w:tab w:val="clear" w:pos="426"/>
        </w:tabs>
        <w:ind w:firstLine="420"/>
        <w:rPr>
          <w:u w:val="single"/>
        </w:rPr>
      </w:pPr>
      <w:r>
        <w:rPr>
          <w:rFonts w:hint="eastAsia"/>
        </w:rPr>
        <w:t>法定代表人或投标人授权代表（签名或盖章）：</w:t>
      </w:r>
      <w:r>
        <w:rPr>
          <w:rFonts w:hint="eastAsia"/>
          <w:u w:val="single"/>
        </w:rPr>
        <w:t>_____________________________</w:t>
      </w:r>
    </w:p>
    <w:p>
      <w:pPr>
        <w:tabs>
          <w:tab w:val="clear" w:pos="426"/>
        </w:tabs>
        <w:ind w:firstLine="420"/>
        <w:rPr>
          <w:u w:val="single"/>
        </w:rPr>
      </w:pPr>
      <w:r>
        <w:rPr>
          <w:rFonts w:hint="eastAsia"/>
        </w:rPr>
        <w:t>单位地址：</w:t>
      </w:r>
      <w:r>
        <w:rPr>
          <w:rFonts w:hint="eastAsia"/>
          <w:u w:val="single"/>
        </w:rPr>
        <w:t>_____________________________________________________________</w:t>
      </w:r>
    </w:p>
    <w:p>
      <w:pPr>
        <w:tabs>
          <w:tab w:val="clear" w:pos="426"/>
        </w:tabs>
        <w:ind w:firstLine="420"/>
        <w:rPr>
          <w:u w:val="single"/>
        </w:rPr>
      </w:pPr>
      <w:r>
        <w:rPr>
          <w:rFonts w:hint="eastAsia"/>
        </w:rPr>
        <w:t>单位公章：</w:t>
      </w:r>
      <w:r>
        <w:rPr>
          <w:rFonts w:hint="eastAsia"/>
          <w:u w:val="single"/>
        </w:rPr>
        <w:t>_____________________________________________________________</w:t>
      </w:r>
    </w:p>
    <w:p>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rPr>
          <w:u w:val="single"/>
        </w:rPr>
      </w:pPr>
      <w:r>
        <w:rPr>
          <w:rFonts w:hint="eastAsia"/>
        </w:rPr>
        <w:t>联系电话：</w:t>
      </w:r>
      <w:r>
        <w:rPr>
          <w:rFonts w:hint="eastAsia"/>
          <w:u w:val="single"/>
        </w:rPr>
        <w:t>_____________________________________________________________</w:t>
      </w:r>
    </w:p>
    <w:p>
      <w:pPr>
        <w:rPr>
          <w:bCs/>
        </w:rPr>
      </w:pPr>
    </w:p>
    <w:p>
      <w:pPr>
        <w:rPr>
          <w:bCs/>
        </w:rPr>
      </w:pPr>
      <w:r>
        <w:rPr>
          <w:rFonts w:hint="eastAsia"/>
          <w:bCs/>
        </w:rPr>
        <w:t>填写说明：</w:t>
      </w:r>
    </w:p>
    <w:p>
      <w:pPr>
        <w:ind w:firstLine="420" w:firstLineChars="200"/>
        <w:rPr>
          <w:bCs/>
        </w:rPr>
      </w:pPr>
      <w:r>
        <w:rPr>
          <w:rFonts w:hint="eastAsia"/>
          <w:bCs/>
        </w:rPr>
        <w:t>1.上述表格，若投标人项目需求商务条款无偏离，“招标文件要求”栏填写“</w:t>
      </w:r>
      <w:r>
        <w:rPr>
          <w:rFonts w:hint="eastAsia" w:cs="Arial"/>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hint="eastAsia" w:cs="Arial"/>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pPr>
        <w:ind w:firstLine="420" w:firstLineChars="200"/>
        <w:rPr>
          <w:bCs/>
        </w:rPr>
      </w:pPr>
      <w:r>
        <w:rPr>
          <w:rFonts w:hint="eastAsia"/>
          <w:bCs/>
        </w:rPr>
        <w:t>2.若响应情况优于招标要求，应作详细说明。“偏离情况”栏中根据响应情况填写，达到要求的填“</w:t>
      </w:r>
      <w:r>
        <w:rPr>
          <w:rFonts w:hint="eastAsia" w:cs="Arial"/>
          <w:bCs/>
        </w:rPr>
        <w:t>符合</w:t>
      </w:r>
      <w:r>
        <w:rPr>
          <w:rFonts w:hint="eastAsia"/>
          <w:bCs/>
        </w:rPr>
        <w:t>”，优于要求的填“</w:t>
      </w:r>
      <w:r>
        <w:rPr>
          <w:rFonts w:hint="eastAsia" w:cs="Arial"/>
          <w:bCs/>
        </w:rPr>
        <w:t>正偏离</w:t>
      </w:r>
      <w:r>
        <w:rPr>
          <w:rFonts w:hint="eastAsia"/>
          <w:bCs/>
        </w:rPr>
        <w:t>”没有达到要求的填“</w:t>
      </w:r>
      <w:r>
        <w:rPr>
          <w:rFonts w:hint="eastAsia" w:cs="Arial"/>
          <w:bCs/>
        </w:rPr>
        <w:t>负偏离</w:t>
      </w:r>
      <w:r>
        <w:rPr>
          <w:rFonts w:hint="eastAsia"/>
          <w:bCs/>
        </w:rPr>
        <w:t>”。</w:t>
      </w:r>
    </w:p>
    <w:p>
      <w:pPr>
        <w:ind w:right="84" w:rightChars="40" w:firstLine="420" w:firstLineChars="200"/>
        <w:rPr>
          <w:bCs/>
        </w:rPr>
      </w:pPr>
      <w:r>
        <w:rPr>
          <w:rFonts w:hint="eastAsia"/>
          <w:bCs/>
        </w:rPr>
        <w:t>3.若招标文件项目需求要求提供证明材料 投标人必须按招标文件要求附相关证明文件，如未提供相关证明文件的视为负偏离。</w:t>
      </w:r>
    </w:p>
    <w:p>
      <w:pPr>
        <w:ind w:right="84" w:rightChars="40" w:firstLine="420" w:firstLineChars="200"/>
        <w:rPr>
          <w:bCs/>
        </w:rPr>
      </w:pPr>
      <w:r>
        <w:rPr>
          <w:rFonts w:hint="eastAsia"/>
          <w:bCs/>
          <w:highlight w:val="yellow"/>
        </w:rPr>
        <w:t>4、本偏离表负偏离不得导致无效标。</w:t>
      </w:r>
    </w:p>
    <w:p>
      <w:pPr>
        <w:tabs>
          <w:tab w:val="clear" w:pos="426"/>
        </w:tabs>
        <w:spacing w:line="520" w:lineRule="exact"/>
        <w:ind w:left="424" w:leftChars="202"/>
        <w:rPr>
          <w:rFonts w:ascii="黑体" w:eastAsia="黑体"/>
          <w:b/>
          <w:bCs/>
          <w:sz w:val="28"/>
        </w:rPr>
      </w:pPr>
    </w:p>
    <w:p>
      <w:pPr>
        <w:numPr>
          <w:ilvl w:val="0"/>
          <w:numId w:val="28"/>
        </w:numPr>
        <w:tabs>
          <w:tab w:val="clear" w:pos="426"/>
        </w:tabs>
        <w:adjustRightInd/>
        <w:snapToGrid/>
        <w:spacing w:before="280" w:after="290" w:line="377" w:lineRule="auto"/>
        <w:jc w:val="left"/>
        <w:outlineLvl w:val="2"/>
        <w:rPr>
          <w:b/>
          <w:sz w:val="24"/>
        </w:rPr>
      </w:pPr>
      <w:r>
        <w:br w:type="page"/>
      </w:r>
      <w:r>
        <w:rPr>
          <w:rFonts w:hint="eastAsia"/>
          <w:b/>
          <w:sz w:val="24"/>
        </w:rPr>
        <w:t>项目总体概述及理解（格式自定）</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施工组织计划、施工技术、施工工艺及相关的合理化建议（格式自定）</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项目实施关键施工技术（重点难点）分析及解决方案（格式自定）</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拟采用设备（材料）的性能（节能环保情况）、档次及质量可靠性（格式自定）</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施工质量（安全、环保、工期、售后服务）保障措施及相关的违约承诺（格式自定）</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通过相关认证情况</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投标人同类项目业绩情况</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投标人本地服务能力</w:t>
      </w:r>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拟投入劳动力（项目经理、技术人员、管理班子、机械设备、场地）情况</w:t>
      </w:r>
    </w:p>
    <w:p>
      <w:pPr>
        <w:tabs>
          <w:tab w:val="clear" w:pos="426"/>
        </w:tabs>
        <w:spacing w:line="500" w:lineRule="exact"/>
        <w:rPr>
          <w:sz w:val="24"/>
        </w:rPr>
      </w:pPr>
      <w:bookmarkStart w:id="68" w:name="_Toc43264525"/>
      <w:bookmarkStart w:id="69" w:name="_Toc50691037"/>
      <w:bookmarkStart w:id="70" w:name="_Toc50703730"/>
      <w:bookmarkStart w:id="71" w:name="_Toc43264518"/>
    </w:p>
    <w:p>
      <w:pPr>
        <w:tabs>
          <w:tab w:val="clear" w:pos="426"/>
        </w:tabs>
        <w:spacing w:line="500" w:lineRule="exact"/>
        <w:rPr>
          <w:sz w:val="24"/>
        </w:rPr>
      </w:pPr>
    </w:p>
    <w:p>
      <w:pPr>
        <w:tabs>
          <w:tab w:val="clear" w:pos="426"/>
        </w:tabs>
        <w:spacing w:line="500" w:lineRule="exact"/>
        <w:rPr>
          <w:sz w:val="24"/>
        </w:rPr>
      </w:pPr>
    </w:p>
    <w:p>
      <w:pPr>
        <w:tabs>
          <w:tab w:val="clear" w:pos="426"/>
        </w:tabs>
        <w:adjustRightInd/>
        <w:snapToGrid/>
        <w:spacing w:before="280" w:after="290" w:line="377" w:lineRule="auto"/>
        <w:ind w:left="562"/>
        <w:jc w:val="left"/>
        <w:outlineLvl w:val="2"/>
        <w:rPr>
          <w:b/>
          <w:sz w:val="24"/>
        </w:rPr>
      </w:pPr>
      <w:r>
        <w:rPr>
          <w:spacing w:val="4"/>
          <w:u w:val="single"/>
        </w:rPr>
        <w:br w:type="page"/>
      </w:r>
      <w:bookmarkEnd w:id="68"/>
      <w:bookmarkEnd w:id="69"/>
      <w:bookmarkEnd w:id="70"/>
      <w:bookmarkEnd w:id="71"/>
    </w:p>
    <w:p>
      <w:pPr>
        <w:numPr>
          <w:ilvl w:val="0"/>
          <w:numId w:val="28"/>
        </w:numPr>
        <w:tabs>
          <w:tab w:val="clear" w:pos="426"/>
        </w:tabs>
        <w:adjustRightInd/>
        <w:snapToGrid/>
        <w:spacing w:before="280" w:after="290" w:line="377" w:lineRule="auto"/>
        <w:jc w:val="left"/>
        <w:outlineLvl w:val="2"/>
        <w:rPr>
          <w:b/>
          <w:sz w:val="24"/>
        </w:rPr>
      </w:pPr>
      <w:r>
        <w:rPr>
          <w:rFonts w:hint="eastAsia"/>
          <w:b/>
          <w:sz w:val="24"/>
        </w:rPr>
        <w:t>招标代理服务费承诺书</w:t>
      </w:r>
    </w:p>
    <w:p>
      <w:pPr>
        <w:widowControl w:val="0"/>
        <w:shd w:val="clear" w:color="auto" w:fill="auto"/>
        <w:tabs>
          <w:tab w:val="clear" w:pos="426"/>
        </w:tabs>
        <w:adjustRightInd/>
        <w:snapToGrid/>
        <w:spacing w:line="300" w:lineRule="auto"/>
        <w:jc w:val="center"/>
        <w:rPr>
          <w:rFonts w:cs="Times New Roman"/>
          <w:bCs/>
          <w:kern w:val="2"/>
          <w:sz w:val="32"/>
          <w:szCs w:val="32"/>
        </w:rPr>
      </w:pPr>
      <w:bookmarkStart w:id="72" w:name="_Toc480754217"/>
      <w:bookmarkStart w:id="73" w:name="_Toc480755938"/>
      <w:bookmarkStart w:id="74" w:name="_Toc480789488"/>
      <w:bookmarkStart w:id="75" w:name="_Toc275865624"/>
      <w:bookmarkStart w:id="76" w:name="_Toc480756084"/>
      <w:r>
        <w:rPr>
          <w:rFonts w:hint="eastAsia" w:cs="Times New Roman"/>
          <w:bCs/>
          <w:kern w:val="2"/>
          <w:sz w:val="32"/>
          <w:szCs w:val="32"/>
        </w:rPr>
        <w:t>招标代理服务费承诺书</w:t>
      </w:r>
      <w:bookmarkEnd w:id="72"/>
      <w:bookmarkEnd w:id="73"/>
      <w:bookmarkEnd w:id="74"/>
      <w:bookmarkEnd w:id="75"/>
      <w:bookmarkEnd w:id="76"/>
    </w:p>
    <w:p>
      <w:pPr>
        <w:tabs>
          <w:tab w:val="clear" w:pos="426"/>
        </w:tabs>
        <w:adjustRightInd/>
        <w:snapToGrid/>
        <w:rPr>
          <w:b/>
        </w:rPr>
      </w:pPr>
    </w:p>
    <w:p>
      <w:pPr>
        <w:tabs>
          <w:tab w:val="clear" w:pos="426"/>
        </w:tabs>
        <w:adjustRightInd/>
        <w:snapToGrid/>
        <w:rPr>
          <w:b/>
        </w:rPr>
      </w:pPr>
      <w:r>
        <w:rPr>
          <w:rFonts w:hint="eastAsia"/>
          <w:b/>
        </w:rPr>
        <w:t>深圳市深水水务咨询有限公司：</w:t>
      </w:r>
    </w:p>
    <w:p>
      <w:pPr>
        <w:tabs>
          <w:tab w:val="clear" w:pos="426"/>
        </w:tabs>
        <w:adjustRightInd/>
        <w:snapToGrid/>
        <w:ind w:firstLine="420" w:firstLineChars="20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pPr>
        <w:tabs>
          <w:tab w:val="clear" w:pos="426"/>
        </w:tabs>
        <w:adjustRightInd/>
        <w:snapToGrid/>
        <w:ind w:firstLine="420" w:firstLineChars="200"/>
      </w:pPr>
      <w:r>
        <w:rPr>
          <w:rFonts w:hint="eastAsia"/>
        </w:rPr>
        <w:t>如我公司违反上款承诺，愿凭贵公司开出的相关通知，同意（采购代理机构名称）办理支付手续，扣除我公司提交的全部投标保证金，并愿承担由此引起的一切法律责任。</w:t>
      </w:r>
    </w:p>
    <w:p>
      <w:pPr>
        <w:tabs>
          <w:tab w:val="clear" w:pos="426"/>
        </w:tabs>
        <w:adjustRightInd/>
        <w:snapToGrid/>
        <w:ind w:firstLine="420" w:firstLineChars="200"/>
      </w:pPr>
      <w:r>
        <w:rPr>
          <w:rFonts w:hint="eastAsia"/>
        </w:rPr>
        <w:t>特此承诺!</w:t>
      </w:r>
    </w:p>
    <w:p>
      <w:pPr>
        <w:tabs>
          <w:tab w:val="clear" w:pos="426"/>
        </w:tabs>
        <w:spacing w:line="520" w:lineRule="exact"/>
        <w:ind w:left="424" w:leftChars="202"/>
        <w:rPr>
          <w:u w:val="single"/>
        </w:rPr>
      </w:pPr>
      <w:r>
        <w:rPr>
          <w:rFonts w:hint="eastAsia"/>
        </w:rPr>
        <w:t>投标人名称(盖公章):</w:t>
      </w:r>
      <w:r>
        <w:rPr>
          <w:rFonts w:hint="eastAsia"/>
          <w:u w:val="single"/>
        </w:rPr>
        <w:t>______________________________________________________</w:t>
      </w:r>
    </w:p>
    <w:p>
      <w:pPr>
        <w:tabs>
          <w:tab w:val="clear" w:pos="426"/>
        </w:tabs>
        <w:spacing w:line="520" w:lineRule="exact"/>
        <w:ind w:left="424" w:leftChars="202"/>
        <w:rPr>
          <w:u w:val="single"/>
        </w:rPr>
      </w:pPr>
      <w:r>
        <w:rPr>
          <w:rFonts w:hint="eastAsia"/>
        </w:rPr>
        <w:t>投标人地址:</w:t>
      </w:r>
      <w:r>
        <w:rPr>
          <w:rFonts w:hint="eastAsia"/>
          <w:u w:val="single"/>
        </w:rPr>
        <w:t>______________________________________________________________</w:t>
      </w:r>
    </w:p>
    <w:p>
      <w:pPr>
        <w:tabs>
          <w:tab w:val="clear" w:pos="426"/>
        </w:tabs>
        <w:spacing w:line="520" w:lineRule="exact"/>
        <w:ind w:left="424" w:leftChars="202"/>
      </w:pPr>
      <w:r>
        <w:rPr>
          <w:rFonts w:hint="eastAsia"/>
        </w:rPr>
        <w:t>电话:</w:t>
      </w:r>
      <w:r>
        <w:rPr>
          <w:rFonts w:hint="eastAsia"/>
          <w:u w:val="single"/>
        </w:rPr>
        <w:t>____________________________________________________________________</w:t>
      </w:r>
    </w:p>
    <w:p>
      <w:pPr>
        <w:tabs>
          <w:tab w:val="clear" w:pos="426"/>
        </w:tabs>
        <w:spacing w:line="520" w:lineRule="exact"/>
        <w:ind w:left="424" w:leftChars="202"/>
      </w:pPr>
      <w:r>
        <w:rPr>
          <w:rFonts w:hint="eastAsia"/>
        </w:rPr>
        <w:t>传真:</w:t>
      </w:r>
      <w:r>
        <w:rPr>
          <w:rFonts w:hint="eastAsia"/>
          <w:u w:val="single"/>
        </w:rPr>
        <w:t>____________________________________________________________________</w:t>
      </w:r>
    </w:p>
    <w:p>
      <w:pPr>
        <w:tabs>
          <w:tab w:val="clear" w:pos="426"/>
        </w:tabs>
        <w:spacing w:line="520" w:lineRule="exact"/>
        <w:ind w:left="424" w:leftChars="202"/>
        <w:rPr>
          <w:u w:val="single"/>
        </w:rPr>
      </w:pPr>
      <w:r>
        <w:rPr>
          <w:rFonts w:hint="eastAsia"/>
        </w:rPr>
        <w:t>法定代表人或投标人授权代表（签名或盖章）</w:t>
      </w:r>
      <w:r>
        <w:rPr>
          <w:rFonts w:hint="eastAsia"/>
          <w:u w:val="single"/>
        </w:rPr>
        <w:t>_________________________________</w:t>
      </w:r>
    </w:p>
    <w:p>
      <w:pPr>
        <w:tabs>
          <w:tab w:val="clear" w:pos="426"/>
        </w:tabs>
        <w:spacing w:line="520" w:lineRule="exact"/>
        <w:ind w:left="424" w:leftChars="202"/>
      </w:pPr>
    </w:p>
    <w:p>
      <w:pPr>
        <w:tabs>
          <w:tab w:val="clear" w:pos="426"/>
        </w:tabs>
        <w:rPr>
          <w:b/>
          <w:szCs w:val="21"/>
        </w:rPr>
      </w:pPr>
      <w:r>
        <w:rPr>
          <w:b/>
        </w:rPr>
        <w:br w:type="page"/>
      </w:r>
    </w:p>
    <w:p>
      <w:pPr>
        <w:widowControl w:val="0"/>
        <w:shd w:val="clear" w:color="auto" w:fill="auto"/>
        <w:tabs>
          <w:tab w:val="clear" w:pos="426"/>
        </w:tabs>
        <w:adjustRightInd/>
        <w:snapToGrid/>
        <w:spacing w:line="300" w:lineRule="auto"/>
        <w:jc w:val="center"/>
        <w:rPr>
          <w:rFonts w:cs="Times New Roman"/>
          <w:bCs/>
          <w:kern w:val="2"/>
          <w:sz w:val="32"/>
          <w:szCs w:val="32"/>
        </w:rPr>
      </w:pPr>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rPr>
            </w:pPr>
            <w:r>
              <w:rPr>
                <w:rFonts w:hint="eastAsia"/>
                <w:b/>
              </w:rPr>
              <w:t>发票类型</w:t>
            </w:r>
          </w:p>
        </w:tc>
        <w:tc>
          <w:tcPr>
            <w:tcW w:w="7363" w:type="dxa"/>
            <w:vAlign w:val="center"/>
          </w:tcPr>
          <w:p>
            <w:pPr>
              <w:tabs>
                <w:tab w:val="clear" w:pos="426"/>
              </w:tabs>
              <w:spacing w:line="520" w:lineRule="exact"/>
              <w:ind w:firstLine="420" w:firstLineChars="200"/>
            </w:pPr>
            <w:r>
              <w:rPr>
                <w:rFonts w:hint="eastAsia"/>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pPr>
            <w:r>
              <w:rPr>
                <w:rFonts w:hint="eastAsia"/>
              </w:rPr>
              <w:t>如选择增值税专用发票，需提供以下材料，投标时密封于开标信封中：</w:t>
            </w:r>
          </w:p>
          <w:p>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pPr>
        <w:tabs>
          <w:tab w:val="clear" w:pos="426"/>
        </w:tabs>
        <w:rPr>
          <w:b/>
          <w:szCs w:val="21"/>
        </w:rPr>
      </w:pPr>
      <w:r>
        <w:rPr>
          <w:rFonts w:hint="eastAsia"/>
          <w:b/>
          <w:sz w:val="84"/>
          <w:szCs w:val="84"/>
          <w:u w:val="dashedHeavy"/>
        </w:rPr>
        <w:t xml:space="preserve">                      </w:t>
      </w:r>
      <w:r>
        <w:rPr>
          <w:rFonts w:hint="eastAsia"/>
          <w:b/>
          <w:szCs w:val="21"/>
        </w:rPr>
        <w:t xml:space="preserve"> </w:t>
      </w:r>
    </w:p>
    <w:p>
      <w:pPr>
        <w:tabs>
          <w:tab w:val="clear" w:pos="426"/>
        </w:tabs>
        <w:rPr>
          <w:b/>
          <w:szCs w:val="21"/>
        </w:rPr>
      </w:pPr>
    </w:p>
    <w:p>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收款人名称</w:t>
            </w:r>
          </w:p>
        </w:tc>
        <w:tc>
          <w:tcPr>
            <w:tcW w:w="5579" w:type="dxa"/>
            <w:vAlign w:val="center"/>
          </w:tcPr>
          <w:p>
            <w:pPr>
              <w:tabs>
                <w:tab w:val="clear" w:pos="426"/>
              </w:tabs>
              <w:spacing w:line="240" w:lineRule="auto"/>
              <w:jc w:val="center"/>
              <w:rPr>
                <w:szCs w:val="21"/>
              </w:rPr>
            </w:pPr>
            <w:r>
              <w:rPr>
                <w:rFonts w:hint="eastAsia"/>
                <w:szCs w:val="21"/>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b/>
                <w:szCs w:val="21"/>
              </w:rPr>
              <w:t>开户银行</w:t>
            </w:r>
          </w:p>
        </w:tc>
        <w:tc>
          <w:tcPr>
            <w:tcW w:w="5579" w:type="dxa"/>
            <w:vAlign w:val="center"/>
          </w:tcPr>
          <w:p>
            <w:pPr>
              <w:tabs>
                <w:tab w:val="clear" w:pos="426"/>
              </w:tabs>
              <w:spacing w:line="240" w:lineRule="auto"/>
              <w:jc w:val="center"/>
              <w:rPr>
                <w:b/>
                <w:szCs w:val="21"/>
              </w:rPr>
            </w:pPr>
            <w:r>
              <w:rPr>
                <w:rFonts w:hint="eastAsia"/>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pPr>
              <w:tabs>
                <w:tab w:val="clear" w:pos="426"/>
              </w:tabs>
              <w:spacing w:line="240" w:lineRule="auto"/>
              <w:jc w:val="center"/>
              <w:rPr>
                <w:b/>
                <w:szCs w:val="21"/>
              </w:rPr>
            </w:pPr>
            <w:r>
              <w:t>4000021219200366130</w:t>
            </w:r>
          </w:p>
        </w:tc>
      </w:tr>
    </w:tbl>
    <w:p>
      <w:pPr>
        <w:tabs>
          <w:tab w:val="clear" w:pos="426"/>
        </w:tabs>
        <w:rPr>
          <w:rFonts w:cs="Arial"/>
          <w:bCs/>
          <w:sz w:val="24"/>
        </w:rPr>
      </w:pPr>
    </w:p>
    <w:p>
      <w:pPr>
        <w:numPr>
          <w:ilvl w:val="0"/>
          <w:numId w:val="28"/>
        </w:numPr>
        <w:tabs>
          <w:tab w:val="clear" w:pos="426"/>
        </w:tabs>
        <w:adjustRightInd/>
        <w:snapToGrid/>
        <w:spacing w:before="280" w:after="290" w:line="377" w:lineRule="auto"/>
        <w:jc w:val="left"/>
        <w:outlineLvl w:val="2"/>
        <w:rPr>
          <w:b/>
          <w:sz w:val="24"/>
        </w:rPr>
      </w:pPr>
      <w:r>
        <w:rPr>
          <w:bCs/>
        </w:rPr>
        <w:br w:type="page"/>
      </w:r>
      <w:r>
        <w:rPr>
          <w:rFonts w:hint="eastAsia"/>
          <w:b/>
          <w:sz w:val="24"/>
        </w:rPr>
        <w:t>招标文件要求的其他内容及投标人认为需要加以说明的其他内容</w:t>
      </w:r>
    </w:p>
    <w:p>
      <w:pPr>
        <w:tabs>
          <w:tab w:val="clear" w:pos="426"/>
        </w:tabs>
        <w:ind w:firstLine="424" w:firstLineChars="202"/>
        <w:rPr>
          <w:rFonts w:cs="Arial"/>
          <w:bCs/>
          <w:szCs w:val="21"/>
        </w:rPr>
      </w:pPr>
      <w:r>
        <w:rPr>
          <w:rFonts w:hint="eastAsia"/>
        </w:rPr>
        <w:t>提供招标公告和评标信息中关于投标人的其他相关证明文件（如评标信息中涉及的各种证件（身份证除外）、设备发票等，未涉及的可以不提供）</w:t>
      </w:r>
    </w:p>
    <w:p>
      <w:pPr>
        <w:tabs>
          <w:tab w:val="clear" w:pos="426"/>
        </w:tabs>
        <w:rPr>
          <w:rFonts w:cs="Arial"/>
          <w:bCs/>
          <w:szCs w:val="21"/>
        </w:rPr>
      </w:pPr>
    </w:p>
    <w:p>
      <w:pPr>
        <w:tabs>
          <w:tab w:val="clear" w:pos="426"/>
        </w:tabs>
        <w:rPr>
          <w:rFonts w:cs="Arial"/>
          <w:bCs/>
          <w:szCs w:val="21"/>
        </w:rPr>
      </w:pPr>
    </w:p>
    <w:p>
      <w:pPr>
        <w:tabs>
          <w:tab w:val="clear" w:pos="426"/>
        </w:tabs>
        <w:rPr>
          <w:rFonts w:cs="Arial"/>
          <w:bCs/>
          <w:szCs w:val="21"/>
        </w:rPr>
      </w:pPr>
    </w:p>
    <w:p>
      <w:pPr>
        <w:pStyle w:val="42"/>
        <w:tabs>
          <w:tab w:val="clear" w:pos="426"/>
        </w:tabs>
      </w:pPr>
      <w:bookmarkStart w:id="77" w:name="_Toc398220528"/>
      <w:r>
        <w:br w:type="page"/>
      </w:r>
      <w:bookmarkStart w:id="78" w:name="_Toc18323388"/>
      <w:r>
        <w:rPr>
          <w:rFonts w:hint="eastAsia"/>
        </w:rPr>
        <w:t>第二册  通用条款</w:t>
      </w:r>
      <w:bookmarkEnd w:id="77"/>
      <w:bookmarkEnd w:id="78"/>
    </w:p>
    <w:p>
      <w:pPr>
        <w:jc w:val="center"/>
        <w:rPr>
          <w:b/>
        </w:rPr>
      </w:pPr>
      <w:bookmarkStart w:id="79" w:name="_Toc432592821"/>
      <w:bookmarkStart w:id="80" w:name="_Toc398220529"/>
      <w:r>
        <w:rPr>
          <w:rFonts w:hint="eastAsia"/>
          <w:b/>
        </w:rPr>
        <w:t>（投标人须知）</w:t>
      </w:r>
    </w:p>
    <w:p>
      <w:pPr>
        <w:pStyle w:val="5"/>
      </w:pPr>
      <w:bookmarkStart w:id="81" w:name="_Toc18323389"/>
      <w:r>
        <w:rPr>
          <w:rFonts w:hint="eastAsia"/>
        </w:rPr>
        <w:t>第一章 总则</w:t>
      </w:r>
      <w:bookmarkEnd w:id="79"/>
      <w:bookmarkEnd w:id="80"/>
      <w:bookmarkEnd w:id="81"/>
    </w:p>
    <w:p>
      <w:pPr>
        <w:tabs>
          <w:tab w:val="clear" w:pos="426"/>
        </w:tabs>
      </w:pPr>
      <w:r>
        <w:rPr>
          <w:rFonts w:hint="eastAsia"/>
        </w:rPr>
        <w:t>1.通用条款说明</w:t>
      </w:r>
    </w:p>
    <w:p>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pPr>
        <w:tabs>
          <w:tab w:val="clear" w:pos="426"/>
        </w:tabs>
      </w:pPr>
      <w:bookmarkStart w:id="82" w:name="_Toc60560627"/>
      <w:bookmarkStart w:id="83" w:name="_Toc73517641"/>
      <w:bookmarkStart w:id="84" w:name="_Toc73521549"/>
      <w:bookmarkStart w:id="85" w:name="_Toc73518119"/>
      <w:bookmarkStart w:id="86" w:name="_Toc60631622"/>
      <w:bookmarkStart w:id="87" w:name="_Toc73521637"/>
      <w:bookmarkStart w:id="88" w:name="_Toc100052366"/>
      <w:bookmarkStart w:id="89" w:name="_Toc73517643"/>
      <w:bookmarkStart w:id="90" w:name="_Toc73521551"/>
      <w:bookmarkStart w:id="91" w:name="_Toc60631624"/>
      <w:bookmarkStart w:id="92" w:name="_Toc100052368"/>
      <w:bookmarkStart w:id="93" w:name="_Toc60560629"/>
      <w:bookmarkStart w:id="94" w:name="_Toc73518121"/>
      <w:bookmarkStart w:id="95" w:name="_Toc73521639"/>
      <w:r>
        <w:rPr>
          <w:rFonts w:hint="eastAsia"/>
        </w:rPr>
        <w:t>2</w:t>
      </w:r>
      <w:r>
        <w:t>．</w:t>
      </w:r>
      <w:r>
        <w:rPr>
          <w:rFonts w:hint="eastAsia"/>
        </w:rPr>
        <w:t>招标说明</w:t>
      </w:r>
      <w:bookmarkEnd w:id="82"/>
      <w:bookmarkEnd w:id="83"/>
      <w:bookmarkEnd w:id="84"/>
      <w:bookmarkEnd w:id="85"/>
      <w:bookmarkEnd w:id="86"/>
      <w:bookmarkEnd w:id="87"/>
      <w:bookmarkEnd w:id="88"/>
    </w:p>
    <w:p>
      <w:pPr>
        <w:tabs>
          <w:tab w:val="clear" w:pos="426"/>
        </w:tabs>
        <w:rPr>
          <w:color w:val="000000"/>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szCs w:val="21"/>
        </w:rPr>
        <w:t>本招标文件适用于</w:t>
      </w:r>
      <w:r>
        <w:rPr>
          <w:rFonts w:hint="eastAsia"/>
          <w:szCs w:val="21"/>
        </w:rPr>
        <w:t>采购公告中所述项目的</w:t>
      </w:r>
      <w:r>
        <w:rPr>
          <w:rFonts w:hint="eastAsia"/>
          <w:color w:val="000000"/>
          <w:szCs w:val="21"/>
        </w:rPr>
        <w:t>政府采购。</w:t>
      </w:r>
    </w:p>
    <w:p>
      <w:pPr>
        <w:tabs>
          <w:tab w:val="clear" w:pos="426"/>
        </w:tabs>
        <w:rPr>
          <w:color w:val="000000"/>
          <w:szCs w:val="21"/>
        </w:rPr>
      </w:pPr>
      <w:r>
        <w:rPr>
          <w:rFonts w:hint="eastAsia"/>
          <w:color w:val="000000"/>
          <w:szCs w:val="21"/>
        </w:rPr>
        <w:t>本招标文件的解释权归属深圳市深水水务咨询有限公司。</w:t>
      </w:r>
    </w:p>
    <w:p>
      <w:pPr>
        <w:tabs>
          <w:tab w:val="clear" w:pos="426"/>
        </w:tabs>
      </w:pPr>
      <w:bookmarkStart w:id="96" w:name="_Toc73521638"/>
      <w:bookmarkStart w:id="97" w:name="_Toc73517642"/>
      <w:bookmarkStart w:id="98" w:name="_Toc60631623"/>
      <w:bookmarkStart w:id="99" w:name="_Toc100052367"/>
      <w:bookmarkStart w:id="100" w:name="_Toc73518120"/>
      <w:bookmarkStart w:id="101" w:name="_Toc73521550"/>
      <w:bookmarkStart w:id="102" w:name="_Toc60560628"/>
      <w:r>
        <w:rPr>
          <w:rFonts w:hint="eastAsia"/>
        </w:rPr>
        <w:t>3．定义</w:t>
      </w:r>
      <w:bookmarkEnd w:id="96"/>
      <w:bookmarkEnd w:id="97"/>
      <w:bookmarkEnd w:id="98"/>
      <w:bookmarkEnd w:id="99"/>
      <w:bookmarkEnd w:id="100"/>
      <w:bookmarkEnd w:id="101"/>
      <w:bookmarkEnd w:id="102"/>
    </w:p>
    <w:p>
      <w:pPr>
        <w:tabs>
          <w:tab w:val="clear" w:pos="426"/>
        </w:tabs>
      </w:pPr>
      <w:r>
        <w:t>招标文件中下列术语应解释为：</w:t>
      </w:r>
    </w:p>
    <w:p>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rPr>
          <w:rFonts w:hint="eastAsia"/>
        </w:rPr>
        <w:t xml:space="preserve">3.2“采购人”或“采购单位”：系指利用财政性资金依法进行政府采购的国家机关、事业单位、团体组织； </w:t>
      </w:r>
    </w:p>
    <w:p>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pPr>
        <w:tabs>
          <w:tab w:val="clear" w:pos="426"/>
        </w:tabs>
      </w:pPr>
      <w:r>
        <w:rPr>
          <w:rFonts w:hint="eastAsia"/>
        </w:rPr>
        <w:t>3.4“评标委员会”和“谈判小组”是依据《深圳经济特区政府采购条例》有关规定组建的专门负责本次招标其评标（谈判）工作的临时性机构；</w:t>
      </w:r>
    </w:p>
    <w:p>
      <w:pPr>
        <w:tabs>
          <w:tab w:val="clear" w:pos="426"/>
        </w:tabs>
      </w:pPr>
      <w:r>
        <w:rPr>
          <w:rFonts w:hint="eastAsia"/>
        </w:rPr>
        <w:t>3.5“日期”</w:t>
      </w:r>
      <w:r>
        <w:t>指</w:t>
      </w:r>
      <w:r>
        <w:rPr>
          <w:rFonts w:hint="eastAsia"/>
        </w:rPr>
        <w:t>公历日；</w:t>
      </w:r>
    </w:p>
    <w:p>
      <w:pPr>
        <w:tabs>
          <w:tab w:val="clear" w:pos="426"/>
        </w:tabs>
      </w:pPr>
      <w:r>
        <w:rPr>
          <w:rFonts w:hint="eastAsia"/>
        </w:rPr>
        <w:t>3.6“合同”指由本次招标所产生的合同或合约文件；</w:t>
      </w:r>
    </w:p>
    <w:p>
      <w:pPr>
        <w:tabs>
          <w:tab w:val="clear" w:pos="426"/>
        </w:tabs>
      </w:pPr>
      <w:r>
        <w:rPr>
          <w:rFonts w:hint="eastAsia"/>
        </w:rPr>
        <w:t>3.7招标文件中的标题或题名仅起引导作用，而不应视为对招标文件内容的理解和解释。</w:t>
      </w:r>
    </w:p>
    <w:p>
      <w:pPr>
        <w:tabs>
          <w:tab w:val="clear" w:pos="426"/>
        </w:tabs>
      </w:pPr>
      <w:r>
        <w:rPr>
          <w:rFonts w:hint="eastAsia"/>
        </w:rPr>
        <w:t>4. 政府采购供应商责任</w:t>
      </w:r>
    </w:p>
    <w:p>
      <w:pPr>
        <w:tabs>
          <w:tab w:val="clear" w:pos="426"/>
        </w:tabs>
      </w:pPr>
      <w:r>
        <w:rPr>
          <w:rFonts w:hint="eastAsia"/>
        </w:rPr>
        <w:t>4.1欢迎诚信、有实力和有社会责任心的供应商参与政府采购事业。</w:t>
      </w:r>
    </w:p>
    <w:p>
      <w:pPr>
        <w:tabs>
          <w:tab w:val="clear" w:pos="426"/>
        </w:tabs>
      </w:pPr>
      <w:r>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pPr>
        <w:tabs>
          <w:tab w:val="clear" w:pos="426"/>
        </w:tabs>
      </w:pPr>
      <w:r>
        <w:rPr>
          <w:rFonts w:hint="eastAsia"/>
        </w:rPr>
        <w:t>5．</w:t>
      </w:r>
      <w:bookmarkEnd w:id="89"/>
      <w:bookmarkEnd w:id="90"/>
      <w:bookmarkEnd w:id="91"/>
      <w:bookmarkEnd w:id="92"/>
      <w:bookmarkEnd w:id="93"/>
      <w:bookmarkEnd w:id="94"/>
      <w:bookmarkEnd w:id="95"/>
      <w:r>
        <w:rPr>
          <w:rFonts w:hint="eastAsia"/>
        </w:rPr>
        <w:t>合格的投标人</w:t>
      </w:r>
    </w:p>
    <w:p>
      <w:pPr>
        <w:widowControl w:val="0"/>
        <w:shd w:val="clear" w:color="auto" w:fill="auto"/>
        <w:tabs>
          <w:tab w:val="clear" w:pos="426"/>
        </w:tabs>
        <w:autoSpaceDE w:val="0"/>
        <w:autoSpaceDN w:val="0"/>
        <w:rPr>
          <w:szCs w:val="21"/>
        </w:rPr>
      </w:pPr>
      <w:bookmarkStart w:id="103" w:name="_Toc60560631"/>
      <w:bookmarkStart w:id="104" w:name="_Toc73517645"/>
      <w:bookmarkStart w:id="105" w:name="_Toc73518123"/>
      <w:bookmarkStart w:id="106" w:name="_Toc73521641"/>
      <w:bookmarkStart w:id="107" w:name="_Toc73521553"/>
      <w:bookmarkStart w:id="108" w:name="_Toc100052370"/>
      <w:bookmarkStart w:id="109" w:name="_Toc60631626"/>
      <w:r>
        <w:rPr>
          <w:rFonts w:hint="eastAsia"/>
          <w:szCs w:val="21"/>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pPr>
        <w:widowControl w:val="0"/>
        <w:shd w:val="clear" w:color="auto" w:fill="auto"/>
        <w:tabs>
          <w:tab w:val="clear" w:pos="426"/>
        </w:tabs>
        <w:autoSpaceDE w:val="0"/>
        <w:autoSpaceDN w:val="0"/>
        <w:rPr>
          <w:szCs w:val="21"/>
        </w:rPr>
      </w:pPr>
      <w:r>
        <w:rPr>
          <w:rFonts w:hint="eastAsia"/>
          <w:szCs w:val="21"/>
        </w:rPr>
        <w:t xml:space="preserve">5.2.2 </w:t>
      </w:r>
      <w:r>
        <w:rPr>
          <w:szCs w:val="21"/>
        </w:rPr>
        <w:t>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rFonts w:hint="eastAsia"/>
          <w:szCs w:val="21"/>
        </w:rPr>
        <w:t>5.2.9 符合</w:t>
      </w:r>
      <w:r>
        <w:rPr>
          <w:rFonts w:hint="eastAsia" w:cs="黑体"/>
          <w:szCs w:val="21"/>
        </w:rPr>
        <w:t>第一章采购公告“投标人资格要求”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pPr>
        <w:tabs>
          <w:tab w:val="clear" w:pos="426"/>
        </w:tabs>
      </w:pPr>
      <w:r>
        <w:rPr>
          <w:rFonts w:hint="eastAsia"/>
        </w:rPr>
        <w:t>6．联合体投标</w:t>
      </w:r>
    </w:p>
    <w:p>
      <w:pPr>
        <w:tabs>
          <w:tab w:val="clear" w:pos="426"/>
        </w:tabs>
      </w:pPr>
      <w:r>
        <w:rPr>
          <w:rFonts w:hint="eastAsia"/>
        </w:rPr>
        <w:t>6.1　以下有关联合体投标的条款仅适用于允许投标人组成联合体投标的项目。</w:t>
      </w:r>
    </w:p>
    <w:p>
      <w:pPr>
        <w:tabs>
          <w:tab w:val="clear" w:pos="426"/>
        </w:tabs>
      </w:pPr>
      <w:r>
        <w:rPr>
          <w:rFonts w:hint="eastAsia"/>
        </w:rPr>
        <w:t>6.2　由两个或两个以上的自然人、法人或者其他组织可以组成一个联合体，以一个供应商的身份共同投标时，应符合以下原则：</w:t>
      </w:r>
    </w:p>
    <w:p>
      <w:pPr>
        <w:tabs>
          <w:tab w:val="clear" w:pos="426"/>
        </w:tabs>
        <w:rPr>
          <w:color w:val="000000"/>
        </w:rPr>
      </w:pPr>
      <w:r>
        <w:rPr>
          <w:rFonts w:hint="eastAsia"/>
          <w:color w:val="000000"/>
        </w:rPr>
        <w:t>6.2.</w:t>
      </w:r>
      <w:r>
        <w:rPr>
          <w:rFonts w:hint="eastAsia"/>
          <w:bCs/>
          <w:color w:val="000000"/>
        </w:rPr>
        <w:t>1投标联合体应满足采购公告有关投标人资格要求中对联合体的要求；</w:t>
      </w:r>
    </w:p>
    <w:p>
      <w:pPr>
        <w:tabs>
          <w:tab w:val="clear" w:pos="426"/>
        </w:tabs>
        <w:rPr>
          <w:color w:val="000000"/>
        </w:rPr>
      </w:pPr>
      <w:r>
        <w:rPr>
          <w:rFonts w:hint="eastAsia"/>
          <w:color w:val="000000"/>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rPr>
      </w:pPr>
      <w:r>
        <w:rPr>
          <w:rFonts w:hint="eastAsia"/>
          <w:color w:val="000000"/>
        </w:rPr>
        <w:t>6.2.3投标人的投标文件及中标后签署的合同协议对联合体各方均具法律约束力；</w:t>
      </w:r>
    </w:p>
    <w:p>
      <w:pPr>
        <w:tabs>
          <w:tab w:val="clear" w:pos="426"/>
        </w:tabs>
        <w:rPr>
          <w:color w:val="000000"/>
        </w:rPr>
      </w:pPr>
      <w:r>
        <w:rPr>
          <w:rFonts w:hint="eastAsia"/>
          <w:color w:val="000000"/>
        </w:rPr>
        <w:t>6.2.4联合体各方应当签订共同投标协议，明确约定各方拟承担的工作和责任，并将该共同投标协议随投标文件一并递交给政府采购代理机构；</w:t>
      </w:r>
    </w:p>
    <w:p>
      <w:pPr>
        <w:tabs>
          <w:tab w:val="clear" w:pos="426"/>
        </w:tabs>
        <w:rPr>
          <w:color w:val="000000"/>
        </w:rPr>
      </w:pPr>
      <w:r>
        <w:rPr>
          <w:rFonts w:hint="eastAsia"/>
          <w:color w:val="000000"/>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rPr>
      </w:pPr>
      <w:r>
        <w:rPr>
          <w:rFonts w:hint="eastAsia"/>
          <w:color w:val="000000"/>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rPr>
      </w:pPr>
      <w:r>
        <w:rPr>
          <w:rFonts w:hint="eastAsia"/>
          <w:color w:val="000000"/>
        </w:rPr>
        <w:t>6.2.7除非另有规定或说明，本须知中“投标人”一词亦指联合体各方。</w:t>
      </w:r>
    </w:p>
    <w:p>
      <w:pPr>
        <w:tabs>
          <w:tab w:val="clear" w:pos="426"/>
        </w:tabs>
      </w:pPr>
      <w:r>
        <w:rPr>
          <w:rFonts w:hint="eastAsia"/>
        </w:rPr>
        <w:t>7. 合格的服务和货物</w:t>
      </w:r>
    </w:p>
    <w:p>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rFonts w:hint="eastAsia"/>
          <w:szCs w:val="21"/>
        </w:rPr>
        <w:t>7.4 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pPr>
      <w:r>
        <w:rPr>
          <w:rFonts w:hint="eastAsia"/>
        </w:rPr>
        <w:t>8．投标费用</w:t>
      </w:r>
      <w:bookmarkEnd w:id="103"/>
      <w:bookmarkEnd w:id="104"/>
      <w:bookmarkEnd w:id="105"/>
      <w:bookmarkEnd w:id="106"/>
      <w:bookmarkEnd w:id="107"/>
      <w:bookmarkEnd w:id="108"/>
      <w:bookmarkEnd w:id="109"/>
    </w:p>
    <w:p>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bookmarkStart w:id="110" w:name="_Toc73521554"/>
      <w:bookmarkStart w:id="111" w:name="_Toc73517646"/>
      <w:bookmarkStart w:id="112" w:name="_Toc73518124"/>
      <w:bookmarkStart w:id="113" w:name="_Toc73521642"/>
      <w:bookmarkStart w:id="114" w:name="_Toc100052371"/>
      <w:bookmarkStart w:id="115" w:name="_Toc60560632"/>
      <w:bookmarkStart w:id="116" w:name="_Toc60631627"/>
      <w:r>
        <w:rPr>
          <w:rFonts w:hint="eastAsia"/>
        </w:rPr>
        <w:t>9．踏勘现场</w:t>
      </w:r>
      <w:bookmarkEnd w:id="110"/>
      <w:bookmarkEnd w:id="111"/>
      <w:bookmarkEnd w:id="112"/>
      <w:bookmarkEnd w:id="113"/>
      <w:bookmarkEnd w:id="114"/>
      <w:bookmarkEnd w:id="115"/>
      <w:bookmarkEnd w:id="116"/>
    </w:p>
    <w:p>
      <w:pPr>
        <w:tabs>
          <w:tab w:val="clear" w:pos="426"/>
        </w:tabs>
      </w:pPr>
      <w:bookmarkStart w:id="117" w:name="_Toc78260681"/>
      <w:bookmarkStart w:id="118"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pPr>
        <w:tabs>
          <w:tab w:val="clear" w:pos="426"/>
        </w:tabs>
      </w:pPr>
      <w:r>
        <w:rPr>
          <w:rFonts w:hint="eastAsia"/>
        </w:rPr>
        <w:t>9.3采购单位必须通过采购代理机构向投标人提供有关现场的资料和数据。</w:t>
      </w:r>
    </w:p>
    <w:p>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pPr>
      <w:r>
        <w:rPr>
          <w:rFonts w:hint="eastAsia"/>
        </w:rPr>
        <w:t>9.5 未参与现场踏勘不作为否定投标人资格的理由。</w:t>
      </w:r>
    </w:p>
    <w:p>
      <w:pPr>
        <w:tabs>
          <w:tab w:val="clear" w:pos="426"/>
        </w:tabs>
      </w:pPr>
      <w:r>
        <w:rPr>
          <w:rFonts w:hint="eastAsia"/>
        </w:rPr>
        <w:t>10．招标</w:t>
      </w:r>
      <w:bookmarkEnd w:id="117"/>
      <w:r>
        <w:rPr>
          <w:rFonts w:hint="eastAsia"/>
        </w:rPr>
        <w:t>答疑</w:t>
      </w:r>
      <w:bookmarkEnd w:id="118"/>
    </w:p>
    <w:p>
      <w:pPr>
        <w:tabs>
          <w:tab w:val="clear" w:pos="426"/>
        </w:tabs>
      </w:pPr>
      <w:r>
        <w:rPr>
          <w:rFonts w:hint="eastAsia"/>
        </w:rPr>
        <w:t>10.1招标答疑的目的是澄清、解答投标人在查阅招标文件后或现场踏勘中可能提出的与投标有关的疑问或询问。</w:t>
      </w:r>
    </w:p>
    <w:p>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pPr>
        <w:tabs>
          <w:tab w:val="clear" w:pos="426"/>
        </w:tabs>
      </w:pPr>
      <w:r>
        <w:rPr>
          <w:rFonts w:hint="eastAsia"/>
        </w:rPr>
        <w:t>10.5未参与招标答疑不作为否定投标人资格的理由。</w:t>
      </w:r>
    </w:p>
    <w:p>
      <w:pPr>
        <w:pStyle w:val="5"/>
        <w:tabs>
          <w:tab w:val="clear" w:pos="426"/>
        </w:tabs>
      </w:pPr>
      <w:bookmarkStart w:id="119" w:name="bt招标文件"/>
      <w:bookmarkEnd w:id="119"/>
      <w:bookmarkStart w:id="120" w:name="_Toc73517648"/>
      <w:bookmarkStart w:id="121" w:name="_Toc101074878"/>
      <w:bookmarkStart w:id="122" w:name="_Toc73521556"/>
      <w:bookmarkStart w:id="123" w:name="_Toc73518126"/>
      <w:bookmarkStart w:id="124" w:name="_Toc100052373"/>
      <w:bookmarkStart w:id="125" w:name="_Toc398220530"/>
      <w:bookmarkStart w:id="126" w:name="_Toc18323390"/>
      <w:bookmarkStart w:id="127" w:name="_Toc73521644"/>
      <w:bookmarkStart w:id="128" w:name="_Toc432592822"/>
      <w:r>
        <w:rPr>
          <w:rFonts w:hint="eastAsia"/>
        </w:rPr>
        <w:t>第二章 招标文件</w:t>
      </w:r>
      <w:bookmarkEnd w:id="120"/>
      <w:bookmarkEnd w:id="121"/>
      <w:bookmarkEnd w:id="122"/>
      <w:bookmarkEnd w:id="123"/>
      <w:bookmarkEnd w:id="124"/>
      <w:bookmarkEnd w:id="125"/>
      <w:bookmarkEnd w:id="126"/>
      <w:bookmarkEnd w:id="127"/>
      <w:bookmarkEnd w:id="128"/>
    </w:p>
    <w:p>
      <w:pPr>
        <w:tabs>
          <w:tab w:val="clear" w:pos="426"/>
        </w:tabs>
      </w:pPr>
      <w:bookmarkStart w:id="129" w:name="_Toc73517649"/>
      <w:bookmarkStart w:id="130" w:name="_Toc73518127"/>
      <w:bookmarkStart w:id="131" w:name="_Toc73521645"/>
      <w:bookmarkStart w:id="132" w:name="_Toc100052374"/>
      <w:bookmarkStart w:id="133" w:name="_Toc73521557"/>
      <w:r>
        <w:rPr>
          <w:rFonts w:hint="eastAsia"/>
        </w:rPr>
        <w:t>11．招标文件的编制与组成</w:t>
      </w:r>
      <w:bookmarkEnd w:id="129"/>
      <w:bookmarkEnd w:id="130"/>
      <w:bookmarkEnd w:id="131"/>
      <w:bookmarkEnd w:id="132"/>
      <w:bookmarkEnd w:id="133"/>
    </w:p>
    <w:p>
      <w:pPr>
        <w:tabs>
          <w:tab w:val="clear" w:pos="426"/>
        </w:tabs>
      </w:pPr>
      <w:r>
        <w:rPr>
          <w:rFonts w:hint="eastAsia"/>
        </w:rPr>
        <w:t>11.1招标文件除以下内容外，采购代理机构在招标（或谈判）期间发出的答疑纪要和其他补充修改函件，均是招标文件的组成部分，对投标人起约束作用；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评标信息</w:t>
      </w:r>
    </w:p>
    <w:p>
      <w:pPr>
        <w:tabs>
          <w:tab w:val="clear" w:pos="426"/>
        </w:tabs>
      </w:pPr>
      <w:r>
        <w:rPr>
          <w:rFonts w:hint="eastAsia"/>
        </w:rPr>
        <w:t>第一册  专用条款</w:t>
      </w:r>
    </w:p>
    <w:p>
      <w:pPr>
        <w:tabs>
          <w:tab w:val="clear" w:pos="426"/>
        </w:tabs>
      </w:pPr>
      <w:r>
        <w:rPr>
          <w:rFonts w:hint="eastAsia"/>
        </w:rPr>
        <w:t>第一章  采购公告</w:t>
      </w:r>
    </w:p>
    <w:p>
      <w:pPr>
        <w:tabs>
          <w:tab w:val="clear" w:pos="426"/>
        </w:tabs>
      </w:pPr>
      <w:r>
        <w:rPr>
          <w:rFonts w:hint="eastAsia"/>
        </w:rPr>
        <w:t>第二章  招标项目需求</w:t>
      </w:r>
    </w:p>
    <w:p>
      <w:pPr>
        <w:tabs>
          <w:tab w:val="clear" w:pos="426"/>
        </w:tabs>
      </w:pPr>
      <w:r>
        <w:rPr>
          <w:rFonts w:hint="eastAsia"/>
        </w:rPr>
        <w:t>第三章  合同条款及格式</w:t>
      </w:r>
    </w:p>
    <w:p>
      <w:pPr>
        <w:tabs>
          <w:tab w:val="clear" w:pos="426"/>
        </w:tabs>
      </w:pPr>
      <w:r>
        <w:rPr>
          <w:rFonts w:hint="eastAsia"/>
        </w:rPr>
        <w:t>第四章  投标文件格式、附件</w:t>
      </w:r>
    </w:p>
    <w:p>
      <w:pPr>
        <w:tabs>
          <w:tab w:val="clear" w:pos="426"/>
        </w:tabs>
      </w:pPr>
      <w:r>
        <w:rPr>
          <w:rFonts w:hint="eastAsia"/>
        </w:rPr>
        <w:t>第五章  政府采购履约情况反馈表</w:t>
      </w:r>
    </w:p>
    <w:p>
      <w:pPr>
        <w:tabs>
          <w:tab w:val="clear" w:pos="426"/>
        </w:tabs>
      </w:pPr>
      <w:r>
        <w:rPr>
          <w:rFonts w:hint="eastAsia"/>
        </w:rPr>
        <w:t>第二册  通用条款</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质疑处理</w:t>
      </w:r>
    </w:p>
    <w:p>
      <w:pPr>
        <w:tabs>
          <w:tab w:val="clear" w:pos="426"/>
        </w:tabs>
      </w:pPr>
      <w:bookmarkStart w:id="134" w:name="_Toc73521646"/>
      <w:bookmarkStart w:id="135" w:name="_Toc60560636"/>
      <w:bookmarkStart w:id="136" w:name="_Toc73517650"/>
      <w:bookmarkStart w:id="137" w:name="_Toc60631631"/>
      <w:bookmarkStart w:id="138" w:name="_Toc100052375"/>
      <w:bookmarkStart w:id="139" w:name="_Toc73518128"/>
      <w:bookmarkStart w:id="140" w:name="_Toc73521558"/>
      <w:bookmarkStart w:id="141" w:name="_Toc100052376"/>
      <w:bookmarkStart w:id="142" w:name="_Toc73518129"/>
      <w:bookmarkStart w:id="143" w:name="_Toc73517651"/>
      <w:bookmarkStart w:id="144" w:name="_Toc73521559"/>
      <w:bookmarkStart w:id="145" w:name="_Toc73521647"/>
      <w:bookmarkStart w:id="146" w:name="_Toc60631632"/>
      <w:bookmarkStart w:id="147" w:name="_Toc60560637"/>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pPr>
      <w:r>
        <w:rPr>
          <w:rFonts w:hint="eastAsia"/>
        </w:rPr>
        <w:t>12．招标文件的澄清</w:t>
      </w:r>
      <w:bookmarkEnd w:id="134"/>
      <w:bookmarkEnd w:id="135"/>
      <w:bookmarkEnd w:id="136"/>
      <w:bookmarkEnd w:id="137"/>
      <w:bookmarkEnd w:id="138"/>
      <w:bookmarkEnd w:id="139"/>
      <w:bookmarkEnd w:id="140"/>
    </w:p>
    <w:p>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pPr>
        <w:tabs>
          <w:tab w:val="clear" w:pos="426"/>
        </w:tabs>
      </w:pPr>
      <w:r>
        <w:rPr>
          <w:rFonts w:hint="eastAsia"/>
        </w:rPr>
        <w:t>12.3 对招标文件中描述有歧意或前后不一致的地方，评标委员会有权进行评判，但对同一条款的评判应适用于每个投标人。</w:t>
      </w:r>
    </w:p>
    <w:p>
      <w:pPr>
        <w:tabs>
          <w:tab w:val="clear" w:pos="426"/>
        </w:tabs>
      </w:pPr>
      <w:r>
        <w:t>1</w:t>
      </w:r>
      <w:r>
        <w:rPr>
          <w:rFonts w:hint="eastAsia"/>
        </w:rPr>
        <w:t>3．招标文件的修改</w:t>
      </w:r>
      <w:bookmarkEnd w:id="141"/>
      <w:bookmarkEnd w:id="142"/>
      <w:bookmarkEnd w:id="143"/>
      <w:bookmarkEnd w:id="144"/>
      <w:bookmarkEnd w:id="145"/>
      <w:bookmarkEnd w:id="146"/>
      <w:bookmarkEnd w:id="147"/>
    </w:p>
    <w:p>
      <w:pPr>
        <w:tabs>
          <w:tab w:val="clear" w:pos="426"/>
        </w:tabs>
      </w:pPr>
      <w:bookmarkStart w:id="148" w:name="bt投标文件"/>
      <w:bookmarkEnd w:id="148"/>
      <w:bookmarkStart w:id="149" w:name="_Toc73521560"/>
      <w:bookmarkStart w:id="150" w:name="_Toc73518130"/>
      <w:bookmarkStart w:id="151" w:name="_Toc73517652"/>
      <w:bookmarkStart w:id="152" w:name="_Toc101074879"/>
      <w:bookmarkStart w:id="153" w:name="_Toc100052377"/>
      <w:bookmarkStart w:id="154" w:name="_Toc73521648"/>
      <w:r>
        <w:t>1</w:t>
      </w:r>
      <w:r>
        <w:rPr>
          <w:rFonts w:hint="eastAsia"/>
        </w:rPr>
        <w:t>3.1招标文件发出后，在投标截止日期前任何时候，确需要变更招标内容的，采购代理机构可主动地或在解答投标人提出的澄清问题时对招标文件进行修改；</w:t>
      </w:r>
    </w:p>
    <w:p>
      <w:pPr>
        <w:tabs>
          <w:tab w:val="clear" w:pos="426"/>
        </w:tabs>
      </w:pPr>
      <w:r>
        <w:t>1</w:t>
      </w:r>
      <w:r>
        <w:rPr>
          <w:rFonts w:hint="eastAsia"/>
        </w:rPr>
        <w:t>3.2招标文件的修改以书面形式（包括网站公开发布方式）发送给所有投标人，招标文件的修改内容作为招标文件的组成部分，并具有约束力。</w:t>
      </w:r>
    </w:p>
    <w:p>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5"/>
        <w:tabs>
          <w:tab w:val="clear" w:pos="426"/>
        </w:tabs>
      </w:pPr>
      <w:bookmarkStart w:id="155" w:name="_Toc18323391"/>
      <w:bookmarkStart w:id="156" w:name="_Toc432592823"/>
      <w:bookmarkStart w:id="157" w:name="_Toc398220531"/>
      <w:r>
        <w:rPr>
          <w:rFonts w:hint="eastAsia"/>
        </w:rPr>
        <w:t>第三章 投标文件</w:t>
      </w:r>
      <w:bookmarkEnd w:id="149"/>
      <w:bookmarkEnd w:id="150"/>
      <w:bookmarkEnd w:id="151"/>
      <w:bookmarkEnd w:id="152"/>
      <w:bookmarkEnd w:id="153"/>
      <w:bookmarkEnd w:id="154"/>
      <w:r>
        <w:rPr>
          <w:rFonts w:hint="eastAsia"/>
        </w:rPr>
        <w:t>的编制与递交</w:t>
      </w:r>
      <w:bookmarkEnd w:id="155"/>
      <w:bookmarkEnd w:id="156"/>
      <w:bookmarkEnd w:id="157"/>
    </w:p>
    <w:p>
      <w:pPr>
        <w:tabs>
          <w:tab w:val="clear" w:pos="426"/>
        </w:tabs>
      </w:pPr>
      <w:bookmarkStart w:id="158" w:name="_Toc60560639"/>
      <w:bookmarkStart w:id="159" w:name="_Toc73517653"/>
      <w:bookmarkStart w:id="160" w:name="_Toc100052378"/>
      <w:bookmarkStart w:id="161" w:name="_Toc73521649"/>
      <w:bookmarkStart w:id="162" w:name="_Toc73521561"/>
      <w:bookmarkStart w:id="163" w:name="_Toc73518131"/>
      <w:bookmarkStart w:id="164" w:name="_Toc60631634"/>
      <w:r>
        <w:rPr>
          <w:rFonts w:hint="eastAsia"/>
        </w:rPr>
        <w:t>14．投标文件的语言及度量单位</w:t>
      </w:r>
      <w:bookmarkEnd w:id="158"/>
      <w:bookmarkEnd w:id="159"/>
      <w:bookmarkEnd w:id="160"/>
      <w:bookmarkEnd w:id="161"/>
      <w:bookmarkEnd w:id="162"/>
      <w:bookmarkEnd w:id="163"/>
      <w:bookmarkEnd w:id="164"/>
    </w:p>
    <w:p>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pPr>
      <w:r>
        <w:rPr>
          <w:rFonts w:hint="eastAsia"/>
        </w:rPr>
        <w:t>14.2 除技术规范另有规定外，投标文件使用的度量单位，均采用中华人民共和国法定计量单位。</w:t>
      </w:r>
    </w:p>
    <w:p>
      <w:pPr>
        <w:tabs>
          <w:tab w:val="clear" w:pos="426"/>
        </w:tabs>
      </w:pPr>
      <w:bookmarkStart w:id="165" w:name="_Toc73517654"/>
      <w:bookmarkStart w:id="166" w:name="_Toc73521650"/>
      <w:bookmarkStart w:id="167" w:name="_Toc100052379"/>
      <w:bookmarkStart w:id="168" w:name="_Toc60631635"/>
      <w:bookmarkStart w:id="169" w:name="_Toc73521562"/>
      <w:bookmarkStart w:id="170" w:name="_Toc73518132"/>
      <w:bookmarkStart w:id="171" w:name="_Toc60560640"/>
      <w:r>
        <w:rPr>
          <w:rFonts w:hint="eastAsia"/>
        </w:rPr>
        <w:t>15．投标文件的组成</w:t>
      </w:r>
      <w:bookmarkEnd w:id="165"/>
      <w:bookmarkEnd w:id="166"/>
      <w:bookmarkEnd w:id="167"/>
      <w:bookmarkEnd w:id="168"/>
      <w:bookmarkEnd w:id="169"/>
      <w:bookmarkEnd w:id="170"/>
      <w:bookmarkEnd w:id="171"/>
    </w:p>
    <w:p>
      <w:pPr>
        <w:tabs>
          <w:tab w:val="clear" w:pos="426"/>
        </w:tabs>
      </w:pPr>
      <w:r>
        <w:rPr>
          <w:rFonts w:hint="eastAsia"/>
        </w:rPr>
        <w:t>具体内容请详见本项目专用条款的相关内容。</w:t>
      </w:r>
      <w:bookmarkStart w:id="172" w:name="_Toc73517655"/>
      <w:bookmarkStart w:id="173" w:name="_Toc73521563"/>
      <w:bookmarkStart w:id="174" w:name="_Toc60560641"/>
      <w:bookmarkStart w:id="175" w:name="_Toc60631636"/>
      <w:bookmarkStart w:id="176" w:name="_Toc73518133"/>
      <w:bookmarkStart w:id="177" w:name="投标文件的组成"/>
      <w:bookmarkStart w:id="178" w:name="_Toc73521651"/>
    </w:p>
    <w:p>
      <w:pPr>
        <w:tabs>
          <w:tab w:val="clear" w:pos="426"/>
        </w:tabs>
      </w:pPr>
      <w:r>
        <w:rPr>
          <w:rFonts w:hint="eastAsia"/>
        </w:rPr>
        <w:t>16. 投标文件格式</w:t>
      </w:r>
    </w:p>
    <w:p>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72"/>
    <w:bookmarkEnd w:id="173"/>
    <w:bookmarkEnd w:id="174"/>
    <w:bookmarkEnd w:id="175"/>
    <w:bookmarkEnd w:id="176"/>
    <w:bookmarkEnd w:id="177"/>
    <w:bookmarkEnd w:id="178"/>
    <w:p>
      <w:pPr>
        <w:tabs>
          <w:tab w:val="clear" w:pos="426"/>
        </w:tabs>
      </w:pPr>
      <w:bookmarkStart w:id="179" w:name="_Toc73521653"/>
      <w:bookmarkStart w:id="180" w:name="_Toc60631638"/>
      <w:bookmarkStart w:id="181" w:name="_Toc100052382"/>
      <w:bookmarkStart w:id="182" w:name="_Toc73521565"/>
      <w:bookmarkStart w:id="183" w:name="_Toc73517657"/>
      <w:bookmarkStart w:id="184" w:name="_Toc73518135"/>
      <w:bookmarkStart w:id="185" w:name="_Toc60560643"/>
      <w:r>
        <w:rPr>
          <w:rFonts w:hint="eastAsia"/>
        </w:rPr>
        <w:t>17．投标货币</w:t>
      </w:r>
      <w:bookmarkEnd w:id="179"/>
      <w:bookmarkEnd w:id="180"/>
      <w:bookmarkEnd w:id="181"/>
      <w:bookmarkEnd w:id="182"/>
      <w:bookmarkEnd w:id="183"/>
      <w:bookmarkEnd w:id="184"/>
      <w:bookmarkEnd w:id="185"/>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rPr>
          <w:rFonts w:hint="eastAsia"/>
        </w:rPr>
        <w:t>18. 证明投标人合格和资格的文件</w:t>
      </w:r>
    </w:p>
    <w:p>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pPr>
        <w:tabs>
          <w:tab w:val="clear" w:pos="426"/>
        </w:tabs>
      </w:pPr>
      <w:r>
        <w:rPr>
          <w:rFonts w:hint="eastAsia"/>
        </w:rPr>
        <w:t>19．证明投标文件投标技术方案的合格性和符合招标文件规定的文件要求</w:t>
      </w:r>
    </w:p>
    <w:p>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pPr>
        <w:tabs>
          <w:tab w:val="clear" w:pos="426"/>
        </w:tabs>
      </w:pPr>
      <w:r>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pPr>
      <w:r>
        <w:rPr>
          <w:rFonts w:hint="eastAsia"/>
        </w:rPr>
        <w:t>19.2.1主要技术指标和性能的详细说明。</w:t>
      </w:r>
    </w:p>
    <w:p>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pPr>
        <w:tabs>
          <w:tab w:val="clear" w:pos="426"/>
        </w:tabs>
      </w:pPr>
      <w:r>
        <w:rPr>
          <w:rFonts w:hint="eastAsia"/>
        </w:rPr>
        <w:t>19.3相关资料不符合19.2款要求的，评标委员会有权认定为投标技术方案不合格响应，其相关分数予以扣减或作废标处理。</w:t>
      </w:r>
    </w:p>
    <w:p>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pPr>
      <w:r>
        <w:rPr>
          <w:rFonts w:hint="eastAsia"/>
        </w:rPr>
        <w:t>19.6为保证公平公正，除非另有规定或说明，投标人对同一货物或服务投标时，不得同时提供两套或两套以上的投标方案。</w:t>
      </w:r>
    </w:p>
    <w:p>
      <w:pPr>
        <w:tabs>
          <w:tab w:val="clear" w:pos="426"/>
        </w:tabs>
      </w:pPr>
      <w:r>
        <w:rPr>
          <w:rFonts w:hint="eastAsia"/>
        </w:rPr>
        <w:t>20．投标文件其他证明文件的要求</w:t>
      </w:r>
    </w:p>
    <w:p>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pPr>
      <w:bookmarkStart w:id="186" w:name="_Toc100052383"/>
      <w:bookmarkStart w:id="187" w:name="_Toc73521566"/>
      <w:bookmarkStart w:id="188" w:name="_Toc73518136"/>
      <w:bookmarkStart w:id="189" w:name="_Toc73517658"/>
      <w:bookmarkStart w:id="190" w:name="_Toc73521654"/>
      <w:bookmarkStart w:id="191" w:name="_Toc60631639"/>
      <w:bookmarkStart w:id="192" w:name="_Toc60560644"/>
      <w:r>
        <w:rPr>
          <w:rFonts w:hint="eastAsia"/>
        </w:rPr>
        <w:t>21．投标有效期</w:t>
      </w:r>
      <w:bookmarkEnd w:id="186"/>
      <w:bookmarkEnd w:id="187"/>
      <w:bookmarkEnd w:id="188"/>
      <w:bookmarkEnd w:id="189"/>
      <w:bookmarkEnd w:id="190"/>
      <w:bookmarkEnd w:id="191"/>
      <w:bookmarkEnd w:id="192"/>
    </w:p>
    <w:p>
      <w:pPr>
        <w:tabs>
          <w:tab w:val="clear" w:pos="426"/>
        </w:tabs>
      </w:pPr>
      <w:r>
        <w:rPr>
          <w:rFonts w:hint="eastAsia"/>
        </w:rPr>
        <w:t>21.1 投标有效期为从投标截止之日算起的日历天数，具体见专用条款中投标有效期的天数要求。在此期限内，所有投标文件均保持有效；</w:t>
      </w:r>
    </w:p>
    <w:p>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pPr>
        <w:tabs>
          <w:tab w:val="clear" w:pos="426"/>
        </w:tabs>
      </w:pPr>
      <w:bookmarkStart w:id="193" w:name="_Toc60560645"/>
      <w:bookmarkStart w:id="194" w:name="_Toc73521655"/>
      <w:bookmarkStart w:id="195" w:name="_Toc100052384"/>
      <w:bookmarkStart w:id="196" w:name="_Toc73518137"/>
      <w:bookmarkStart w:id="197" w:name="_Toc73521567"/>
      <w:bookmarkStart w:id="198" w:name="_Toc60631640"/>
      <w:bookmarkStart w:id="199" w:name="_Toc73517659"/>
      <w:r>
        <w:rPr>
          <w:rFonts w:hint="eastAsia"/>
        </w:rPr>
        <w:t>22．投标</w:t>
      </w:r>
      <w:bookmarkEnd w:id="193"/>
      <w:bookmarkEnd w:id="194"/>
      <w:bookmarkEnd w:id="195"/>
      <w:bookmarkEnd w:id="196"/>
      <w:bookmarkEnd w:id="197"/>
      <w:bookmarkEnd w:id="198"/>
      <w:bookmarkEnd w:id="199"/>
      <w:r>
        <w:rPr>
          <w:rFonts w:hint="eastAsia"/>
        </w:rPr>
        <w:t>保证金</w:t>
      </w:r>
    </w:p>
    <w:p>
      <w:pPr>
        <w:tabs>
          <w:tab w:val="clear" w:pos="426"/>
        </w:tabs>
      </w:pPr>
      <w:bookmarkStart w:id="200" w:name="_Toc73521656"/>
      <w:bookmarkStart w:id="201" w:name="_Toc60631641"/>
      <w:bookmarkStart w:id="202" w:name="_Toc73521568"/>
      <w:bookmarkStart w:id="203" w:name="_Toc60560646"/>
      <w:bookmarkStart w:id="204" w:name="_Toc73517660"/>
      <w:bookmarkStart w:id="205" w:name="_Toc73518138"/>
      <w:bookmarkStart w:id="206" w:name="_Toc100052385"/>
      <w:r>
        <w:rPr>
          <w:rFonts w:hint="eastAsia"/>
        </w:rPr>
        <w:t>22.1投标保证金的缴纳：</w:t>
      </w:r>
    </w:p>
    <w:p>
      <w:pPr>
        <w:tabs>
          <w:tab w:val="clear" w:pos="426"/>
        </w:tabs>
      </w:pPr>
      <w:r>
        <w:rPr>
          <w:rFonts w:hint="eastAsia"/>
        </w:rPr>
        <w:t>22.1.1缴纳投标保证金的方式：参与投标前须缴纳壹万元保证金，落标或中标项目完成后返还，参与投标前未缴纳的，其投标将不予受理。</w:t>
      </w:r>
    </w:p>
    <w:p>
      <w:pPr>
        <w:tabs>
          <w:tab w:val="clear" w:pos="426"/>
        </w:tabs>
      </w:pPr>
      <w:r>
        <w:rPr>
          <w:rFonts w:hint="eastAsia"/>
        </w:rPr>
        <w:t>22.1.2 若为重大项目，采购代理机构可自行决定另外收取投标保证金，不受22</w:t>
      </w:r>
      <w:r>
        <w:t>.1</w:t>
      </w:r>
      <w:r>
        <w:rPr>
          <w:rFonts w:hint="eastAsia"/>
        </w:rPr>
        <w:t>.1款限制。是否另外收取投标保证金，请见本招标文件专用条款《对通用条款的补充内容》中的相关要求。</w:t>
      </w:r>
    </w:p>
    <w:p>
      <w:pPr>
        <w:tabs>
          <w:tab w:val="clear" w:pos="426"/>
        </w:tabs>
        <w:rPr>
          <w:szCs w:val="21"/>
        </w:rPr>
      </w:pPr>
      <w:r>
        <w:rPr>
          <w:rFonts w:hint="eastAsia"/>
          <w:szCs w:val="21"/>
        </w:rPr>
        <w:t>22.2</w:t>
      </w:r>
      <w:r>
        <w:rPr>
          <w:rFonts w:hint="eastAsia"/>
        </w:rPr>
        <w:t>投标保证金是为了保护采购代理机构和采购单位免因投标人的行为而蒙受损失。采购代理机构和采购单位因投标人的行为受到损害时可根据本通用条款第</w:t>
      </w:r>
      <w:r>
        <w:rPr>
          <w:rFonts w:hint="eastAsia"/>
          <w:szCs w:val="21"/>
        </w:rPr>
        <w:t>22.3款</w:t>
      </w:r>
      <w:r>
        <w:rPr>
          <w:rFonts w:hint="eastAsia"/>
        </w:rPr>
        <w:t>的规定没收投标人的投标保证金。</w:t>
      </w:r>
    </w:p>
    <w:p>
      <w:pPr>
        <w:tabs>
          <w:tab w:val="clear" w:pos="426"/>
        </w:tabs>
      </w:pPr>
      <w:r>
        <w:rPr>
          <w:rFonts w:hint="eastAsia"/>
        </w:rPr>
        <w:t>22.3如下列任何情况发生时，投标保证金将被没收。</w:t>
      </w:r>
    </w:p>
    <w:p>
      <w:pPr>
        <w:tabs>
          <w:tab w:val="clear" w:pos="426"/>
        </w:tabs>
      </w:pPr>
      <w:r>
        <w:rPr>
          <w:rFonts w:hint="eastAsia"/>
        </w:rPr>
        <w:t>1）投标人在招标文件中规定的投标有效期内撤回其投标；</w:t>
      </w:r>
    </w:p>
    <w:p>
      <w:pPr>
        <w:tabs>
          <w:tab w:val="clear" w:pos="426"/>
        </w:tabs>
      </w:pPr>
      <w:r>
        <w:rPr>
          <w:rFonts w:hint="eastAsia"/>
        </w:rPr>
        <w:t>2）中标人在规定期限内未能根据本项通用条款第47条规定签订合同；</w:t>
      </w:r>
    </w:p>
    <w:p>
      <w:pPr>
        <w:tabs>
          <w:tab w:val="clear" w:pos="426"/>
        </w:tabs>
      </w:pPr>
      <w:r>
        <w:rPr>
          <w:rFonts w:hint="eastAsia"/>
        </w:rPr>
        <w:t>3）投标人提供虚假投标文件或虚假补充文件：</w:t>
      </w:r>
    </w:p>
    <w:p>
      <w:pPr>
        <w:tabs>
          <w:tab w:val="clear" w:pos="426"/>
        </w:tabs>
      </w:pPr>
      <w:r>
        <w:rPr>
          <w:rFonts w:hint="eastAsia"/>
        </w:rPr>
        <w:t>4）投标人以谋取中标为目的的技术规格模糊响应（如有意照搬照抄招标文件的技术要求）或虚假响应的；</w:t>
      </w:r>
    </w:p>
    <w:p>
      <w:pPr>
        <w:tabs>
          <w:tab w:val="clear" w:pos="426"/>
        </w:tabs>
      </w:pPr>
      <w:r>
        <w:rPr>
          <w:rFonts w:hint="eastAsia"/>
        </w:rPr>
        <w:t>5）投标人质疑投诉提供虚假情况。</w:t>
      </w:r>
    </w:p>
    <w:p>
      <w:pPr>
        <w:tabs>
          <w:tab w:val="clear" w:pos="426"/>
        </w:tabs>
      </w:pPr>
      <w:r>
        <w:rPr>
          <w:rFonts w:hint="eastAsia"/>
        </w:rPr>
        <w:t>22.4投标保证金账户信息</w:t>
      </w:r>
      <w:r>
        <w:t xml:space="preserve"> </w:t>
      </w:r>
    </w:p>
    <w:p>
      <w:pPr>
        <w:tabs>
          <w:tab w:val="clear" w:pos="426"/>
        </w:tabs>
      </w:pPr>
      <w:r>
        <w:rPr>
          <w:rFonts w:hint="eastAsia"/>
        </w:rPr>
        <w:t>23．投标人的替代方案</w:t>
      </w:r>
      <w:bookmarkEnd w:id="200"/>
      <w:bookmarkEnd w:id="201"/>
      <w:bookmarkEnd w:id="202"/>
      <w:bookmarkEnd w:id="203"/>
      <w:bookmarkEnd w:id="204"/>
      <w:bookmarkEnd w:id="205"/>
      <w:bookmarkEnd w:id="206"/>
    </w:p>
    <w:p>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07" w:name="_Toc100052391"/>
      <w:bookmarkStart w:id="208" w:name="_Toc101074881"/>
      <w:bookmarkStart w:id="209" w:name="_Toc73518144"/>
      <w:bookmarkStart w:id="210" w:name="_Toc73517666"/>
      <w:bookmarkStart w:id="211" w:name="_Toc73521662"/>
      <w:bookmarkStart w:id="212" w:name="_Toc73521574"/>
    </w:p>
    <w:p>
      <w:pPr>
        <w:tabs>
          <w:tab w:val="clear" w:pos="426"/>
        </w:tabs>
      </w:pPr>
      <w:bookmarkStart w:id="213" w:name="_Toc134852021"/>
      <w:bookmarkStart w:id="214" w:name="_Toc148413300"/>
      <w:bookmarkStart w:id="215" w:name="_Toc187729580"/>
      <w:bookmarkStart w:id="216" w:name="_Toc163530302"/>
      <w:bookmarkStart w:id="217" w:name="_Toc148954859"/>
      <w:bookmarkStart w:id="218" w:name="_Toc201997835"/>
      <w:bookmarkStart w:id="219" w:name="_Toc188869280"/>
      <w:bookmarkStart w:id="220" w:name="_Toc157847820"/>
      <w:bookmarkStart w:id="221" w:name="_Toc148779952"/>
      <w:bookmarkStart w:id="222" w:name="_Toc201401384"/>
      <w:bookmarkStart w:id="223" w:name="_Toc135666628"/>
      <w:bookmarkStart w:id="224" w:name="_Toc98817934"/>
      <w:bookmarkStart w:id="225" w:name="_Toc143658455"/>
      <w:bookmarkStart w:id="226" w:name="_Toc148329801"/>
      <w:bookmarkStart w:id="227" w:name="_Toc148954464"/>
      <w:bookmarkStart w:id="228" w:name="_Toc148780238"/>
      <w:bookmarkStart w:id="229" w:name="_Toc148778157"/>
      <w:bookmarkStart w:id="230" w:name="_Toc201401576"/>
      <w:bookmarkStart w:id="231" w:name="_Toc135666815"/>
      <w:r>
        <w:rPr>
          <w:rFonts w:hint="eastAsia"/>
        </w:rPr>
        <w:t>24． 投标文件的密封、标记</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int="eastAsia"/>
        </w:rPr>
        <w:t>和装订</w:t>
      </w:r>
    </w:p>
    <w:p>
      <w:pPr>
        <w:widowControl w:val="0"/>
        <w:shd w:val="clear" w:color="auto" w:fill="auto"/>
        <w:tabs>
          <w:tab w:val="clear" w:pos="426"/>
        </w:tabs>
        <w:autoSpaceDE w:val="0"/>
        <w:autoSpaceDN w:val="0"/>
        <w:rPr>
          <w:rFonts w:cs="黑体"/>
          <w:bCs/>
          <w:szCs w:val="21"/>
        </w:rPr>
      </w:pPr>
      <w:r>
        <w:rPr>
          <w:rFonts w:hint="eastAsia"/>
        </w:rPr>
        <w:t xml:space="preserve">24.1 </w:t>
      </w:r>
      <w:r>
        <w:rPr>
          <w:rFonts w:hint="eastAsia" w:cs="黑体"/>
          <w:bCs/>
          <w:szCs w:val="21"/>
        </w:rPr>
        <w:t>为方便开标唱标，投标人应单独提交一个密封信封，并在信封上标明“开标信封”的字样，内容包括开标一览表(报价表)、法定代表人证明书、法定代表人授权委托书、被授权人身份证复印件、</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szCs w:val="21"/>
        </w:rPr>
      </w:pPr>
      <w:r>
        <w:rPr>
          <w:rFonts w:hint="eastAsia"/>
        </w:rPr>
        <w:t>24.2 投标文件为纸质投标文件，</w:t>
      </w:r>
      <w:r>
        <w:rPr>
          <w:rFonts w:hint="eastAsia"/>
          <w:szCs w:val="21"/>
        </w:rPr>
        <w:t>含正本和副本，投标文件应标明招标项目编号、招标项目名称及“正本”或“副本”。投标文件的所有内容应按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pPr>
        <w:tabs>
          <w:tab w:val="clear" w:pos="426"/>
        </w:tabs>
      </w:pPr>
      <w:r>
        <w:rPr>
          <w:rFonts w:hint="eastAsia"/>
        </w:rPr>
        <w:t xml:space="preserve">投标文件 </w:t>
      </w:r>
    </w:p>
    <w:p>
      <w:pPr>
        <w:tabs>
          <w:tab w:val="clear" w:pos="426"/>
        </w:tabs>
      </w:pPr>
      <w:r>
        <w:rPr>
          <w:rFonts w:hint="eastAsia"/>
        </w:rPr>
        <w:t>招标项目编号：</w:t>
      </w:r>
      <w:r>
        <w:rPr>
          <w:rFonts w:hint="eastAsia"/>
          <w:u w:val="single"/>
        </w:rPr>
        <w:t>_________________________</w:t>
      </w:r>
    </w:p>
    <w:p>
      <w:pPr>
        <w:tabs>
          <w:tab w:val="clear" w:pos="426"/>
        </w:tabs>
      </w:pPr>
      <w:r>
        <w:rPr>
          <w:rFonts w:hint="eastAsia"/>
        </w:rPr>
        <w:t>项目名称：</w:t>
      </w:r>
      <w:r>
        <w:rPr>
          <w:rFonts w:hint="eastAsia"/>
          <w:u w:val="single"/>
        </w:rPr>
        <w:t>_________________________</w:t>
      </w:r>
    </w:p>
    <w:p>
      <w:pPr>
        <w:tabs>
          <w:tab w:val="clear" w:pos="426"/>
        </w:tabs>
      </w:pPr>
      <w:r>
        <w:rPr>
          <w:rFonts w:hint="eastAsia"/>
        </w:rPr>
        <w:t>投标人名称（盖章）：</w:t>
      </w:r>
      <w:r>
        <w:rPr>
          <w:rFonts w:hint="eastAsia"/>
          <w:u w:val="single"/>
        </w:rPr>
        <w:t>________________</w:t>
      </w:r>
    </w:p>
    <w:p>
      <w:pPr>
        <w:tabs>
          <w:tab w:val="clear" w:pos="426"/>
        </w:tabs>
      </w:pPr>
      <w:r>
        <w:rPr>
          <w:rFonts w:hint="eastAsia"/>
        </w:rPr>
        <w:t>投标截止时间：</w:t>
      </w:r>
      <w:r>
        <w:rPr>
          <w:rFonts w:hint="eastAsia"/>
          <w:u w:val="single"/>
        </w:rPr>
        <w:t>_______年______月______日______时______分（前不得开封）</w:t>
      </w:r>
      <w:r>
        <w:rPr>
          <w:rFonts w:hint="eastAsia"/>
        </w:rPr>
        <w:t>。</w:t>
      </w:r>
    </w:p>
    <w:p>
      <w:pPr>
        <w:tabs>
          <w:tab w:val="clear" w:pos="426"/>
        </w:tabs>
      </w:pPr>
      <w:r>
        <w:rPr>
          <w:rFonts w:hint="eastAsia"/>
        </w:rPr>
        <w:t>24.3  所有投标文件的密封袋的封口处均应加盖投标人公章。</w:t>
      </w:r>
    </w:p>
    <w:p>
      <w:pPr>
        <w:tabs>
          <w:tab w:val="clear" w:pos="426"/>
        </w:tabs>
      </w:pPr>
      <w:r>
        <w:rPr>
          <w:rFonts w:hint="eastAsia"/>
        </w:rPr>
        <w:t>24.4  对于因标书标识不清、装订不牢、密封不严等导致的不利后果由该投标人自负。</w:t>
      </w:r>
    </w:p>
    <w:p>
      <w:pPr>
        <w:tabs>
          <w:tab w:val="clear" w:pos="426"/>
        </w:tabs>
        <w:rPr>
          <w:color w:val="000000"/>
          <w:szCs w:val="21"/>
        </w:rPr>
      </w:pPr>
      <w:r>
        <w:rPr>
          <w:rFonts w:hint="eastAsia"/>
          <w:color w:val="000000"/>
          <w:szCs w:val="21"/>
        </w:rPr>
        <w:t>24.5  投标方应将投标文件按24.1-24.2中的规定进行密封和标记后，按专用条款中采购公告注明的地址送至招标机构。</w:t>
      </w:r>
    </w:p>
    <w:p>
      <w:pPr>
        <w:tabs>
          <w:tab w:val="clear" w:pos="426"/>
        </w:tabs>
        <w:rPr>
          <w:color w:val="000000"/>
          <w:szCs w:val="21"/>
        </w:rPr>
      </w:pPr>
      <w:r>
        <w:rPr>
          <w:rFonts w:hint="eastAsia"/>
          <w:color w:val="000000"/>
          <w:szCs w:val="21"/>
        </w:rPr>
        <w:t>24.6  邮寄、电报、电话、传真形式的投标概不接受。</w:t>
      </w:r>
    </w:p>
    <w:p>
      <w:pPr>
        <w:tabs>
          <w:tab w:val="clear" w:pos="426"/>
        </w:tabs>
        <w:rPr>
          <w:b/>
          <w:color w:val="000000"/>
          <w:szCs w:val="21"/>
        </w:rPr>
      </w:pPr>
      <w:r>
        <w:rPr>
          <w:rFonts w:hint="eastAsia"/>
          <w:b/>
          <w:color w:val="000000"/>
          <w:szCs w:val="21"/>
        </w:rPr>
        <w:t xml:space="preserve">24.7  </w:t>
      </w:r>
      <w:r>
        <w:rPr>
          <w:rFonts w:hint="eastAsia"/>
          <w:b/>
          <w:bCs/>
          <w:color w:val="000000"/>
          <w:szCs w:val="21"/>
        </w:rPr>
        <w:t>投标文件电子版：电子光盘一张（投标文件正本盖章后的彩色扫描件，扫描件要求为PDF格式），请将该光盘放在开标信封中，并在光盘上标明招标项目编号、项目名称及投标人名称。</w:t>
      </w:r>
    </w:p>
    <w:p>
      <w:pPr>
        <w:tabs>
          <w:tab w:val="clear" w:pos="426"/>
        </w:tabs>
        <w:rPr>
          <w:color w:val="000000"/>
          <w:szCs w:val="21"/>
        </w:rPr>
      </w:pPr>
      <w:r>
        <w:rPr>
          <w:rFonts w:hint="eastAsia"/>
          <w:color w:val="000000"/>
          <w:szCs w:val="21"/>
        </w:rPr>
        <w:t>25． 投标截止时间</w:t>
      </w:r>
    </w:p>
    <w:p>
      <w:pPr>
        <w:tabs>
          <w:tab w:val="clear" w:pos="426"/>
        </w:tabs>
        <w:ind w:firstLine="424" w:firstLineChars="202"/>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pPr>
        <w:tabs>
          <w:tab w:val="clear" w:pos="426"/>
        </w:tabs>
        <w:rPr>
          <w:color w:val="000000"/>
          <w:szCs w:val="21"/>
        </w:rPr>
      </w:pPr>
      <w:r>
        <w:rPr>
          <w:rFonts w:hint="eastAsia"/>
          <w:color w:val="000000"/>
          <w:szCs w:val="21"/>
        </w:rPr>
        <w:t>26．迟交的投标书</w:t>
      </w:r>
    </w:p>
    <w:p>
      <w:pPr>
        <w:tabs>
          <w:tab w:val="clear" w:pos="426"/>
        </w:tabs>
        <w:ind w:firstLine="424" w:firstLineChars="202"/>
        <w:rPr>
          <w:color w:val="000000"/>
          <w:szCs w:val="21"/>
        </w:rPr>
      </w:pPr>
      <w:r>
        <w:rPr>
          <w:rFonts w:hint="eastAsia"/>
          <w:color w:val="000000"/>
          <w:szCs w:val="21"/>
        </w:rPr>
        <w:t>按照本通用条款第25条规定，招标机构将拒绝并原封退回在其规定的投标截止期后收到的任何投标书。</w:t>
      </w:r>
    </w:p>
    <w:p>
      <w:pPr>
        <w:tabs>
          <w:tab w:val="clear" w:pos="426"/>
        </w:tabs>
      </w:pPr>
      <w:r>
        <w:rPr>
          <w:rFonts w:hint="eastAsia"/>
        </w:rPr>
        <w:t>27． 投标文件的提交和截标时投标文件的数量要求</w:t>
      </w:r>
    </w:p>
    <w:p>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pPr>
        <w:tabs>
          <w:tab w:val="clear" w:pos="426"/>
        </w:tabs>
      </w:pPr>
      <w:bookmarkStart w:id="232" w:name="_Toc163530305"/>
      <w:bookmarkStart w:id="233" w:name="_Toc148413303"/>
      <w:bookmarkStart w:id="234" w:name="_Toc201997837"/>
      <w:bookmarkStart w:id="235" w:name="_Toc148779955"/>
      <w:bookmarkStart w:id="236" w:name="_Toc188869283"/>
      <w:bookmarkStart w:id="237" w:name="_Toc143658458"/>
      <w:bookmarkStart w:id="238" w:name="_Toc201401578"/>
      <w:bookmarkStart w:id="239" w:name="_Toc135666631"/>
      <w:bookmarkStart w:id="240" w:name="_Toc148954862"/>
      <w:bookmarkStart w:id="241" w:name="_Toc134852024"/>
      <w:bookmarkStart w:id="242" w:name="_Toc187729583"/>
      <w:bookmarkStart w:id="243" w:name="_Toc148329804"/>
      <w:bookmarkStart w:id="244" w:name="_Toc148780241"/>
      <w:bookmarkStart w:id="245" w:name="_Toc157847823"/>
      <w:bookmarkStart w:id="246" w:name="_Toc98817937"/>
      <w:bookmarkStart w:id="247" w:name="_Toc135666818"/>
      <w:bookmarkStart w:id="248" w:name="_Toc148954467"/>
      <w:bookmarkStart w:id="249" w:name="_Toc201401386"/>
      <w:bookmarkStart w:id="250" w:name="_Toc148778160"/>
      <w:r>
        <w:rPr>
          <w:rFonts w:hint="eastAsia"/>
        </w:rPr>
        <w:t>28．  投标文件的修改或撤回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pPr>
        <w:tabs>
          <w:tab w:val="clear" w:pos="426"/>
        </w:tabs>
      </w:pPr>
      <w:r>
        <w:rPr>
          <w:rFonts w:hint="eastAsia"/>
        </w:rPr>
        <w:t>28.2  采购代理机构收到由投标人代表签名的修改或撤回的书面通知并确认后，投标人可对其投标文件进行修改，或是撤回其投标。</w:t>
      </w:r>
    </w:p>
    <w:p>
      <w:pPr>
        <w:tabs>
          <w:tab w:val="clear" w:pos="426"/>
        </w:tabs>
      </w:pPr>
      <w:bookmarkStart w:id="251" w:name="_Toc188869284"/>
      <w:r>
        <w:rPr>
          <w:rFonts w:hint="eastAsia"/>
        </w:rPr>
        <w:t>28.3  投标人的修改文件应按照本招标文件的规定进行编制、密封、标记和提交，并在密封袋上注明“投标修改”。</w:t>
      </w:r>
    </w:p>
    <w:p>
      <w:pPr>
        <w:tabs>
          <w:tab w:val="clear" w:pos="426"/>
        </w:tabs>
      </w:pPr>
      <w:r>
        <w:rPr>
          <w:rFonts w:hint="eastAsia"/>
        </w:rPr>
        <w:t>28.4  投标截止时间之后至投标文件有效期终止之前，投标人不得要求撤回其投标。在此期间撤回投标的，其投标担保将会被没收。</w:t>
      </w:r>
    </w:p>
    <w:p>
      <w:pPr>
        <w:tabs>
          <w:tab w:val="clear" w:pos="426"/>
        </w:tabs>
      </w:pPr>
      <w:r>
        <w:rPr>
          <w:rFonts w:hint="eastAsia"/>
        </w:rPr>
        <w:t>28.5  评标结束后，不论中标与否，投标人均不得收回投标文件。</w:t>
      </w:r>
    </w:p>
    <w:bookmarkEnd w:id="251"/>
    <w:p>
      <w:pPr>
        <w:pStyle w:val="5"/>
        <w:tabs>
          <w:tab w:val="clear" w:pos="426"/>
        </w:tabs>
      </w:pPr>
      <w:bookmarkStart w:id="252" w:name="_Toc18323392"/>
      <w:bookmarkStart w:id="253" w:name="_Toc432592824"/>
      <w:bookmarkStart w:id="254" w:name="_Toc398220532"/>
      <w:r>
        <w:rPr>
          <w:rFonts w:hint="eastAsia"/>
        </w:rPr>
        <w:t>第四章 开标</w:t>
      </w:r>
      <w:bookmarkEnd w:id="207"/>
      <w:bookmarkEnd w:id="208"/>
      <w:bookmarkEnd w:id="209"/>
      <w:bookmarkEnd w:id="210"/>
      <w:bookmarkEnd w:id="211"/>
      <w:bookmarkEnd w:id="212"/>
      <w:bookmarkEnd w:id="252"/>
      <w:bookmarkEnd w:id="253"/>
      <w:bookmarkEnd w:id="254"/>
    </w:p>
    <w:p>
      <w:pPr>
        <w:tabs>
          <w:tab w:val="clear" w:pos="426"/>
        </w:tabs>
      </w:pPr>
      <w:bookmarkStart w:id="255" w:name="_Toc201401388"/>
      <w:bookmarkStart w:id="256" w:name="_Toc201401580"/>
      <w:bookmarkStart w:id="257" w:name="_Toc201997841"/>
      <w:bookmarkStart w:id="258" w:name="_Toc148413305"/>
      <w:bookmarkStart w:id="259" w:name="_Toc148954469"/>
      <w:bookmarkStart w:id="260" w:name="_Toc148954864"/>
      <w:bookmarkStart w:id="261" w:name="_Toc135666633"/>
      <w:bookmarkStart w:id="262" w:name="_Toc187729585"/>
      <w:bookmarkStart w:id="263" w:name="_Toc148779957"/>
      <w:bookmarkStart w:id="264" w:name="_Toc134852027"/>
      <w:bookmarkStart w:id="265" w:name="_Toc188869286"/>
      <w:bookmarkStart w:id="266" w:name="_Toc163530307"/>
      <w:bookmarkStart w:id="267" w:name="_Toc98817939"/>
      <w:bookmarkStart w:id="268" w:name="_Toc143658460"/>
      <w:bookmarkStart w:id="269" w:name="_Toc135666820"/>
      <w:bookmarkStart w:id="270" w:name="_Toc148778162"/>
      <w:bookmarkStart w:id="271" w:name="_Toc157847825"/>
      <w:bookmarkStart w:id="272" w:name="_Toc148329806"/>
      <w:bookmarkStart w:id="273" w:name="_Toc148780243"/>
      <w:bookmarkStart w:id="274" w:name="_Toc73521576"/>
      <w:bookmarkStart w:id="275" w:name="_Toc73521664"/>
      <w:bookmarkStart w:id="276" w:name="_Toc73518146"/>
      <w:bookmarkStart w:id="277" w:name="_Toc73517668"/>
      <w:bookmarkStart w:id="278" w:name="_Toc101074882"/>
      <w:bookmarkStart w:id="279" w:name="_Toc100052393"/>
      <w:r>
        <w:rPr>
          <w:rFonts w:hint="eastAsia"/>
        </w:rPr>
        <w:t>29．　开标</w:t>
      </w:r>
      <w:bookmarkEnd w:id="255"/>
      <w:bookmarkEnd w:id="256"/>
      <w:bookmarkEnd w:id="257"/>
    </w:p>
    <w:p>
      <w:pPr>
        <w:tabs>
          <w:tab w:val="clear" w:pos="426"/>
        </w:tabs>
      </w:pPr>
      <w:bookmarkStart w:id="280" w:name="_Toc201997842"/>
      <w:bookmarkStart w:id="281" w:name="_Toc201401389"/>
      <w:bookmarkStart w:id="282" w:name="_Toc201401581"/>
      <w:r>
        <w:rPr>
          <w:rFonts w:hint="eastAsia"/>
        </w:rPr>
        <w:t>29.1  采购人在“投标须知前附表”中规定的时间、地点组织公开开标。邀请所有投标人代表参加。不参加开标会的投标人，视为其认可开标程序和结果。</w:t>
      </w:r>
      <w:bookmarkEnd w:id="280"/>
      <w:bookmarkEnd w:id="281"/>
      <w:bookmarkEnd w:id="282"/>
    </w:p>
    <w:p>
      <w:pPr>
        <w:tabs>
          <w:tab w:val="clear" w:pos="426"/>
        </w:tabs>
      </w:pPr>
      <w:bookmarkStart w:id="283" w:name="_Toc201401582"/>
      <w:bookmarkStart w:id="284" w:name="_Toc201997843"/>
      <w:bookmarkStart w:id="285" w:name="_Toc201401390"/>
      <w:r>
        <w:rPr>
          <w:rFonts w:hint="eastAsia"/>
        </w:rPr>
        <w:t>29.2  参加开标会议的投标人只委派一名代表，且必须是本单位法定代表人或授权代表，参加会议人员须提供相应的授权委托书。</w:t>
      </w:r>
    </w:p>
    <w:bookmarkEnd w:id="283"/>
    <w:bookmarkEnd w:id="284"/>
    <w:bookmarkEnd w:id="285"/>
    <w:p>
      <w:pPr>
        <w:tabs>
          <w:tab w:val="clear" w:pos="426"/>
        </w:tabs>
      </w:pPr>
      <w:r>
        <w:rPr>
          <w:rFonts w:hint="eastAsia"/>
        </w:rPr>
        <w:t>29.3  开标会由采购代理机构主持，开标程序如下：</w:t>
      </w:r>
    </w:p>
    <w:p>
      <w:pPr>
        <w:tabs>
          <w:tab w:val="clear" w:pos="426"/>
        </w:tabs>
      </w:pPr>
      <w:r>
        <w:rPr>
          <w:rFonts w:hint="eastAsia"/>
        </w:rPr>
        <w:t xml:space="preserve">29.3.1  采购代理机构核对法人代表或其授权代表身份证明，若不能提供相应的身份证明或不相符，则不能参与开标会议； </w:t>
      </w:r>
    </w:p>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Pr>
        <w:tabs>
          <w:tab w:val="clear" w:pos="426"/>
        </w:tabs>
        <w:rPr>
          <w:color w:val="000000"/>
          <w:szCs w:val="21"/>
        </w:rPr>
      </w:pPr>
      <w:r>
        <w:rPr>
          <w:rFonts w:hint="eastAsia"/>
          <w:color w:val="000000"/>
          <w:szCs w:val="21"/>
        </w:rPr>
        <w:t>29.3.2  招标机构将按“采购公告”规定的时间和地点组织公开开标。投标人应委派代表参加，参加开标的代表应签名报到以证明出席。</w:t>
      </w:r>
    </w:p>
    <w:p>
      <w:pPr>
        <w:tabs>
          <w:tab w:val="clear" w:pos="426"/>
        </w:tabs>
        <w:rPr>
          <w:color w:val="000000"/>
          <w:szCs w:val="21"/>
        </w:rPr>
      </w:pPr>
      <w:r>
        <w:rPr>
          <w:rFonts w:hint="eastAsia"/>
          <w:color w:val="000000"/>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szCs w:val="21"/>
        </w:rPr>
      </w:pPr>
      <w:r>
        <w:rPr>
          <w:rFonts w:hint="eastAsia"/>
          <w:color w:val="000000"/>
          <w:szCs w:val="21"/>
        </w:rPr>
        <w:t>除了按照本通用条款第26条规定原封退回的投标之外，开标时将不得拒绝任何投标书。</w:t>
      </w:r>
    </w:p>
    <w:p>
      <w:pPr>
        <w:tabs>
          <w:tab w:val="clear" w:pos="426"/>
        </w:tabs>
        <w:rPr>
          <w:color w:val="000000"/>
          <w:szCs w:val="21"/>
        </w:rPr>
      </w:pPr>
      <w:r>
        <w:rPr>
          <w:color w:val="000000"/>
          <w:szCs w:val="21"/>
        </w:rPr>
        <w:t>2</w:t>
      </w:r>
      <w:r>
        <w:rPr>
          <w:rFonts w:hint="eastAsia"/>
          <w:color w:val="000000"/>
          <w:szCs w:val="21"/>
        </w:rPr>
        <w:t>9</w:t>
      </w:r>
      <w:r>
        <w:rPr>
          <w:color w:val="000000"/>
          <w:szCs w:val="21"/>
        </w:rPr>
        <w:t>.3</w:t>
      </w:r>
      <w:r>
        <w:rPr>
          <w:rFonts w:hint="eastAsia"/>
          <w:color w:val="000000"/>
          <w:szCs w:val="21"/>
        </w:rPr>
        <w:t xml:space="preserve">.4 </w:t>
      </w:r>
      <w:r>
        <w:rPr>
          <w:color w:val="000000"/>
          <w:szCs w:val="21"/>
        </w:rPr>
        <w:t xml:space="preserve"> </w:t>
      </w:r>
      <w:r>
        <w:rPr>
          <w:rFonts w:hint="eastAsia"/>
          <w:color w:val="000000"/>
          <w:szCs w:val="21"/>
        </w:rPr>
        <w:t>开标时，招标机构仅拆封开标信封。如投标人未单独密封包装开标信封，招标机构有权拆封投标文件。</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3.5</w:t>
      </w:r>
      <w:r>
        <w:rPr>
          <w:color w:val="000000"/>
          <w:szCs w:val="21"/>
        </w:rPr>
        <w:t xml:space="preserve">  </w:t>
      </w:r>
      <w:r>
        <w:rPr>
          <w:rFonts w:hint="eastAsia"/>
          <w:color w:val="000000"/>
          <w:szCs w:val="21"/>
        </w:rPr>
        <w:t>按照投标人须知第</w:t>
      </w:r>
      <w:r>
        <w:rPr>
          <w:color w:val="000000"/>
          <w:szCs w:val="21"/>
        </w:rPr>
        <w:t>2</w:t>
      </w:r>
      <w:r>
        <w:rPr>
          <w:rFonts w:hint="eastAsia"/>
          <w:color w:val="000000"/>
          <w:szCs w:val="21"/>
        </w:rPr>
        <w:t>8条规定，提交了可接受的“撤回”通知的投标将不予开封。</w:t>
      </w:r>
    </w:p>
    <w:p>
      <w:pPr>
        <w:tabs>
          <w:tab w:val="clear" w:pos="426"/>
        </w:tabs>
        <w:rPr>
          <w:color w:val="000000"/>
          <w:szCs w:val="21"/>
        </w:rPr>
      </w:pPr>
      <w:r>
        <w:rPr>
          <w:color w:val="000000"/>
          <w:szCs w:val="21"/>
        </w:rPr>
        <w:t>2</w:t>
      </w:r>
      <w:r>
        <w:rPr>
          <w:rFonts w:hint="eastAsia"/>
          <w:color w:val="000000"/>
          <w:szCs w:val="21"/>
        </w:rPr>
        <w:t>9</w:t>
      </w:r>
      <w:r>
        <w:rPr>
          <w:color w:val="000000"/>
          <w:szCs w:val="21"/>
        </w:rPr>
        <w:t>.</w:t>
      </w:r>
      <w:r>
        <w:rPr>
          <w:rFonts w:hint="eastAsia"/>
          <w:color w:val="000000"/>
          <w:szCs w:val="21"/>
        </w:rPr>
        <w:t xml:space="preserve">3.6 </w:t>
      </w:r>
      <w:r>
        <w:rPr>
          <w:color w:val="000000"/>
          <w:szCs w:val="21"/>
        </w:rPr>
        <w:t xml:space="preserve"> </w:t>
      </w:r>
      <w:r>
        <w:rPr>
          <w:rFonts w:hint="eastAsia"/>
          <w:color w:val="000000"/>
          <w:szCs w:val="21"/>
        </w:rPr>
        <w:t>无论如何在开标时没有启封和读出的投标书在评标时将不予考虑。撤回的投标书将原封退回投标人。</w:t>
      </w:r>
    </w:p>
    <w:p>
      <w:pPr>
        <w:tabs>
          <w:tab w:val="clear" w:pos="426"/>
        </w:tabs>
        <w:rPr>
          <w:color w:val="000000"/>
          <w:szCs w:val="21"/>
        </w:rPr>
      </w:pPr>
      <w:r>
        <w:rPr>
          <w:color w:val="000000"/>
          <w:szCs w:val="21"/>
        </w:rPr>
        <w:t>2</w:t>
      </w:r>
      <w:r>
        <w:rPr>
          <w:rFonts w:hint="eastAsia"/>
          <w:color w:val="000000"/>
          <w:szCs w:val="21"/>
        </w:rPr>
        <w:t>9.3.7</w:t>
      </w:r>
      <w:r>
        <w:rPr>
          <w:color w:val="000000"/>
          <w:szCs w:val="21"/>
        </w:rPr>
        <w:t xml:space="preserve">  </w:t>
      </w:r>
      <w:r>
        <w:rPr>
          <w:rFonts w:hint="eastAsia"/>
          <w:color w:val="000000"/>
          <w:szCs w:val="21"/>
        </w:rPr>
        <w:t>招标机构将做开标记录，开标记录包括按本通用条款第</w:t>
      </w:r>
      <w:r>
        <w:rPr>
          <w:color w:val="000000"/>
          <w:szCs w:val="21"/>
        </w:rPr>
        <w:t>2</w:t>
      </w:r>
      <w:r>
        <w:rPr>
          <w:rFonts w:hint="eastAsia"/>
          <w:color w:val="000000"/>
          <w:szCs w:val="21"/>
        </w:rPr>
        <w:t>9</w:t>
      </w:r>
      <w:r>
        <w:rPr>
          <w:color w:val="000000"/>
          <w:szCs w:val="21"/>
        </w:rPr>
        <w:t>.</w:t>
      </w:r>
      <w:r>
        <w:rPr>
          <w:rFonts w:hint="eastAsia"/>
          <w:color w:val="000000"/>
          <w:szCs w:val="21"/>
        </w:rPr>
        <w:t>3.3的规定在开标时宣读的全部内容。</w:t>
      </w:r>
    </w:p>
    <w:p>
      <w:pPr>
        <w:tabs>
          <w:tab w:val="clear" w:pos="426"/>
        </w:tabs>
      </w:pPr>
      <w:r>
        <w:rPr>
          <w:rFonts w:hint="eastAsia"/>
        </w:rPr>
        <w:t>29.3.8  供应商在开标过程中知道或者应知其权益受到损害时必须现场明确提出，未明确提出的，即视为认可开标结果。</w:t>
      </w:r>
    </w:p>
    <w:p>
      <w:pPr>
        <w:pStyle w:val="5"/>
        <w:tabs>
          <w:tab w:val="clear" w:pos="426"/>
        </w:tabs>
      </w:pPr>
      <w:bookmarkStart w:id="286" w:name="_Toc398220533"/>
      <w:bookmarkStart w:id="287" w:name="_Toc18323393"/>
      <w:bookmarkStart w:id="288" w:name="_Toc432592825"/>
      <w:r>
        <w:rPr>
          <w:rFonts w:hint="eastAsia"/>
        </w:rPr>
        <w:t>第五章 评标</w:t>
      </w:r>
      <w:bookmarkEnd w:id="274"/>
      <w:bookmarkEnd w:id="275"/>
      <w:bookmarkEnd w:id="276"/>
      <w:bookmarkEnd w:id="277"/>
      <w:r>
        <w:rPr>
          <w:rFonts w:hint="eastAsia"/>
        </w:rPr>
        <w:t>要求</w:t>
      </w:r>
      <w:bookmarkEnd w:id="278"/>
      <w:bookmarkEnd w:id="279"/>
      <w:bookmarkEnd w:id="286"/>
      <w:bookmarkEnd w:id="287"/>
      <w:bookmarkEnd w:id="288"/>
    </w:p>
    <w:p>
      <w:pPr>
        <w:tabs>
          <w:tab w:val="clear" w:pos="426"/>
        </w:tabs>
      </w:pPr>
      <w:bookmarkStart w:id="289" w:name="bt评标会议"/>
      <w:bookmarkEnd w:id="289"/>
      <w:bookmarkStart w:id="290" w:name="_Toc100052394"/>
      <w:bookmarkStart w:id="291" w:name="_Toc73518147"/>
      <w:bookmarkStart w:id="292" w:name="_Toc73517669"/>
      <w:bookmarkStart w:id="293" w:name="_Toc73521665"/>
      <w:bookmarkStart w:id="294" w:name="_Toc73521577"/>
      <w:r>
        <w:rPr>
          <w:rFonts w:hint="eastAsia"/>
        </w:rPr>
        <w:t>30．评标委员会组成</w:t>
      </w:r>
    </w:p>
    <w:p>
      <w:pPr>
        <w:tabs>
          <w:tab w:val="clear" w:pos="426"/>
        </w:tabs>
      </w:pPr>
      <w:r>
        <w:rPr>
          <w:rFonts w:hint="eastAsia"/>
        </w:rPr>
        <w:t>30.1开标结束后召开评标会议，评标委员会由采购代理机构依法组建，负责评标活动。</w:t>
      </w:r>
    </w:p>
    <w:p>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注：《评标授权书》《采购单位不派评委参与项目评标承诺书》模板可以从“深圳市政府采购中心网站”（</w:t>
      </w:r>
      <w:r>
        <w:t>http://cgzx.sz.gov.cn/</w:t>
      </w:r>
      <w:r>
        <w:rPr>
          <w:rFonts w:hint="eastAsia"/>
        </w:rPr>
        <w:t>）采购单位页面下“采购”环节“通用表格”处下载</w:t>
      </w:r>
      <w:r>
        <w:rPr>
          <w:rFonts w:hint="eastAsia"/>
          <w:sz w:val="24"/>
        </w:rPr>
        <w:t>。</w:t>
      </w:r>
    </w:p>
    <w:p>
      <w:pPr>
        <w:tabs>
          <w:tab w:val="clear" w:pos="426"/>
        </w:tabs>
      </w:pPr>
      <w:r>
        <w:rPr>
          <w:rFonts w:hint="eastAsia"/>
        </w:rPr>
        <w:t>30.2评标定标应当遵循公平、公正、科学、择优的原则。</w:t>
      </w:r>
    </w:p>
    <w:p>
      <w:pPr>
        <w:tabs>
          <w:tab w:val="clear" w:pos="426"/>
        </w:tabs>
      </w:pPr>
      <w:r>
        <w:rPr>
          <w:rFonts w:hint="eastAsia"/>
        </w:rPr>
        <w:t>30.3评标活动依法进行，任何单位和个人不得非法干预评标过程和结果。</w:t>
      </w:r>
    </w:p>
    <w:p>
      <w:pPr>
        <w:tabs>
          <w:tab w:val="clear" w:pos="426"/>
        </w:tabs>
      </w:pPr>
      <w:r>
        <w:rPr>
          <w:rFonts w:hint="eastAsia"/>
        </w:rPr>
        <w:t>30.4评标过程中不允许违背评标程序或采用招标文件未载明的评标方法或评标因素进行评标。</w:t>
      </w:r>
    </w:p>
    <w:p>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pPr>
        <w:tabs>
          <w:tab w:val="clear" w:pos="426"/>
        </w:tabs>
      </w:pPr>
      <w:r>
        <w:rPr>
          <w:rFonts w:hint="eastAsia"/>
        </w:rPr>
        <w:t>31．向评标委员会提供的资料</w:t>
      </w:r>
    </w:p>
    <w:p>
      <w:pPr>
        <w:tabs>
          <w:tab w:val="clear" w:pos="426"/>
        </w:tabs>
      </w:pPr>
      <w:r>
        <w:rPr>
          <w:rFonts w:hint="eastAsia"/>
        </w:rPr>
        <w:t>31.1公开发布的招标文件，包括图纸、服务清单、答疑文件等；</w:t>
      </w:r>
    </w:p>
    <w:p>
      <w:pPr>
        <w:tabs>
          <w:tab w:val="clear" w:pos="426"/>
        </w:tabs>
      </w:pPr>
      <w:r>
        <w:rPr>
          <w:rFonts w:hint="eastAsia"/>
        </w:rPr>
        <w:t>31.2其他评标必须的资料。</w:t>
      </w:r>
    </w:p>
    <w:p>
      <w:pPr>
        <w:tabs>
          <w:tab w:val="clear" w:pos="426"/>
        </w:tabs>
      </w:pPr>
      <w:r>
        <w:rPr>
          <w:rFonts w:hint="eastAsia"/>
        </w:rPr>
        <w:t>31.3评标委员会应当认真研究招标文件，至少应了解熟悉以下内容：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（3）招标文件规定的投标人的资格、财政预算限额、商务条款；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End w:id="290"/>
      <w:bookmarkEnd w:id="291"/>
      <w:bookmarkEnd w:id="292"/>
      <w:bookmarkEnd w:id="293"/>
      <w:bookmarkEnd w:id="294"/>
      <w:bookmarkStart w:id="295" w:name="bt评标过程的保密"/>
      <w:bookmarkEnd w:id="295"/>
      <w:bookmarkStart w:id="296" w:name="bt错误的修正"/>
      <w:bookmarkEnd w:id="296"/>
    </w:p>
    <w:p>
      <w:pPr>
        <w:pStyle w:val="5"/>
        <w:tabs>
          <w:tab w:val="clear" w:pos="426"/>
        </w:tabs>
      </w:pPr>
      <w:bookmarkStart w:id="297" w:name="_Toc18323394"/>
      <w:bookmarkStart w:id="298" w:name="_Toc432592826"/>
      <w:bookmarkStart w:id="299" w:name="_Toc398220534"/>
      <w:bookmarkStart w:id="300" w:name="_Toc100052397"/>
      <w:bookmarkStart w:id="301" w:name="_Toc101074883"/>
      <w:r>
        <w:rPr>
          <w:rFonts w:hint="eastAsia"/>
        </w:rPr>
        <w:t>第六章 评标程序</w:t>
      </w:r>
      <w:bookmarkStart w:id="302" w:name="bt投标文件的审查"/>
      <w:bookmarkEnd w:id="302"/>
      <w:bookmarkStart w:id="303" w:name="_Toc73518149"/>
      <w:bookmarkStart w:id="304" w:name="_Toc73521667"/>
      <w:bookmarkStart w:id="305" w:name="_Toc73521579"/>
      <w:bookmarkStart w:id="306" w:name="_Toc73517671"/>
      <w:r>
        <w:rPr>
          <w:rFonts w:hint="eastAsia"/>
        </w:rPr>
        <w:t>及评标方法</w:t>
      </w:r>
      <w:bookmarkEnd w:id="297"/>
      <w:bookmarkEnd w:id="298"/>
      <w:bookmarkEnd w:id="299"/>
      <w:bookmarkEnd w:id="300"/>
      <w:bookmarkEnd w:id="301"/>
    </w:p>
    <w:p>
      <w:pPr>
        <w:tabs>
          <w:tab w:val="clear" w:pos="426"/>
        </w:tabs>
      </w:pPr>
      <w:bookmarkStart w:id="307" w:name="_Toc100052398"/>
      <w:r>
        <w:rPr>
          <w:rFonts w:hint="eastAsia"/>
        </w:rPr>
        <w:t>33．投标文件初审</w:t>
      </w:r>
      <w:bookmarkEnd w:id="307"/>
    </w:p>
    <w:bookmarkEnd w:id="303"/>
    <w:bookmarkEnd w:id="304"/>
    <w:bookmarkEnd w:id="305"/>
    <w:bookmarkEnd w:id="306"/>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pPr>
        <w:tabs>
          <w:tab w:val="clear" w:pos="426"/>
        </w:tabs>
      </w:pPr>
      <w:r>
        <w:t>33.3 投标文件初审中关于供应商家数的计算</w:t>
      </w:r>
    </w:p>
    <w:p>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pPr>
      <w:r>
        <w:t>33.3.4公开招标以外采购方式以及政府采购服务和工程涉及采购货物的项目，也按此方法计算供应商家数。</w:t>
      </w:r>
    </w:p>
    <w:p>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bookmarkStart w:id="308" w:name="_Toc100052399"/>
      <w:r>
        <w:rPr>
          <w:rFonts w:hint="eastAsia"/>
        </w:rPr>
        <w:t>34．澄清有关问题</w:t>
      </w:r>
      <w:bookmarkEnd w:id="308"/>
    </w:p>
    <w:p>
      <w:pPr>
        <w:tabs>
          <w:tab w:val="clear" w:pos="426"/>
        </w:tabs>
      </w:pPr>
      <w:bookmarkStart w:id="309" w:name="bt投标文件的评估和比较"/>
      <w:bookmarkEnd w:id="309"/>
      <w:bookmarkStart w:id="310" w:name="bt废标"/>
      <w:bookmarkEnd w:id="310"/>
      <w:bookmarkStart w:id="311" w:name="bt投标文件的澄清"/>
      <w:bookmarkEnd w:id="311"/>
      <w:bookmarkStart w:id="312" w:name="_Toc73517675"/>
      <w:bookmarkStart w:id="313" w:name="_Toc73518153"/>
      <w:bookmarkStart w:id="314" w:name="_Toc73521671"/>
      <w:bookmarkStart w:id="315" w:name="_Toc73521583"/>
      <w:r>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pPr>
      <w:bookmarkStart w:id="316" w:name="_Toc73521669"/>
      <w:bookmarkStart w:id="317" w:name="_Toc73521581"/>
      <w:bookmarkStart w:id="318" w:name="_Toc73517673"/>
      <w:bookmarkStart w:id="319" w:name="_Toc100052400"/>
      <w:bookmarkStart w:id="320" w:name="_Toc73518151"/>
      <w:r>
        <w:rPr>
          <w:rFonts w:hint="eastAsia"/>
        </w:rPr>
        <w:t>35．错误的修正</w:t>
      </w:r>
      <w:bookmarkEnd w:id="316"/>
      <w:bookmarkEnd w:id="317"/>
      <w:bookmarkEnd w:id="318"/>
      <w:bookmarkEnd w:id="319"/>
      <w:bookmarkEnd w:id="320"/>
    </w:p>
    <w:p>
      <w:pPr>
        <w:tabs>
          <w:tab w:val="clear" w:pos="426"/>
        </w:tabs>
      </w:pPr>
      <w:r>
        <w:rPr>
          <w:rFonts w:hint="eastAsia"/>
        </w:rPr>
        <w:t>35</w:t>
      </w:r>
      <w:r>
        <w:t xml:space="preserve">.1 </w:t>
      </w:r>
      <w:r>
        <w:rPr>
          <w:rFonts w:hint="eastAsia"/>
        </w:rPr>
        <w:t>评标委员会将审查投标文件是否完整、总体编排是否有序、文件签署是否合格、投标人是否提交了投标保证金、有无计算上的错误等。</w:t>
      </w:r>
    </w:p>
    <w:p>
      <w:pPr>
        <w:tabs>
          <w:tab w:val="clear" w:pos="426"/>
        </w:tabs>
      </w:pPr>
      <w:r>
        <w:t>35.2  算术错误将按以下方法更正（次序排先者优先）：</w:t>
      </w:r>
    </w:p>
    <w:p>
      <w:pPr>
        <w:tabs>
          <w:tab w:val="clear" w:pos="426"/>
        </w:tabs>
      </w:pPr>
      <w:r>
        <w:t>35.2.1 投标文件中开标一览表（报价表）内容与投标文件中相应内容不一致的，以开标一览表（报价表）为准；</w:t>
      </w:r>
    </w:p>
    <w:p>
      <w:pPr>
        <w:tabs>
          <w:tab w:val="clear" w:pos="426"/>
        </w:tabs>
      </w:pPr>
      <w:r>
        <w:t>35.2.2 大写金额和小写金额不一致的，以大写金额为准；</w:t>
      </w:r>
    </w:p>
    <w:p>
      <w:pPr>
        <w:tabs>
          <w:tab w:val="clear" w:pos="426"/>
        </w:tabs>
      </w:pPr>
      <w:r>
        <w:t>35.2.3 单价金额小数点或者百分比有明显错位的，以开标一览表的总价为准，并修改单价；</w:t>
      </w:r>
    </w:p>
    <w:p>
      <w:pPr>
        <w:tabs>
          <w:tab w:val="clear" w:pos="426"/>
        </w:tabs>
      </w:pPr>
      <w:r>
        <w:t>35.2.4 总价金额与按单价汇总金额不一致的，以单价金额计算结果为准；</w:t>
      </w:r>
    </w:p>
    <w:p>
      <w:pPr>
        <w:tabs>
          <w:tab w:val="clear" w:pos="426"/>
        </w:tabs>
      </w:pPr>
      <w:r>
        <w:t>35.2.5 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如果投标人不接受修正后的报价，则其投标将被拒绝并且其投标保证金也将被没收，并不影响评标工作。</w:t>
      </w:r>
    </w:p>
    <w:p>
      <w:pPr>
        <w:tabs>
          <w:tab w:val="clear" w:pos="426"/>
        </w:tabs>
      </w:pPr>
      <w:bookmarkStart w:id="321" w:name="_Toc100052401"/>
      <w:r>
        <w:rPr>
          <w:rFonts w:hint="eastAsia"/>
        </w:rPr>
        <w:t>36．投标文件的</w:t>
      </w:r>
      <w:bookmarkEnd w:id="312"/>
      <w:bookmarkEnd w:id="313"/>
      <w:bookmarkEnd w:id="314"/>
      <w:bookmarkEnd w:id="315"/>
      <w:r>
        <w:rPr>
          <w:rFonts w:hint="eastAsia"/>
        </w:rPr>
        <w:t>比较与评价</w:t>
      </w:r>
      <w:bookmarkEnd w:id="321"/>
    </w:p>
    <w:p>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评标委员会应当对投标人的投标文件进行分析和比较。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投标人以他人的名义投标或出现下列串通投标、弄虚作假投标嫌疑的：</w:t>
      </w:r>
    </w:p>
    <w:p>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不同投标人的投标文件错漏之处一致的；</w:t>
      </w:r>
    </w:p>
    <w:p>
      <w:pPr>
        <w:tabs>
          <w:tab w:val="clear" w:pos="426"/>
        </w:tabs>
        <w:rPr>
          <w:kern w:val="10"/>
        </w:rPr>
      </w:pPr>
      <w:r>
        <w:rPr>
          <w:rFonts w:hint="eastAsia"/>
          <w:kern w:val="10"/>
        </w:rPr>
        <w:t xml:space="preserve">36.5.1.3  </w:t>
      </w:r>
      <w:r>
        <w:rPr>
          <w:kern w:val="10"/>
        </w:rPr>
        <w:t>不同投标人的投标报价或者报价组成异常一致或者呈规律性变化的；</w:t>
      </w:r>
    </w:p>
    <w:p>
      <w:pPr>
        <w:tabs>
          <w:tab w:val="clear" w:pos="426"/>
        </w:tabs>
        <w:rPr>
          <w:kern w:val="10"/>
        </w:rPr>
      </w:pPr>
      <w:r>
        <w:rPr>
          <w:rFonts w:hint="eastAsia"/>
          <w:kern w:val="10"/>
        </w:rPr>
        <w:t xml:space="preserve">36.5.1.4  </w:t>
      </w:r>
      <w:r>
        <w:rPr>
          <w:kern w:val="10"/>
        </w:rPr>
        <w:t>不同投标人的投标文件由同一单位或者同一个人编制的；</w:t>
      </w:r>
    </w:p>
    <w:p>
      <w:pPr>
        <w:tabs>
          <w:tab w:val="clear" w:pos="426"/>
        </w:tabs>
        <w:rPr>
          <w:kern w:val="10"/>
        </w:rPr>
      </w:pPr>
      <w:r>
        <w:rPr>
          <w:rFonts w:hint="eastAsia"/>
          <w:kern w:val="10"/>
        </w:rPr>
        <w:t xml:space="preserve">36.5.1.5  </w:t>
      </w:r>
      <w:r>
        <w:rPr>
          <w:kern w:val="10"/>
        </w:rPr>
        <w:t>不同投标人的投标文件载明的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不同投标人的投标文件相互混装的；</w:t>
      </w:r>
    </w:p>
    <w:p>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pPr>
        <w:tabs>
          <w:tab w:val="clear" w:pos="426"/>
        </w:tabs>
        <w:rPr>
          <w:kern w:val="10"/>
        </w:rPr>
      </w:pPr>
      <w:r>
        <w:rPr>
          <w:rFonts w:hint="eastAsia"/>
          <w:kern w:val="10"/>
        </w:rPr>
        <w:t>36.5.1.8  不同投标人聘请同一人为其投标提供技术或者经济咨询服务的，但招标工程本身要求采用专有技术的除外；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pPr>
        <w:tabs>
          <w:tab w:val="clear" w:pos="426"/>
        </w:tabs>
      </w:pPr>
      <w:r>
        <w:rPr>
          <w:rFonts w:hint="eastAsia"/>
        </w:rPr>
        <w:t>37.2若招标文件要求进行现场演示或设备测试的，投标人应做好相应准备。</w:t>
      </w:r>
    </w:p>
    <w:p>
      <w:pPr>
        <w:tabs>
          <w:tab w:val="clear" w:pos="426"/>
        </w:tabs>
      </w:pPr>
      <w:bookmarkStart w:id="322" w:name="_Toc100052402"/>
      <w:r>
        <w:rPr>
          <w:rFonts w:hint="eastAsia"/>
        </w:rPr>
        <w:t>38．评标方法</w:t>
      </w:r>
      <w:bookmarkEnd w:id="322"/>
    </w:p>
    <w:p>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w:t>
      </w:r>
      <w:bookmarkStart w:id="323" w:name="评标方法2"/>
      <w:r>
        <w:rPr>
          <w:rFonts w:hint="eastAsia"/>
        </w:rPr>
        <w:t>最低评标价法</w:t>
      </w:r>
    </w:p>
    <w:p>
      <w:pPr>
        <w:tabs>
          <w:tab w:val="clear" w:pos="426"/>
        </w:tabs>
      </w:pPr>
      <w:r>
        <w:rPr>
          <w:rFonts w:hint="eastAsia"/>
        </w:rPr>
        <w:t>最低价法是指以价格因素确定中标候选供应商的评标方法，即在满足招标文件实质性要求前提下，以报价最低的投标人作为中标候选供应商或中标人的评标方法；</w:t>
      </w:r>
    </w:p>
    <w:p>
      <w:pPr>
        <w:tabs>
          <w:tab w:val="clear" w:pos="426"/>
        </w:tabs>
        <w:rPr>
          <w:b/>
        </w:rPr>
      </w:pPr>
      <w:r>
        <w:rPr>
          <w:rFonts w:hint="eastAsia"/>
        </w:rPr>
        <w:t>38.2.2综合评分法</w:t>
      </w:r>
      <w:bookmarkEnd w:id="323"/>
    </w:p>
    <w:p>
      <w:pPr>
        <w:tabs>
          <w:tab w:val="clear" w:pos="426"/>
        </w:tabs>
      </w:pPr>
      <w:bookmarkStart w:id="324" w:name="评标方法3"/>
      <w:r>
        <w:rPr>
          <w:rFonts w:hint="eastAsia"/>
        </w:rPr>
        <w:t>是指投标文件满足招标文件全部实质性要求，且按照评审因素的量化指标评审得分最高的投标人为中标候选人的评标方法。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性价比法是指除价格因素外，经对投标文件进行评审，计算出评分因素的总分，除以投标报价，以商数最高的投标人作为中标候选供应商或中标人的评标方法。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rPr>
          <w:bCs/>
          <w:szCs w:val="21"/>
        </w:rPr>
      </w:pPr>
      <w:r>
        <w:rPr>
          <w:rFonts w:hint="eastAsia"/>
          <w:bCs/>
          <w:szCs w:val="21"/>
        </w:rPr>
        <w:t>综合评分法，是指投标文件满足招标文件全部实质性要求，且按照评审因素的量化指标评审得分最高的投标人为中标候选人的评标方法。</w:t>
      </w:r>
    </w:p>
    <w:p>
      <w:pPr>
        <w:tabs>
          <w:tab w:val="clear" w:pos="426"/>
        </w:tabs>
        <w:rPr>
          <w:color w:val="1D1D1D"/>
          <w:sz w:val="18"/>
          <w:szCs w:val="18"/>
          <w:shd w:val="clear" w:color="auto" w:fill="FFFFFF"/>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pPr>
      <w:r>
        <w:rPr>
          <w:rFonts w:hint="eastAsia"/>
        </w:rPr>
        <w:t>38.3.3最低价法</w:t>
      </w:r>
    </w:p>
    <w:p>
      <w:pPr>
        <w:tabs>
          <w:tab w:val="clear" w:pos="426"/>
        </w:tabs>
      </w:pPr>
      <w:r>
        <w:rPr>
          <w:rFonts w:hint="eastAsia"/>
        </w:rPr>
        <w:t>最低价法是指以价格为主要因素确定候选中标人的评审方法。</w:t>
      </w:r>
    </w:p>
    <w:p>
      <w:pPr>
        <w:tabs>
          <w:tab w:val="clear" w:pos="426"/>
        </w:tabs>
      </w:pPr>
      <w:r>
        <w:rPr>
          <w:rFonts w:hint="eastAsia"/>
        </w:rPr>
        <w:t>38.4本项目采用的评标方法</w:t>
      </w:r>
      <w:bookmarkEnd w:id="324"/>
      <w:r>
        <w:rPr>
          <w:rFonts w:hint="eastAsia"/>
        </w:rPr>
        <w:t>见本项目招标文件专用条款的相关内容。</w:t>
      </w:r>
    </w:p>
    <w:p>
      <w:pPr>
        <w:pStyle w:val="5"/>
        <w:tabs>
          <w:tab w:val="clear" w:pos="426"/>
        </w:tabs>
      </w:pPr>
      <w:bookmarkStart w:id="325" w:name="_Toc432592827"/>
      <w:bookmarkStart w:id="326" w:name="_Toc18323395"/>
      <w:bookmarkStart w:id="327" w:name="_Toc398220535"/>
      <w:r>
        <w:rPr>
          <w:rFonts w:hint="eastAsia"/>
        </w:rPr>
        <w:t>第七章 定标及公示</w:t>
      </w:r>
      <w:bookmarkEnd w:id="325"/>
      <w:bookmarkEnd w:id="326"/>
      <w:bookmarkEnd w:id="327"/>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pPr>
      <w:r>
        <w:rPr>
          <w:rFonts w:hint="eastAsia"/>
        </w:rPr>
        <w:t>39</w:t>
      </w:r>
      <w:r>
        <w:t>.</w:t>
      </w:r>
      <w:r>
        <w:rPr>
          <w:rFonts w:hint="eastAsia"/>
        </w:rPr>
        <w:t>2.2采用综合评分法的，按评审后得分由高到低顺序排列。得分相同的，按投标报价由低到高顺序排列。得分且投标报价相同的，按技术指标优劣顺序排列。得分且投标报价相同的且技术指标或服务方案优劣相同的，采取随机抽取方式确定中标人推荐资格。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适用评定分离的政府采购项目，采购人应当根据不同的项目选用自定法、抽签法、竞价法或者法律、法规及规章规定的其他定标方法确定中标人。</w:t>
      </w:r>
    </w:p>
    <w:p>
      <w:pPr>
        <w:tabs>
          <w:tab w:val="clear" w:pos="426"/>
        </w:tabs>
      </w:pPr>
      <w:r>
        <w:rPr>
          <w:rFonts w:hint="eastAsia"/>
        </w:rPr>
        <w:t>39</w:t>
      </w:r>
      <w:r>
        <w:t>.</w:t>
      </w:r>
      <w:r>
        <w:rPr>
          <w:rFonts w:hint="eastAsia"/>
        </w:rPr>
        <w:t>3.1自定法是指采购人组织定标委员会，由定标委员会在候选中标人中确定中标人。</w:t>
      </w:r>
    </w:p>
    <w:p>
      <w:pPr>
        <w:tabs>
          <w:tab w:val="clear" w:pos="426"/>
        </w:tabs>
      </w:pPr>
      <w:r>
        <w:rPr>
          <w:rFonts w:hint="eastAsia"/>
        </w:rPr>
        <w:t>39</w:t>
      </w:r>
      <w:r>
        <w:t>.</w:t>
      </w:r>
      <w:r>
        <w:rPr>
          <w:rFonts w:hint="eastAsia"/>
        </w:rPr>
        <w:t>3.2 抽签法是指候选中标人产生后，由采购人委托招标机构按照随机抽签的方式在候选中标人中确定中标人。 </w:t>
      </w:r>
    </w:p>
    <w:p>
      <w:pPr>
        <w:tabs>
          <w:tab w:val="clear" w:pos="426"/>
        </w:tabs>
      </w:pPr>
      <w:r>
        <w:rPr>
          <w:rFonts w:hint="eastAsia"/>
        </w:rPr>
        <w:t>39</w:t>
      </w:r>
      <w:r>
        <w:t>.</w:t>
      </w:r>
      <w:r>
        <w:rPr>
          <w:rFonts w:hint="eastAsia"/>
        </w:rPr>
        <w:t>3.3竞价法是指候选中标人产生后，由采购人委托招标机构组织候选中标人进行二次竞价，最终报价最低的为中标人</w:t>
      </w:r>
    </w:p>
    <w:p>
      <w:pPr>
        <w:tabs>
          <w:tab w:val="clear" w:pos="426"/>
        </w:tabs>
        <w:rPr>
          <w:color w:val="FF0000"/>
        </w:rPr>
      </w:pPr>
      <w:r>
        <w:rPr>
          <w:rFonts w:hint="eastAsia"/>
        </w:rPr>
        <w:t>39.4本项目采用的定标方法见本项目招标文件专用条款的相关内容。</w:t>
      </w:r>
    </w:p>
    <w:p>
      <w:pPr>
        <w:tabs>
          <w:tab w:val="clear" w:pos="426"/>
        </w:tabs>
      </w:pPr>
      <w:bookmarkStart w:id="328" w:name="_Toc100052404"/>
      <w:r>
        <w:rPr>
          <w:rFonts w:hint="eastAsia"/>
        </w:rPr>
        <w:t>40．编写评标报告</w:t>
      </w:r>
      <w:bookmarkEnd w:id="328"/>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bookmarkStart w:id="329" w:name="_Toc100052405"/>
      <w:bookmarkStart w:id="330" w:name="_Toc73521676"/>
      <w:bookmarkStart w:id="331" w:name="_Toc73521588"/>
      <w:bookmarkStart w:id="332" w:name="_Toc73518159"/>
      <w:bookmarkStart w:id="333" w:name="_Toc73517681"/>
      <w:r>
        <w:rPr>
          <w:rFonts w:hint="eastAsia"/>
        </w:rPr>
        <w:t>41．中标公告</w:t>
      </w:r>
      <w:bookmarkEnd w:id="329"/>
    </w:p>
    <w:p>
      <w:pPr>
        <w:tabs>
          <w:tab w:val="clear" w:pos="426"/>
        </w:tabs>
      </w:pPr>
      <w:r>
        <w:rPr>
          <w:rFonts w:hint="eastAsia"/>
        </w:rPr>
        <w:t>41.1为体现“公开、公平、公正”的原则，评标结束后，采购代理机构将在“深圳政府采购网”（</w:t>
      </w:r>
      <w:r>
        <w:rPr>
          <w:color w:val="0000FF"/>
          <w:u w:val="single"/>
        </w:rPr>
        <w:t>http://cgzx.sz.gov.cn/</w:t>
      </w:r>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bookmarkStart w:id="334" w:name="_Toc100052406"/>
      <w:r>
        <w:rPr>
          <w:rFonts w:hint="eastAsia"/>
        </w:rPr>
        <w:t>42．中标通知书</w:t>
      </w:r>
      <w:bookmarkEnd w:id="334"/>
    </w:p>
    <w:bookmarkEnd w:id="330"/>
    <w:bookmarkEnd w:id="331"/>
    <w:bookmarkEnd w:id="332"/>
    <w:bookmarkEnd w:id="333"/>
    <w:p>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5"/>
        <w:tabs>
          <w:tab w:val="clear" w:pos="426"/>
        </w:tabs>
      </w:pPr>
      <w:bookmarkStart w:id="335" w:name="bt合同的授予"/>
      <w:bookmarkEnd w:id="335"/>
      <w:bookmarkStart w:id="336" w:name="_Toc18323396"/>
      <w:bookmarkStart w:id="337" w:name="_Toc398220536"/>
      <w:bookmarkStart w:id="338" w:name="_Toc432592828"/>
      <w:bookmarkStart w:id="339" w:name="_Toc100052407"/>
      <w:bookmarkStart w:id="340" w:name="_Toc73517678"/>
      <w:bookmarkStart w:id="341" w:name="_Toc73518156"/>
      <w:bookmarkStart w:id="342" w:name="_Toc101074884"/>
      <w:r>
        <w:rPr>
          <w:rFonts w:hint="eastAsia"/>
        </w:rPr>
        <w:t>第八章 公开招标失败的后续处理</w:t>
      </w:r>
      <w:bookmarkEnd w:id="336"/>
      <w:bookmarkEnd w:id="337"/>
      <w:bookmarkEnd w:id="338"/>
    </w:p>
    <w:p>
      <w:pPr>
        <w:tabs>
          <w:tab w:val="clear" w:pos="426"/>
        </w:tabs>
      </w:pPr>
      <w:r>
        <w:rPr>
          <w:rFonts w:hint="eastAsia"/>
        </w:rPr>
        <w:t>43．公开招标失败的处理</w:t>
      </w:r>
    </w:p>
    <w:p>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pPr>
        <w:tabs>
          <w:tab w:val="clear" w:pos="426"/>
        </w:tabs>
      </w:pPr>
      <w:r>
        <w:rPr>
          <w:rFonts w:hint="eastAsia"/>
        </w:rPr>
        <w:t>43.4公开招标失败的采购项目重新组织公开招标，采购代理机构要重新按公开招标流程发布采购公告和招标文件、组成评标委员会等组织采购活动。</w:t>
      </w:r>
    </w:p>
    <w:p>
      <w:pPr>
        <w:tabs>
          <w:tab w:val="clear" w:pos="426"/>
        </w:tabs>
      </w:pPr>
      <w:r>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44.4.4谈判小组向采购代理机构提交书面评标报告，并推荐中标候选人或确定中标人。</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45.4.2谈判小组向采购代理机构提交书面评标报告，并推荐中标候选人或确定中标人。</w:t>
      </w:r>
    </w:p>
    <w:bookmarkEnd w:id="339"/>
    <w:bookmarkEnd w:id="340"/>
    <w:bookmarkEnd w:id="341"/>
    <w:bookmarkEnd w:id="342"/>
    <w:p>
      <w:pPr>
        <w:pStyle w:val="5"/>
        <w:tabs>
          <w:tab w:val="clear" w:pos="426"/>
        </w:tabs>
        <w:rPr>
          <w:sz w:val="28"/>
          <w:szCs w:val="28"/>
        </w:rPr>
      </w:pPr>
      <w:bookmarkStart w:id="343" w:name="_Toc18323397"/>
      <w:bookmarkStart w:id="344" w:name="_Toc432592829"/>
      <w:bookmarkStart w:id="345" w:name="_Toc398220537"/>
      <w:r>
        <w:rPr>
          <w:rFonts w:hint="eastAsia"/>
        </w:rPr>
        <w:t>第九章 合同的授予与备案</w:t>
      </w:r>
      <w:bookmarkEnd w:id="343"/>
      <w:bookmarkEnd w:id="344"/>
      <w:bookmarkEnd w:id="345"/>
    </w:p>
    <w:p>
      <w:pPr>
        <w:tabs>
          <w:tab w:val="clear" w:pos="426"/>
        </w:tabs>
      </w:pPr>
      <w:bookmarkStart w:id="346" w:name="_33._合同授予标准"/>
      <w:bookmarkEnd w:id="346"/>
      <w:bookmarkStart w:id="347" w:name="_Toc201401407"/>
      <w:bookmarkStart w:id="348" w:name="_Toc201401599"/>
      <w:bookmarkStart w:id="349" w:name="_Toc201997860"/>
      <w:r>
        <w:rPr>
          <w:rFonts w:hint="eastAsia"/>
        </w:rPr>
        <w:t xml:space="preserve">46．  </w:t>
      </w:r>
      <w:bookmarkEnd w:id="347"/>
      <w:bookmarkEnd w:id="348"/>
      <w:r>
        <w:rPr>
          <w:rFonts w:hint="eastAsia"/>
        </w:rPr>
        <w:t>履约担保</w:t>
      </w:r>
      <w:bookmarkEnd w:id="349"/>
    </w:p>
    <w:p>
      <w:pPr>
        <w:tabs>
          <w:tab w:val="clear" w:pos="426"/>
        </w:tabs>
      </w:pPr>
      <w:r>
        <w:rPr>
          <w:rFonts w:hint="eastAsia"/>
        </w:rPr>
        <w:t>46.1  本项目履约担保的相关要求：详见“投标须知前附表”。</w:t>
      </w:r>
    </w:p>
    <w:p>
      <w:pPr>
        <w:tabs>
          <w:tab w:val="clear" w:pos="426"/>
        </w:tabs>
      </w:pPr>
      <w:r>
        <w:rPr>
          <w:rFonts w:hint="eastAsia"/>
        </w:rPr>
        <w:t>46.2  在签订合同前，中标人应按规定向采购人提交履约担保，采用履约保函形式的可参照使用本招标文件提供的格式。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如果中标人拒不提交本节第42.1条、第42.2条要求的履约担保的，采购人可取消其中标资格，并没收其投标担保。</w:t>
      </w:r>
    </w:p>
    <w:p>
      <w:pPr>
        <w:tabs>
          <w:tab w:val="clear" w:pos="426"/>
        </w:tabs>
      </w:pPr>
      <w:bookmarkStart w:id="350" w:name="_Toc201401408"/>
      <w:bookmarkStart w:id="351" w:name="_Toc201401600"/>
      <w:bookmarkStart w:id="352" w:name="_Toc201997862"/>
      <w:r>
        <w:rPr>
          <w:rFonts w:hint="eastAsia"/>
        </w:rPr>
        <w:t>47．  签订合同</w:t>
      </w:r>
      <w:bookmarkEnd w:id="350"/>
      <w:bookmarkEnd w:id="351"/>
      <w:bookmarkEnd w:id="352"/>
    </w:p>
    <w:p>
      <w:pPr>
        <w:tabs>
          <w:tab w:val="clear" w:pos="426"/>
        </w:tabs>
      </w:pPr>
      <w:r>
        <w:rPr>
          <w:rFonts w:hint="eastAsia"/>
        </w:rPr>
        <w:t>47.1  采购人和中标人应当按“投标须知前附表”的规定，依据招标文件和中标人的投标文件订立书面合同。</w:t>
      </w:r>
    </w:p>
    <w:p>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5"/>
        <w:tabs>
          <w:tab w:val="clear" w:pos="426"/>
        </w:tabs>
      </w:pPr>
      <w:bookmarkStart w:id="353" w:name="_Toc432592830"/>
      <w:bookmarkStart w:id="354" w:name="_Toc18323398"/>
      <w:bookmarkStart w:id="355" w:name="_Toc398220538"/>
      <w:r>
        <w:rPr>
          <w:rFonts w:hint="eastAsia"/>
        </w:rPr>
        <w:t>第十章 质疑受理</w:t>
      </w:r>
      <w:bookmarkEnd w:id="353"/>
      <w:bookmarkEnd w:id="354"/>
      <w:bookmarkEnd w:id="355"/>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50.1供应商认为采购文件、采购过程和中标、成交结果使自己权益受到损害的，可以在知道或者应知其权益受到损害之日起七个工作日内，以书面形式向采购代理机构提出质疑。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52.4采购代理机构原则上在质疑受理之日起十个工作日内书面答复质疑供应商。答复函以直接领取、传真或邮寄方式送达。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bookmarkStart w:id="356" w:name="_Toc201401409"/>
      <w:bookmarkStart w:id="357" w:name="_Toc201997863"/>
      <w:bookmarkStart w:id="358" w:name="_Toc201401601"/>
      <w:r>
        <w:rPr>
          <w:rFonts w:hint="eastAsia"/>
        </w:rPr>
        <w:t xml:space="preserve">54．  </w:t>
      </w:r>
      <w:r>
        <w:rPr>
          <w:rFonts w:hint="eastAsia"/>
          <w:b/>
        </w:rPr>
        <w:t>其他</w:t>
      </w:r>
      <w:bookmarkEnd w:id="356"/>
      <w:bookmarkEnd w:id="357"/>
      <w:bookmarkEnd w:id="358"/>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采购代理机构向投标人提供的资料和数据，是采购代理机构现有的能供投标人利用的资料，采购代理机构对投标人由此而作出的推论、理解和结论概不负责。</w:t>
      </w:r>
    </w:p>
    <w:p>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tabs>
          <w:tab w:val="clear" w:pos="426"/>
        </w:tabs>
      </w:pPr>
      <w:r>
        <w:rPr>
          <w:rFonts w:hint="eastAsia"/>
        </w:rPr>
        <w:t>54.5 本招标文件所有的附件与本招标文件具有同等效力。</w:t>
      </w:r>
    </w:p>
    <w:p>
      <w:pPr>
        <w:pStyle w:val="42"/>
        <w:tabs>
          <w:tab w:val="clear" w:pos="426"/>
        </w:tabs>
      </w:pPr>
      <w:r>
        <w:rPr>
          <w:rFonts w:ascii="宋体" w:hAnsi="宋体"/>
        </w:rPr>
        <w:br w:type="page"/>
      </w:r>
      <w:bookmarkStart w:id="359" w:name="_Toc18323399"/>
      <w:r>
        <w:rPr>
          <w:rFonts w:hint="eastAsia"/>
        </w:rPr>
        <w:t>招标代理服务取费说明</w:t>
      </w:r>
      <w:bookmarkEnd w:id="359"/>
    </w:p>
    <w:p>
      <w:pPr>
        <w:tabs>
          <w:tab w:val="clear" w:pos="426"/>
        </w:tabs>
        <w:spacing w:line="300" w:lineRule="auto"/>
        <w:ind w:firstLine="440" w:firstLineChars="200"/>
        <w:rPr>
          <w:sz w:val="22"/>
        </w:rPr>
      </w:pPr>
    </w:p>
    <w:p>
      <w:pPr>
        <w:tabs>
          <w:tab w:val="clear" w:pos="426"/>
        </w:tabs>
        <w:spacing w:line="300" w:lineRule="auto"/>
        <w:ind w:firstLine="420" w:firstLineChars="200"/>
        <w:rPr>
          <w:szCs w:val="21"/>
        </w:rPr>
      </w:pPr>
      <w:r>
        <w:rPr>
          <w:rFonts w:hint="eastAsia"/>
          <w:szCs w:val="21"/>
        </w:rPr>
        <w:t>（1）计算基数：中标金额。计算方法：采购代理机构以招标文件规定的计算基数，依据《深圳市财政委员会关于规范深圳市社会采购代理机构管理有关事项的补充通知》（深财购〔</w:t>
      </w:r>
      <w:r>
        <w:rPr>
          <w:szCs w:val="21"/>
        </w:rPr>
        <w:t>2018〕27号）规定的招标代理服务费收费办法，按差额定率累进法计算</w:t>
      </w:r>
      <w:r>
        <w:rPr>
          <w:rFonts w:hint="eastAsia"/>
          <w:szCs w:val="21"/>
        </w:rPr>
        <w:t>,并下浮</w:t>
      </w:r>
      <w:r>
        <w:rPr>
          <w:szCs w:val="21"/>
          <w:u w:val="single"/>
        </w:rPr>
        <w:t>____</w:t>
      </w:r>
      <w:r>
        <w:rPr>
          <w:szCs w:val="21"/>
        </w:rPr>
        <w:t>%</w:t>
      </w:r>
      <w:r>
        <w:rPr>
          <w:rFonts w:hint="eastAsia"/>
          <w:szCs w:val="21"/>
        </w:rPr>
        <w:t>。低于______元的，按照________元计取。</w:t>
      </w:r>
    </w:p>
    <w:p>
      <w:pPr>
        <w:tabs>
          <w:tab w:val="clear" w:pos="426"/>
        </w:tabs>
        <w:spacing w:line="300" w:lineRule="auto"/>
        <w:ind w:firstLine="420" w:firstLineChars="200"/>
        <w:rPr>
          <w:szCs w:val="21"/>
        </w:rPr>
      </w:pPr>
      <w:r>
        <w:rPr>
          <w:rFonts w:hint="eastAsia"/>
          <w:szCs w:val="21"/>
        </w:rPr>
        <w:t>（2）支付人：</w:t>
      </w:r>
      <w:r>
        <w:rPr>
          <w:szCs w:val="21"/>
        </w:rPr>
        <w:t>■</w:t>
      </w:r>
      <w:r>
        <w:rPr>
          <w:rFonts w:hint="eastAsia"/>
          <w:szCs w:val="21"/>
        </w:rPr>
        <w:t xml:space="preserve">中标人 </w:t>
      </w:r>
      <w:r>
        <w:rPr>
          <w:szCs w:val="21"/>
        </w:rPr>
        <w:t xml:space="preserve">  </w:t>
      </w:r>
      <w:r>
        <w:rPr>
          <w:rFonts w:hint="eastAsia"/>
          <w:szCs w:val="21"/>
        </w:rPr>
        <w:t>□采购人。</w:t>
      </w:r>
    </w:p>
    <w:p>
      <w:pPr>
        <w:tabs>
          <w:tab w:val="clear" w:pos="426"/>
        </w:tabs>
        <w:spacing w:line="300" w:lineRule="auto"/>
        <w:ind w:firstLine="420" w:firstLineChars="200"/>
        <w:rPr>
          <w:szCs w:val="21"/>
        </w:rPr>
      </w:pPr>
      <w:r>
        <w:rPr>
          <w:rFonts w:hint="eastAsia"/>
          <w:szCs w:val="21"/>
        </w:rPr>
        <w:t xml:space="preserve">（2）支付人：□中标人 </w:t>
      </w:r>
      <w:r>
        <w:rPr>
          <w:szCs w:val="21"/>
        </w:rPr>
        <w:t xml:space="preserve">  ■</w:t>
      </w:r>
      <w:r>
        <w:rPr>
          <w:rFonts w:hint="eastAsia"/>
          <w:szCs w:val="21"/>
        </w:rPr>
        <w:t>采购人。</w:t>
      </w:r>
    </w:p>
    <w:p>
      <w:pPr>
        <w:tabs>
          <w:tab w:val="clear" w:pos="426"/>
        </w:tabs>
        <w:spacing w:line="300" w:lineRule="auto"/>
        <w:ind w:firstLine="420" w:firstLineChars="200"/>
        <w:rPr>
          <w:szCs w:val="21"/>
        </w:rPr>
      </w:pPr>
      <w:r>
        <w:rPr>
          <w:rFonts w:hint="eastAsia"/>
          <w:szCs w:val="21"/>
        </w:rPr>
        <w:t>（3</w:t>
      </w:r>
      <w:r>
        <w:rPr>
          <w:szCs w:val="21"/>
        </w:rPr>
        <w:t>）支付方式：银行转账。</w:t>
      </w:r>
    </w:p>
    <w:p>
      <w:pPr>
        <w:tabs>
          <w:tab w:val="clear" w:pos="426"/>
        </w:tabs>
        <w:spacing w:line="300" w:lineRule="auto"/>
        <w:ind w:firstLine="420" w:firstLineChars="200"/>
        <w:rPr>
          <w:szCs w:val="21"/>
        </w:rPr>
      </w:pPr>
      <w:r>
        <w:rPr>
          <w:rFonts w:hint="eastAsia"/>
          <w:szCs w:val="21"/>
        </w:rPr>
        <w:t>（4</w:t>
      </w:r>
      <w:r>
        <w:rPr>
          <w:szCs w:val="21"/>
        </w:rPr>
        <w:t>）收款账户信息如下：</w:t>
      </w:r>
    </w:p>
    <w:p>
      <w:pPr>
        <w:tabs>
          <w:tab w:val="clear" w:pos="426"/>
        </w:tabs>
        <w:spacing w:line="300" w:lineRule="auto"/>
        <w:ind w:firstLine="420" w:firstLineChars="200"/>
        <w:rPr>
          <w:szCs w:val="21"/>
        </w:rPr>
      </w:pPr>
      <w:r>
        <w:rPr>
          <w:rFonts w:hint="eastAsia"/>
          <w:szCs w:val="21"/>
        </w:rPr>
        <w:t>户名：深圳市深水水务咨询有限公司</w:t>
      </w:r>
    </w:p>
    <w:p>
      <w:pPr>
        <w:tabs>
          <w:tab w:val="clear" w:pos="426"/>
        </w:tabs>
        <w:spacing w:line="300" w:lineRule="auto"/>
        <w:ind w:firstLine="420" w:firstLineChars="200"/>
        <w:rPr>
          <w:szCs w:val="21"/>
        </w:rPr>
      </w:pPr>
      <w:r>
        <w:rPr>
          <w:rFonts w:hint="eastAsia"/>
          <w:szCs w:val="21"/>
        </w:rPr>
        <w:t>账号：</w:t>
      </w:r>
      <w:r>
        <w:rPr>
          <w:szCs w:val="21"/>
        </w:rPr>
        <w:t>4000021219200366130</w:t>
      </w:r>
    </w:p>
    <w:p>
      <w:pPr>
        <w:tabs>
          <w:tab w:val="clear" w:pos="426"/>
        </w:tabs>
        <w:spacing w:line="300" w:lineRule="auto"/>
        <w:ind w:firstLine="420" w:firstLineChars="200"/>
        <w:rPr>
          <w:szCs w:val="21"/>
        </w:rPr>
      </w:pPr>
      <w:r>
        <w:rPr>
          <w:rFonts w:hint="eastAsia"/>
          <w:szCs w:val="21"/>
        </w:rPr>
        <w:t>开户行：中国工商银行深圳红围支行</w:t>
      </w:r>
    </w:p>
    <w:p>
      <w:pPr>
        <w:tabs>
          <w:tab w:val="clear" w:pos="426"/>
        </w:tabs>
        <w:spacing w:line="300" w:lineRule="auto"/>
        <w:ind w:firstLine="420" w:firstLineChars="200"/>
        <w:rPr>
          <w:szCs w:val="21"/>
        </w:rPr>
      </w:pPr>
      <w:r>
        <w:rPr>
          <w:rFonts w:hint="eastAsia"/>
          <w:szCs w:val="21"/>
        </w:rPr>
        <w:t>（5）发票联系人：毛柔（</w:t>
      </w:r>
      <w:r>
        <w:rPr>
          <w:szCs w:val="21"/>
        </w:rPr>
        <w:t>0755-25163491/17875058832）</w:t>
      </w:r>
    </w:p>
    <w:p>
      <w:pPr>
        <w:tabs>
          <w:tab w:val="clear" w:pos="426"/>
        </w:tabs>
        <w:spacing w:line="300" w:lineRule="auto"/>
        <w:ind w:firstLine="420" w:firstLineChars="200"/>
        <w:rPr>
          <w:szCs w:val="21"/>
        </w:rPr>
      </w:pPr>
    </w:p>
    <w:p>
      <w:pPr>
        <w:tabs>
          <w:tab w:val="clear" w:pos="426"/>
        </w:tabs>
        <w:spacing w:line="300" w:lineRule="auto"/>
        <w:ind w:firstLine="420" w:firstLineChars="200"/>
        <w:jc w:val="center"/>
        <w:rPr>
          <w:szCs w:val="21"/>
        </w:rPr>
      </w:pPr>
      <w:r>
        <w:rPr>
          <w:rFonts w:hint="eastAsia"/>
          <w:szCs w:val="21"/>
        </w:rPr>
        <w:t>招标代理服务收费标准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922655</wp:posOffset>
                      </wp:positionH>
                      <wp:positionV relativeFrom="paragraph">
                        <wp:posOffset>37465</wp:posOffset>
                      </wp:positionV>
                      <wp:extent cx="895350" cy="600075"/>
                      <wp:effectExtent l="12700" t="7620" r="6350" b="11430"/>
                      <wp:wrapNone/>
                      <wp:docPr id="2" name="AutoShape 3"/>
                      <wp:cNvGraphicFramePr/>
                      <a:graphic xmlns:a="http://schemas.openxmlformats.org/drawingml/2006/main">
                        <a:graphicData uri="http://schemas.microsoft.com/office/word/2010/wordprocessingShape">
                          <wps:wsp>
                            <wps:cNvCnPr>
                              <a:cxnSpLocks noChangeShapeType="1"/>
                            </wps:cNvCnPr>
                            <wps:spPr bwMode="auto">
                              <a:xfrm>
                                <a:off x="0" y="0"/>
                                <a:ext cx="895350" cy="600075"/>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72.65pt;margin-top:2.95pt;height:47.25pt;width:70.5pt;z-index:251659264;mso-width-relative:page;mso-height-relative:page;" filled="f" stroked="t" coordsize="21600,21600" o:gfxdata="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tnkHXAAAACQEAAA8AAAAAAAAA&#10;AQAgAAAAIgAAAGRycy9kb3ducmV2LnhtbFBLAQIUABQAAAAIAIdO4kB3kJ4g2QEAALYDAAAOAAAA&#10;AAAAAAEAIAAAACYBAABkcnMvZTJvRG9jLnhtbFBLBQYAAAAABgAGAFkBAABxBQAAAAA=&#10;">
                      <v:fill on="f"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58240" behindDoc="0" locked="0" layoutInCell="1" allowOverlap="1">
                      <wp:simplePos x="0" y="0"/>
                      <wp:positionH relativeFrom="column">
                        <wp:posOffset>-22225</wp:posOffset>
                      </wp:positionH>
                      <wp:positionV relativeFrom="paragraph">
                        <wp:posOffset>155575</wp:posOffset>
                      </wp:positionV>
                      <wp:extent cx="1839595" cy="481965"/>
                      <wp:effectExtent l="10795" t="11430" r="6985" b="11430"/>
                      <wp:wrapNone/>
                      <wp:docPr id="1" name="AutoShape 2"/>
                      <wp:cNvGraphicFramePr/>
                      <a:graphic xmlns:a="http://schemas.openxmlformats.org/drawingml/2006/main">
                        <a:graphicData uri="http://schemas.microsoft.com/office/word/2010/wordprocessingShape">
                          <wps:wsp>
                            <wps:cNvCnPr>
                              <a:cxnSpLocks noChangeShapeType="1"/>
                            </wps:cNvCnPr>
                            <wps:spPr bwMode="auto">
                              <a:xfrm>
                                <a:off x="0" y="0"/>
                                <a:ext cx="1839595" cy="481965"/>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1.75pt;margin-top:12.25pt;height:37.95pt;width:144.85pt;z-index:251658240;mso-width-relative:page;mso-height-relative:page;" filled="f" stroked="t" coordsize="21600,21600" o:gfxdata="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BltgAAAAJAQAADwAAAAAA&#10;AAABACAAAAAiAAAAZHJzL2Rvd25yZXYueG1sUEsBAhQAFAAAAAgAh07iQOnky6naAQAAtwMAAA4A&#10;AAAAAAAAAQAgAAAAJwEAAGRycy9lMm9Eb2MueG1sUEsFBgAAAAAGAAYAWQEAAHMFAAAAAA==&#10;">
                      <v:fill on="f" focussize="0,0"/>
                      <v:stroke color="#000000" joinstyle="round"/>
                      <v:imagedata o:title=""/>
                      <o:lock v:ext="edit" aspectratio="f"/>
                    </v:shape>
                  </w:pict>
                </mc:Fallback>
              </mc:AlternateContent>
            </w:r>
            <w:r>
              <w:rPr>
                <w:rFonts w:hint="eastAsia"/>
                <w:szCs w:val="21"/>
              </w:rPr>
              <w:t>服务类型</w:t>
            </w:r>
          </w:p>
          <w:p>
            <w:pPr>
              <w:tabs>
                <w:tab w:val="clear" w:pos="426"/>
              </w:tabs>
              <w:spacing w:line="300" w:lineRule="auto"/>
              <w:jc w:val="center"/>
              <w:rPr>
                <w:szCs w:val="21"/>
              </w:rPr>
            </w:pPr>
            <w:r>
              <w:rPr>
                <w:rFonts w:hint="eastAsia"/>
                <w:szCs w:val="21"/>
              </w:rPr>
              <w:t>费率</w:t>
            </w:r>
          </w:p>
          <w:p>
            <w:pPr>
              <w:tabs>
                <w:tab w:val="clear" w:pos="426"/>
              </w:tabs>
              <w:spacing w:line="300" w:lineRule="auto"/>
              <w:rPr>
                <w:szCs w:val="21"/>
              </w:rPr>
            </w:pPr>
            <w:r>
              <w:rPr>
                <w:rFonts w:hint="eastAsia"/>
                <w:szCs w:val="21"/>
              </w:rPr>
              <w:t>中标金额</w:t>
            </w:r>
          </w:p>
        </w:tc>
        <w:tc>
          <w:tcPr>
            <w:tcW w:w="1845" w:type="dxa"/>
            <w:vAlign w:val="center"/>
          </w:tcPr>
          <w:p>
            <w:pPr>
              <w:spacing w:line="240" w:lineRule="auto"/>
              <w:jc w:val="center"/>
              <w:rPr>
                <w:szCs w:val="21"/>
              </w:rPr>
            </w:pPr>
            <w:r>
              <w:rPr>
                <w:rFonts w:hint="eastAsia"/>
                <w:szCs w:val="21"/>
              </w:rPr>
              <w:t>货物采购</w:t>
            </w:r>
          </w:p>
        </w:tc>
        <w:tc>
          <w:tcPr>
            <w:tcW w:w="1845" w:type="dxa"/>
            <w:vAlign w:val="center"/>
          </w:tcPr>
          <w:p>
            <w:pPr>
              <w:spacing w:line="240" w:lineRule="auto"/>
              <w:jc w:val="center"/>
              <w:rPr>
                <w:szCs w:val="21"/>
              </w:rPr>
            </w:pPr>
            <w:r>
              <w:rPr>
                <w:szCs w:val="21"/>
              </w:rPr>
              <w:t>服务采购</w:t>
            </w:r>
          </w:p>
        </w:tc>
        <w:tc>
          <w:tcPr>
            <w:tcW w:w="1846" w:type="dxa"/>
            <w:vAlign w:val="center"/>
          </w:tcPr>
          <w:p>
            <w:pPr>
              <w:spacing w:line="240" w:lineRule="auto"/>
              <w:jc w:val="center"/>
              <w:rPr>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color w:val="000000"/>
                <w:szCs w:val="21"/>
              </w:rPr>
            </w:pPr>
            <w:r>
              <w:rPr>
                <w:rFonts w:hint="eastAsia"/>
                <w:color w:val="000000"/>
                <w:szCs w:val="21"/>
              </w:rPr>
              <w:t>100万元以下</w:t>
            </w:r>
          </w:p>
        </w:tc>
        <w:tc>
          <w:tcPr>
            <w:tcW w:w="1845" w:type="dxa"/>
            <w:vAlign w:val="center"/>
          </w:tcPr>
          <w:p>
            <w:pPr>
              <w:spacing w:line="240" w:lineRule="auto"/>
              <w:jc w:val="center"/>
              <w:rPr>
                <w:color w:val="000000"/>
                <w:szCs w:val="21"/>
              </w:rPr>
            </w:pPr>
            <w:r>
              <w:rPr>
                <w:rFonts w:hint="eastAsia"/>
                <w:color w:val="000000"/>
                <w:szCs w:val="21"/>
              </w:rPr>
              <w:t>1.500%</w:t>
            </w:r>
          </w:p>
        </w:tc>
        <w:tc>
          <w:tcPr>
            <w:tcW w:w="1845" w:type="dxa"/>
            <w:vAlign w:val="center"/>
          </w:tcPr>
          <w:p>
            <w:pPr>
              <w:spacing w:line="240" w:lineRule="auto"/>
              <w:jc w:val="center"/>
              <w:rPr>
                <w:color w:val="000000"/>
                <w:szCs w:val="21"/>
              </w:rPr>
            </w:pPr>
            <w:r>
              <w:rPr>
                <w:rFonts w:hint="eastAsia"/>
                <w:color w:val="000000"/>
                <w:szCs w:val="21"/>
              </w:rPr>
              <w:t>1.500%</w:t>
            </w:r>
          </w:p>
        </w:tc>
        <w:tc>
          <w:tcPr>
            <w:tcW w:w="1846" w:type="dxa"/>
            <w:vAlign w:val="center"/>
          </w:tcPr>
          <w:p>
            <w:pPr>
              <w:spacing w:line="240" w:lineRule="auto"/>
              <w:jc w:val="center"/>
              <w:rPr>
                <w:color w:val="000000"/>
                <w:szCs w:val="21"/>
              </w:rPr>
            </w:pPr>
            <w:r>
              <w:rPr>
                <w:rFonts w:hint="eastAsia"/>
                <w:color w:val="00000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100万元（含）-500万元</w:t>
            </w:r>
          </w:p>
        </w:tc>
        <w:tc>
          <w:tcPr>
            <w:tcW w:w="1845" w:type="dxa"/>
            <w:vAlign w:val="center"/>
          </w:tcPr>
          <w:p>
            <w:pPr>
              <w:spacing w:line="240" w:lineRule="auto"/>
              <w:jc w:val="center"/>
              <w:rPr>
                <w:color w:val="000000"/>
                <w:szCs w:val="21"/>
              </w:rPr>
            </w:pPr>
            <w:r>
              <w:rPr>
                <w:rFonts w:hint="eastAsia"/>
                <w:color w:val="000000"/>
                <w:szCs w:val="21"/>
              </w:rPr>
              <w:t>1.100%</w:t>
            </w:r>
          </w:p>
        </w:tc>
        <w:tc>
          <w:tcPr>
            <w:tcW w:w="1845" w:type="dxa"/>
            <w:vAlign w:val="center"/>
          </w:tcPr>
          <w:p>
            <w:pPr>
              <w:spacing w:line="240" w:lineRule="auto"/>
              <w:jc w:val="center"/>
              <w:rPr>
                <w:color w:val="000000"/>
                <w:szCs w:val="21"/>
              </w:rPr>
            </w:pPr>
            <w:r>
              <w:rPr>
                <w:rFonts w:hint="eastAsia"/>
                <w:color w:val="000000"/>
                <w:szCs w:val="21"/>
              </w:rPr>
              <w:t>0.800%</w:t>
            </w:r>
          </w:p>
        </w:tc>
        <w:tc>
          <w:tcPr>
            <w:tcW w:w="1846" w:type="dxa"/>
            <w:vAlign w:val="center"/>
          </w:tcPr>
          <w:p>
            <w:pPr>
              <w:spacing w:line="240" w:lineRule="auto"/>
              <w:jc w:val="center"/>
              <w:rPr>
                <w:color w:val="000000"/>
                <w:szCs w:val="21"/>
              </w:rPr>
            </w:pPr>
            <w:r>
              <w:rPr>
                <w:rFonts w:hint="eastAsia"/>
                <w:color w:val="000000"/>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500万元（含）-1000万元</w:t>
            </w:r>
          </w:p>
        </w:tc>
        <w:tc>
          <w:tcPr>
            <w:tcW w:w="1845" w:type="dxa"/>
            <w:vAlign w:val="center"/>
          </w:tcPr>
          <w:p>
            <w:pPr>
              <w:spacing w:line="240" w:lineRule="auto"/>
              <w:jc w:val="center"/>
              <w:rPr>
                <w:color w:val="000000"/>
                <w:szCs w:val="21"/>
              </w:rPr>
            </w:pPr>
            <w:r>
              <w:rPr>
                <w:rFonts w:hint="eastAsia"/>
                <w:color w:val="000000"/>
                <w:szCs w:val="21"/>
              </w:rPr>
              <w:t>0.800%</w:t>
            </w:r>
          </w:p>
        </w:tc>
        <w:tc>
          <w:tcPr>
            <w:tcW w:w="1845" w:type="dxa"/>
            <w:vAlign w:val="center"/>
          </w:tcPr>
          <w:p>
            <w:pPr>
              <w:spacing w:line="240" w:lineRule="auto"/>
              <w:jc w:val="center"/>
              <w:rPr>
                <w:color w:val="000000"/>
                <w:szCs w:val="21"/>
              </w:rPr>
            </w:pPr>
            <w:r>
              <w:rPr>
                <w:rFonts w:hint="eastAsia"/>
                <w:color w:val="000000"/>
                <w:szCs w:val="21"/>
              </w:rPr>
              <w:t>0.450%</w:t>
            </w:r>
          </w:p>
        </w:tc>
        <w:tc>
          <w:tcPr>
            <w:tcW w:w="1846" w:type="dxa"/>
            <w:vAlign w:val="center"/>
          </w:tcPr>
          <w:p>
            <w:pPr>
              <w:spacing w:line="240" w:lineRule="auto"/>
              <w:jc w:val="center"/>
              <w:rPr>
                <w:color w:val="000000"/>
                <w:szCs w:val="21"/>
              </w:rPr>
            </w:pPr>
            <w:r>
              <w:rPr>
                <w:rFonts w:hint="eastAsia"/>
                <w:color w:val="000000"/>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1000万元（含）-5000万元</w:t>
            </w:r>
          </w:p>
        </w:tc>
        <w:tc>
          <w:tcPr>
            <w:tcW w:w="1845" w:type="dxa"/>
            <w:vAlign w:val="center"/>
          </w:tcPr>
          <w:p>
            <w:pPr>
              <w:spacing w:line="240" w:lineRule="auto"/>
              <w:jc w:val="center"/>
              <w:rPr>
                <w:color w:val="000000"/>
                <w:szCs w:val="21"/>
              </w:rPr>
            </w:pPr>
            <w:r>
              <w:rPr>
                <w:rFonts w:hint="eastAsia"/>
                <w:color w:val="000000"/>
                <w:szCs w:val="21"/>
              </w:rPr>
              <w:t>0.500%</w:t>
            </w:r>
          </w:p>
        </w:tc>
        <w:tc>
          <w:tcPr>
            <w:tcW w:w="1845" w:type="dxa"/>
            <w:vAlign w:val="center"/>
          </w:tcPr>
          <w:p>
            <w:pPr>
              <w:spacing w:line="240" w:lineRule="auto"/>
              <w:jc w:val="center"/>
              <w:rPr>
                <w:color w:val="000000"/>
                <w:szCs w:val="21"/>
              </w:rPr>
            </w:pPr>
            <w:r>
              <w:rPr>
                <w:rFonts w:hint="eastAsia"/>
                <w:color w:val="000000"/>
                <w:szCs w:val="21"/>
              </w:rPr>
              <w:t>0.250%</w:t>
            </w:r>
          </w:p>
        </w:tc>
        <w:tc>
          <w:tcPr>
            <w:tcW w:w="1846" w:type="dxa"/>
            <w:vAlign w:val="center"/>
          </w:tcPr>
          <w:p>
            <w:pPr>
              <w:spacing w:line="240" w:lineRule="auto"/>
              <w:jc w:val="center"/>
              <w:rPr>
                <w:color w:val="000000"/>
                <w:szCs w:val="21"/>
              </w:rPr>
            </w:pPr>
            <w:r>
              <w:rPr>
                <w:rFonts w:hint="eastAsia"/>
                <w:color w:val="000000"/>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5000万元（含）-1亿元</w:t>
            </w:r>
          </w:p>
        </w:tc>
        <w:tc>
          <w:tcPr>
            <w:tcW w:w="1845" w:type="dxa"/>
            <w:vAlign w:val="center"/>
          </w:tcPr>
          <w:p>
            <w:pPr>
              <w:spacing w:line="240" w:lineRule="auto"/>
              <w:jc w:val="center"/>
              <w:rPr>
                <w:szCs w:val="21"/>
              </w:rPr>
            </w:pPr>
            <w:r>
              <w:rPr>
                <w:rFonts w:hint="eastAsia"/>
                <w:szCs w:val="21"/>
              </w:rPr>
              <w:t>0.250%</w:t>
            </w:r>
          </w:p>
        </w:tc>
        <w:tc>
          <w:tcPr>
            <w:tcW w:w="1845" w:type="dxa"/>
            <w:vAlign w:val="center"/>
          </w:tcPr>
          <w:p>
            <w:pPr>
              <w:spacing w:line="240" w:lineRule="auto"/>
              <w:jc w:val="center"/>
              <w:rPr>
                <w:szCs w:val="21"/>
              </w:rPr>
            </w:pPr>
            <w:r>
              <w:rPr>
                <w:rFonts w:hint="eastAsia"/>
                <w:szCs w:val="21"/>
              </w:rPr>
              <w:t>0.100%</w:t>
            </w:r>
          </w:p>
        </w:tc>
        <w:tc>
          <w:tcPr>
            <w:tcW w:w="1846" w:type="dxa"/>
            <w:vAlign w:val="center"/>
          </w:tcPr>
          <w:p>
            <w:pPr>
              <w:spacing w:line="240" w:lineRule="auto"/>
              <w:jc w:val="center"/>
              <w:rPr>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1亿元（含）-5亿元</w:t>
            </w:r>
          </w:p>
        </w:tc>
        <w:tc>
          <w:tcPr>
            <w:tcW w:w="1845" w:type="dxa"/>
            <w:vAlign w:val="center"/>
          </w:tcPr>
          <w:p>
            <w:pPr>
              <w:spacing w:line="240" w:lineRule="auto"/>
              <w:jc w:val="center"/>
              <w:rPr>
                <w:szCs w:val="21"/>
              </w:rPr>
            </w:pPr>
            <w:r>
              <w:rPr>
                <w:rFonts w:hint="eastAsia"/>
                <w:szCs w:val="21"/>
              </w:rPr>
              <w:t>0.050%</w:t>
            </w:r>
          </w:p>
        </w:tc>
        <w:tc>
          <w:tcPr>
            <w:tcW w:w="1845" w:type="dxa"/>
            <w:vAlign w:val="center"/>
          </w:tcPr>
          <w:p>
            <w:pPr>
              <w:spacing w:line="240" w:lineRule="auto"/>
              <w:jc w:val="center"/>
              <w:rPr>
                <w:szCs w:val="21"/>
              </w:rPr>
            </w:pPr>
            <w:r>
              <w:rPr>
                <w:rFonts w:hint="eastAsia"/>
                <w:szCs w:val="21"/>
              </w:rPr>
              <w:t>0.050%</w:t>
            </w:r>
          </w:p>
        </w:tc>
        <w:tc>
          <w:tcPr>
            <w:tcW w:w="1846" w:type="dxa"/>
            <w:vAlign w:val="center"/>
          </w:tcPr>
          <w:p>
            <w:pPr>
              <w:spacing w:line="240" w:lineRule="auto"/>
              <w:jc w:val="center"/>
              <w:rPr>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5亿元（含）-10亿元</w:t>
            </w:r>
          </w:p>
        </w:tc>
        <w:tc>
          <w:tcPr>
            <w:tcW w:w="1845" w:type="dxa"/>
            <w:vAlign w:val="center"/>
          </w:tcPr>
          <w:p>
            <w:pPr>
              <w:spacing w:line="240" w:lineRule="auto"/>
              <w:jc w:val="center"/>
              <w:rPr>
                <w:szCs w:val="21"/>
              </w:rPr>
            </w:pPr>
            <w:r>
              <w:rPr>
                <w:rFonts w:hint="eastAsia"/>
                <w:szCs w:val="21"/>
              </w:rPr>
              <w:t>0.035%</w:t>
            </w:r>
          </w:p>
        </w:tc>
        <w:tc>
          <w:tcPr>
            <w:tcW w:w="1845" w:type="dxa"/>
            <w:vAlign w:val="center"/>
          </w:tcPr>
          <w:p>
            <w:pPr>
              <w:spacing w:line="240" w:lineRule="auto"/>
              <w:jc w:val="center"/>
              <w:rPr>
                <w:szCs w:val="21"/>
              </w:rPr>
            </w:pPr>
            <w:r>
              <w:rPr>
                <w:rFonts w:hint="eastAsia"/>
                <w:szCs w:val="21"/>
              </w:rPr>
              <w:t>0.035%</w:t>
            </w:r>
          </w:p>
        </w:tc>
        <w:tc>
          <w:tcPr>
            <w:tcW w:w="1846" w:type="dxa"/>
            <w:vAlign w:val="center"/>
          </w:tcPr>
          <w:p>
            <w:pPr>
              <w:spacing w:line="240" w:lineRule="auto"/>
              <w:jc w:val="center"/>
              <w:rPr>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10亿元（含）-50亿元</w:t>
            </w:r>
          </w:p>
        </w:tc>
        <w:tc>
          <w:tcPr>
            <w:tcW w:w="1845" w:type="dxa"/>
            <w:vAlign w:val="center"/>
          </w:tcPr>
          <w:p>
            <w:pPr>
              <w:spacing w:line="240" w:lineRule="auto"/>
              <w:jc w:val="center"/>
              <w:rPr>
                <w:szCs w:val="21"/>
              </w:rPr>
            </w:pPr>
            <w:r>
              <w:rPr>
                <w:rFonts w:hint="eastAsia"/>
                <w:szCs w:val="21"/>
              </w:rPr>
              <w:t>0.008%</w:t>
            </w:r>
          </w:p>
        </w:tc>
        <w:tc>
          <w:tcPr>
            <w:tcW w:w="1845" w:type="dxa"/>
            <w:vAlign w:val="center"/>
          </w:tcPr>
          <w:p>
            <w:pPr>
              <w:spacing w:line="240" w:lineRule="auto"/>
              <w:jc w:val="center"/>
              <w:rPr>
                <w:szCs w:val="21"/>
              </w:rPr>
            </w:pPr>
            <w:r>
              <w:rPr>
                <w:rFonts w:hint="eastAsia"/>
                <w:szCs w:val="21"/>
              </w:rPr>
              <w:t>0.008%</w:t>
            </w:r>
          </w:p>
        </w:tc>
        <w:tc>
          <w:tcPr>
            <w:tcW w:w="1846" w:type="dxa"/>
            <w:vAlign w:val="center"/>
          </w:tcPr>
          <w:p>
            <w:pPr>
              <w:spacing w:line="240" w:lineRule="auto"/>
              <w:jc w:val="center"/>
              <w:rPr>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color w:val="000000"/>
                <w:szCs w:val="21"/>
              </w:rPr>
            </w:pPr>
            <w:r>
              <w:rPr>
                <w:rFonts w:hint="eastAsia"/>
                <w:color w:val="000000"/>
                <w:szCs w:val="21"/>
              </w:rPr>
              <w:t>50亿元（含）-100亿元</w:t>
            </w:r>
          </w:p>
        </w:tc>
        <w:tc>
          <w:tcPr>
            <w:tcW w:w="1845" w:type="dxa"/>
            <w:vAlign w:val="center"/>
          </w:tcPr>
          <w:p>
            <w:pPr>
              <w:spacing w:line="240" w:lineRule="auto"/>
              <w:jc w:val="center"/>
              <w:rPr>
                <w:szCs w:val="21"/>
              </w:rPr>
            </w:pPr>
            <w:r>
              <w:rPr>
                <w:rFonts w:hint="eastAsia"/>
                <w:szCs w:val="21"/>
              </w:rPr>
              <w:t>0.006%</w:t>
            </w:r>
          </w:p>
        </w:tc>
        <w:tc>
          <w:tcPr>
            <w:tcW w:w="1845" w:type="dxa"/>
            <w:vAlign w:val="center"/>
          </w:tcPr>
          <w:p>
            <w:pPr>
              <w:spacing w:line="240" w:lineRule="auto"/>
              <w:jc w:val="center"/>
              <w:rPr>
                <w:szCs w:val="21"/>
              </w:rPr>
            </w:pPr>
            <w:r>
              <w:rPr>
                <w:rFonts w:hint="eastAsia"/>
                <w:szCs w:val="21"/>
              </w:rPr>
              <w:t>0.006%</w:t>
            </w:r>
          </w:p>
        </w:tc>
        <w:tc>
          <w:tcPr>
            <w:tcW w:w="1846" w:type="dxa"/>
            <w:vAlign w:val="center"/>
          </w:tcPr>
          <w:p>
            <w:pPr>
              <w:spacing w:line="240" w:lineRule="auto"/>
              <w:jc w:val="center"/>
              <w:rPr>
                <w:szCs w:val="21"/>
              </w:rPr>
            </w:pPr>
            <w:r>
              <w:rPr>
                <w:rFonts w:hint="eastAsia"/>
                <w:szCs w:val="21"/>
              </w:rPr>
              <w:t>0.006%</w:t>
            </w:r>
          </w:p>
        </w:tc>
      </w:tr>
    </w:tbl>
    <w:p>
      <w:pPr>
        <w:tabs>
          <w:tab w:val="clear" w:pos="426"/>
        </w:tabs>
        <w:spacing w:line="300" w:lineRule="auto"/>
        <w:ind w:left="424" w:leftChars="202"/>
        <w:rPr>
          <w:sz w:val="22"/>
        </w:rPr>
      </w:pPr>
      <w:r>
        <w:rPr>
          <w:rFonts w:hint="eastAsia"/>
          <w:sz w:val="22"/>
        </w:rPr>
        <w:t>以某工程类项目招标为例：</w:t>
      </w:r>
    </w:p>
    <w:p>
      <w:pPr>
        <w:tabs>
          <w:tab w:val="clear" w:pos="426"/>
        </w:tabs>
        <w:spacing w:line="300" w:lineRule="auto"/>
        <w:ind w:left="424" w:leftChars="202"/>
        <w:rPr>
          <w:sz w:val="22"/>
        </w:rPr>
      </w:pPr>
      <w:r>
        <w:rPr>
          <w:rFonts w:hint="eastAsia"/>
          <w:sz w:val="22"/>
        </w:rPr>
        <w:t>假设其计算基准价</w:t>
      </w:r>
      <w:r>
        <w:rPr>
          <w:sz w:val="22"/>
        </w:rPr>
        <w:t>为</w:t>
      </w:r>
      <w:r>
        <w:rPr>
          <w:rFonts w:hint="eastAsia"/>
          <w:sz w:val="22"/>
        </w:rPr>
        <w:t>5000万元</w:t>
      </w:r>
      <w:r>
        <w:rPr>
          <w:sz w:val="22"/>
        </w:rPr>
        <w:t>，则招标代理</w:t>
      </w:r>
      <w:r>
        <w:rPr>
          <w:rFonts w:hint="eastAsia"/>
          <w:sz w:val="22"/>
        </w:rPr>
        <w:t>服务</w:t>
      </w:r>
      <w:r>
        <w:rPr>
          <w:sz w:val="22"/>
        </w:rPr>
        <w:t>费计算为：</w:t>
      </w:r>
    </w:p>
    <w:p>
      <w:pPr>
        <w:tabs>
          <w:tab w:val="clear" w:pos="426"/>
        </w:tabs>
        <w:spacing w:line="300" w:lineRule="auto"/>
        <w:ind w:left="424" w:leftChars="202"/>
        <w:rPr>
          <w:sz w:val="22"/>
        </w:rPr>
      </w:pPr>
      <w:r>
        <w:rPr>
          <w:rFonts w:hint="eastAsia"/>
          <w:sz w:val="22"/>
        </w:rPr>
        <w:t xml:space="preserve">100万元×1.0%=1万元   </w:t>
      </w:r>
    </w:p>
    <w:p>
      <w:pPr>
        <w:tabs>
          <w:tab w:val="clear" w:pos="426"/>
        </w:tabs>
        <w:spacing w:line="300" w:lineRule="auto"/>
        <w:ind w:left="424" w:leftChars="202"/>
        <w:rPr>
          <w:sz w:val="22"/>
        </w:rPr>
      </w:pPr>
      <w:r>
        <w:rPr>
          <w:rFonts w:hint="eastAsia"/>
          <w:sz w:val="22"/>
        </w:rPr>
        <w:t xml:space="preserve">（500-100）万元×0.7%=2.8万元 </w:t>
      </w:r>
    </w:p>
    <w:p>
      <w:pPr>
        <w:tabs>
          <w:tab w:val="clear" w:pos="426"/>
        </w:tabs>
        <w:spacing w:line="300" w:lineRule="auto"/>
        <w:ind w:left="424" w:leftChars="202"/>
        <w:rPr>
          <w:sz w:val="22"/>
        </w:rPr>
      </w:pPr>
      <w:r>
        <w:rPr>
          <w:rFonts w:hint="eastAsia"/>
          <w:sz w:val="22"/>
        </w:rPr>
        <w:t xml:space="preserve">（1000-500）万元×0.55%=2.75万元 </w:t>
      </w:r>
    </w:p>
    <w:p>
      <w:pPr>
        <w:tabs>
          <w:tab w:val="clear" w:pos="426"/>
        </w:tabs>
        <w:spacing w:line="300" w:lineRule="auto"/>
        <w:ind w:left="424" w:leftChars="202"/>
        <w:rPr>
          <w:sz w:val="22"/>
        </w:rPr>
      </w:pPr>
      <w:r>
        <w:rPr>
          <w:rFonts w:hint="eastAsia"/>
          <w:sz w:val="22"/>
        </w:rPr>
        <w:t>（5000-1000）万元×0.35%=14万元</w:t>
      </w:r>
    </w:p>
    <w:p>
      <w:pPr>
        <w:tabs>
          <w:tab w:val="clear" w:pos="426"/>
        </w:tabs>
        <w:spacing w:line="300" w:lineRule="auto"/>
        <w:ind w:left="424" w:leftChars="202"/>
        <w:rPr>
          <w:sz w:val="22"/>
        </w:rPr>
      </w:pPr>
      <w:r>
        <w:rPr>
          <w:rFonts w:hint="eastAsia"/>
          <w:sz w:val="22"/>
        </w:rPr>
        <w:t>因此，该项目招标代理服务费为：1+2.8+2.75+14=20.55万元。</w:t>
      </w:r>
    </w:p>
    <w:p>
      <w:pPr>
        <w:tabs>
          <w:tab w:val="clear" w:pos="426"/>
        </w:tabs>
        <w:spacing w:line="300" w:lineRule="auto"/>
        <w:ind w:left="424" w:leftChars="202"/>
        <w:rPr>
          <w:sz w:val="22"/>
        </w:rPr>
      </w:pPr>
      <w:r>
        <w:rPr>
          <w:rFonts w:hint="eastAsia"/>
          <w:sz w:val="22"/>
        </w:rPr>
        <w:t>（5）发票联系人：毛柔（</w:t>
      </w:r>
      <w:r>
        <w:rPr>
          <w:sz w:val="22"/>
        </w:rPr>
        <w:t>0755-25163491/17875058832）</w:t>
      </w:r>
    </w:p>
    <w:p>
      <w:pPr>
        <w:tabs>
          <w:tab w:val="clear" w:pos="426"/>
        </w:tabs>
        <w:spacing w:line="300" w:lineRule="auto"/>
        <w:ind w:left="424" w:leftChars="202"/>
        <w:rPr>
          <w:sz w:val="22"/>
        </w:rPr>
      </w:pPr>
    </w:p>
    <w:p>
      <w:pPr>
        <w:tabs>
          <w:tab w:val="clear" w:pos="426"/>
        </w:tabs>
      </w:pPr>
    </w:p>
    <w:p>
      <w:pPr>
        <w:pStyle w:val="33"/>
        <w:tabs>
          <w:tab w:val="clear" w:pos="426"/>
        </w:tabs>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8"/>
    <w:family w:val="modern"/>
    <w:pitch w:val="default"/>
    <w:sig w:usb0="00000000" w:usb1="00000000" w:usb2="00000010" w:usb3="00000000" w:csb0="0010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65</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pStyle w:val="123"/>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1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9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33"/>
      <w:lvlText w:val="第%1章"/>
      <w:lvlJc w:val="left"/>
      <w:pPr>
        <w:tabs>
          <w:tab w:val="left" w:pos="1440"/>
        </w:tabs>
        <w:ind w:left="0" w:firstLine="0"/>
      </w:pPr>
      <w:rPr>
        <w:rFonts w:hint="eastAsia"/>
      </w:rPr>
    </w:lvl>
    <w:lvl w:ilvl="1" w:tentative="0">
      <w:start w:val="1"/>
      <w:numFmt w:val="decimal"/>
      <w:pStyle w:val="134"/>
      <w:isLgl/>
      <w:lvlText w:val="%1.%2"/>
      <w:lvlJc w:val="left"/>
      <w:pPr>
        <w:tabs>
          <w:tab w:val="left" w:pos="720"/>
        </w:tabs>
        <w:ind w:left="0" w:firstLine="0"/>
      </w:pPr>
      <w:rPr>
        <w:rFonts w:hint="eastAsia"/>
      </w:rPr>
    </w:lvl>
    <w:lvl w:ilvl="2" w:tentative="0">
      <w:start w:val="1"/>
      <w:numFmt w:val="decimal"/>
      <w:pStyle w:val="135"/>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6C154E2"/>
    <w:multiLevelType w:val="multilevel"/>
    <w:tmpl w:val="06C154E2"/>
    <w:lvl w:ilvl="0" w:tentative="0">
      <w:start w:val="1"/>
      <w:numFmt w:val="chineseCountingThousand"/>
      <w:suff w:val="nothing"/>
      <w:lvlText w:val="%1、"/>
      <w:lvlJc w:val="left"/>
      <w:pPr>
        <w:ind w:left="562" w:hanging="420"/>
      </w:pPr>
      <w:rPr>
        <w:rFonts w:hint="eastAsia"/>
        <w:b/>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AE5335"/>
    <w:multiLevelType w:val="multilevel"/>
    <w:tmpl w:val="16AE5335"/>
    <w:lvl w:ilvl="0" w:tentative="0">
      <w:start w:val="1"/>
      <w:numFmt w:val="decimal"/>
      <w:pStyle w:val="8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A1E1C4B"/>
    <w:multiLevelType w:val="multilevel"/>
    <w:tmpl w:val="1A1E1C4B"/>
    <w:lvl w:ilvl="0" w:tentative="0">
      <w:start w:val="1"/>
      <w:numFmt w:val="chineseCountingThousand"/>
      <w:pStyle w:val="91"/>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7F3F51"/>
    <w:multiLevelType w:val="multilevel"/>
    <w:tmpl w:val="217F3F51"/>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988"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8200F5E"/>
    <w:multiLevelType w:val="multilevel"/>
    <w:tmpl w:val="28200F5E"/>
    <w:lvl w:ilvl="0" w:tentative="0">
      <w:start w:val="1"/>
      <w:numFmt w:val="decimal"/>
      <w:pStyle w:val="9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2A052B68"/>
    <w:multiLevelType w:val="multilevel"/>
    <w:tmpl w:val="2A052B68"/>
    <w:lvl w:ilvl="0" w:tentative="0">
      <w:start w:val="1"/>
      <w:numFmt w:val="decimal"/>
      <w:suff w:val="nothing"/>
      <w:lvlText w:val="%1"/>
      <w:lvlJc w:val="left"/>
      <w:pPr>
        <w:ind w:left="0" w:firstLine="0"/>
      </w:pPr>
      <w:rPr>
        <w:rFonts w:hint="eastAsia"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2"/>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E8F6958"/>
    <w:multiLevelType w:val="multilevel"/>
    <w:tmpl w:val="2E8F6958"/>
    <w:lvl w:ilvl="0" w:tentative="0">
      <w:start w:val="1"/>
      <w:numFmt w:val="decimal"/>
      <w:pStyle w:val="24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4">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8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3C287EEF"/>
    <w:multiLevelType w:val="multilevel"/>
    <w:tmpl w:val="3C287EEF"/>
    <w:lvl w:ilvl="0" w:tentative="0">
      <w:start w:val="1"/>
      <w:numFmt w:val="decimal"/>
      <w:pStyle w:val="259"/>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7">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8">
    <w:nsid w:val="54DB249B"/>
    <w:multiLevelType w:val="multilevel"/>
    <w:tmpl w:val="54DB249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7932AF"/>
    <w:multiLevelType w:val="multilevel"/>
    <w:tmpl w:val="567932A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70941F9"/>
    <w:multiLevelType w:val="multilevel"/>
    <w:tmpl w:val="570941F9"/>
    <w:lvl w:ilvl="0" w:tentative="0">
      <w:start w:val="1"/>
      <w:numFmt w:val="decimal"/>
      <w:pStyle w:val="13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D4A37DC"/>
    <w:multiLevelType w:val="multilevel"/>
    <w:tmpl w:val="5D4A37DC"/>
    <w:lvl w:ilvl="0" w:tentative="0">
      <w:start w:val="1"/>
      <w:numFmt w:val="decimal"/>
      <w:pStyle w:val="249"/>
      <w:lvlText w:val="%1)"/>
      <w:lvlJc w:val="left"/>
      <w:pPr>
        <w:ind w:left="982" w:hanging="420"/>
      </w:pPr>
    </w:lvl>
    <w:lvl w:ilvl="1" w:tentative="0">
      <w:start w:val="1"/>
      <w:numFmt w:val="lowerLetter"/>
      <w:pStyle w:val="246"/>
      <w:lvlText w:val="%2)"/>
      <w:lvlJc w:val="left"/>
      <w:pPr>
        <w:ind w:left="1402" w:hanging="420"/>
      </w:pPr>
    </w:lvl>
    <w:lvl w:ilvl="2" w:tentative="0">
      <w:start w:val="1"/>
      <w:numFmt w:val="lowerRoman"/>
      <w:pStyle w:val="247"/>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2">
    <w:nsid w:val="5F8239D3"/>
    <w:multiLevelType w:val="singleLevel"/>
    <w:tmpl w:val="5F8239D3"/>
    <w:lvl w:ilvl="0" w:tentative="0">
      <w:start w:val="1"/>
      <w:numFmt w:val="bullet"/>
      <w:pStyle w:val="161"/>
      <w:lvlText w:val=""/>
      <w:lvlJc w:val="left"/>
      <w:pPr>
        <w:tabs>
          <w:tab w:val="left" w:pos="360"/>
        </w:tabs>
        <w:ind w:left="360" w:hanging="360"/>
      </w:pPr>
      <w:rPr>
        <w:rFonts w:hint="default" w:ascii="Wingdings" w:hAnsi="Wingdings"/>
      </w:rPr>
    </w:lvl>
  </w:abstractNum>
  <w:abstractNum w:abstractNumId="23">
    <w:nsid w:val="64253DA1"/>
    <w:multiLevelType w:val="multilevel"/>
    <w:tmpl w:val="64253DA1"/>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4">
    <w:nsid w:val="682F2EA2"/>
    <w:multiLevelType w:val="multilevel"/>
    <w:tmpl w:val="682F2EA2"/>
    <w:lvl w:ilvl="0" w:tentative="0">
      <w:start w:val="1"/>
      <w:numFmt w:val="chineseCountingThousand"/>
      <w:pStyle w:val="229"/>
      <w:lvlText w:val="第%1章"/>
      <w:lvlJc w:val="left"/>
      <w:pPr>
        <w:tabs>
          <w:tab w:val="left" w:pos="340"/>
        </w:tabs>
        <w:ind w:left="0" w:firstLine="0"/>
      </w:pPr>
      <w:rPr>
        <w:rFonts w:hint="eastAsia"/>
      </w:rPr>
    </w:lvl>
    <w:lvl w:ilvl="1" w:tentative="0">
      <w:start w:val="1"/>
      <w:numFmt w:val="decimal"/>
      <w:pStyle w:val="230"/>
      <w:isLgl/>
      <w:suff w:val="space"/>
      <w:lvlText w:val="%1.%2"/>
      <w:lvlJc w:val="left"/>
      <w:pPr>
        <w:ind w:left="0" w:firstLine="0"/>
      </w:pPr>
      <w:rPr>
        <w:rFonts w:hint="eastAsia"/>
      </w:rPr>
    </w:lvl>
    <w:lvl w:ilvl="2" w:tentative="0">
      <w:start w:val="1"/>
      <w:numFmt w:val="decimal"/>
      <w:pStyle w:val="232"/>
      <w:isLgl/>
      <w:suff w:val="space"/>
      <w:lvlText w:val="%1.%2.%3"/>
      <w:lvlJc w:val="left"/>
      <w:pPr>
        <w:ind w:left="0" w:firstLine="0"/>
      </w:pPr>
      <w:rPr>
        <w:rFonts w:hint="eastAsia"/>
      </w:rPr>
    </w:lvl>
    <w:lvl w:ilvl="3" w:tentative="0">
      <w:start w:val="1"/>
      <w:numFmt w:val="decimal"/>
      <w:pStyle w:val="234"/>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6"/>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5">
    <w:nsid w:val="6D314D68"/>
    <w:multiLevelType w:val="multilevel"/>
    <w:tmpl w:val="6D314D68"/>
    <w:lvl w:ilvl="0" w:tentative="0">
      <w:start w:val="1"/>
      <w:numFmt w:val="decimal"/>
      <w:pStyle w:val="254"/>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6">
    <w:nsid w:val="726C71F1"/>
    <w:multiLevelType w:val="multilevel"/>
    <w:tmpl w:val="726C71F1"/>
    <w:lvl w:ilvl="0" w:tentative="0">
      <w:start w:val="1"/>
      <w:numFmt w:val="chineseCountingThousand"/>
      <w:suff w:val="nothing"/>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4F656C"/>
    <w:multiLevelType w:val="multilevel"/>
    <w:tmpl w:val="734F656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0E2BCA"/>
    <w:multiLevelType w:val="multilevel"/>
    <w:tmpl w:val="7B0E2BCA"/>
    <w:lvl w:ilvl="0" w:tentative="0">
      <w:start w:val="1"/>
      <w:numFmt w:val="bullet"/>
      <w:pStyle w:val="1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DD51E1B"/>
    <w:multiLevelType w:val="multilevel"/>
    <w:tmpl w:val="7DD51E1B"/>
    <w:lvl w:ilvl="0" w:tentative="0">
      <w:start w:val="1"/>
      <w:numFmt w:val="decimal"/>
      <w:pStyle w:val="219"/>
      <w:suff w:val="space"/>
      <w:lvlText w:val="%1"/>
      <w:lvlJc w:val="left"/>
      <w:pPr>
        <w:ind w:left="0" w:firstLine="0"/>
      </w:pPr>
      <w:rPr>
        <w:rFonts w:hint="eastAsia"/>
      </w:rPr>
    </w:lvl>
    <w:lvl w:ilvl="1" w:tentative="0">
      <w:start w:val="1"/>
      <w:numFmt w:val="decimal"/>
      <w:pStyle w:val="221"/>
      <w:suff w:val="space"/>
      <w:lvlText w:val="%1.%2"/>
      <w:lvlJc w:val="left"/>
      <w:pPr>
        <w:ind w:left="0" w:firstLine="0"/>
      </w:pPr>
      <w:rPr>
        <w:rFonts w:hint="eastAsia"/>
      </w:rPr>
    </w:lvl>
    <w:lvl w:ilvl="2" w:tentative="0">
      <w:start w:val="1"/>
      <w:numFmt w:val="decimal"/>
      <w:pStyle w:val="223"/>
      <w:suff w:val="space"/>
      <w:lvlText w:val="%1.%2.%3"/>
      <w:lvlJc w:val="left"/>
      <w:pPr>
        <w:ind w:left="0" w:firstLine="0"/>
      </w:pPr>
      <w:rPr>
        <w:rFonts w:hint="eastAsia"/>
      </w:rPr>
    </w:lvl>
    <w:lvl w:ilvl="3" w:tentative="0">
      <w:start w:val="1"/>
      <w:numFmt w:val="decimal"/>
      <w:pStyle w:val="225"/>
      <w:suff w:val="space"/>
      <w:lvlText w:val="%1.%2.%3.%4"/>
      <w:lvlJc w:val="left"/>
      <w:pPr>
        <w:ind w:left="0" w:firstLine="0"/>
      </w:pPr>
      <w:rPr>
        <w:rFonts w:hint="eastAsia"/>
      </w:rPr>
    </w:lvl>
    <w:lvl w:ilvl="4" w:tentative="0">
      <w:start w:val="1"/>
      <w:numFmt w:val="decimal"/>
      <w:pStyle w:val="227"/>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7"/>
  </w:num>
  <w:num w:numId="2">
    <w:abstractNumId w:val="14"/>
  </w:num>
  <w:num w:numId="3">
    <w:abstractNumId w:val="5"/>
  </w:num>
  <w:num w:numId="4">
    <w:abstractNumId w:val="6"/>
  </w:num>
  <w:num w:numId="5">
    <w:abstractNumId w:val="2"/>
  </w:num>
  <w:num w:numId="6">
    <w:abstractNumId w:val="9"/>
  </w:num>
  <w:num w:numId="7">
    <w:abstractNumId w:val="13"/>
    <w:lvlOverride w:ilvl="0">
      <w:lvl w:ilvl="0" w:tentative="1">
        <w:start w:val="1"/>
        <w:numFmt w:val="decimal"/>
        <w:pStyle w:val="115"/>
        <w:lvlText w:val="%1."/>
        <w:lvlJc w:val="left"/>
        <w:pPr>
          <w:tabs>
            <w:tab w:val="left" w:pos="420"/>
          </w:tabs>
          <w:ind w:left="0" w:firstLine="420"/>
        </w:pPr>
        <w:rPr>
          <w:rFonts w:hint="eastAsia"/>
        </w:rPr>
      </w:lvl>
    </w:lvlOverride>
    <w:lvlOverride w:ilvl="1">
      <w:lvl w:ilvl="1" w:tentative="1">
        <w:start w:val="1"/>
        <w:numFmt w:val="decimal"/>
        <w:pStyle w:val="116"/>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8"/>
  </w:num>
  <w:num w:numId="10">
    <w:abstractNumId w:val="3"/>
  </w:num>
  <w:num w:numId="11">
    <w:abstractNumId w:val="20"/>
  </w:num>
  <w:num w:numId="12">
    <w:abstractNumId w:val="22"/>
  </w:num>
  <w:num w:numId="13">
    <w:abstractNumId w:val="1"/>
  </w:num>
  <w:num w:numId="14">
    <w:abstractNumId w:val="29"/>
  </w:num>
  <w:num w:numId="15">
    <w:abstractNumId w:val="24"/>
  </w:num>
  <w:num w:numId="16">
    <w:abstractNumId w:val="12"/>
  </w:num>
  <w:num w:numId="17">
    <w:abstractNumId w:val="21"/>
  </w:num>
  <w:num w:numId="18">
    <w:abstractNumId w:val="25"/>
  </w:num>
  <w:num w:numId="19">
    <w:abstractNumId w:val="15"/>
  </w:num>
  <w:num w:numId="20">
    <w:abstractNumId w:val="11"/>
  </w:num>
  <w:num w:numId="21">
    <w:abstractNumId w:val="27"/>
  </w:num>
  <w:num w:numId="22">
    <w:abstractNumId w:val="23"/>
  </w:num>
  <w:num w:numId="23">
    <w:abstractNumId w:val="18"/>
  </w:num>
  <w:num w:numId="24">
    <w:abstractNumId w:val="10"/>
  </w:num>
  <w:num w:numId="25">
    <w:abstractNumId w:val="26"/>
  </w:num>
  <w:num w:numId="26">
    <w:abstractNumId w:val="19"/>
  </w:num>
  <w:num w:numId="27">
    <w:abstractNumId w:val="7"/>
  </w:num>
  <w:num w:numId="28">
    <w:abstractNumId w:val="4"/>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CA9"/>
    <w:rsid w:val="00000DA4"/>
    <w:rsid w:val="000011F7"/>
    <w:rsid w:val="0000145B"/>
    <w:rsid w:val="0000159C"/>
    <w:rsid w:val="00001AEA"/>
    <w:rsid w:val="00001CE0"/>
    <w:rsid w:val="0000240A"/>
    <w:rsid w:val="00002DB5"/>
    <w:rsid w:val="00002F9F"/>
    <w:rsid w:val="000036F7"/>
    <w:rsid w:val="000038EB"/>
    <w:rsid w:val="00003CC2"/>
    <w:rsid w:val="00003FF6"/>
    <w:rsid w:val="00004225"/>
    <w:rsid w:val="00004251"/>
    <w:rsid w:val="0000488C"/>
    <w:rsid w:val="00004952"/>
    <w:rsid w:val="00005215"/>
    <w:rsid w:val="00005A10"/>
    <w:rsid w:val="00005AB7"/>
    <w:rsid w:val="00005AFC"/>
    <w:rsid w:val="00006D66"/>
    <w:rsid w:val="00007FCD"/>
    <w:rsid w:val="00010102"/>
    <w:rsid w:val="00010A6F"/>
    <w:rsid w:val="00011500"/>
    <w:rsid w:val="0001175B"/>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17CE4"/>
    <w:rsid w:val="00020321"/>
    <w:rsid w:val="000211EA"/>
    <w:rsid w:val="000218B0"/>
    <w:rsid w:val="00022196"/>
    <w:rsid w:val="00022548"/>
    <w:rsid w:val="00022E19"/>
    <w:rsid w:val="000234B2"/>
    <w:rsid w:val="0002382E"/>
    <w:rsid w:val="0002401D"/>
    <w:rsid w:val="000244E1"/>
    <w:rsid w:val="000245FE"/>
    <w:rsid w:val="000252D1"/>
    <w:rsid w:val="00025673"/>
    <w:rsid w:val="00025E39"/>
    <w:rsid w:val="00026A09"/>
    <w:rsid w:val="0003053A"/>
    <w:rsid w:val="0003072D"/>
    <w:rsid w:val="0003148B"/>
    <w:rsid w:val="00031700"/>
    <w:rsid w:val="00031E25"/>
    <w:rsid w:val="00031F18"/>
    <w:rsid w:val="00031F6E"/>
    <w:rsid w:val="00032001"/>
    <w:rsid w:val="00032090"/>
    <w:rsid w:val="000325A7"/>
    <w:rsid w:val="00032AF9"/>
    <w:rsid w:val="00032C22"/>
    <w:rsid w:val="0003373D"/>
    <w:rsid w:val="000339DE"/>
    <w:rsid w:val="00033B7B"/>
    <w:rsid w:val="00034B41"/>
    <w:rsid w:val="0003503F"/>
    <w:rsid w:val="0003617B"/>
    <w:rsid w:val="00036D81"/>
    <w:rsid w:val="000372DD"/>
    <w:rsid w:val="000377F6"/>
    <w:rsid w:val="00037F52"/>
    <w:rsid w:val="00037F54"/>
    <w:rsid w:val="0004000A"/>
    <w:rsid w:val="00040715"/>
    <w:rsid w:val="00040A4B"/>
    <w:rsid w:val="00040D3C"/>
    <w:rsid w:val="0004120F"/>
    <w:rsid w:val="00041B72"/>
    <w:rsid w:val="00041B9A"/>
    <w:rsid w:val="00041E1A"/>
    <w:rsid w:val="00041E58"/>
    <w:rsid w:val="00042BE4"/>
    <w:rsid w:val="00042CE2"/>
    <w:rsid w:val="00043131"/>
    <w:rsid w:val="0004348E"/>
    <w:rsid w:val="00043819"/>
    <w:rsid w:val="00043A89"/>
    <w:rsid w:val="00044204"/>
    <w:rsid w:val="00044591"/>
    <w:rsid w:val="00044926"/>
    <w:rsid w:val="0004538E"/>
    <w:rsid w:val="00045739"/>
    <w:rsid w:val="00045AD6"/>
    <w:rsid w:val="0004790E"/>
    <w:rsid w:val="000510B6"/>
    <w:rsid w:val="00051D3E"/>
    <w:rsid w:val="00051F3F"/>
    <w:rsid w:val="0005204E"/>
    <w:rsid w:val="00052798"/>
    <w:rsid w:val="00052BC1"/>
    <w:rsid w:val="00053715"/>
    <w:rsid w:val="0005381C"/>
    <w:rsid w:val="000538BE"/>
    <w:rsid w:val="00053A25"/>
    <w:rsid w:val="0005506C"/>
    <w:rsid w:val="00055256"/>
    <w:rsid w:val="000557BC"/>
    <w:rsid w:val="0005582B"/>
    <w:rsid w:val="00055BF3"/>
    <w:rsid w:val="00055C4B"/>
    <w:rsid w:val="00055F5C"/>
    <w:rsid w:val="000566D1"/>
    <w:rsid w:val="0005677F"/>
    <w:rsid w:val="00056C75"/>
    <w:rsid w:val="00056E39"/>
    <w:rsid w:val="00057332"/>
    <w:rsid w:val="0005740C"/>
    <w:rsid w:val="000601F6"/>
    <w:rsid w:val="000602D1"/>
    <w:rsid w:val="0006039A"/>
    <w:rsid w:val="00060E5A"/>
    <w:rsid w:val="0006171E"/>
    <w:rsid w:val="00061BBA"/>
    <w:rsid w:val="00061DCB"/>
    <w:rsid w:val="0006267A"/>
    <w:rsid w:val="00062882"/>
    <w:rsid w:val="00062BA0"/>
    <w:rsid w:val="00062C42"/>
    <w:rsid w:val="00062E92"/>
    <w:rsid w:val="00063131"/>
    <w:rsid w:val="000638E3"/>
    <w:rsid w:val="00063CD3"/>
    <w:rsid w:val="00063F40"/>
    <w:rsid w:val="00063FD9"/>
    <w:rsid w:val="00064AF3"/>
    <w:rsid w:val="0006640B"/>
    <w:rsid w:val="0006670C"/>
    <w:rsid w:val="00067390"/>
    <w:rsid w:val="00067A02"/>
    <w:rsid w:val="00067B7F"/>
    <w:rsid w:val="00067D5E"/>
    <w:rsid w:val="000702E0"/>
    <w:rsid w:val="00070409"/>
    <w:rsid w:val="0007051D"/>
    <w:rsid w:val="00070736"/>
    <w:rsid w:val="000709E4"/>
    <w:rsid w:val="00072DD1"/>
    <w:rsid w:val="00073180"/>
    <w:rsid w:val="000732C9"/>
    <w:rsid w:val="00073E77"/>
    <w:rsid w:val="000740B8"/>
    <w:rsid w:val="0007455E"/>
    <w:rsid w:val="000750DC"/>
    <w:rsid w:val="0007542D"/>
    <w:rsid w:val="00075C4A"/>
    <w:rsid w:val="00076380"/>
    <w:rsid w:val="00077188"/>
    <w:rsid w:val="00080925"/>
    <w:rsid w:val="0008103C"/>
    <w:rsid w:val="00081725"/>
    <w:rsid w:val="00081A6E"/>
    <w:rsid w:val="000820FF"/>
    <w:rsid w:val="00082667"/>
    <w:rsid w:val="00083898"/>
    <w:rsid w:val="00083A13"/>
    <w:rsid w:val="00083AAF"/>
    <w:rsid w:val="00083DA4"/>
    <w:rsid w:val="00083DC6"/>
    <w:rsid w:val="0008409D"/>
    <w:rsid w:val="00085023"/>
    <w:rsid w:val="00085592"/>
    <w:rsid w:val="00085624"/>
    <w:rsid w:val="0008564C"/>
    <w:rsid w:val="00085821"/>
    <w:rsid w:val="00085B5B"/>
    <w:rsid w:val="000862AC"/>
    <w:rsid w:val="000864B8"/>
    <w:rsid w:val="000869D8"/>
    <w:rsid w:val="00086C4F"/>
    <w:rsid w:val="00087021"/>
    <w:rsid w:val="00087A08"/>
    <w:rsid w:val="00090A99"/>
    <w:rsid w:val="00091179"/>
    <w:rsid w:val="0009141A"/>
    <w:rsid w:val="00091BDA"/>
    <w:rsid w:val="000924E5"/>
    <w:rsid w:val="00092590"/>
    <w:rsid w:val="0009269A"/>
    <w:rsid w:val="000927D9"/>
    <w:rsid w:val="00092CD0"/>
    <w:rsid w:val="00092FC7"/>
    <w:rsid w:val="00093003"/>
    <w:rsid w:val="00094EB7"/>
    <w:rsid w:val="000950A7"/>
    <w:rsid w:val="00095480"/>
    <w:rsid w:val="000954D5"/>
    <w:rsid w:val="0009550F"/>
    <w:rsid w:val="00095747"/>
    <w:rsid w:val="00095778"/>
    <w:rsid w:val="00095A25"/>
    <w:rsid w:val="0009618D"/>
    <w:rsid w:val="000961F2"/>
    <w:rsid w:val="00096ED1"/>
    <w:rsid w:val="0009709B"/>
    <w:rsid w:val="0009778F"/>
    <w:rsid w:val="000A0441"/>
    <w:rsid w:val="000A0B8E"/>
    <w:rsid w:val="000A1206"/>
    <w:rsid w:val="000A1ECE"/>
    <w:rsid w:val="000A21E9"/>
    <w:rsid w:val="000A2927"/>
    <w:rsid w:val="000A2B24"/>
    <w:rsid w:val="000A2C6D"/>
    <w:rsid w:val="000A48A7"/>
    <w:rsid w:val="000A5537"/>
    <w:rsid w:val="000A599B"/>
    <w:rsid w:val="000A6BCB"/>
    <w:rsid w:val="000A6EE8"/>
    <w:rsid w:val="000A6F39"/>
    <w:rsid w:val="000A7726"/>
    <w:rsid w:val="000B00F8"/>
    <w:rsid w:val="000B05E2"/>
    <w:rsid w:val="000B11E0"/>
    <w:rsid w:val="000B1345"/>
    <w:rsid w:val="000B2568"/>
    <w:rsid w:val="000B2BAE"/>
    <w:rsid w:val="000B2BB0"/>
    <w:rsid w:val="000B381C"/>
    <w:rsid w:val="000B3E2A"/>
    <w:rsid w:val="000B428A"/>
    <w:rsid w:val="000B44C8"/>
    <w:rsid w:val="000B4591"/>
    <w:rsid w:val="000B4777"/>
    <w:rsid w:val="000B4988"/>
    <w:rsid w:val="000B5447"/>
    <w:rsid w:val="000B56CC"/>
    <w:rsid w:val="000B6142"/>
    <w:rsid w:val="000B6961"/>
    <w:rsid w:val="000B69EB"/>
    <w:rsid w:val="000B6B59"/>
    <w:rsid w:val="000B6DE4"/>
    <w:rsid w:val="000B73D3"/>
    <w:rsid w:val="000B7745"/>
    <w:rsid w:val="000B7AF7"/>
    <w:rsid w:val="000C0173"/>
    <w:rsid w:val="000C01EA"/>
    <w:rsid w:val="000C0559"/>
    <w:rsid w:val="000C1C71"/>
    <w:rsid w:val="000C1EE4"/>
    <w:rsid w:val="000C2446"/>
    <w:rsid w:val="000C2FC5"/>
    <w:rsid w:val="000C3360"/>
    <w:rsid w:val="000C3C43"/>
    <w:rsid w:val="000C3D9C"/>
    <w:rsid w:val="000C427C"/>
    <w:rsid w:val="000C4425"/>
    <w:rsid w:val="000C5044"/>
    <w:rsid w:val="000C50BE"/>
    <w:rsid w:val="000C580F"/>
    <w:rsid w:val="000C5F59"/>
    <w:rsid w:val="000C61EA"/>
    <w:rsid w:val="000C6975"/>
    <w:rsid w:val="000C6BA7"/>
    <w:rsid w:val="000C70F7"/>
    <w:rsid w:val="000C7CA5"/>
    <w:rsid w:val="000C7D81"/>
    <w:rsid w:val="000D1055"/>
    <w:rsid w:val="000D1275"/>
    <w:rsid w:val="000D12AA"/>
    <w:rsid w:val="000D1A7D"/>
    <w:rsid w:val="000D2309"/>
    <w:rsid w:val="000D2390"/>
    <w:rsid w:val="000D23AD"/>
    <w:rsid w:val="000D2C15"/>
    <w:rsid w:val="000D336F"/>
    <w:rsid w:val="000D350D"/>
    <w:rsid w:val="000D35B7"/>
    <w:rsid w:val="000D38F9"/>
    <w:rsid w:val="000D3B62"/>
    <w:rsid w:val="000D40F0"/>
    <w:rsid w:val="000D495E"/>
    <w:rsid w:val="000D4CFC"/>
    <w:rsid w:val="000D4E09"/>
    <w:rsid w:val="000D53B3"/>
    <w:rsid w:val="000D5864"/>
    <w:rsid w:val="000D58D2"/>
    <w:rsid w:val="000D5DD9"/>
    <w:rsid w:val="000D5E9A"/>
    <w:rsid w:val="000D6197"/>
    <w:rsid w:val="000D695F"/>
    <w:rsid w:val="000D6AF1"/>
    <w:rsid w:val="000D6DA4"/>
    <w:rsid w:val="000D7130"/>
    <w:rsid w:val="000E0040"/>
    <w:rsid w:val="000E01F1"/>
    <w:rsid w:val="000E0227"/>
    <w:rsid w:val="000E065D"/>
    <w:rsid w:val="000E0885"/>
    <w:rsid w:val="000E121E"/>
    <w:rsid w:val="000E14A4"/>
    <w:rsid w:val="000E14C6"/>
    <w:rsid w:val="000E166A"/>
    <w:rsid w:val="000E1759"/>
    <w:rsid w:val="000E1C23"/>
    <w:rsid w:val="000E2F34"/>
    <w:rsid w:val="000E301B"/>
    <w:rsid w:val="000E34E1"/>
    <w:rsid w:val="000E4687"/>
    <w:rsid w:val="000E4DE8"/>
    <w:rsid w:val="000E60B2"/>
    <w:rsid w:val="000E69FE"/>
    <w:rsid w:val="000E6C5E"/>
    <w:rsid w:val="000E6C9A"/>
    <w:rsid w:val="000E6EC0"/>
    <w:rsid w:val="000E7D2D"/>
    <w:rsid w:val="000F179C"/>
    <w:rsid w:val="000F1BE1"/>
    <w:rsid w:val="000F1FA3"/>
    <w:rsid w:val="000F2065"/>
    <w:rsid w:val="000F2359"/>
    <w:rsid w:val="000F2A88"/>
    <w:rsid w:val="000F2D1B"/>
    <w:rsid w:val="000F353A"/>
    <w:rsid w:val="000F3A80"/>
    <w:rsid w:val="000F3ADB"/>
    <w:rsid w:val="000F3FA1"/>
    <w:rsid w:val="000F4351"/>
    <w:rsid w:val="000F4752"/>
    <w:rsid w:val="000F48D9"/>
    <w:rsid w:val="000F4B7E"/>
    <w:rsid w:val="000F4E82"/>
    <w:rsid w:val="000F51DA"/>
    <w:rsid w:val="000F5577"/>
    <w:rsid w:val="000F565B"/>
    <w:rsid w:val="000F57BF"/>
    <w:rsid w:val="000F5A30"/>
    <w:rsid w:val="000F5F3F"/>
    <w:rsid w:val="000F67AA"/>
    <w:rsid w:val="001005C3"/>
    <w:rsid w:val="00100F63"/>
    <w:rsid w:val="001018E7"/>
    <w:rsid w:val="00101C3F"/>
    <w:rsid w:val="00101DD0"/>
    <w:rsid w:val="00102555"/>
    <w:rsid w:val="00102F06"/>
    <w:rsid w:val="00103DFC"/>
    <w:rsid w:val="001047E8"/>
    <w:rsid w:val="00104B2A"/>
    <w:rsid w:val="00104F15"/>
    <w:rsid w:val="001051A9"/>
    <w:rsid w:val="00105B3E"/>
    <w:rsid w:val="00105BA0"/>
    <w:rsid w:val="001061D3"/>
    <w:rsid w:val="00106748"/>
    <w:rsid w:val="001075B1"/>
    <w:rsid w:val="00107D54"/>
    <w:rsid w:val="00110079"/>
    <w:rsid w:val="00110173"/>
    <w:rsid w:val="00110A90"/>
    <w:rsid w:val="0011108B"/>
    <w:rsid w:val="001111F7"/>
    <w:rsid w:val="00111A14"/>
    <w:rsid w:val="001138DA"/>
    <w:rsid w:val="00114744"/>
    <w:rsid w:val="00115711"/>
    <w:rsid w:val="0011585F"/>
    <w:rsid w:val="00115A55"/>
    <w:rsid w:val="00115AD7"/>
    <w:rsid w:val="00116971"/>
    <w:rsid w:val="001172D4"/>
    <w:rsid w:val="00117316"/>
    <w:rsid w:val="00117A19"/>
    <w:rsid w:val="00117B70"/>
    <w:rsid w:val="001208AF"/>
    <w:rsid w:val="00120A84"/>
    <w:rsid w:val="00121047"/>
    <w:rsid w:val="001212EF"/>
    <w:rsid w:val="001215C5"/>
    <w:rsid w:val="001217DC"/>
    <w:rsid w:val="00121AA9"/>
    <w:rsid w:val="0012203F"/>
    <w:rsid w:val="00122873"/>
    <w:rsid w:val="00122EAA"/>
    <w:rsid w:val="00123243"/>
    <w:rsid w:val="00123CC6"/>
    <w:rsid w:val="001241FC"/>
    <w:rsid w:val="00125202"/>
    <w:rsid w:val="00125C68"/>
    <w:rsid w:val="00125C8A"/>
    <w:rsid w:val="00125E74"/>
    <w:rsid w:val="00126080"/>
    <w:rsid w:val="001264D8"/>
    <w:rsid w:val="00126953"/>
    <w:rsid w:val="00126AD5"/>
    <w:rsid w:val="00126C43"/>
    <w:rsid w:val="00126E4A"/>
    <w:rsid w:val="00126EEB"/>
    <w:rsid w:val="00127777"/>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75DE"/>
    <w:rsid w:val="001400C7"/>
    <w:rsid w:val="0014046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20F3"/>
    <w:rsid w:val="00152CBF"/>
    <w:rsid w:val="0015305A"/>
    <w:rsid w:val="001530CC"/>
    <w:rsid w:val="001530FC"/>
    <w:rsid w:val="00153212"/>
    <w:rsid w:val="00153237"/>
    <w:rsid w:val="00153387"/>
    <w:rsid w:val="0015340E"/>
    <w:rsid w:val="0015359C"/>
    <w:rsid w:val="00154156"/>
    <w:rsid w:val="00154CC9"/>
    <w:rsid w:val="00155965"/>
    <w:rsid w:val="001559C0"/>
    <w:rsid w:val="001560F0"/>
    <w:rsid w:val="00156D80"/>
    <w:rsid w:val="00157E23"/>
    <w:rsid w:val="00157FC3"/>
    <w:rsid w:val="0016028E"/>
    <w:rsid w:val="00160352"/>
    <w:rsid w:val="00160854"/>
    <w:rsid w:val="00160EAC"/>
    <w:rsid w:val="001610A3"/>
    <w:rsid w:val="00161C84"/>
    <w:rsid w:val="001621FE"/>
    <w:rsid w:val="001623F2"/>
    <w:rsid w:val="00162651"/>
    <w:rsid w:val="001626BD"/>
    <w:rsid w:val="001635AE"/>
    <w:rsid w:val="001635DB"/>
    <w:rsid w:val="0016379F"/>
    <w:rsid w:val="00163812"/>
    <w:rsid w:val="00163865"/>
    <w:rsid w:val="0016482C"/>
    <w:rsid w:val="0016483A"/>
    <w:rsid w:val="00164A38"/>
    <w:rsid w:val="00164ABB"/>
    <w:rsid w:val="00164E23"/>
    <w:rsid w:val="001650F8"/>
    <w:rsid w:val="00165222"/>
    <w:rsid w:val="0016595F"/>
    <w:rsid w:val="00165A06"/>
    <w:rsid w:val="00166372"/>
    <w:rsid w:val="00166A2C"/>
    <w:rsid w:val="00167E9C"/>
    <w:rsid w:val="00170E88"/>
    <w:rsid w:val="00172D74"/>
    <w:rsid w:val="0017320F"/>
    <w:rsid w:val="0017350C"/>
    <w:rsid w:val="001746C2"/>
    <w:rsid w:val="0017584B"/>
    <w:rsid w:val="00175E0B"/>
    <w:rsid w:val="00175E43"/>
    <w:rsid w:val="00176286"/>
    <w:rsid w:val="00176BC7"/>
    <w:rsid w:val="00176EED"/>
    <w:rsid w:val="00176F9F"/>
    <w:rsid w:val="00177167"/>
    <w:rsid w:val="00180F96"/>
    <w:rsid w:val="00181A18"/>
    <w:rsid w:val="0018205E"/>
    <w:rsid w:val="00182A09"/>
    <w:rsid w:val="00182C7F"/>
    <w:rsid w:val="00182DC7"/>
    <w:rsid w:val="001834DC"/>
    <w:rsid w:val="00183959"/>
    <w:rsid w:val="00183C79"/>
    <w:rsid w:val="00183C8B"/>
    <w:rsid w:val="00183E75"/>
    <w:rsid w:val="00184465"/>
    <w:rsid w:val="001845CF"/>
    <w:rsid w:val="00184BF0"/>
    <w:rsid w:val="001857BB"/>
    <w:rsid w:val="001865BB"/>
    <w:rsid w:val="001868B4"/>
    <w:rsid w:val="00187339"/>
    <w:rsid w:val="00187438"/>
    <w:rsid w:val="00187518"/>
    <w:rsid w:val="00187941"/>
    <w:rsid w:val="00187A32"/>
    <w:rsid w:val="00190FB6"/>
    <w:rsid w:val="001912E3"/>
    <w:rsid w:val="001913D0"/>
    <w:rsid w:val="00191C85"/>
    <w:rsid w:val="001933A1"/>
    <w:rsid w:val="00193911"/>
    <w:rsid w:val="00194444"/>
    <w:rsid w:val="00194852"/>
    <w:rsid w:val="00194FD4"/>
    <w:rsid w:val="001952F2"/>
    <w:rsid w:val="001955EB"/>
    <w:rsid w:val="0019560F"/>
    <w:rsid w:val="00195AC6"/>
    <w:rsid w:val="00195D58"/>
    <w:rsid w:val="00195DED"/>
    <w:rsid w:val="00196B4E"/>
    <w:rsid w:val="00197BE9"/>
    <w:rsid w:val="00197F24"/>
    <w:rsid w:val="001A01E7"/>
    <w:rsid w:val="001A027A"/>
    <w:rsid w:val="001A0C05"/>
    <w:rsid w:val="001A0D2C"/>
    <w:rsid w:val="001A3425"/>
    <w:rsid w:val="001A35A9"/>
    <w:rsid w:val="001A398D"/>
    <w:rsid w:val="001A3F62"/>
    <w:rsid w:val="001A41EA"/>
    <w:rsid w:val="001A422B"/>
    <w:rsid w:val="001A440A"/>
    <w:rsid w:val="001A4441"/>
    <w:rsid w:val="001A4797"/>
    <w:rsid w:val="001A4A55"/>
    <w:rsid w:val="001A4F44"/>
    <w:rsid w:val="001A54DC"/>
    <w:rsid w:val="001A6A4F"/>
    <w:rsid w:val="001A76B7"/>
    <w:rsid w:val="001B0C8A"/>
    <w:rsid w:val="001B1339"/>
    <w:rsid w:val="001B197E"/>
    <w:rsid w:val="001B1FC5"/>
    <w:rsid w:val="001B2B6A"/>
    <w:rsid w:val="001B32B8"/>
    <w:rsid w:val="001B3CF4"/>
    <w:rsid w:val="001B41B1"/>
    <w:rsid w:val="001B4435"/>
    <w:rsid w:val="001B4A03"/>
    <w:rsid w:val="001B4AD1"/>
    <w:rsid w:val="001B5B57"/>
    <w:rsid w:val="001B6B20"/>
    <w:rsid w:val="001B783E"/>
    <w:rsid w:val="001B7BEC"/>
    <w:rsid w:val="001C04B2"/>
    <w:rsid w:val="001C0D59"/>
    <w:rsid w:val="001C0DED"/>
    <w:rsid w:val="001C11EB"/>
    <w:rsid w:val="001C17E0"/>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7E1"/>
    <w:rsid w:val="001C7ADA"/>
    <w:rsid w:val="001D06AA"/>
    <w:rsid w:val="001D12B2"/>
    <w:rsid w:val="001D13D0"/>
    <w:rsid w:val="001D1872"/>
    <w:rsid w:val="001D1C05"/>
    <w:rsid w:val="001D1C72"/>
    <w:rsid w:val="001D24A1"/>
    <w:rsid w:val="001D28A3"/>
    <w:rsid w:val="001D2C4D"/>
    <w:rsid w:val="001D2F0C"/>
    <w:rsid w:val="001D3543"/>
    <w:rsid w:val="001D46EF"/>
    <w:rsid w:val="001D4AF5"/>
    <w:rsid w:val="001D58E5"/>
    <w:rsid w:val="001D5FAE"/>
    <w:rsid w:val="001D6191"/>
    <w:rsid w:val="001D650B"/>
    <w:rsid w:val="001D65A3"/>
    <w:rsid w:val="001D6CA4"/>
    <w:rsid w:val="001D6F08"/>
    <w:rsid w:val="001D76AD"/>
    <w:rsid w:val="001D7A5C"/>
    <w:rsid w:val="001E086E"/>
    <w:rsid w:val="001E08AE"/>
    <w:rsid w:val="001E226F"/>
    <w:rsid w:val="001E24A9"/>
    <w:rsid w:val="001E2502"/>
    <w:rsid w:val="001E292F"/>
    <w:rsid w:val="001E3202"/>
    <w:rsid w:val="001E3EF7"/>
    <w:rsid w:val="001E474D"/>
    <w:rsid w:val="001E47E9"/>
    <w:rsid w:val="001E4C01"/>
    <w:rsid w:val="001E4F0E"/>
    <w:rsid w:val="001E5210"/>
    <w:rsid w:val="001E53B7"/>
    <w:rsid w:val="001E5580"/>
    <w:rsid w:val="001E56BC"/>
    <w:rsid w:val="001E582A"/>
    <w:rsid w:val="001E5A81"/>
    <w:rsid w:val="001E5AFC"/>
    <w:rsid w:val="001E72B2"/>
    <w:rsid w:val="001E72E6"/>
    <w:rsid w:val="001E7537"/>
    <w:rsid w:val="001E7EB4"/>
    <w:rsid w:val="001F0169"/>
    <w:rsid w:val="001F01B8"/>
    <w:rsid w:val="001F0349"/>
    <w:rsid w:val="001F0458"/>
    <w:rsid w:val="001F09FD"/>
    <w:rsid w:val="001F0B74"/>
    <w:rsid w:val="001F15EE"/>
    <w:rsid w:val="001F1A0D"/>
    <w:rsid w:val="001F1E59"/>
    <w:rsid w:val="001F2B19"/>
    <w:rsid w:val="001F3699"/>
    <w:rsid w:val="001F40A5"/>
    <w:rsid w:val="001F41F6"/>
    <w:rsid w:val="001F4EB8"/>
    <w:rsid w:val="001F59B4"/>
    <w:rsid w:val="001F59DC"/>
    <w:rsid w:val="001F6E89"/>
    <w:rsid w:val="001F6F6A"/>
    <w:rsid w:val="001F7595"/>
    <w:rsid w:val="00200B34"/>
    <w:rsid w:val="00200B4C"/>
    <w:rsid w:val="002019F2"/>
    <w:rsid w:val="00201C2A"/>
    <w:rsid w:val="00201CDA"/>
    <w:rsid w:val="002021A8"/>
    <w:rsid w:val="00202326"/>
    <w:rsid w:val="002027C7"/>
    <w:rsid w:val="00202E03"/>
    <w:rsid w:val="00203267"/>
    <w:rsid w:val="0020391D"/>
    <w:rsid w:val="00204482"/>
    <w:rsid w:val="002044BC"/>
    <w:rsid w:val="00204EFE"/>
    <w:rsid w:val="00204FAB"/>
    <w:rsid w:val="00205010"/>
    <w:rsid w:val="00205F9C"/>
    <w:rsid w:val="002063DA"/>
    <w:rsid w:val="00206F27"/>
    <w:rsid w:val="00207369"/>
    <w:rsid w:val="00207BDB"/>
    <w:rsid w:val="00207C8F"/>
    <w:rsid w:val="00210771"/>
    <w:rsid w:val="00211885"/>
    <w:rsid w:val="00211AB7"/>
    <w:rsid w:val="00211C59"/>
    <w:rsid w:val="0021428F"/>
    <w:rsid w:val="00214715"/>
    <w:rsid w:val="00214CBB"/>
    <w:rsid w:val="002154D6"/>
    <w:rsid w:val="00215699"/>
    <w:rsid w:val="002159DE"/>
    <w:rsid w:val="00215CE6"/>
    <w:rsid w:val="00215E99"/>
    <w:rsid w:val="0021637C"/>
    <w:rsid w:val="002166A6"/>
    <w:rsid w:val="00216A61"/>
    <w:rsid w:val="00216BB6"/>
    <w:rsid w:val="00216C30"/>
    <w:rsid w:val="00217B45"/>
    <w:rsid w:val="0022048B"/>
    <w:rsid w:val="00220692"/>
    <w:rsid w:val="00222078"/>
    <w:rsid w:val="00222103"/>
    <w:rsid w:val="00222261"/>
    <w:rsid w:val="002223F5"/>
    <w:rsid w:val="00222616"/>
    <w:rsid w:val="00222D3C"/>
    <w:rsid w:val="002237D3"/>
    <w:rsid w:val="00223960"/>
    <w:rsid w:val="00223B07"/>
    <w:rsid w:val="0022436A"/>
    <w:rsid w:val="00224E52"/>
    <w:rsid w:val="00225736"/>
    <w:rsid w:val="00225884"/>
    <w:rsid w:val="0022590D"/>
    <w:rsid w:val="00225E64"/>
    <w:rsid w:val="002267CE"/>
    <w:rsid w:val="002272AB"/>
    <w:rsid w:val="00227D49"/>
    <w:rsid w:val="00227FC7"/>
    <w:rsid w:val="00230C43"/>
    <w:rsid w:val="002314FD"/>
    <w:rsid w:val="00231503"/>
    <w:rsid w:val="00231740"/>
    <w:rsid w:val="002319E6"/>
    <w:rsid w:val="002325A8"/>
    <w:rsid w:val="00232EED"/>
    <w:rsid w:val="002341F6"/>
    <w:rsid w:val="0023440D"/>
    <w:rsid w:val="002347B1"/>
    <w:rsid w:val="00234DDE"/>
    <w:rsid w:val="0023552A"/>
    <w:rsid w:val="00235A21"/>
    <w:rsid w:val="00235D25"/>
    <w:rsid w:val="00235E13"/>
    <w:rsid w:val="00236E72"/>
    <w:rsid w:val="00236F13"/>
    <w:rsid w:val="0023706D"/>
    <w:rsid w:val="002372F4"/>
    <w:rsid w:val="0024029A"/>
    <w:rsid w:val="002407C8"/>
    <w:rsid w:val="002417F8"/>
    <w:rsid w:val="00241FC8"/>
    <w:rsid w:val="00242328"/>
    <w:rsid w:val="0024324A"/>
    <w:rsid w:val="002440FD"/>
    <w:rsid w:val="002446A3"/>
    <w:rsid w:val="0024472B"/>
    <w:rsid w:val="002449D0"/>
    <w:rsid w:val="00244E56"/>
    <w:rsid w:val="002454BE"/>
    <w:rsid w:val="00245C4C"/>
    <w:rsid w:val="00246221"/>
    <w:rsid w:val="00246447"/>
    <w:rsid w:val="00246A8C"/>
    <w:rsid w:val="00246CCD"/>
    <w:rsid w:val="002478E5"/>
    <w:rsid w:val="00247C65"/>
    <w:rsid w:val="0025073C"/>
    <w:rsid w:val="00250F42"/>
    <w:rsid w:val="00250FD2"/>
    <w:rsid w:val="00251A8F"/>
    <w:rsid w:val="00252011"/>
    <w:rsid w:val="00253EA0"/>
    <w:rsid w:val="00254B44"/>
    <w:rsid w:val="00254E99"/>
    <w:rsid w:val="0025597B"/>
    <w:rsid w:val="00255BAF"/>
    <w:rsid w:val="0025753B"/>
    <w:rsid w:val="00257AAE"/>
    <w:rsid w:val="0026010B"/>
    <w:rsid w:val="0026027A"/>
    <w:rsid w:val="00260423"/>
    <w:rsid w:val="00260533"/>
    <w:rsid w:val="00260ED8"/>
    <w:rsid w:val="002615F8"/>
    <w:rsid w:val="00261A54"/>
    <w:rsid w:val="00261D37"/>
    <w:rsid w:val="00261E00"/>
    <w:rsid w:val="00262EB0"/>
    <w:rsid w:val="00263081"/>
    <w:rsid w:val="002632C8"/>
    <w:rsid w:val="00263607"/>
    <w:rsid w:val="00263874"/>
    <w:rsid w:val="00263D34"/>
    <w:rsid w:val="00263EF1"/>
    <w:rsid w:val="0026411A"/>
    <w:rsid w:val="00264163"/>
    <w:rsid w:val="00264FC8"/>
    <w:rsid w:val="002654E8"/>
    <w:rsid w:val="002656E1"/>
    <w:rsid w:val="00265CFF"/>
    <w:rsid w:val="002674E3"/>
    <w:rsid w:val="00267755"/>
    <w:rsid w:val="002705FE"/>
    <w:rsid w:val="002706F0"/>
    <w:rsid w:val="002713DB"/>
    <w:rsid w:val="002715AC"/>
    <w:rsid w:val="00272219"/>
    <w:rsid w:val="0027238C"/>
    <w:rsid w:val="00272D7E"/>
    <w:rsid w:val="00273278"/>
    <w:rsid w:val="00273AFD"/>
    <w:rsid w:val="002741A0"/>
    <w:rsid w:val="002746D8"/>
    <w:rsid w:val="00275343"/>
    <w:rsid w:val="00275641"/>
    <w:rsid w:val="002762E6"/>
    <w:rsid w:val="00276AE0"/>
    <w:rsid w:val="00276D6A"/>
    <w:rsid w:val="00277E64"/>
    <w:rsid w:val="00280AB5"/>
    <w:rsid w:val="00280B32"/>
    <w:rsid w:val="002811A8"/>
    <w:rsid w:val="0028218E"/>
    <w:rsid w:val="002821E9"/>
    <w:rsid w:val="00282B10"/>
    <w:rsid w:val="00285523"/>
    <w:rsid w:val="002857C6"/>
    <w:rsid w:val="002868A6"/>
    <w:rsid w:val="002868BE"/>
    <w:rsid w:val="0028710F"/>
    <w:rsid w:val="00287282"/>
    <w:rsid w:val="002872C3"/>
    <w:rsid w:val="002900C8"/>
    <w:rsid w:val="002903E2"/>
    <w:rsid w:val="0029077C"/>
    <w:rsid w:val="002908A7"/>
    <w:rsid w:val="00290FB5"/>
    <w:rsid w:val="002913FD"/>
    <w:rsid w:val="00291D71"/>
    <w:rsid w:val="00292115"/>
    <w:rsid w:val="00292F66"/>
    <w:rsid w:val="0029315D"/>
    <w:rsid w:val="00293D6E"/>
    <w:rsid w:val="00293E79"/>
    <w:rsid w:val="0029421A"/>
    <w:rsid w:val="0029449E"/>
    <w:rsid w:val="00294C8B"/>
    <w:rsid w:val="00294E8F"/>
    <w:rsid w:val="0029504D"/>
    <w:rsid w:val="0029570C"/>
    <w:rsid w:val="002965E0"/>
    <w:rsid w:val="00296F46"/>
    <w:rsid w:val="00296F8A"/>
    <w:rsid w:val="002A05C9"/>
    <w:rsid w:val="002A12BA"/>
    <w:rsid w:val="002A180F"/>
    <w:rsid w:val="002A1873"/>
    <w:rsid w:val="002A1954"/>
    <w:rsid w:val="002A1AE1"/>
    <w:rsid w:val="002A1B01"/>
    <w:rsid w:val="002A2060"/>
    <w:rsid w:val="002A2857"/>
    <w:rsid w:val="002A2D7B"/>
    <w:rsid w:val="002A353A"/>
    <w:rsid w:val="002A367A"/>
    <w:rsid w:val="002A391D"/>
    <w:rsid w:val="002A3B40"/>
    <w:rsid w:val="002A40BC"/>
    <w:rsid w:val="002A4404"/>
    <w:rsid w:val="002A51E9"/>
    <w:rsid w:val="002A52E3"/>
    <w:rsid w:val="002A5425"/>
    <w:rsid w:val="002A547D"/>
    <w:rsid w:val="002A556E"/>
    <w:rsid w:val="002A5B44"/>
    <w:rsid w:val="002A5CA0"/>
    <w:rsid w:val="002A63AF"/>
    <w:rsid w:val="002A6953"/>
    <w:rsid w:val="002A6AD1"/>
    <w:rsid w:val="002A6FBE"/>
    <w:rsid w:val="002A7869"/>
    <w:rsid w:val="002A7BB5"/>
    <w:rsid w:val="002A7F5B"/>
    <w:rsid w:val="002B0D78"/>
    <w:rsid w:val="002B0D89"/>
    <w:rsid w:val="002B0F46"/>
    <w:rsid w:val="002B1BB2"/>
    <w:rsid w:val="002B2078"/>
    <w:rsid w:val="002B22D4"/>
    <w:rsid w:val="002B2334"/>
    <w:rsid w:val="002B291F"/>
    <w:rsid w:val="002B2E6C"/>
    <w:rsid w:val="002B3178"/>
    <w:rsid w:val="002B37A1"/>
    <w:rsid w:val="002B3A68"/>
    <w:rsid w:val="002B3C14"/>
    <w:rsid w:val="002B3C46"/>
    <w:rsid w:val="002B3FD0"/>
    <w:rsid w:val="002B43FA"/>
    <w:rsid w:val="002B4DA2"/>
    <w:rsid w:val="002B5C84"/>
    <w:rsid w:val="002B65D8"/>
    <w:rsid w:val="002B6B22"/>
    <w:rsid w:val="002B73B2"/>
    <w:rsid w:val="002B7969"/>
    <w:rsid w:val="002C06D1"/>
    <w:rsid w:val="002C0BB1"/>
    <w:rsid w:val="002C197B"/>
    <w:rsid w:val="002C1CB2"/>
    <w:rsid w:val="002C243F"/>
    <w:rsid w:val="002C2DB8"/>
    <w:rsid w:val="002C3066"/>
    <w:rsid w:val="002C31E5"/>
    <w:rsid w:val="002C41DC"/>
    <w:rsid w:val="002C423C"/>
    <w:rsid w:val="002C4822"/>
    <w:rsid w:val="002C4CA9"/>
    <w:rsid w:val="002C5A63"/>
    <w:rsid w:val="002C5E40"/>
    <w:rsid w:val="002C5E6E"/>
    <w:rsid w:val="002C63F6"/>
    <w:rsid w:val="002C6B9F"/>
    <w:rsid w:val="002C738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1CCE"/>
    <w:rsid w:val="002D2F9B"/>
    <w:rsid w:val="002D34D0"/>
    <w:rsid w:val="002D3B3F"/>
    <w:rsid w:val="002D3EC8"/>
    <w:rsid w:val="002D403E"/>
    <w:rsid w:val="002D4325"/>
    <w:rsid w:val="002D45BF"/>
    <w:rsid w:val="002D4776"/>
    <w:rsid w:val="002D4A85"/>
    <w:rsid w:val="002D4E7E"/>
    <w:rsid w:val="002D553B"/>
    <w:rsid w:val="002D64DF"/>
    <w:rsid w:val="002D6857"/>
    <w:rsid w:val="002D6EBB"/>
    <w:rsid w:val="002D71F8"/>
    <w:rsid w:val="002E000C"/>
    <w:rsid w:val="002E02AA"/>
    <w:rsid w:val="002E0BB3"/>
    <w:rsid w:val="002E0C9F"/>
    <w:rsid w:val="002E13E0"/>
    <w:rsid w:val="002E1950"/>
    <w:rsid w:val="002E2864"/>
    <w:rsid w:val="002E2900"/>
    <w:rsid w:val="002E2D4A"/>
    <w:rsid w:val="002E38DB"/>
    <w:rsid w:val="002E39E2"/>
    <w:rsid w:val="002E43C7"/>
    <w:rsid w:val="002E4586"/>
    <w:rsid w:val="002E4708"/>
    <w:rsid w:val="002E4F35"/>
    <w:rsid w:val="002E5256"/>
    <w:rsid w:val="002E5271"/>
    <w:rsid w:val="002E538F"/>
    <w:rsid w:val="002E539A"/>
    <w:rsid w:val="002E55DD"/>
    <w:rsid w:val="002E5995"/>
    <w:rsid w:val="002E5E77"/>
    <w:rsid w:val="002E5F31"/>
    <w:rsid w:val="002E7B71"/>
    <w:rsid w:val="002E7EA2"/>
    <w:rsid w:val="002F059B"/>
    <w:rsid w:val="002F068B"/>
    <w:rsid w:val="002F0DB1"/>
    <w:rsid w:val="002F0F75"/>
    <w:rsid w:val="002F0FA6"/>
    <w:rsid w:val="002F108D"/>
    <w:rsid w:val="002F117A"/>
    <w:rsid w:val="002F127D"/>
    <w:rsid w:val="002F12EB"/>
    <w:rsid w:val="002F14F5"/>
    <w:rsid w:val="002F2B7A"/>
    <w:rsid w:val="002F3105"/>
    <w:rsid w:val="002F33CD"/>
    <w:rsid w:val="002F37D0"/>
    <w:rsid w:val="002F3D59"/>
    <w:rsid w:val="002F414F"/>
    <w:rsid w:val="002F4604"/>
    <w:rsid w:val="002F4675"/>
    <w:rsid w:val="002F485F"/>
    <w:rsid w:val="002F493D"/>
    <w:rsid w:val="002F49C5"/>
    <w:rsid w:val="002F4D9F"/>
    <w:rsid w:val="002F54F6"/>
    <w:rsid w:val="002F554B"/>
    <w:rsid w:val="002F572A"/>
    <w:rsid w:val="002F5836"/>
    <w:rsid w:val="002F5892"/>
    <w:rsid w:val="002F5EB8"/>
    <w:rsid w:val="002F6071"/>
    <w:rsid w:val="002F654B"/>
    <w:rsid w:val="002F6F94"/>
    <w:rsid w:val="002F72FF"/>
    <w:rsid w:val="002F79CC"/>
    <w:rsid w:val="002F7AE0"/>
    <w:rsid w:val="002F7BE7"/>
    <w:rsid w:val="002F7C59"/>
    <w:rsid w:val="002F7F8F"/>
    <w:rsid w:val="00300149"/>
    <w:rsid w:val="00300212"/>
    <w:rsid w:val="00300264"/>
    <w:rsid w:val="003014B1"/>
    <w:rsid w:val="003019D9"/>
    <w:rsid w:val="0030242B"/>
    <w:rsid w:val="00302595"/>
    <w:rsid w:val="00303041"/>
    <w:rsid w:val="003030F5"/>
    <w:rsid w:val="003033D1"/>
    <w:rsid w:val="003036F3"/>
    <w:rsid w:val="00303F4C"/>
    <w:rsid w:val="00304222"/>
    <w:rsid w:val="0030463E"/>
    <w:rsid w:val="00304AB6"/>
    <w:rsid w:val="00304ED6"/>
    <w:rsid w:val="003050C0"/>
    <w:rsid w:val="003062A7"/>
    <w:rsid w:val="003064BF"/>
    <w:rsid w:val="00306521"/>
    <w:rsid w:val="00307223"/>
    <w:rsid w:val="00307B47"/>
    <w:rsid w:val="0031034B"/>
    <w:rsid w:val="003107C6"/>
    <w:rsid w:val="00310825"/>
    <w:rsid w:val="00311993"/>
    <w:rsid w:val="00312079"/>
    <w:rsid w:val="0031239E"/>
    <w:rsid w:val="003123BD"/>
    <w:rsid w:val="00312AB8"/>
    <w:rsid w:val="00313197"/>
    <w:rsid w:val="0031398C"/>
    <w:rsid w:val="00313CE4"/>
    <w:rsid w:val="00313D9B"/>
    <w:rsid w:val="00313E76"/>
    <w:rsid w:val="00313F79"/>
    <w:rsid w:val="00314410"/>
    <w:rsid w:val="00314547"/>
    <w:rsid w:val="00315212"/>
    <w:rsid w:val="00315A06"/>
    <w:rsid w:val="00315CD2"/>
    <w:rsid w:val="00316600"/>
    <w:rsid w:val="003166C1"/>
    <w:rsid w:val="003167AA"/>
    <w:rsid w:val="00316A8B"/>
    <w:rsid w:val="00316BF6"/>
    <w:rsid w:val="0031733B"/>
    <w:rsid w:val="00317E87"/>
    <w:rsid w:val="0032081F"/>
    <w:rsid w:val="00320912"/>
    <w:rsid w:val="00322121"/>
    <w:rsid w:val="003222C2"/>
    <w:rsid w:val="003225FB"/>
    <w:rsid w:val="00322EEB"/>
    <w:rsid w:val="00323503"/>
    <w:rsid w:val="003235CB"/>
    <w:rsid w:val="00323759"/>
    <w:rsid w:val="00323A7C"/>
    <w:rsid w:val="00323C32"/>
    <w:rsid w:val="00323FC7"/>
    <w:rsid w:val="00324071"/>
    <w:rsid w:val="00324A1D"/>
    <w:rsid w:val="00325574"/>
    <w:rsid w:val="00325742"/>
    <w:rsid w:val="00325B63"/>
    <w:rsid w:val="00326196"/>
    <w:rsid w:val="00326240"/>
    <w:rsid w:val="00326544"/>
    <w:rsid w:val="003278A1"/>
    <w:rsid w:val="00327909"/>
    <w:rsid w:val="00327AB3"/>
    <w:rsid w:val="00330D77"/>
    <w:rsid w:val="00331120"/>
    <w:rsid w:val="00331E0F"/>
    <w:rsid w:val="00331E9D"/>
    <w:rsid w:val="003327DF"/>
    <w:rsid w:val="00332FCC"/>
    <w:rsid w:val="0033371C"/>
    <w:rsid w:val="00333875"/>
    <w:rsid w:val="0033592F"/>
    <w:rsid w:val="003369FF"/>
    <w:rsid w:val="00336AEA"/>
    <w:rsid w:val="00336B35"/>
    <w:rsid w:val="003373AC"/>
    <w:rsid w:val="0033758C"/>
    <w:rsid w:val="0033764B"/>
    <w:rsid w:val="00337A00"/>
    <w:rsid w:val="00340778"/>
    <w:rsid w:val="00340B2C"/>
    <w:rsid w:val="00340B44"/>
    <w:rsid w:val="0034134C"/>
    <w:rsid w:val="003414CC"/>
    <w:rsid w:val="00341614"/>
    <w:rsid w:val="0034170C"/>
    <w:rsid w:val="00341A2A"/>
    <w:rsid w:val="00341CED"/>
    <w:rsid w:val="00342759"/>
    <w:rsid w:val="00342DC1"/>
    <w:rsid w:val="00343BDF"/>
    <w:rsid w:val="00343F41"/>
    <w:rsid w:val="0034459F"/>
    <w:rsid w:val="00344FD2"/>
    <w:rsid w:val="00345300"/>
    <w:rsid w:val="00345424"/>
    <w:rsid w:val="003459F3"/>
    <w:rsid w:val="00345EA7"/>
    <w:rsid w:val="0034625F"/>
    <w:rsid w:val="0034652C"/>
    <w:rsid w:val="0034765D"/>
    <w:rsid w:val="003478BD"/>
    <w:rsid w:val="00347D0E"/>
    <w:rsid w:val="00347F10"/>
    <w:rsid w:val="0035067B"/>
    <w:rsid w:val="00350D8B"/>
    <w:rsid w:val="00350E0D"/>
    <w:rsid w:val="0035179E"/>
    <w:rsid w:val="00351B01"/>
    <w:rsid w:val="00351FB4"/>
    <w:rsid w:val="003528EA"/>
    <w:rsid w:val="00352B65"/>
    <w:rsid w:val="00352C63"/>
    <w:rsid w:val="003530E5"/>
    <w:rsid w:val="00353878"/>
    <w:rsid w:val="00353A00"/>
    <w:rsid w:val="00353ECD"/>
    <w:rsid w:val="0035470F"/>
    <w:rsid w:val="00354A1F"/>
    <w:rsid w:val="00355189"/>
    <w:rsid w:val="00355567"/>
    <w:rsid w:val="00355B11"/>
    <w:rsid w:val="00355B28"/>
    <w:rsid w:val="00356117"/>
    <w:rsid w:val="00357DFD"/>
    <w:rsid w:val="00357E85"/>
    <w:rsid w:val="00360494"/>
    <w:rsid w:val="00360A6C"/>
    <w:rsid w:val="003626C0"/>
    <w:rsid w:val="00362C5E"/>
    <w:rsid w:val="00362E6F"/>
    <w:rsid w:val="00362FA9"/>
    <w:rsid w:val="00363417"/>
    <w:rsid w:val="003635F2"/>
    <w:rsid w:val="003639E5"/>
    <w:rsid w:val="00363D7A"/>
    <w:rsid w:val="00363F6E"/>
    <w:rsid w:val="0036404A"/>
    <w:rsid w:val="003640A7"/>
    <w:rsid w:val="00364EA5"/>
    <w:rsid w:val="0036508D"/>
    <w:rsid w:val="003650E8"/>
    <w:rsid w:val="003651C8"/>
    <w:rsid w:val="003652EA"/>
    <w:rsid w:val="00365A25"/>
    <w:rsid w:val="00365B48"/>
    <w:rsid w:val="00366BD8"/>
    <w:rsid w:val="00366CAC"/>
    <w:rsid w:val="00367440"/>
    <w:rsid w:val="00367894"/>
    <w:rsid w:val="003679BA"/>
    <w:rsid w:val="00367C39"/>
    <w:rsid w:val="003700A3"/>
    <w:rsid w:val="00370217"/>
    <w:rsid w:val="00370290"/>
    <w:rsid w:val="00370B40"/>
    <w:rsid w:val="0037240A"/>
    <w:rsid w:val="003730D6"/>
    <w:rsid w:val="00373411"/>
    <w:rsid w:val="00373D40"/>
    <w:rsid w:val="00373F7A"/>
    <w:rsid w:val="00374251"/>
    <w:rsid w:val="003744B3"/>
    <w:rsid w:val="003745F4"/>
    <w:rsid w:val="00375FD5"/>
    <w:rsid w:val="00376E2B"/>
    <w:rsid w:val="0037769E"/>
    <w:rsid w:val="00377BE4"/>
    <w:rsid w:val="00380094"/>
    <w:rsid w:val="003800F0"/>
    <w:rsid w:val="00382306"/>
    <w:rsid w:val="00382586"/>
    <w:rsid w:val="0038292B"/>
    <w:rsid w:val="00382B86"/>
    <w:rsid w:val="00383071"/>
    <w:rsid w:val="003832EF"/>
    <w:rsid w:val="003837F4"/>
    <w:rsid w:val="003845A4"/>
    <w:rsid w:val="003846D9"/>
    <w:rsid w:val="00384F9D"/>
    <w:rsid w:val="0038564A"/>
    <w:rsid w:val="0038576C"/>
    <w:rsid w:val="00385800"/>
    <w:rsid w:val="00385B99"/>
    <w:rsid w:val="00385F39"/>
    <w:rsid w:val="0038743E"/>
    <w:rsid w:val="003879DF"/>
    <w:rsid w:val="00387DFA"/>
    <w:rsid w:val="0039083F"/>
    <w:rsid w:val="00390D65"/>
    <w:rsid w:val="00391374"/>
    <w:rsid w:val="00391FAB"/>
    <w:rsid w:val="00392050"/>
    <w:rsid w:val="00392539"/>
    <w:rsid w:val="00392677"/>
    <w:rsid w:val="0039365B"/>
    <w:rsid w:val="003936EA"/>
    <w:rsid w:val="00393987"/>
    <w:rsid w:val="00393F57"/>
    <w:rsid w:val="003940F7"/>
    <w:rsid w:val="00394981"/>
    <w:rsid w:val="003953A8"/>
    <w:rsid w:val="00395954"/>
    <w:rsid w:val="00395E7E"/>
    <w:rsid w:val="003965D8"/>
    <w:rsid w:val="00396766"/>
    <w:rsid w:val="003968D5"/>
    <w:rsid w:val="00396D6E"/>
    <w:rsid w:val="00396FF0"/>
    <w:rsid w:val="0039788E"/>
    <w:rsid w:val="00397F3C"/>
    <w:rsid w:val="003A0257"/>
    <w:rsid w:val="003A0529"/>
    <w:rsid w:val="003A0614"/>
    <w:rsid w:val="003A0962"/>
    <w:rsid w:val="003A2385"/>
    <w:rsid w:val="003A3551"/>
    <w:rsid w:val="003A37E9"/>
    <w:rsid w:val="003A38F0"/>
    <w:rsid w:val="003A42F3"/>
    <w:rsid w:val="003A443D"/>
    <w:rsid w:val="003A447D"/>
    <w:rsid w:val="003A486A"/>
    <w:rsid w:val="003A4932"/>
    <w:rsid w:val="003A556D"/>
    <w:rsid w:val="003A5723"/>
    <w:rsid w:val="003A6495"/>
    <w:rsid w:val="003A6627"/>
    <w:rsid w:val="003A6A5A"/>
    <w:rsid w:val="003A7025"/>
    <w:rsid w:val="003A72E9"/>
    <w:rsid w:val="003B0173"/>
    <w:rsid w:val="003B0398"/>
    <w:rsid w:val="003B0DA5"/>
    <w:rsid w:val="003B0E74"/>
    <w:rsid w:val="003B30C6"/>
    <w:rsid w:val="003B4A4A"/>
    <w:rsid w:val="003B53A5"/>
    <w:rsid w:val="003B59EE"/>
    <w:rsid w:val="003B5B72"/>
    <w:rsid w:val="003B5C06"/>
    <w:rsid w:val="003B5E4C"/>
    <w:rsid w:val="003B6D71"/>
    <w:rsid w:val="003B6EF2"/>
    <w:rsid w:val="003B7E7A"/>
    <w:rsid w:val="003C0463"/>
    <w:rsid w:val="003C05F5"/>
    <w:rsid w:val="003C0905"/>
    <w:rsid w:val="003C0F5F"/>
    <w:rsid w:val="003C1CBE"/>
    <w:rsid w:val="003C1EAF"/>
    <w:rsid w:val="003C3460"/>
    <w:rsid w:val="003C346B"/>
    <w:rsid w:val="003C40EE"/>
    <w:rsid w:val="003C4206"/>
    <w:rsid w:val="003C42F7"/>
    <w:rsid w:val="003C479F"/>
    <w:rsid w:val="003C4884"/>
    <w:rsid w:val="003C4F80"/>
    <w:rsid w:val="003C5092"/>
    <w:rsid w:val="003C57B3"/>
    <w:rsid w:val="003C5A73"/>
    <w:rsid w:val="003C5DEF"/>
    <w:rsid w:val="003C641E"/>
    <w:rsid w:val="003C6C81"/>
    <w:rsid w:val="003C6F33"/>
    <w:rsid w:val="003C718E"/>
    <w:rsid w:val="003D047F"/>
    <w:rsid w:val="003D0748"/>
    <w:rsid w:val="003D0FBC"/>
    <w:rsid w:val="003D2333"/>
    <w:rsid w:val="003D2FBA"/>
    <w:rsid w:val="003D3161"/>
    <w:rsid w:val="003D3227"/>
    <w:rsid w:val="003D36B8"/>
    <w:rsid w:val="003D3A55"/>
    <w:rsid w:val="003D408F"/>
    <w:rsid w:val="003D4347"/>
    <w:rsid w:val="003D5393"/>
    <w:rsid w:val="003D5413"/>
    <w:rsid w:val="003D54E0"/>
    <w:rsid w:val="003D5996"/>
    <w:rsid w:val="003D5D5D"/>
    <w:rsid w:val="003D6407"/>
    <w:rsid w:val="003D647A"/>
    <w:rsid w:val="003D6A90"/>
    <w:rsid w:val="003D6B1D"/>
    <w:rsid w:val="003D6E30"/>
    <w:rsid w:val="003D70B5"/>
    <w:rsid w:val="003D753B"/>
    <w:rsid w:val="003D7B41"/>
    <w:rsid w:val="003D7B45"/>
    <w:rsid w:val="003E03E3"/>
    <w:rsid w:val="003E05FE"/>
    <w:rsid w:val="003E0CD7"/>
    <w:rsid w:val="003E14F0"/>
    <w:rsid w:val="003E32D8"/>
    <w:rsid w:val="003E389E"/>
    <w:rsid w:val="003E3A04"/>
    <w:rsid w:val="003E3B65"/>
    <w:rsid w:val="003E3C78"/>
    <w:rsid w:val="003E3E19"/>
    <w:rsid w:val="003E427F"/>
    <w:rsid w:val="003E47DE"/>
    <w:rsid w:val="003E4CFE"/>
    <w:rsid w:val="003E4F42"/>
    <w:rsid w:val="003E5075"/>
    <w:rsid w:val="003E5233"/>
    <w:rsid w:val="003E5F95"/>
    <w:rsid w:val="003E61FD"/>
    <w:rsid w:val="003E6F0B"/>
    <w:rsid w:val="003E7790"/>
    <w:rsid w:val="003F0031"/>
    <w:rsid w:val="003F00D4"/>
    <w:rsid w:val="003F00DF"/>
    <w:rsid w:val="003F018C"/>
    <w:rsid w:val="003F058E"/>
    <w:rsid w:val="003F09CB"/>
    <w:rsid w:val="003F10D3"/>
    <w:rsid w:val="003F1150"/>
    <w:rsid w:val="003F140D"/>
    <w:rsid w:val="003F143C"/>
    <w:rsid w:val="003F1548"/>
    <w:rsid w:val="003F176D"/>
    <w:rsid w:val="003F1E1C"/>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ECC"/>
    <w:rsid w:val="003F7EFA"/>
    <w:rsid w:val="0040003D"/>
    <w:rsid w:val="00400C90"/>
    <w:rsid w:val="004015EE"/>
    <w:rsid w:val="004019E3"/>
    <w:rsid w:val="00402D65"/>
    <w:rsid w:val="00402E02"/>
    <w:rsid w:val="00403364"/>
    <w:rsid w:val="00403780"/>
    <w:rsid w:val="00403941"/>
    <w:rsid w:val="00403971"/>
    <w:rsid w:val="00403B73"/>
    <w:rsid w:val="0040415C"/>
    <w:rsid w:val="00404D74"/>
    <w:rsid w:val="0040518A"/>
    <w:rsid w:val="004056F3"/>
    <w:rsid w:val="0040616D"/>
    <w:rsid w:val="00406EF0"/>
    <w:rsid w:val="00407760"/>
    <w:rsid w:val="00410A27"/>
    <w:rsid w:val="00410CB2"/>
    <w:rsid w:val="00411285"/>
    <w:rsid w:val="00411BB1"/>
    <w:rsid w:val="004126A1"/>
    <w:rsid w:val="00412FD1"/>
    <w:rsid w:val="00414210"/>
    <w:rsid w:val="0041444D"/>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769"/>
    <w:rsid w:val="00417A3D"/>
    <w:rsid w:val="004202A7"/>
    <w:rsid w:val="00420819"/>
    <w:rsid w:val="004214D3"/>
    <w:rsid w:val="004215BB"/>
    <w:rsid w:val="0042173F"/>
    <w:rsid w:val="0042192C"/>
    <w:rsid w:val="00421C37"/>
    <w:rsid w:val="00421EF2"/>
    <w:rsid w:val="0042241E"/>
    <w:rsid w:val="00422668"/>
    <w:rsid w:val="00422A8C"/>
    <w:rsid w:val="00422BD3"/>
    <w:rsid w:val="00422EC3"/>
    <w:rsid w:val="004230B6"/>
    <w:rsid w:val="004235A9"/>
    <w:rsid w:val="004235EE"/>
    <w:rsid w:val="00423782"/>
    <w:rsid w:val="00423AE9"/>
    <w:rsid w:val="00424972"/>
    <w:rsid w:val="00424B17"/>
    <w:rsid w:val="00424CC9"/>
    <w:rsid w:val="004259E2"/>
    <w:rsid w:val="00426176"/>
    <w:rsid w:val="004266B1"/>
    <w:rsid w:val="00426865"/>
    <w:rsid w:val="00426892"/>
    <w:rsid w:val="00426979"/>
    <w:rsid w:val="00426CA0"/>
    <w:rsid w:val="00426DB8"/>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8F0"/>
    <w:rsid w:val="00434450"/>
    <w:rsid w:val="0043499F"/>
    <w:rsid w:val="00434AAB"/>
    <w:rsid w:val="00434F05"/>
    <w:rsid w:val="00435893"/>
    <w:rsid w:val="00435997"/>
    <w:rsid w:val="00435F06"/>
    <w:rsid w:val="004363FA"/>
    <w:rsid w:val="004364CC"/>
    <w:rsid w:val="004367C6"/>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8"/>
    <w:rsid w:val="0044507C"/>
    <w:rsid w:val="00445A50"/>
    <w:rsid w:val="00445DF5"/>
    <w:rsid w:val="004510A4"/>
    <w:rsid w:val="0045135E"/>
    <w:rsid w:val="00451544"/>
    <w:rsid w:val="004515FF"/>
    <w:rsid w:val="004535B0"/>
    <w:rsid w:val="00453A9A"/>
    <w:rsid w:val="00453E31"/>
    <w:rsid w:val="00454597"/>
    <w:rsid w:val="004548E6"/>
    <w:rsid w:val="0045493D"/>
    <w:rsid w:val="004552F4"/>
    <w:rsid w:val="0045541F"/>
    <w:rsid w:val="0045543A"/>
    <w:rsid w:val="004556D9"/>
    <w:rsid w:val="0045606C"/>
    <w:rsid w:val="004561F9"/>
    <w:rsid w:val="0045637C"/>
    <w:rsid w:val="0045695D"/>
    <w:rsid w:val="00456B05"/>
    <w:rsid w:val="004610C6"/>
    <w:rsid w:val="00461BF2"/>
    <w:rsid w:val="004626F8"/>
    <w:rsid w:val="00462D35"/>
    <w:rsid w:val="00463416"/>
    <w:rsid w:val="00463869"/>
    <w:rsid w:val="00463CF9"/>
    <w:rsid w:val="00463EAF"/>
    <w:rsid w:val="00464A9C"/>
    <w:rsid w:val="00464E8F"/>
    <w:rsid w:val="00464F23"/>
    <w:rsid w:val="004657B3"/>
    <w:rsid w:val="004668F2"/>
    <w:rsid w:val="00466C93"/>
    <w:rsid w:val="004678C8"/>
    <w:rsid w:val="00467BC2"/>
    <w:rsid w:val="00467C44"/>
    <w:rsid w:val="00467CFB"/>
    <w:rsid w:val="00470418"/>
    <w:rsid w:val="00471E81"/>
    <w:rsid w:val="004724AF"/>
    <w:rsid w:val="004727C4"/>
    <w:rsid w:val="004727E8"/>
    <w:rsid w:val="0047302D"/>
    <w:rsid w:val="0047322A"/>
    <w:rsid w:val="00473277"/>
    <w:rsid w:val="00473379"/>
    <w:rsid w:val="0047352D"/>
    <w:rsid w:val="004743CB"/>
    <w:rsid w:val="00474B50"/>
    <w:rsid w:val="0047652F"/>
    <w:rsid w:val="00476FE9"/>
    <w:rsid w:val="00477194"/>
    <w:rsid w:val="00477FAF"/>
    <w:rsid w:val="0048027B"/>
    <w:rsid w:val="00481213"/>
    <w:rsid w:val="00481241"/>
    <w:rsid w:val="00481272"/>
    <w:rsid w:val="004813A5"/>
    <w:rsid w:val="004817B5"/>
    <w:rsid w:val="00481E94"/>
    <w:rsid w:val="00482199"/>
    <w:rsid w:val="0048231B"/>
    <w:rsid w:val="00482478"/>
    <w:rsid w:val="00482CCF"/>
    <w:rsid w:val="00483131"/>
    <w:rsid w:val="00483170"/>
    <w:rsid w:val="0048383D"/>
    <w:rsid w:val="00484315"/>
    <w:rsid w:val="004844AC"/>
    <w:rsid w:val="00484CDE"/>
    <w:rsid w:val="004851E8"/>
    <w:rsid w:val="00485580"/>
    <w:rsid w:val="00485811"/>
    <w:rsid w:val="00485E3C"/>
    <w:rsid w:val="004869D7"/>
    <w:rsid w:val="00486A68"/>
    <w:rsid w:val="00486B09"/>
    <w:rsid w:val="00486EFC"/>
    <w:rsid w:val="00487CFA"/>
    <w:rsid w:val="004901CA"/>
    <w:rsid w:val="00490A10"/>
    <w:rsid w:val="00490A62"/>
    <w:rsid w:val="00490E9E"/>
    <w:rsid w:val="0049156D"/>
    <w:rsid w:val="00491F9F"/>
    <w:rsid w:val="004920D9"/>
    <w:rsid w:val="0049242A"/>
    <w:rsid w:val="00492735"/>
    <w:rsid w:val="00492A93"/>
    <w:rsid w:val="00492B25"/>
    <w:rsid w:val="00492DD1"/>
    <w:rsid w:val="00492EC7"/>
    <w:rsid w:val="00493C96"/>
    <w:rsid w:val="00494932"/>
    <w:rsid w:val="00494FC9"/>
    <w:rsid w:val="00494FF0"/>
    <w:rsid w:val="004950F8"/>
    <w:rsid w:val="00495211"/>
    <w:rsid w:val="004956F2"/>
    <w:rsid w:val="00495B23"/>
    <w:rsid w:val="00495E19"/>
    <w:rsid w:val="00496AD4"/>
    <w:rsid w:val="004A0324"/>
    <w:rsid w:val="004A034D"/>
    <w:rsid w:val="004A0C25"/>
    <w:rsid w:val="004A0E76"/>
    <w:rsid w:val="004A1222"/>
    <w:rsid w:val="004A1EA2"/>
    <w:rsid w:val="004A201B"/>
    <w:rsid w:val="004A2604"/>
    <w:rsid w:val="004A27B0"/>
    <w:rsid w:val="004A2B6F"/>
    <w:rsid w:val="004A3807"/>
    <w:rsid w:val="004A3A38"/>
    <w:rsid w:val="004A3BB0"/>
    <w:rsid w:val="004A3BB4"/>
    <w:rsid w:val="004A4377"/>
    <w:rsid w:val="004A4D2B"/>
    <w:rsid w:val="004A525D"/>
    <w:rsid w:val="004A52C4"/>
    <w:rsid w:val="004A57EB"/>
    <w:rsid w:val="004A5824"/>
    <w:rsid w:val="004A5F11"/>
    <w:rsid w:val="004A6211"/>
    <w:rsid w:val="004A76FC"/>
    <w:rsid w:val="004B0095"/>
    <w:rsid w:val="004B181D"/>
    <w:rsid w:val="004B1CAB"/>
    <w:rsid w:val="004B204F"/>
    <w:rsid w:val="004B36ED"/>
    <w:rsid w:val="004B398F"/>
    <w:rsid w:val="004B3D44"/>
    <w:rsid w:val="004B41B5"/>
    <w:rsid w:val="004B47A1"/>
    <w:rsid w:val="004B5171"/>
    <w:rsid w:val="004B57A6"/>
    <w:rsid w:val="004B5DB7"/>
    <w:rsid w:val="004B612E"/>
    <w:rsid w:val="004B623B"/>
    <w:rsid w:val="004B63F2"/>
    <w:rsid w:val="004C1315"/>
    <w:rsid w:val="004C1931"/>
    <w:rsid w:val="004C1BAB"/>
    <w:rsid w:val="004C1E13"/>
    <w:rsid w:val="004C1EA7"/>
    <w:rsid w:val="004C21B7"/>
    <w:rsid w:val="004C2A81"/>
    <w:rsid w:val="004C3E02"/>
    <w:rsid w:val="004C3EE4"/>
    <w:rsid w:val="004C4010"/>
    <w:rsid w:val="004C422D"/>
    <w:rsid w:val="004C427C"/>
    <w:rsid w:val="004C440F"/>
    <w:rsid w:val="004C4CEB"/>
    <w:rsid w:val="004C5CF1"/>
    <w:rsid w:val="004C667A"/>
    <w:rsid w:val="004C66A9"/>
    <w:rsid w:val="004C6D8E"/>
    <w:rsid w:val="004C76FA"/>
    <w:rsid w:val="004C7A27"/>
    <w:rsid w:val="004C7CAC"/>
    <w:rsid w:val="004C7CE4"/>
    <w:rsid w:val="004D000F"/>
    <w:rsid w:val="004D0538"/>
    <w:rsid w:val="004D0551"/>
    <w:rsid w:val="004D0D3E"/>
    <w:rsid w:val="004D121C"/>
    <w:rsid w:val="004D17CC"/>
    <w:rsid w:val="004D1B17"/>
    <w:rsid w:val="004D28EF"/>
    <w:rsid w:val="004D2A4E"/>
    <w:rsid w:val="004D3733"/>
    <w:rsid w:val="004D466E"/>
    <w:rsid w:val="004D49C4"/>
    <w:rsid w:val="004D4AE0"/>
    <w:rsid w:val="004D4CF1"/>
    <w:rsid w:val="004D56B6"/>
    <w:rsid w:val="004D5A88"/>
    <w:rsid w:val="004D60A0"/>
    <w:rsid w:val="004D69A2"/>
    <w:rsid w:val="004D7BF4"/>
    <w:rsid w:val="004D7C41"/>
    <w:rsid w:val="004D7C92"/>
    <w:rsid w:val="004E0471"/>
    <w:rsid w:val="004E077B"/>
    <w:rsid w:val="004E0A57"/>
    <w:rsid w:val="004E0E95"/>
    <w:rsid w:val="004E19BA"/>
    <w:rsid w:val="004E1AF8"/>
    <w:rsid w:val="004E216F"/>
    <w:rsid w:val="004E23D0"/>
    <w:rsid w:val="004E24ED"/>
    <w:rsid w:val="004E3061"/>
    <w:rsid w:val="004E35BF"/>
    <w:rsid w:val="004E38B2"/>
    <w:rsid w:val="004E3936"/>
    <w:rsid w:val="004E45B6"/>
    <w:rsid w:val="004E5760"/>
    <w:rsid w:val="004E57F7"/>
    <w:rsid w:val="004E58E4"/>
    <w:rsid w:val="004E5D9C"/>
    <w:rsid w:val="004E6B8E"/>
    <w:rsid w:val="004E6E2E"/>
    <w:rsid w:val="004F0543"/>
    <w:rsid w:val="004F0DDD"/>
    <w:rsid w:val="004F114F"/>
    <w:rsid w:val="004F1E2E"/>
    <w:rsid w:val="004F202F"/>
    <w:rsid w:val="004F25B7"/>
    <w:rsid w:val="004F48D9"/>
    <w:rsid w:val="004F4ACD"/>
    <w:rsid w:val="004F578B"/>
    <w:rsid w:val="004F5953"/>
    <w:rsid w:val="004F63F8"/>
    <w:rsid w:val="004F713A"/>
    <w:rsid w:val="004F72AD"/>
    <w:rsid w:val="004F7408"/>
    <w:rsid w:val="004F7BA5"/>
    <w:rsid w:val="00500035"/>
    <w:rsid w:val="005007FD"/>
    <w:rsid w:val="00500BDE"/>
    <w:rsid w:val="00500E97"/>
    <w:rsid w:val="00500F7A"/>
    <w:rsid w:val="005010F3"/>
    <w:rsid w:val="005011A4"/>
    <w:rsid w:val="005012AD"/>
    <w:rsid w:val="00501F97"/>
    <w:rsid w:val="00502122"/>
    <w:rsid w:val="0050241C"/>
    <w:rsid w:val="005027BB"/>
    <w:rsid w:val="0050319C"/>
    <w:rsid w:val="005037E1"/>
    <w:rsid w:val="00503B5C"/>
    <w:rsid w:val="00503B96"/>
    <w:rsid w:val="0050456A"/>
    <w:rsid w:val="00505E1D"/>
    <w:rsid w:val="005068E1"/>
    <w:rsid w:val="00506CE0"/>
    <w:rsid w:val="00506E02"/>
    <w:rsid w:val="005070EA"/>
    <w:rsid w:val="0050760D"/>
    <w:rsid w:val="005077C5"/>
    <w:rsid w:val="00510870"/>
    <w:rsid w:val="005110BA"/>
    <w:rsid w:val="0051168A"/>
    <w:rsid w:val="00512085"/>
    <w:rsid w:val="005122F4"/>
    <w:rsid w:val="00513BC8"/>
    <w:rsid w:val="005141DA"/>
    <w:rsid w:val="00514E36"/>
    <w:rsid w:val="00515316"/>
    <w:rsid w:val="005156A6"/>
    <w:rsid w:val="0051636C"/>
    <w:rsid w:val="00516393"/>
    <w:rsid w:val="00520B4F"/>
    <w:rsid w:val="00520D42"/>
    <w:rsid w:val="00522423"/>
    <w:rsid w:val="00522DB0"/>
    <w:rsid w:val="00523306"/>
    <w:rsid w:val="00523686"/>
    <w:rsid w:val="00523B66"/>
    <w:rsid w:val="00523EF2"/>
    <w:rsid w:val="00523F51"/>
    <w:rsid w:val="00524016"/>
    <w:rsid w:val="005244A4"/>
    <w:rsid w:val="00524AD7"/>
    <w:rsid w:val="005254E1"/>
    <w:rsid w:val="00525727"/>
    <w:rsid w:val="0052591E"/>
    <w:rsid w:val="00525B43"/>
    <w:rsid w:val="00525F07"/>
    <w:rsid w:val="0052639A"/>
    <w:rsid w:val="00526477"/>
    <w:rsid w:val="00526691"/>
    <w:rsid w:val="00526E3D"/>
    <w:rsid w:val="0053027E"/>
    <w:rsid w:val="005312E8"/>
    <w:rsid w:val="005313F7"/>
    <w:rsid w:val="00531F39"/>
    <w:rsid w:val="00531F65"/>
    <w:rsid w:val="00532607"/>
    <w:rsid w:val="00532767"/>
    <w:rsid w:val="005328BA"/>
    <w:rsid w:val="00532B70"/>
    <w:rsid w:val="00533920"/>
    <w:rsid w:val="00533DC4"/>
    <w:rsid w:val="0053480E"/>
    <w:rsid w:val="00534ED5"/>
    <w:rsid w:val="00535324"/>
    <w:rsid w:val="0053540E"/>
    <w:rsid w:val="00535521"/>
    <w:rsid w:val="00535969"/>
    <w:rsid w:val="00535C4A"/>
    <w:rsid w:val="00535F4E"/>
    <w:rsid w:val="005366F8"/>
    <w:rsid w:val="0053678B"/>
    <w:rsid w:val="00536DEF"/>
    <w:rsid w:val="005371C4"/>
    <w:rsid w:val="0053749F"/>
    <w:rsid w:val="005404B0"/>
    <w:rsid w:val="0054125E"/>
    <w:rsid w:val="00541317"/>
    <w:rsid w:val="005419F2"/>
    <w:rsid w:val="00541C30"/>
    <w:rsid w:val="0054209B"/>
    <w:rsid w:val="0054216F"/>
    <w:rsid w:val="005422EB"/>
    <w:rsid w:val="0054294B"/>
    <w:rsid w:val="00542969"/>
    <w:rsid w:val="00542BB8"/>
    <w:rsid w:val="00542D37"/>
    <w:rsid w:val="00542F18"/>
    <w:rsid w:val="00543397"/>
    <w:rsid w:val="00543879"/>
    <w:rsid w:val="005439A1"/>
    <w:rsid w:val="00543A10"/>
    <w:rsid w:val="00543C00"/>
    <w:rsid w:val="00544492"/>
    <w:rsid w:val="0054468B"/>
    <w:rsid w:val="005446F0"/>
    <w:rsid w:val="00544824"/>
    <w:rsid w:val="00544853"/>
    <w:rsid w:val="0054491A"/>
    <w:rsid w:val="00544984"/>
    <w:rsid w:val="005450E2"/>
    <w:rsid w:val="005452E2"/>
    <w:rsid w:val="005456F8"/>
    <w:rsid w:val="0054576E"/>
    <w:rsid w:val="00545F3B"/>
    <w:rsid w:val="005467C6"/>
    <w:rsid w:val="00546D2D"/>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75B"/>
    <w:rsid w:val="005529FC"/>
    <w:rsid w:val="00553D54"/>
    <w:rsid w:val="00553F9F"/>
    <w:rsid w:val="005546BF"/>
    <w:rsid w:val="00554CB6"/>
    <w:rsid w:val="00554FC3"/>
    <w:rsid w:val="00555523"/>
    <w:rsid w:val="00555E0D"/>
    <w:rsid w:val="00556E02"/>
    <w:rsid w:val="0055764E"/>
    <w:rsid w:val="0055783F"/>
    <w:rsid w:val="00557CF4"/>
    <w:rsid w:val="00557D69"/>
    <w:rsid w:val="00560528"/>
    <w:rsid w:val="00560A5E"/>
    <w:rsid w:val="00560D92"/>
    <w:rsid w:val="00561740"/>
    <w:rsid w:val="00561923"/>
    <w:rsid w:val="00561D24"/>
    <w:rsid w:val="0056295E"/>
    <w:rsid w:val="0056310A"/>
    <w:rsid w:val="005632CE"/>
    <w:rsid w:val="005636AB"/>
    <w:rsid w:val="00563C49"/>
    <w:rsid w:val="00564CB0"/>
    <w:rsid w:val="00565452"/>
    <w:rsid w:val="0056548C"/>
    <w:rsid w:val="00565888"/>
    <w:rsid w:val="00565992"/>
    <w:rsid w:val="00565AC1"/>
    <w:rsid w:val="00566920"/>
    <w:rsid w:val="00567A04"/>
    <w:rsid w:val="00567F76"/>
    <w:rsid w:val="00570239"/>
    <w:rsid w:val="005704CB"/>
    <w:rsid w:val="0057093C"/>
    <w:rsid w:val="00570D7F"/>
    <w:rsid w:val="005710A9"/>
    <w:rsid w:val="0057178D"/>
    <w:rsid w:val="00571D59"/>
    <w:rsid w:val="00572E3E"/>
    <w:rsid w:val="00573335"/>
    <w:rsid w:val="00573619"/>
    <w:rsid w:val="005737F5"/>
    <w:rsid w:val="005741C2"/>
    <w:rsid w:val="00574209"/>
    <w:rsid w:val="0057420B"/>
    <w:rsid w:val="0057538F"/>
    <w:rsid w:val="0057571E"/>
    <w:rsid w:val="00575951"/>
    <w:rsid w:val="00576330"/>
    <w:rsid w:val="0057657F"/>
    <w:rsid w:val="00577E70"/>
    <w:rsid w:val="00580280"/>
    <w:rsid w:val="0058031C"/>
    <w:rsid w:val="0058135A"/>
    <w:rsid w:val="005813C3"/>
    <w:rsid w:val="005815FE"/>
    <w:rsid w:val="00582C36"/>
    <w:rsid w:val="00582D44"/>
    <w:rsid w:val="005831A2"/>
    <w:rsid w:val="00583AB1"/>
    <w:rsid w:val="00583BF0"/>
    <w:rsid w:val="00583FDC"/>
    <w:rsid w:val="00584058"/>
    <w:rsid w:val="005847E2"/>
    <w:rsid w:val="00585571"/>
    <w:rsid w:val="005855B6"/>
    <w:rsid w:val="005855F8"/>
    <w:rsid w:val="00585991"/>
    <w:rsid w:val="00585B91"/>
    <w:rsid w:val="00585EF5"/>
    <w:rsid w:val="005869CA"/>
    <w:rsid w:val="00586BF1"/>
    <w:rsid w:val="005872CC"/>
    <w:rsid w:val="0058745C"/>
    <w:rsid w:val="00587AE1"/>
    <w:rsid w:val="00587BAC"/>
    <w:rsid w:val="00587C78"/>
    <w:rsid w:val="00590097"/>
    <w:rsid w:val="005903E4"/>
    <w:rsid w:val="00590954"/>
    <w:rsid w:val="00591256"/>
    <w:rsid w:val="005917DF"/>
    <w:rsid w:val="00592899"/>
    <w:rsid w:val="00593386"/>
    <w:rsid w:val="0059424C"/>
    <w:rsid w:val="005943AE"/>
    <w:rsid w:val="0059442B"/>
    <w:rsid w:val="00594826"/>
    <w:rsid w:val="005950D6"/>
    <w:rsid w:val="00595486"/>
    <w:rsid w:val="005958D0"/>
    <w:rsid w:val="0059594B"/>
    <w:rsid w:val="005962B6"/>
    <w:rsid w:val="00596ED3"/>
    <w:rsid w:val="0059751C"/>
    <w:rsid w:val="0059786C"/>
    <w:rsid w:val="00597919"/>
    <w:rsid w:val="00597BF0"/>
    <w:rsid w:val="005A0000"/>
    <w:rsid w:val="005A0506"/>
    <w:rsid w:val="005A08FB"/>
    <w:rsid w:val="005A0B9F"/>
    <w:rsid w:val="005A0C48"/>
    <w:rsid w:val="005A0D08"/>
    <w:rsid w:val="005A0D31"/>
    <w:rsid w:val="005A15F2"/>
    <w:rsid w:val="005A1625"/>
    <w:rsid w:val="005A2C5F"/>
    <w:rsid w:val="005A2FCE"/>
    <w:rsid w:val="005A3ACA"/>
    <w:rsid w:val="005A3B1B"/>
    <w:rsid w:val="005A42FD"/>
    <w:rsid w:val="005A4385"/>
    <w:rsid w:val="005A45E5"/>
    <w:rsid w:val="005A4707"/>
    <w:rsid w:val="005A496B"/>
    <w:rsid w:val="005A5171"/>
    <w:rsid w:val="005A54B5"/>
    <w:rsid w:val="005A5D1A"/>
    <w:rsid w:val="005A6089"/>
    <w:rsid w:val="005A63D8"/>
    <w:rsid w:val="005A73D7"/>
    <w:rsid w:val="005A7DBE"/>
    <w:rsid w:val="005A7E63"/>
    <w:rsid w:val="005B075B"/>
    <w:rsid w:val="005B1082"/>
    <w:rsid w:val="005B1EB5"/>
    <w:rsid w:val="005B2C3A"/>
    <w:rsid w:val="005B32CE"/>
    <w:rsid w:val="005B33DC"/>
    <w:rsid w:val="005B34EE"/>
    <w:rsid w:val="005B3568"/>
    <w:rsid w:val="005B3606"/>
    <w:rsid w:val="005B3ED7"/>
    <w:rsid w:val="005B446E"/>
    <w:rsid w:val="005B49B6"/>
    <w:rsid w:val="005B4A45"/>
    <w:rsid w:val="005B4D55"/>
    <w:rsid w:val="005B54AB"/>
    <w:rsid w:val="005B5D5E"/>
    <w:rsid w:val="005B5FDA"/>
    <w:rsid w:val="005B65EC"/>
    <w:rsid w:val="005B68A7"/>
    <w:rsid w:val="005B6AD2"/>
    <w:rsid w:val="005B6E36"/>
    <w:rsid w:val="005B74C5"/>
    <w:rsid w:val="005B7733"/>
    <w:rsid w:val="005B7A22"/>
    <w:rsid w:val="005C00C1"/>
    <w:rsid w:val="005C047D"/>
    <w:rsid w:val="005C0602"/>
    <w:rsid w:val="005C0A73"/>
    <w:rsid w:val="005C2114"/>
    <w:rsid w:val="005C2362"/>
    <w:rsid w:val="005C24E5"/>
    <w:rsid w:val="005C25DD"/>
    <w:rsid w:val="005C2E28"/>
    <w:rsid w:val="005C300C"/>
    <w:rsid w:val="005C3015"/>
    <w:rsid w:val="005C3069"/>
    <w:rsid w:val="005C343C"/>
    <w:rsid w:val="005C37F5"/>
    <w:rsid w:val="005C40C7"/>
    <w:rsid w:val="005C42B0"/>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576"/>
    <w:rsid w:val="005D161D"/>
    <w:rsid w:val="005D1762"/>
    <w:rsid w:val="005D1D9F"/>
    <w:rsid w:val="005D2217"/>
    <w:rsid w:val="005D22AE"/>
    <w:rsid w:val="005D2667"/>
    <w:rsid w:val="005D3E22"/>
    <w:rsid w:val="005D3EBB"/>
    <w:rsid w:val="005D42B4"/>
    <w:rsid w:val="005D4CF7"/>
    <w:rsid w:val="005D51D9"/>
    <w:rsid w:val="005D5347"/>
    <w:rsid w:val="005D570F"/>
    <w:rsid w:val="005D5CC5"/>
    <w:rsid w:val="005D5E85"/>
    <w:rsid w:val="005D6732"/>
    <w:rsid w:val="005D787B"/>
    <w:rsid w:val="005D7E93"/>
    <w:rsid w:val="005E0949"/>
    <w:rsid w:val="005E0C83"/>
    <w:rsid w:val="005E12BE"/>
    <w:rsid w:val="005E1467"/>
    <w:rsid w:val="005E319D"/>
    <w:rsid w:val="005E3ACB"/>
    <w:rsid w:val="005E3DF8"/>
    <w:rsid w:val="005E4660"/>
    <w:rsid w:val="005E4B27"/>
    <w:rsid w:val="005E515C"/>
    <w:rsid w:val="005E6499"/>
    <w:rsid w:val="005E6505"/>
    <w:rsid w:val="005E75E3"/>
    <w:rsid w:val="005E7BE6"/>
    <w:rsid w:val="005E7ECD"/>
    <w:rsid w:val="005F0215"/>
    <w:rsid w:val="005F0523"/>
    <w:rsid w:val="005F1267"/>
    <w:rsid w:val="005F1D43"/>
    <w:rsid w:val="005F1EE4"/>
    <w:rsid w:val="005F2EA8"/>
    <w:rsid w:val="005F322F"/>
    <w:rsid w:val="005F3322"/>
    <w:rsid w:val="005F3751"/>
    <w:rsid w:val="005F3EC3"/>
    <w:rsid w:val="005F4136"/>
    <w:rsid w:val="005F446D"/>
    <w:rsid w:val="005F4903"/>
    <w:rsid w:val="005F5117"/>
    <w:rsid w:val="005F584B"/>
    <w:rsid w:val="005F5F7B"/>
    <w:rsid w:val="005F61E1"/>
    <w:rsid w:val="005F637A"/>
    <w:rsid w:val="005F64C6"/>
    <w:rsid w:val="005F76FB"/>
    <w:rsid w:val="005F784D"/>
    <w:rsid w:val="005F7A0B"/>
    <w:rsid w:val="0060081A"/>
    <w:rsid w:val="006008F1"/>
    <w:rsid w:val="00600C01"/>
    <w:rsid w:val="006014DB"/>
    <w:rsid w:val="00601735"/>
    <w:rsid w:val="006018B5"/>
    <w:rsid w:val="00601BE4"/>
    <w:rsid w:val="006022E0"/>
    <w:rsid w:val="006025F2"/>
    <w:rsid w:val="00602AC4"/>
    <w:rsid w:val="00602B46"/>
    <w:rsid w:val="00602BD2"/>
    <w:rsid w:val="00603383"/>
    <w:rsid w:val="00603480"/>
    <w:rsid w:val="006039B8"/>
    <w:rsid w:val="00603D7A"/>
    <w:rsid w:val="00604174"/>
    <w:rsid w:val="00604B87"/>
    <w:rsid w:val="00605275"/>
    <w:rsid w:val="00605529"/>
    <w:rsid w:val="00605A3E"/>
    <w:rsid w:val="00605CAB"/>
    <w:rsid w:val="00605DAE"/>
    <w:rsid w:val="00605DB9"/>
    <w:rsid w:val="00605DE2"/>
    <w:rsid w:val="0060650E"/>
    <w:rsid w:val="006065CF"/>
    <w:rsid w:val="00606E5D"/>
    <w:rsid w:val="006070A1"/>
    <w:rsid w:val="006076EF"/>
    <w:rsid w:val="006079C8"/>
    <w:rsid w:val="00610F39"/>
    <w:rsid w:val="00612E59"/>
    <w:rsid w:val="0061315B"/>
    <w:rsid w:val="006132CC"/>
    <w:rsid w:val="00613ADC"/>
    <w:rsid w:val="00613C12"/>
    <w:rsid w:val="00613C47"/>
    <w:rsid w:val="00614071"/>
    <w:rsid w:val="00614292"/>
    <w:rsid w:val="006148AC"/>
    <w:rsid w:val="006153E5"/>
    <w:rsid w:val="00615654"/>
    <w:rsid w:val="00615741"/>
    <w:rsid w:val="00616201"/>
    <w:rsid w:val="00616225"/>
    <w:rsid w:val="00616B41"/>
    <w:rsid w:val="00616C1C"/>
    <w:rsid w:val="00616D5E"/>
    <w:rsid w:val="00616EEC"/>
    <w:rsid w:val="00617270"/>
    <w:rsid w:val="00617A8B"/>
    <w:rsid w:val="00617C23"/>
    <w:rsid w:val="006200B8"/>
    <w:rsid w:val="0062040C"/>
    <w:rsid w:val="00620422"/>
    <w:rsid w:val="006208F9"/>
    <w:rsid w:val="00620A9B"/>
    <w:rsid w:val="00620CE4"/>
    <w:rsid w:val="00621F46"/>
    <w:rsid w:val="0062224C"/>
    <w:rsid w:val="00622FEA"/>
    <w:rsid w:val="0062349B"/>
    <w:rsid w:val="00623711"/>
    <w:rsid w:val="00623B67"/>
    <w:rsid w:val="00623CDF"/>
    <w:rsid w:val="00623DB1"/>
    <w:rsid w:val="00623E36"/>
    <w:rsid w:val="006241D2"/>
    <w:rsid w:val="006245F3"/>
    <w:rsid w:val="00624B63"/>
    <w:rsid w:val="00624E6F"/>
    <w:rsid w:val="006252E6"/>
    <w:rsid w:val="0062552F"/>
    <w:rsid w:val="00625B47"/>
    <w:rsid w:val="00625D54"/>
    <w:rsid w:val="00626A11"/>
    <w:rsid w:val="00626BE7"/>
    <w:rsid w:val="0062726B"/>
    <w:rsid w:val="0062770D"/>
    <w:rsid w:val="00627ED6"/>
    <w:rsid w:val="006304D2"/>
    <w:rsid w:val="00630C76"/>
    <w:rsid w:val="006319CA"/>
    <w:rsid w:val="00633107"/>
    <w:rsid w:val="006338BC"/>
    <w:rsid w:val="00633FDE"/>
    <w:rsid w:val="00634932"/>
    <w:rsid w:val="00634EC0"/>
    <w:rsid w:val="006350FE"/>
    <w:rsid w:val="0063627F"/>
    <w:rsid w:val="006362FE"/>
    <w:rsid w:val="006364D6"/>
    <w:rsid w:val="006370A6"/>
    <w:rsid w:val="00637A76"/>
    <w:rsid w:val="00637CE2"/>
    <w:rsid w:val="00637EE5"/>
    <w:rsid w:val="00640F42"/>
    <w:rsid w:val="006411E4"/>
    <w:rsid w:val="0064140B"/>
    <w:rsid w:val="006419A2"/>
    <w:rsid w:val="0064266A"/>
    <w:rsid w:val="00642ADE"/>
    <w:rsid w:val="00642D72"/>
    <w:rsid w:val="006431BC"/>
    <w:rsid w:val="00643671"/>
    <w:rsid w:val="00643819"/>
    <w:rsid w:val="00643B4C"/>
    <w:rsid w:val="00643F85"/>
    <w:rsid w:val="006443CB"/>
    <w:rsid w:val="00644A19"/>
    <w:rsid w:val="00644F80"/>
    <w:rsid w:val="00645874"/>
    <w:rsid w:val="00645911"/>
    <w:rsid w:val="006479E0"/>
    <w:rsid w:val="00647A43"/>
    <w:rsid w:val="00647D78"/>
    <w:rsid w:val="00647F7B"/>
    <w:rsid w:val="0065074A"/>
    <w:rsid w:val="00650DD0"/>
    <w:rsid w:val="00650EE4"/>
    <w:rsid w:val="0065124B"/>
    <w:rsid w:val="00651382"/>
    <w:rsid w:val="00651E96"/>
    <w:rsid w:val="006526AA"/>
    <w:rsid w:val="00652AB2"/>
    <w:rsid w:val="00652E99"/>
    <w:rsid w:val="006533F3"/>
    <w:rsid w:val="00653579"/>
    <w:rsid w:val="00653622"/>
    <w:rsid w:val="00653FE6"/>
    <w:rsid w:val="006540E8"/>
    <w:rsid w:val="0065446A"/>
    <w:rsid w:val="00654C11"/>
    <w:rsid w:val="00654EB9"/>
    <w:rsid w:val="006551F6"/>
    <w:rsid w:val="0065552B"/>
    <w:rsid w:val="006558F8"/>
    <w:rsid w:val="006564DF"/>
    <w:rsid w:val="006566ED"/>
    <w:rsid w:val="00656B4B"/>
    <w:rsid w:val="0065746E"/>
    <w:rsid w:val="00660024"/>
    <w:rsid w:val="00660B46"/>
    <w:rsid w:val="00660EF1"/>
    <w:rsid w:val="00660F6F"/>
    <w:rsid w:val="00661918"/>
    <w:rsid w:val="00661F08"/>
    <w:rsid w:val="00662130"/>
    <w:rsid w:val="00662A5A"/>
    <w:rsid w:val="00662B7E"/>
    <w:rsid w:val="00662F7D"/>
    <w:rsid w:val="0066318E"/>
    <w:rsid w:val="00664875"/>
    <w:rsid w:val="006653D7"/>
    <w:rsid w:val="006654F3"/>
    <w:rsid w:val="006657AE"/>
    <w:rsid w:val="00665F5E"/>
    <w:rsid w:val="00666129"/>
    <w:rsid w:val="006665BA"/>
    <w:rsid w:val="006665FE"/>
    <w:rsid w:val="00666A4F"/>
    <w:rsid w:val="00667106"/>
    <w:rsid w:val="00667111"/>
    <w:rsid w:val="0066748F"/>
    <w:rsid w:val="006703AA"/>
    <w:rsid w:val="006703D9"/>
    <w:rsid w:val="006704B8"/>
    <w:rsid w:val="006704F6"/>
    <w:rsid w:val="00670534"/>
    <w:rsid w:val="006708EA"/>
    <w:rsid w:val="00671091"/>
    <w:rsid w:val="00671AC7"/>
    <w:rsid w:val="00671BCF"/>
    <w:rsid w:val="00672154"/>
    <w:rsid w:val="0067426D"/>
    <w:rsid w:val="00674713"/>
    <w:rsid w:val="0067545E"/>
    <w:rsid w:val="006758D1"/>
    <w:rsid w:val="00676E43"/>
    <w:rsid w:val="00677435"/>
    <w:rsid w:val="00677682"/>
    <w:rsid w:val="00677C33"/>
    <w:rsid w:val="00680262"/>
    <w:rsid w:val="006803B4"/>
    <w:rsid w:val="00680936"/>
    <w:rsid w:val="00680D8C"/>
    <w:rsid w:val="0068165C"/>
    <w:rsid w:val="006818B4"/>
    <w:rsid w:val="00681C66"/>
    <w:rsid w:val="006820E0"/>
    <w:rsid w:val="00682221"/>
    <w:rsid w:val="006826B4"/>
    <w:rsid w:val="00682725"/>
    <w:rsid w:val="00682AED"/>
    <w:rsid w:val="00682D87"/>
    <w:rsid w:val="00683502"/>
    <w:rsid w:val="00683A1C"/>
    <w:rsid w:val="00683E86"/>
    <w:rsid w:val="0068413E"/>
    <w:rsid w:val="00684387"/>
    <w:rsid w:val="006845A2"/>
    <w:rsid w:val="006853A4"/>
    <w:rsid w:val="006862B9"/>
    <w:rsid w:val="006864E1"/>
    <w:rsid w:val="00686546"/>
    <w:rsid w:val="006876CE"/>
    <w:rsid w:val="006877FF"/>
    <w:rsid w:val="0068793A"/>
    <w:rsid w:val="00687B34"/>
    <w:rsid w:val="00690781"/>
    <w:rsid w:val="006907A1"/>
    <w:rsid w:val="00690B17"/>
    <w:rsid w:val="00690B67"/>
    <w:rsid w:val="00690DDF"/>
    <w:rsid w:val="0069128F"/>
    <w:rsid w:val="00691404"/>
    <w:rsid w:val="00691580"/>
    <w:rsid w:val="006920A6"/>
    <w:rsid w:val="00692582"/>
    <w:rsid w:val="006926E2"/>
    <w:rsid w:val="00692FF6"/>
    <w:rsid w:val="00693652"/>
    <w:rsid w:val="006939E7"/>
    <w:rsid w:val="006939F2"/>
    <w:rsid w:val="00693D3E"/>
    <w:rsid w:val="006942F7"/>
    <w:rsid w:val="0069438B"/>
    <w:rsid w:val="00695396"/>
    <w:rsid w:val="006954A0"/>
    <w:rsid w:val="00695620"/>
    <w:rsid w:val="00695659"/>
    <w:rsid w:val="00695D76"/>
    <w:rsid w:val="00696A0F"/>
    <w:rsid w:val="006971D2"/>
    <w:rsid w:val="00697669"/>
    <w:rsid w:val="00697AE8"/>
    <w:rsid w:val="00697F01"/>
    <w:rsid w:val="006A15BA"/>
    <w:rsid w:val="006A1AAE"/>
    <w:rsid w:val="006A2150"/>
    <w:rsid w:val="006A241D"/>
    <w:rsid w:val="006A24EA"/>
    <w:rsid w:val="006A2B0C"/>
    <w:rsid w:val="006A2C61"/>
    <w:rsid w:val="006A3288"/>
    <w:rsid w:val="006A35A2"/>
    <w:rsid w:val="006A3C54"/>
    <w:rsid w:val="006A43E6"/>
    <w:rsid w:val="006A45B1"/>
    <w:rsid w:val="006A4A1E"/>
    <w:rsid w:val="006A50C7"/>
    <w:rsid w:val="006A5BD3"/>
    <w:rsid w:val="006A5CD5"/>
    <w:rsid w:val="006A5E28"/>
    <w:rsid w:val="006A5E65"/>
    <w:rsid w:val="006A6A3A"/>
    <w:rsid w:val="006A70BE"/>
    <w:rsid w:val="006A7662"/>
    <w:rsid w:val="006A7F39"/>
    <w:rsid w:val="006B0121"/>
    <w:rsid w:val="006B0128"/>
    <w:rsid w:val="006B0334"/>
    <w:rsid w:val="006B059F"/>
    <w:rsid w:val="006B134D"/>
    <w:rsid w:val="006B1557"/>
    <w:rsid w:val="006B1A20"/>
    <w:rsid w:val="006B1C7C"/>
    <w:rsid w:val="006B1EC8"/>
    <w:rsid w:val="006B2136"/>
    <w:rsid w:val="006B3063"/>
    <w:rsid w:val="006B3086"/>
    <w:rsid w:val="006B4547"/>
    <w:rsid w:val="006B5752"/>
    <w:rsid w:val="006B63D8"/>
    <w:rsid w:val="006B6CA8"/>
    <w:rsid w:val="006B6F32"/>
    <w:rsid w:val="006B7130"/>
    <w:rsid w:val="006B7D4A"/>
    <w:rsid w:val="006B7EF5"/>
    <w:rsid w:val="006C04F5"/>
    <w:rsid w:val="006C201C"/>
    <w:rsid w:val="006C211C"/>
    <w:rsid w:val="006C397B"/>
    <w:rsid w:val="006C408A"/>
    <w:rsid w:val="006C4150"/>
    <w:rsid w:val="006C4728"/>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20B4"/>
    <w:rsid w:val="006D211A"/>
    <w:rsid w:val="006D253B"/>
    <w:rsid w:val="006D2CCC"/>
    <w:rsid w:val="006D3C4F"/>
    <w:rsid w:val="006D44D0"/>
    <w:rsid w:val="006D5625"/>
    <w:rsid w:val="006D57CB"/>
    <w:rsid w:val="006D5A82"/>
    <w:rsid w:val="006D5D92"/>
    <w:rsid w:val="006D60EE"/>
    <w:rsid w:val="006D6CDD"/>
    <w:rsid w:val="006D719D"/>
    <w:rsid w:val="006D7444"/>
    <w:rsid w:val="006E044C"/>
    <w:rsid w:val="006E0A61"/>
    <w:rsid w:val="006E2251"/>
    <w:rsid w:val="006E36D4"/>
    <w:rsid w:val="006E3711"/>
    <w:rsid w:val="006E3992"/>
    <w:rsid w:val="006E3AAD"/>
    <w:rsid w:val="006E4118"/>
    <w:rsid w:val="006E4238"/>
    <w:rsid w:val="006E447A"/>
    <w:rsid w:val="006E4560"/>
    <w:rsid w:val="006E481A"/>
    <w:rsid w:val="006E5068"/>
    <w:rsid w:val="006E665F"/>
    <w:rsid w:val="006E6948"/>
    <w:rsid w:val="006E6EE8"/>
    <w:rsid w:val="006E720E"/>
    <w:rsid w:val="006E7B25"/>
    <w:rsid w:val="006E7B97"/>
    <w:rsid w:val="006E7C1C"/>
    <w:rsid w:val="006E7D23"/>
    <w:rsid w:val="006E7EEF"/>
    <w:rsid w:val="006F05FD"/>
    <w:rsid w:val="006F063E"/>
    <w:rsid w:val="006F0B83"/>
    <w:rsid w:val="006F15F3"/>
    <w:rsid w:val="006F1BBB"/>
    <w:rsid w:val="006F2173"/>
    <w:rsid w:val="006F2318"/>
    <w:rsid w:val="006F2550"/>
    <w:rsid w:val="006F2CA3"/>
    <w:rsid w:val="006F3B10"/>
    <w:rsid w:val="006F3EA8"/>
    <w:rsid w:val="006F41E7"/>
    <w:rsid w:val="006F4740"/>
    <w:rsid w:val="006F49A7"/>
    <w:rsid w:val="006F568F"/>
    <w:rsid w:val="006F5862"/>
    <w:rsid w:val="006F58F8"/>
    <w:rsid w:val="006F6798"/>
    <w:rsid w:val="006F6BA3"/>
    <w:rsid w:val="006F6D4C"/>
    <w:rsid w:val="006F6E67"/>
    <w:rsid w:val="006F7157"/>
    <w:rsid w:val="006F78E0"/>
    <w:rsid w:val="006F7FE0"/>
    <w:rsid w:val="0070032D"/>
    <w:rsid w:val="00701590"/>
    <w:rsid w:val="007015A2"/>
    <w:rsid w:val="00701CF4"/>
    <w:rsid w:val="00702150"/>
    <w:rsid w:val="00702B1B"/>
    <w:rsid w:val="00702C43"/>
    <w:rsid w:val="00702CFE"/>
    <w:rsid w:val="0070395E"/>
    <w:rsid w:val="00703C76"/>
    <w:rsid w:val="00704164"/>
    <w:rsid w:val="00704473"/>
    <w:rsid w:val="00704E3D"/>
    <w:rsid w:val="00705031"/>
    <w:rsid w:val="00705134"/>
    <w:rsid w:val="0070537D"/>
    <w:rsid w:val="007053D4"/>
    <w:rsid w:val="00706277"/>
    <w:rsid w:val="00706A58"/>
    <w:rsid w:val="007110E1"/>
    <w:rsid w:val="00711CFE"/>
    <w:rsid w:val="0071262B"/>
    <w:rsid w:val="0071266C"/>
    <w:rsid w:val="007127F4"/>
    <w:rsid w:val="00712AF8"/>
    <w:rsid w:val="00712CB6"/>
    <w:rsid w:val="00713662"/>
    <w:rsid w:val="0071394E"/>
    <w:rsid w:val="007139C3"/>
    <w:rsid w:val="00714394"/>
    <w:rsid w:val="007143BC"/>
    <w:rsid w:val="007150B9"/>
    <w:rsid w:val="00715AAC"/>
    <w:rsid w:val="007163F8"/>
    <w:rsid w:val="00716B9D"/>
    <w:rsid w:val="00716D40"/>
    <w:rsid w:val="0071729C"/>
    <w:rsid w:val="00720A60"/>
    <w:rsid w:val="00720E0B"/>
    <w:rsid w:val="007210F5"/>
    <w:rsid w:val="007211C3"/>
    <w:rsid w:val="00721282"/>
    <w:rsid w:val="007212CD"/>
    <w:rsid w:val="00721946"/>
    <w:rsid w:val="00721F7E"/>
    <w:rsid w:val="0072238C"/>
    <w:rsid w:val="007225B1"/>
    <w:rsid w:val="00722E29"/>
    <w:rsid w:val="007238C5"/>
    <w:rsid w:val="00724606"/>
    <w:rsid w:val="00724E85"/>
    <w:rsid w:val="007252C7"/>
    <w:rsid w:val="007252D3"/>
    <w:rsid w:val="00725318"/>
    <w:rsid w:val="00725860"/>
    <w:rsid w:val="00725FAE"/>
    <w:rsid w:val="007266DD"/>
    <w:rsid w:val="00726815"/>
    <w:rsid w:val="00726B00"/>
    <w:rsid w:val="00726D0F"/>
    <w:rsid w:val="00726DA7"/>
    <w:rsid w:val="00727583"/>
    <w:rsid w:val="00727DDC"/>
    <w:rsid w:val="00730073"/>
    <w:rsid w:val="00730DAF"/>
    <w:rsid w:val="00730F89"/>
    <w:rsid w:val="00731296"/>
    <w:rsid w:val="00731542"/>
    <w:rsid w:val="0073161B"/>
    <w:rsid w:val="00732E20"/>
    <w:rsid w:val="00733025"/>
    <w:rsid w:val="00733094"/>
    <w:rsid w:val="007334DC"/>
    <w:rsid w:val="00733B19"/>
    <w:rsid w:val="00734887"/>
    <w:rsid w:val="00734994"/>
    <w:rsid w:val="00734D63"/>
    <w:rsid w:val="00735F74"/>
    <w:rsid w:val="0073642E"/>
    <w:rsid w:val="007365B6"/>
    <w:rsid w:val="00736B84"/>
    <w:rsid w:val="00736BBD"/>
    <w:rsid w:val="00737EBD"/>
    <w:rsid w:val="007401E2"/>
    <w:rsid w:val="0074077D"/>
    <w:rsid w:val="0074081A"/>
    <w:rsid w:val="00740B49"/>
    <w:rsid w:val="00740D8C"/>
    <w:rsid w:val="00740E33"/>
    <w:rsid w:val="007411E5"/>
    <w:rsid w:val="00741268"/>
    <w:rsid w:val="0074169E"/>
    <w:rsid w:val="00742F8A"/>
    <w:rsid w:val="007431CD"/>
    <w:rsid w:val="007443C2"/>
    <w:rsid w:val="007447A4"/>
    <w:rsid w:val="00744FA3"/>
    <w:rsid w:val="00745BCF"/>
    <w:rsid w:val="007467B8"/>
    <w:rsid w:val="00746951"/>
    <w:rsid w:val="0074722C"/>
    <w:rsid w:val="0074791E"/>
    <w:rsid w:val="0075001A"/>
    <w:rsid w:val="00750376"/>
    <w:rsid w:val="0075047D"/>
    <w:rsid w:val="00750904"/>
    <w:rsid w:val="00750A08"/>
    <w:rsid w:val="00750A66"/>
    <w:rsid w:val="00750B28"/>
    <w:rsid w:val="00750D30"/>
    <w:rsid w:val="0075115D"/>
    <w:rsid w:val="0075186B"/>
    <w:rsid w:val="007524D7"/>
    <w:rsid w:val="007525FF"/>
    <w:rsid w:val="0075283C"/>
    <w:rsid w:val="00752BB7"/>
    <w:rsid w:val="00753069"/>
    <w:rsid w:val="00753890"/>
    <w:rsid w:val="00753B7D"/>
    <w:rsid w:val="00753DCF"/>
    <w:rsid w:val="00754EEC"/>
    <w:rsid w:val="0075500C"/>
    <w:rsid w:val="0075501A"/>
    <w:rsid w:val="007555DF"/>
    <w:rsid w:val="00755818"/>
    <w:rsid w:val="00755B12"/>
    <w:rsid w:val="00755D21"/>
    <w:rsid w:val="00755E75"/>
    <w:rsid w:val="007565B5"/>
    <w:rsid w:val="00760C40"/>
    <w:rsid w:val="00761434"/>
    <w:rsid w:val="0076150F"/>
    <w:rsid w:val="00761721"/>
    <w:rsid w:val="007618EF"/>
    <w:rsid w:val="00761FD5"/>
    <w:rsid w:val="00762065"/>
    <w:rsid w:val="007624BB"/>
    <w:rsid w:val="00762725"/>
    <w:rsid w:val="00763DB6"/>
    <w:rsid w:val="00764B49"/>
    <w:rsid w:val="00764F70"/>
    <w:rsid w:val="00765CC3"/>
    <w:rsid w:val="00765DD8"/>
    <w:rsid w:val="007666DD"/>
    <w:rsid w:val="007669D3"/>
    <w:rsid w:val="00766D36"/>
    <w:rsid w:val="007673C6"/>
    <w:rsid w:val="007674A1"/>
    <w:rsid w:val="00767607"/>
    <w:rsid w:val="007677D5"/>
    <w:rsid w:val="00767E47"/>
    <w:rsid w:val="007703BF"/>
    <w:rsid w:val="007708E3"/>
    <w:rsid w:val="007709CB"/>
    <w:rsid w:val="00770A23"/>
    <w:rsid w:val="0077103A"/>
    <w:rsid w:val="0077158D"/>
    <w:rsid w:val="0077165F"/>
    <w:rsid w:val="00771972"/>
    <w:rsid w:val="00771B64"/>
    <w:rsid w:val="00772FA4"/>
    <w:rsid w:val="00773503"/>
    <w:rsid w:val="007735C4"/>
    <w:rsid w:val="00773874"/>
    <w:rsid w:val="0077477A"/>
    <w:rsid w:val="00774FDC"/>
    <w:rsid w:val="00775048"/>
    <w:rsid w:val="00775273"/>
    <w:rsid w:val="0077555B"/>
    <w:rsid w:val="00775716"/>
    <w:rsid w:val="00775861"/>
    <w:rsid w:val="00775952"/>
    <w:rsid w:val="00775B52"/>
    <w:rsid w:val="00775EED"/>
    <w:rsid w:val="007765DF"/>
    <w:rsid w:val="00776AD1"/>
    <w:rsid w:val="007770B9"/>
    <w:rsid w:val="0077748F"/>
    <w:rsid w:val="00780661"/>
    <w:rsid w:val="00780A4F"/>
    <w:rsid w:val="00780D88"/>
    <w:rsid w:val="00780F42"/>
    <w:rsid w:val="0078126C"/>
    <w:rsid w:val="00781934"/>
    <w:rsid w:val="00781AD1"/>
    <w:rsid w:val="007833C7"/>
    <w:rsid w:val="00783B85"/>
    <w:rsid w:val="007840F3"/>
    <w:rsid w:val="00784121"/>
    <w:rsid w:val="007842A0"/>
    <w:rsid w:val="00784315"/>
    <w:rsid w:val="00784B64"/>
    <w:rsid w:val="00784D55"/>
    <w:rsid w:val="0078518E"/>
    <w:rsid w:val="00785491"/>
    <w:rsid w:val="007858C0"/>
    <w:rsid w:val="007861EB"/>
    <w:rsid w:val="007863BB"/>
    <w:rsid w:val="0078665C"/>
    <w:rsid w:val="0078679A"/>
    <w:rsid w:val="00786E65"/>
    <w:rsid w:val="0078707F"/>
    <w:rsid w:val="0078731C"/>
    <w:rsid w:val="00787678"/>
    <w:rsid w:val="00790739"/>
    <w:rsid w:val="00790DFB"/>
    <w:rsid w:val="00791B10"/>
    <w:rsid w:val="0079218E"/>
    <w:rsid w:val="00792447"/>
    <w:rsid w:val="00792659"/>
    <w:rsid w:val="00792679"/>
    <w:rsid w:val="0079270E"/>
    <w:rsid w:val="00792855"/>
    <w:rsid w:val="007937CB"/>
    <w:rsid w:val="00794A05"/>
    <w:rsid w:val="00794F1A"/>
    <w:rsid w:val="00795B64"/>
    <w:rsid w:val="0079694C"/>
    <w:rsid w:val="00796DBD"/>
    <w:rsid w:val="0079726A"/>
    <w:rsid w:val="00797EA5"/>
    <w:rsid w:val="00797FAD"/>
    <w:rsid w:val="007A04F9"/>
    <w:rsid w:val="007A0AF5"/>
    <w:rsid w:val="007A354D"/>
    <w:rsid w:val="007A38D8"/>
    <w:rsid w:val="007A4C77"/>
    <w:rsid w:val="007A4E17"/>
    <w:rsid w:val="007A520F"/>
    <w:rsid w:val="007A56E3"/>
    <w:rsid w:val="007A5922"/>
    <w:rsid w:val="007A5AF4"/>
    <w:rsid w:val="007A641B"/>
    <w:rsid w:val="007A660D"/>
    <w:rsid w:val="007A68DC"/>
    <w:rsid w:val="007A6D0D"/>
    <w:rsid w:val="007A7F6D"/>
    <w:rsid w:val="007B0FBD"/>
    <w:rsid w:val="007B172E"/>
    <w:rsid w:val="007B1BAF"/>
    <w:rsid w:val="007B1E34"/>
    <w:rsid w:val="007B2245"/>
    <w:rsid w:val="007B27D7"/>
    <w:rsid w:val="007B2896"/>
    <w:rsid w:val="007B2CDD"/>
    <w:rsid w:val="007B3154"/>
    <w:rsid w:val="007B35F7"/>
    <w:rsid w:val="007B3948"/>
    <w:rsid w:val="007B3B4C"/>
    <w:rsid w:val="007B3DE0"/>
    <w:rsid w:val="007B41D6"/>
    <w:rsid w:val="007B4F72"/>
    <w:rsid w:val="007B5445"/>
    <w:rsid w:val="007B5C63"/>
    <w:rsid w:val="007B6896"/>
    <w:rsid w:val="007B6973"/>
    <w:rsid w:val="007B6EF4"/>
    <w:rsid w:val="007B7764"/>
    <w:rsid w:val="007B79F5"/>
    <w:rsid w:val="007B7BE9"/>
    <w:rsid w:val="007C0A01"/>
    <w:rsid w:val="007C0E04"/>
    <w:rsid w:val="007C123B"/>
    <w:rsid w:val="007C13DF"/>
    <w:rsid w:val="007C21F1"/>
    <w:rsid w:val="007C2827"/>
    <w:rsid w:val="007C2B1F"/>
    <w:rsid w:val="007C30E0"/>
    <w:rsid w:val="007C3224"/>
    <w:rsid w:val="007C344C"/>
    <w:rsid w:val="007C3813"/>
    <w:rsid w:val="007C3858"/>
    <w:rsid w:val="007C3A26"/>
    <w:rsid w:val="007C41F0"/>
    <w:rsid w:val="007C4228"/>
    <w:rsid w:val="007C42C0"/>
    <w:rsid w:val="007C5029"/>
    <w:rsid w:val="007C543F"/>
    <w:rsid w:val="007C6511"/>
    <w:rsid w:val="007C6DD2"/>
    <w:rsid w:val="007C6E85"/>
    <w:rsid w:val="007C6F36"/>
    <w:rsid w:val="007C70A7"/>
    <w:rsid w:val="007C73B0"/>
    <w:rsid w:val="007C74E5"/>
    <w:rsid w:val="007C76FB"/>
    <w:rsid w:val="007D060B"/>
    <w:rsid w:val="007D0E43"/>
    <w:rsid w:val="007D13E7"/>
    <w:rsid w:val="007D1991"/>
    <w:rsid w:val="007D1E37"/>
    <w:rsid w:val="007D2037"/>
    <w:rsid w:val="007D232F"/>
    <w:rsid w:val="007D2385"/>
    <w:rsid w:val="007D2E2D"/>
    <w:rsid w:val="007D3D9D"/>
    <w:rsid w:val="007D3DC7"/>
    <w:rsid w:val="007D4220"/>
    <w:rsid w:val="007D48B3"/>
    <w:rsid w:val="007D4985"/>
    <w:rsid w:val="007D52CA"/>
    <w:rsid w:val="007D563E"/>
    <w:rsid w:val="007D577F"/>
    <w:rsid w:val="007D5B51"/>
    <w:rsid w:val="007D5F71"/>
    <w:rsid w:val="007D5FC1"/>
    <w:rsid w:val="007D715A"/>
    <w:rsid w:val="007D740C"/>
    <w:rsid w:val="007E0130"/>
    <w:rsid w:val="007E0153"/>
    <w:rsid w:val="007E0E9E"/>
    <w:rsid w:val="007E10A9"/>
    <w:rsid w:val="007E17B3"/>
    <w:rsid w:val="007E19DC"/>
    <w:rsid w:val="007E21FB"/>
    <w:rsid w:val="007E2347"/>
    <w:rsid w:val="007E26A8"/>
    <w:rsid w:val="007E26BB"/>
    <w:rsid w:val="007E2E3F"/>
    <w:rsid w:val="007E329D"/>
    <w:rsid w:val="007E32F4"/>
    <w:rsid w:val="007E39E7"/>
    <w:rsid w:val="007E420B"/>
    <w:rsid w:val="007E47D2"/>
    <w:rsid w:val="007E4927"/>
    <w:rsid w:val="007E4932"/>
    <w:rsid w:val="007E49D4"/>
    <w:rsid w:val="007E4B24"/>
    <w:rsid w:val="007E502C"/>
    <w:rsid w:val="007E598A"/>
    <w:rsid w:val="007E5A74"/>
    <w:rsid w:val="007E5BD7"/>
    <w:rsid w:val="007E6023"/>
    <w:rsid w:val="007E75F0"/>
    <w:rsid w:val="007E7968"/>
    <w:rsid w:val="007F013A"/>
    <w:rsid w:val="007F067A"/>
    <w:rsid w:val="007F0691"/>
    <w:rsid w:val="007F088F"/>
    <w:rsid w:val="007F0F3D"/>
    <w:rsid w:val="007F1FB0"/>
    <w:rsid w:val="007F2D90"/>
    <w:rsid w:val="007F4211"/>
    <w:rsid w:val="007F4F82"/>
    <w:rsid w:val="007F53A5"/>
    <w:rsid w:val="007F54DB"/>
    <w:rsid w:val="007F6A9A"/>
    <w:rsid w:val="007F6B93"/>
    <w:rsid w:val="007F6B9F"/>
    <w:rsid w:val="007F6E39"/>
    <w:rsid w:val="007F6FEB"/>
    <w:rsid w:val="007F709F"/>
    <w:rsid w:val="007F7204"/>
    <w:rsid w:val="007F73DA"/>
    <w:rsid w:val="007F77D5"/>
    <w:rsid w:val="007F78FA"/>
    <w:rsid w:val="0080042A"/>
    <w:rsid w:val="008008F3"/>
    <w:rsid w:val="008009C8"/>
    <w:rsid w:val="008013D6"/>
    <w:rsid w:val="008014FC"/>
    <w:rsid w:val="00801CA0"/>
    <w:rsid w:val="00801EEA"/>
    <w:rsid w:val="00802493"/>
    <w:rsid w:val="00802785"/>
    <w:rsid w:val="00802D6D"/>
    <w:rsid w:val="008039FE"/>
    <w:rsid w:val="00804653"/>
    <w:rsid w:val="00804A2E"/>
    <w:rsid w:val="00805337"/>
    <w:rsid w:val="00805D36"/>
    <w:rsid w:val="00806336"/>
    <w:rsid w:val="008066F8"/>
    <w:rsid w:val="00806A84"/>
    <w:rsid w:val="00806F66"/>
    <w:rsid w:val="008073D2"/>
    <w:rsid w:val="0080750E"/>
    <w:rsid w:val="00807C6C"/>
    <w:rsid w:val="0081034B"/>
    <w:rsid w:val="00811182"/>
    <w:rsid w:val="00811F8C"/>
    <w:rsid w:val="0081243E"/>
    <w:rsid w:val="00812699"/>
    <w:rsid w:val="00812B10"/>
    <w:rsid w:val="00812BC0"/>
    <w:rsid w:val="00812F11"/>
    <w:rsid w:val="00813278"/>
    <w:rsid w:val="00813385"/>
    <w:rsid w:val="0081340B"/>
    <w:rsid w:val="00813869"/>
    <w:rsid w:val="00813D52"/>
    <w:rsid w:val="00813DA5"/>
    <w:rsid w:val="00813E59"/>
    <w:rsid w:val="00814626"/>
    <w:rsid w:val="0081628A"/>
    <w:rsid w:val="00816304"/>
    <w:rsid w:val="00816703"/>
    <w:rsid w:val="00816BD8"/>
    <w:rsid w:val="00816C39"/>
    <w:rsid w:val="00816E37"/>
    <w:rsid w:val="00817BB4"/>
    <w:rsid w:val="00817E89"/>
    <w:rsid w:val="00817E9F"/>
    <w:rsid w:val="00821021"/>
    <w:rsid w:val="008214BB"/>
    <w:rsid w:val="00821609"/>
    <w:rsid w:val="00821B58"/>
    <w:rsid w:val="0082202C"/>
    <w:rsid w:val="0082210E"/>
    <w:rsid w:val="00822117"/>
    <w:rsid w:val="008225E3"/>
    <w:rsid w:val="00822922"/>
    <w:rsid w:val="00822D06"/>
    <w:rsid w:val="00822D4E"/>
    <w:rsid w:val="00823329"/>
    <w:rsid w:val="00823A49"/>
    <w:rsid w:val="00823B4E"/>
    <w:rsid w:val="00823CEC"/>
    <w:rsid w:val="00824594"/>
    <w:rsid w:val="0082460C"/>
    <w:rsid w:val="008249B0"/>
    <w:rsid w:val="00824A07"/>
    <w:rsid w:val="0082529F"/>
    <w:rsid w:val="00825BF1"/>
    <w:rsid w:val="0082606C"/>
    <w:rsid w:val="008268A1"/>
    <w:rsid w:val="00826AC0"/>
    <w:rsid w:val="00826CD4"/>
    <w:rsid w:val="00826D8D"/>
    <w:rsid w:val="00826F17"/>
    <w:rsid w:val="00826F4C"/>
    <w:rsid w:val="00827183"/>
    <w:rsid w:val="0082722A"/>
    <w:rsid w:val="00827797"/>
    <w:rsid w:val="00827B01"/>
    <w:rsid w:val="0083135D"/>
    <w:rsid w:val="0083226E"/>
    <w:rsid w:val="00832848"/>
    <w:rsid w:val="00833014"/>
    <w:rsid w:val="00833970"/>
    <w:rsid w:val="00833AAA"/>
    <w:rsid w:val="00833FBB"/>
    <w:rsid w:val="00834846"/>
    <w:rsid w:val="00834A99"/>
    <w:rsid w:val="00834BCA"/>
    <w:rsid w:val="00834F10"/>
    <w:rsid w:val="008350BD"/>
    <w:rsid w:val="00835237"/>
    <w:rsid w:val="0083544C"/>
    <w:rsid w:val="008356E1"/>
    <w:rsid w:val="00836A4D"/>
    <w:rsid w:val="00836F94"/>
    <w:rsid w:val="0083737F"/>
    <w:rsid w:val="00837699"/>
    <w:rsid w:val="0083771C"/>
    <w:rsid w:val="008377DA"/>
    <w:rsid w:val="00837FEE"/>
    <w:rsid w:val="008409B9"/>
    <w:rsid w:val="00840AFF"/>
    <w:rsid w:val="00842287"/>
    <w:rsid w:val="00842640"/>
    <w:rsid w:val="00842A25"/>
    <w:rsid w:val="00843122"/>
    <w:rsid w:val="00843427"/>
    <w:rsid w:val="00843842"/>
    <w:rsid w:val="0084459B"/>
    <w:rsid w:val="008448DD"/>
    <w:rsid w:val="00844D06"/>
    <w:rsid w:val="00844EC9"/>
    <w:rsid w:val="00845529"/>
    <w:rsid w:val="00845811"/>
    <w:rsid w:val="00845A15"/>
    <w:rsid w:val="0084632F"/>
    <w:rsid w:val="0084708B"/>
    <w:rsid w:val="00847121"/>
    <w:rsid w:val="00847309"/>
    <w:rsid w:val="0084765F"/>
    <w:rsid w:val="00847C0D"/>
    <w:rsid w:val="00847C2B"/>
    <w:rsid w:val="00847DA7"/>
    <w:rsid w:val="00850C0F"/>
    <w:rsid w:val="00850EF7"/>
    <w:rsid w:val="0085106A"/>
    <w:rsid w:val="008523F6"/>
    <w:rsid w:val="00852A1F"/>
    <w:rsid w:val="00853C37"/>
    <w:rsid w:val="00853F10"/>
    <w:rsid w:val="00853F6C"/>
    <w:rsid w:val="008541E3"/>
    <w:rsid w:val="0085468B"/>
    <w:rsid w:val="00854EA0"/>
    <w:rsid w:val="008552FC"/>
    <w:rsid w:val="00855423"/>
    <w:rsid w:val="008556B3"/>
    <w:rsid w:val="00855B06"/>
    <w:rsid w:val="0085619A"/>
    <w:rsid w:val="008561BB"/>
    <w:rsid w:val="008565AA"/>
    <w:rsid w:val="008575F9"/>
    <w:rsid w:val="00857D29"/>
    <w:rsid w:val="00857E25"/>
    <w:rsid w:val="00860071"/>
    <w:rsid w:val="00860A30"/>
    <w:rsid w:val="00861747"/>
    <w:rsid w:val="00862095"/>
    <w:rsid w:val="0086214C"/>
    <w:rsid w:val="008623D5"/>
    <w:rsid w:val="008629A8"/>
    <w:rsid w:val="00862ACF"/>
    <w:rsid w:val="00863089"/>
    <w:rsid w:val="00863198"/>
    <w:rsid w:val="00863544"/>
    <w:rsid w:val="00863B3D"/>
    <w:rsid w:val="008640B5"/>
    <w:rsid w:val="008643BB"/>
    <w:rsid w:val="00864C32"/>
    <w:rsid w:val="00864C9F"/>
    <w:rsid w:val="00864D55"/>
    <w:rsid w:val="00865199"/>
    <w:rsid w:val="00865426"/>
    <w:rsid w:val="008655BA"/>
    <w:rsid w:val="00865F44"/>
    <w:rsid w:val="0086605D"/>
    <w:rsid w:val="0086608F"/>
    <w:rsid w:val="00866572"/>
    <w:rsid w:val="008679DC"/>
    <w:rsid w:val="00870272"/>
    <w:rsid w:val="008706AE"/>
    <w:rsid w:val="00870CB6"/>
    <w:rsid w:val="00870D76"/>
    <w:rsid w:val="00871421"/>
    <w:rsid w:val="00871499"/>
    <w:rsid w:val="008719AC"/>
    <w:rsid w:val="00871DC7"/>
    <w:rsid w:val="0087270F"/>
    <w:rsid w:val="00872882"/>
    <w:rsid w:val="008734F5"/>
    <w:rsid w:val="00873CED"/>
    <w:rsid w:val="00873D3D"/>
    <w:rsid w:val="00873FEA"/>
    <w:rsid w:val="0087413A"/>
    <w:rsid w:val="0087419B"/>
    <w:rsid w:val="00874232"/>
    <w:rsid w:val="008743DF"/>
    <w:rsid w:val="00874592"/>
    <w:rsid w:val="0087475F"/>
    <w:rsid w:val="00874E59"/>
    <w:rsid w:val="0087516A"/>
    <w:rsid w:val="00875679"/>
    <w:rsid w:val="00875ADE"/>
    <w:rsid w:val="00875E1F"/>
    <w:rsid w:val="00875E91"/>
    <w:rsid w:val="008777A6"/>
    <w:rsid w:val="008778FD"/>
    <w:rsid w:val="00877C0D"/>
    <w:rsid w:val="0088028E"/>
    <w:rsid w:val="008807EE"/>
    <w:rsid w:val="00880A96"/>
    <w:rsid w:val="008816F0"/>
    <w:rsid w:val="008818F6"/>
    <w:rsid w:val="00881D88"/>
    <w:rsid w:val="00881FFE"/>
    <w:rsid w:val="00882EC4"/>
    <w:rsid w:val="00882F6D"/>
    <w:rsid w:val="00883059"/>
    <w:rsid w:val="0088398E"/>
    <w:rsid w:val="008844D7"/>
    <w:rsid w:val="00884B9F"/>
    <w:rsid w:val="00885BEA"/>
    <w:rsid w:val="00885C12"/>
    <w:rsid w:val="00885C52"/>
    <w:rsid w:val="00885DB1"/>
    <w:rsid w:val="008864AD"/>
    <w:rsid w:val="00886AC5"/>
    <w:rsid w:val="00887599"/>
    <w:rsid w:val="00887705"/>
    <w:rsid w:val="00887887"/>
    <w:rsid w:val="00887AA0"/>
    <w:rsid w:val="00887E02"/>
    <w:rsid w:val="00890237"/>
    <w:rsid w:val="00890535"/>
    <w:rsid w:val="008909F3"/>
    <w:rsid w:val="00891E92"/>
    <w:rsid w:val="00892580"/>
    <w:rsid w:val="00892ADF"/>
    <w:rsid w:val="0089305C"/>
    <w:rsid w:val="008933A7"/>
    <w:rsid w:val="00893479"/>
    <w:rsid w:val="008936E7"/>
    <w:rsid w:val="00893F73"/>
    <w:rsid w:val="0089429A"/>
    <w:rsid w:val="00894A90"/>
    <w:rsid w:val="00894EAA"/>
    <w:rsid w:val="00894FC1"/>
    <w:rsid w:val="00895BF2"/>
    <w:rsid w:val="00895FCB"/>
    <w:rsid w:val="008977CD"/>
    <w:rsid w:val="00897E03"/>
    <w:rsid w:val="00897E9E"/>
    <w:rsid w:val="00897F77"/>
    <w:rsid w:val="008A05E0"/>
    <w:rsid w:val="008A1186"/>
    <w:rsid w:val="008A1517"/>
    <w:rsid w:val="008A198D"/>
    <w:rsid w:val="008A1C47"/>
    <w:rsid w:val="008A21B9"/>
    <w:rsid w:val="008A34BF"/>
    <w:rsid w:val="008A35E7"/>
    <w:rsid w:val="008A37DD"/>
    <w:rsid w:val="008A4CBF"/>
    <w:rsid w:val="008A5290"/>
    <w:rsid w:val="008A5549"/>
    <w:rsid w:val="008A593A"/>
    <w:rsid w:val="008A5A27"/>
    <w:rsid w:val="008A6C5A"/>
    <w:rsid w:val="008B0061"/>
    <w:rsid w:val="008B0EAD"/>
    <w:rsid w:val="008B1718"/>
    <w:rsid w:val="008B190C"/>
    <w:rsid w:val="008B1E83"/>
    <w:rsid w:val="008B1EF5"/>
    <w:rsid w:val="008B219A"/>
    <w:rsid w:val="008B2483"/>
    <w:rsid w:val="008B2537"/>
    <w:rsid w:val="008B27A3"/>
    <w:rsid w:val="008B2C9C"/>
    <w:rsid w:val="008B2DF3"/>
    <w:rsid w:val="008B2E4C"/>
    <w:rsid w:val="008B349C"/>
    <w:rsid w:val="008B376A"/>
    <w:rsid w:val="008B3F57"/>
    <w:rsid w:val="008B4969"/>
    <w:rsid w:val="008B4F9D"/>
    <w:rsid w:val="008B5660"/>
    <w:rsid w:val="008B6576"/>
    <w:rsid w:val="008B6CDC"/>
    <w:rsid w:val="008B7220"/>
    <w:rsid w:val="008B75D5"/>
    <w:rsid w:val="008B78BE"/>
    <w:rsid w:val="008B78D8"/>
    <w:rsid w:val="008B7BAA"/>
    <w:rsid w:val="008C00CA"/>
    <w:rsid w:val="008C0246"/>
    <w:rsid w:val="008C02A5"/>
    <w:rsid w:val="008C031A"/>
    <w:rsid w:val="008C08A5"/>
    <w:rsid w:val="008C1349"/>
    <w:rsid w:val="008C2FC9"/>
    <w:rsid w:val="008C31A3"/>
    <w:rsid w:val="008C347E"/>
    <w:rsid w:val="008C384A"/>
    <w:rsid w:val="008C44D9"/>
    <w:rsid w:val="008C4510"/>
    <w:rsid w:val="008C479C"/>
    <w:rsid w:val="008C47B4"/>
    <w:rsid w:val="008C4832"/>
    <w:rsid w:val="008C4D4B"/>
    <w:rsid w:val="008C4E14"/>
    <w:rsid w:val="008C4EDA"/>
    <w:rsid w:val="008C4F75"/>
    <w:rsid w:val="008C543B"/>
    <w:rsid w:val="008C55A4"/>
    <w:rsid w:val="008C5BFF"/>
    <w:rsid w:val="008C5C97"/>
    <w:rsid w:val="008C64E3"/>
    <w:rsid w:val="008C725D"/>
    <w:rsid w:val="008C7337"/>
    <w:rsid w:val="008C7741"/>
    <w:rsid w:val="008C7883"/>
    <w:rsid w:val="008C78F9"/>
    <w:rsid w:val="008C7B5C"/>
    <w:rsid w:val="008C7F11"/>
    <w:rsid w:val="008D044B"/>
    <w:rsid w:val="008D0BD0"/>
    <w:rsid w:val="008D0D1E"/>
    <w:rsid w:val="008D10E6"/>
    <w:rsid w:val="008D110C"/>
    <w:rsid w:val="008D1E79"/>
    <w:rsid w:val="008D29A6"/>
    <w:rsid w:val="008D32AF"/>
    <w:rsid w:val="008D345F"/>
    <w:rsid w:val="008D35E0"/>
    <w:rsid w:val="008D3735"/>
    <w:rsid w:val="008D49A4"/>
    <w:rsid w:val="008D5693"/>
    <w:rsid w:val="008D592A"/>
    <w:rsid w:val="008D5BAA"/>
    <w:rsid w:val="008D776F"/>
    <w:rsid w:val="008D7A19"/>
    <w:rsid w:val="008D7E13"/>
    <w:rsid w:val="008E08F0"/>
    <w:rsid w:val="008E1068"/>
    <w:rsid w:val="008E18A0"/>
    <w:rsid w:val="008E1AB4"/>
    <w:rsid w:val="008E1CC0"/>
    <w:rsid w:val="008E1E54"/>
    <w:rsid w:val="008E2AA2"/>
    <w:rsid w:val="008E3732"/>
    <w:rsid w:val="008E3921"/>
    <w:rsid w:val="008E3B7C"/>
    <w:rsid w:val="008E3C88"/>
    <w:rsid w:val="008E47E0"/>
    <w:rsid w:val="008E4880"/>
    <w:rsid w:val="008E5643"/>
    <w:rsid w:val="008E5DA4"/>
    <w:rsid w:val="008E64D6"/>
    <w:rsid w:val="008E7211"/>
    <w:rsid w:val="008E78F2"/>
    <w:rsid w:val="008E792D"/>
    <w:rsid w:val="008F0055"/>
    <w:rsid w:val="008F022C"/>
    <w:rsid w:val="008F089A"/>
    <w:rsid w:val="008F0AB5"/>
    <w:rsid w:val="008F0E05"/>
    <w:rsid w:val="008F0E9C"/>
    <w:rsid w:val="008F12B1"/>
    <w:rsid w:val="008F141E"/>
    <w:rsid w:val="008F1521"/>
    <w:rsid w:val="008F1F09"/>
    <w:rsid w:val="008F2838"/>
    <w:rsid w:val="008F4588"/>
    <w:rsid w:val="008F55DF"/>
    <w:rsid w:val="008F5988"/>
    <w:rsid w:val="008F6667"/>
    <w:rsid w:val="008F6794"/>
    <w:rsid w:val="008F7474"/>
    <w:rsid w:val="008F783D"/>
    <w:rsid w:val="008F7853"/>
    <w:rsid w:val="008F7AA3"/>
    <w:rsid w:val="009003DE"/>
    <w:rsid w:val="009003EA"/>
    <w:rsid w:val="009005B7"/>
    <w:rsid w:val="00900C7B"/>
    <w:rsid w:val="00901569"/>
    <w:rsid w:val="00901BE1"/>
    <w:rsid w:val="00902929"/>
    <w:rsid w:val="00902EC7"/>
    <w:rsid w:val="0090318C"/>
    <w:rsid w:val="00903488"/>
    <w:rsid w:val="00903FE5"/>
    <w:rsid w:val="00904084"/>
    <w:rsid w:val="00904795"/>
    <w:rsid w:val="009049FD"/>
    <w:rsid w:val="00904AA8"/>
    <w:rsid w:val="00904FB5"/>
    <w:rsid w:val="00905021"/>
    <w:rsid w:val="0090587F"/>
    <w:rsid w:val="00905D12"/>
    <w:rsid w:val="00905DCF"/>
    <w:rsid w:val="00906619"/>
    <w:rsid w:val="00906A71"/>
    <w:rsid w:val="00906F35"/>
    <w:rsid w:val="0090727F"/>
    <w:rsid w:val="009075A0"/>
    <w:rsid w:val="00907955"/>
    <w:rsid w:val="0090799A"/>
    <w:rsid w:val="00907B8B"/>
    <w:rsid w:val="00907F11"/>
    <w:rsid w:val="0091270C"/>
    <w:rsid w:val="00912DE0"/>
    <w:rsid w:val="00913421"/>
    <w:rsid w:val="0091481B"/>
    <w:rsid w:val="00914825"/>
    <w:rsid w:val="009158A4"/>
    <w:rsid w:val="00916A15"/>
    <w:rsid w:val="00916E58"/>
    <w:rsid w:val="00916EB9"/>
    <w:rsid w:val="00916FE3"/>
    <w:rsid w:val="00917380"/>
    <w:rsid w:val="00917433"/>
    <w:rsid w:val="00917887"/>
    <w:rsid w:val="00917E45"/>
    <w:rsid w:val="009207DB"/>
    <w:rsid w:val="0092106E"/>
    <w:rsid w:val="00921581"/>
    <w:rsid w:val="00922024"/>
    <w:rsid w:val="00922AF6"/>
    <w:rsid w:val="00922EE5"/>
    <w:rsid w:val="00922FE4"/>
    <w:rsid w:val="0092353A"/>
    <w:rsid w:val="009244A4"/>
    <w:rsid w:val="009246F6"/>
    <w:rsid w:val="00924B93"/>
    <w:rsid w:val="00924BF3"/>
    <w:rsid w:val="00924E99"/>
    <w:rsid w:val="009254AC"/>
    <w:rsid w:val="00925501"/>
    <w:rsid w:val="00925C4F"/>
    <w:rsid w:val="00925E32"/>
    <w:rsid w:val="00926301"/>
    <w:rsid w:val="00926982"/>
    <w:rsid w:val="00926BC8"/>
    <w:rsid w:val="00926BF2"/>
    <w:rsid w:val="009270C4"/>
    <w:rsid w:val="00930F71"/>
    <w:rsid w:val="00931B25"/>
    <w:rsid w:val="00931C34"/>
    <w:rsid w:val="0093200A"/>
    <w:rsid w:val="00932196"/>
    <w:rsid w:val="0093226D"/>
    <w:rsid w:val="00932459"/>
    <w:rsid w:val="00932B16"/>
    <w:rsid w:val="00932FE6"/>
    <w:rsid w:val="00933AD8"/>
    <w:rsid w:val="0093412A"/>
    <w:rsid w:val="00934FA8"/>
    <w:rsid w:val="00936535"/>
    <w:rsid w:val="0093740F"/>
    <w:rsid w:val="00937B4A"/>
    <w:rsid w:val="00937C1D"/>
    <w:rsid w:val="009405AC"/>
    <w:rsid w:val="009405DB"/>
    <w:rsid w:val="00940CD3"/>
    <w:rsid w:val="00940F58"/>
    <w:rsid w:val="00940FC3"/>
    <w:rsid w:val="00941140"/>
    <w:rsid w:val="0094131D"/>
    <w:rsid w:val="0094185C"/>
    <w:rsid w:val="00941C49"/>
    <w:rsid w:val="00942120"/>
    <w:rsid w:val="00942316"/>
    <w:rsid w:val="009425F7"/>
    <w:rsid w:val="00942A91"/>
    <w:rsid w:val="00942F09"/>
    <w:rsid w:val="00942F72"/>
    <w:rsid w:val="00942FE3"/>
    <w:rsid w:val="009437F6"/>
    <w:rsid w:val="00943DD5"/>
    <w:rsid w:val="00944637"/>
    <w:rsid w:val="00944BC7"/>
    <w:rsid w:val="00944BF0"/>
    <w:rsid w:val="00945072"/>
    <w:rsid w:val="009450E6"/>
    <w:rsid w:val="00946136"/>
    <w:rsid w:val="00946208"/>
    <w:rsid w:val="00947B25"/>
    <w:rsid w:val="009507A3"/>
    <w:rsid w:val="00950B62"/>
    <w:rsid w:val="009512B1"/>
    <w:rsid w:val="009512F4"/>
    <w:rsid w:val="00951A3E"/>
    <w:rsid w:val="00951FA8"/>
    <w:rsid w:val="0095348B"/>
    <w:rsid w:val="00953BA0"/>
    <w:rsid w:val="00953BB4"/>
    <w:rsid w:val="00954194"/>
    <w:rsid w:val="00954282"/>
    <w:rsid w:val="00954427"/>
    <w:rsid w:val="0095467D"/>
    <w:rsid w:val="00954E74"/>
    <w:rsid w:val="00955150"/>
    <w:rsid w:val="009553A6"/>
    <w:rsid w:val="009555AB"/>
    <w:rsid w:val="009562BF"/>
    <w:rsid w:val="00956BBB"/>
    <w:rsid w:val="00957A1B"/>
    <w:rsid w:val="0096064F"/>
    <w:rsid w:val="009607DA"/>
    <w:rsid w:val="00961505"/>
    <w:rsid w:val="009618F2"/>
    <w:rsid w:val="00961B3E"/>
    <w:rsid w:val="0096205F"/>
    <w:rsid w:val="0096323E"/>
    <w:rsid w:val="00963285"/>
    <w:rsid w:val="0096475C"/>
    <w:rsid w:val="00964924"/>
    <w:rsid w:val="00964C19"/>
    <w:rsid w:val="00965161"/>
    <w:rsid w:val="00965374"/>
    <w:rsid w:val="00965401"/>
    <w:rsid w:val="00965D84"/>
    <w:rsid w:val="00965E37"/>
    <w:rsid w:val="00965F51"/>
    <w:rsid w:val="0096646C"/>
    <w:rsid w:val="009666AA"/>
    <w:rsid w:val="009666FE"/>
    <w:rsid w:val="00966E16"/>
    <w:rsid w:val="0096797D"/>
    <w:rsid w:val="00967C2F"/>
    <w:rsid w:val="009710C3"/>
    <w:rsid w:val="009713DD"/>
    <w:rsid w:val="00971C53"/>
    <w:rsid w:val="009725F2"/>
    <w:rsid w:val="00972DC6"/>
    <w:rsid w:val="00972F2E"/>
    <w:rsid w:val="0097311D"/>
    <w:rsid w:val="00973179"/>
    <w:rsid w:val="00973F4F"/>
    <w:rsid w:val="00974105"/>
    <w:rsid w:val="00974362"/>
    <w:rsid w:val="00974795"/>
    <w:rsid w:val="00975C75"/>
    <w:rsid w:val="009761BB"/>
    <w:rsid w:val="00976390"/>
    <w:rsid w:val="00976582"/>
    <w:rsid w:val="0097766C"/>
    <w:rsid w:val="00977BCA"/>
    <w:rsid w:val="00977F9B"/>
    <w:rsid w:val="00980190"/>
    <w:rsid w:val="0098177A"/>
    <w:rsid w:val="009833A5"/>
    <w:rsid w:val="00983A3C"/>
    <w:rsid w:val="00983CE9"/>
    <w:rsid w:val="00983EFD"/>
    <w:rsid w:val="00984A8A"/>
    <w:rsid w:val="00985855"/>
    <w:rsid w:val="00985D58"/>
    <w:rsid w:val="00985DFA"/>
    <w:rsid w:val="00986257"/>
    <w:rsid w:val="0098643B"/>
    <w:rsid w:val="00986861"/>
    <w:rsid w:val="009868C9"/>
    <w:rsid w:val="009868E0"/>
    <w:rsid w:val="00987BF5"/>
    <w:rsid w:val="00987CBC"/>
    <w:rsid w:val="00987FE7"/>
    <w:rsid w:val="00990519"/>
    <w:rsid w:val="00990609"/>
    <w:rsid w:val="00990904"/>
    <w:rsid w:val="00990AAE"/>
    <w:rsid w:val="00990DB9"/>
    <w:rsid w:val="00991487"/>
    <w:rsid w:val="00991706"/>
    <w:rsid w:val="009917E6"/>
    <w:rsid w:val="00992022"/>
    <w:rsid w:val="009924B9"/>
    <w:rsid w:val="009925AC"/>
    <w:rsid w:val="00992815"/>
    <w:rsid w:val="00992935"/>
    <w:rsid w:val="00992E3D"/>
    <w:rsid w:val="0099301E"/>
    <w:rsid w:val="00993070"/>
    <w:rsid w:val="009936DB"/>
    <w:rsid w:val="00993FFC"/>
    <w:rsid w:val="009943CA"/>
    <w:rsid w:val="00994EA1"/>
    <w:rsid w:val="00995141"/>
    <w:rsid w:val="0099589D"/>
    <w:rsid w:val="00995E04"/>
    <w:rsid w:val="009961D6"/>
    <w:rsid w:val="00996326"/>
    <w:rsid w:val="00996349"/>
    <w:rsid w:val="00996415"/>
    <w:rsid w:val="00996546"/>
    <w:rsid w:val="009966A8"/>
    <w:rsid w:val="00996C6A"/>
    <w:rsid w:val="0099723F"/>
    <w:rsid w:val="00997798"/>
    <w:rsid w:val="009978A9"/>
    <w:rsid w:val="00997F98"/>
    <w:rsid w:val="009A09B4"/>
    <w:rsid w:val="009A1CD8"/>
    <w:rsid w:val="009A1CF6"/>
    <w:rsid w:val="009A2838"/>
    <w:rsid w:val="009A2EFF"/>
    <w:rsid w:val="009A2FDF"/>
    <w:rsid w:val="009A327E"/>
    <w:rsid w:val="009A3567"/>
    <w:rsid w:val="009A38E3"/>
    <w:rsid w:val="009A44E8"/>
    <w:rsid w:val="009A4654"/>
    <w:rsid w:val="009A4A0D"/>
    <w:rsid w:val="009A4F69"/>
    <w:rsid w:val="009A5703"/>
    <w:rsid w:val="009A5B4A"/>
    <w:rsid w:val="009A5F6E"/>
    <w:rsid w:val="009A602D"/>
    <w:rsid w:val="009A61FF"/>
    <w:rsid w:val="009A74CB"/>
    <w:rsid w:val="009A775A"/>
    <w:rsid w:val="009A7A01"/>
    <w:rsid w:val="009A7C99"/>
    <w:rsid w:val="009B1570"/>
    <w:rsid w:val="009B19A4"/>
    <w:rsid w:val="009B1D07"/>
    <w:rsid w:val="009B1DA5"/>
    <w:rsid w:val="009B2453"/>
    <w:rsid w:val="009B28FD"/>
    <w:rsid w:val="009B2AD6"/>
    <w:rsid w:val="009B2B64"/>
    <w:rsid w:val="009B34B9"/>
    <w:rsid w:val="009B35D6"/>
    <w:rsid w:val="009B4BDC"/>
    <w:rsid w:val="009B5594"/>
    <w:rsid w:val="009B57DF"/>
    <w:rsid w:val="009B5879"/>
    <w:rsid w:val="009B5A37"/>
    <w:rsid w:val="009B6792"/>
    <w:rsid w:val="009B7144"/>
    <w:rsid w:val="009B729E"/>
    <w:rsid w:val="009B7498"/>
    <w:rsid w:val="009B74A2"/>
    <w:rsid w:val="009B74BB"/>
    <w:rsid w:val="009B7ED4"/>
    <w:rsid w:val="009C067A"/>
    <w:rsid w:val="009C0741"/>
    <w:rsid w:val="009C0CB4"/>
    <w:rsid w:val="009C0EF9"/>
    <w:rsid w:val="009C104A"/>
    <w:rsid w:val="009C178B"/>
    <w:rsid w:val="009C17E8"/>
    <w:rsid w:val="009C1CED"/>
    <w:rsid w:val="009C221F"/>
    <w:rsid w:val="009C27F8"/>
    <w:rsid w:val="009C34CB"/>
    <w:rsid w:val="009C3BFC"/>
    <w:rsid w:val="009C3D84"/>
    <w:rsid w:val="009C411A"/>
    <w:rsid w:val="009C4228"/>
    <w:rsid w:val="009C42B4"/>
    <w:rsid w:val="009C443A"/>
    <w:rsid w:val="009C469D"/>
    <w:rsid w:val="009C50B7"/>
    <w:rsid w:val="009C51B3"/>
    <w:rsid w:val="009C5923"/>
    <w:rsid w:val="009C6283"/>
    <w:rsid w:val="009C6981"/>
    <w:rsid w:val="009C7773"/>
    <w:rsid w:val="009C79FD"/>
    <w:rsid w:val="009C7A50"/>
    <w:rsid w:val="009C7B1D"/>
    <w:rsid w:val="009D03F1"/>
    <w:rsid w:val="009D1CF4"/>
    <w:rsid w:val="009D2E19"/>
    <w:rsid w:val="009D2E2B"/>
    <w:rsid w:val="009D31AD"/>
    <w:rsid w:val="009D3305"/>
    <w:rsid w:val="009D3528"/>
    <w:rsid w:val="009D380F"/>
    <w:rsid w:val="009D402B"/>
    <w:rsid w:val="009D46F8"/>
    <w:rsid w:val="009D49AF"/>
    <w:rsid w:val="009D5001"/>
    <w:rsid w:val="009D57A7"/>
    <w:rsid w:val="009D5A1E"/>
    <w:rsid w:val="009D77C9"/>
    <w:rsid w:val="009D79E5"/>
    <w:rsid w:val="009D7D14"/>
    <w:rsid w:val="009D7D70"/>
    <w:rsid w:val="009E0410"/>
    <w:rsid w:val="009E0B59"/>
    <w:rsid w:val="009E0BFF"/>
    <w:rsid w:val="009E1607"/>
    <w:rsid w:val="009E2E06"/>
    <w:rsid w:val="009E2E5A"/>
    <w:rsid w:val="009E33D1"/>
    <w:rsid w:val="009E4459"/>
    <w:rsid w:val="009E4E27"/>
    <w:rsid w:val="009E52D3"/>
    <w:rsid w:val="009E552B"/>
    <w:rsid w:val="009E6A55"/>
    <w:rsid w:val="009E6DD0"/>
    <w:rsid w:val="009E6F5C"/>
    <w:rsid w:val="009E7562"/>
    <w:rsid w:val="009E7ADC"/>
    <w:rsid w:val="009F0861"/>
    <w:rsid w:val="009F0BD9"/>
    <w:rsid w:val="009F1A0A"/>
    <w:rsid w:val="009F21DC"/>
    <w:rsid w:val="009F2803"/>
    <w:rsid w:val="009F293D"/>
    <w:rsid w:val="009F2BA2"/>
    <w:rsid w:val="009F31A9"/>
    <w:rsid w:val="009F3332"/>
    <w:rsid w:val="009F33FA"/>
    <w:rsid w:val="009F344F"/>
    <w:rsid w:val="009F3645"/>
    <w:rsid w:val="009F3AC7"/>
    <w:rsid w:val="009F4283"/>
    <w:rsid w:val="009F42F3"/>
    <w:rsid w:val="009F4C2B"/>
    <w:rsid w:val="009F4E26"/>
    <w:rsid w:val="009F5105"/>
    <w:rsid w:val="009F5259"/>
    <w:rsid w:val="009F5DC4"/>
    <w:rsid w:val="009F6769"/>
    <w:rsid w:val="009F6903"/>
    <w:rsid w:val="009F7107"/>
    <w:rsid w:val="009F7A3C"/>
    <w:rsid w:val="009F7CA8"/>
    <w:rsid w:val="009F7CAA"/>
    <w:rsid w:val="00A002F3"/>
    <w:rsid w:val="00A006BD"/>
    <w:rsid w:val="00A006E1"/>
    <w:rsid w:val="00A00824"/>
    <w:rsid w:val="00A009AC"/>
    <w:rsid w:val="00A00D50"/>
    <w:rsid w:val="00A00DAC"/>
    <w:rsid w:val="00A00DC0"/>
    <w:rsid w:val="00A01149"/>
    <w:rsid w:val="00A01C1F"/>
    <w:rsid w:val="00A01C86"/>
    <w:rsid w:val="00A01C98"/>
    <w:rsid w:val="00A02A9F"/>
    <w:rsid w:val="00A02CE8"/>
    <w:rsid w:val="00A02EE0"/>
    <w:rsid w:val="00A035F2"/>
    <w:rsid w:val="00A03C90"/>
    <w:rsid w:val="00A04C41"/>
    <w:rsid w:val="00A051FC"/>
    <w:rsid w:val="00A05A92"/>
    <w:rsid w:val="00A05ACF"/>
    <w:rsid w:val="00A05D66"/>
    <w:rsid w:val="00A06A54"/>
    <w:rsid w:val="00A06E22"/>
    <w:rsid w:val="00A06E7A"/>
    <w:rsid w:val="00A06EFA"/>
    <w:rsid w:val="00A10207"/>
    <w:rsid w:val="00A10423"/>
    <w:rsid w:val="00A10D02"/>
    <w:rsid w:val="00A11911"/>
    <w:rsid w:val="00A11E25"/>
    <w:rsid w:val="00A122D2"/>
    <w:rsid w:val="00A1238B"/>
    <w:rsid w:val="00A1260D"/>
    <w:rsid w:val="00A137EE"/>
    <w:rsid w:val="00A14547"/>
    <w:rsid w:val="00A14AA2"/>
    <w:rsid w:val="00A1548E"/>
    <w:rsid w:val="00A15A52"/>
    <w:rsid w:val="00A1614F"/>
    <w:rsid w:val="00A162F2"/>
    <w:rsid w:val="00A171E1"/>
    <w:rsid w:val="00A1727C"/>
    <w:rsid w:val="00A172FD"/>
    <w:rsid w:val="00A179AD"/>
    <w:rsid w:val="00A17AEF"/>
    <w:rsid w:val="00A17CFF"/>
    <w:rsid w:val="00A17D5B"/>
    <w:rsid w:val="00A20A26"/>
    <w:rsid w:val="00A215B0"/>
    <w:rsid w:val="00A218FE"/>
    <w:rsid w:val="00A21F85"/>
    <w:rsid w:val="00A22536"/>
    <w:rsid w:val="00A227AB"/>
    <w:rsid w:val="00A2283C"/>
    <w:rsid w:val="00A230B1"/>
    <w:rsid w:val="00A2323D"/>
    <w:rsid w:val="00A240AC"/>
    <w:rsid w:val="00A240FF"/>
    <w:rsid w:val="00A24B17"/>
    <w:rsid w:val="00A25A12"/>
    <w:rsid w:val="00A266C7"/>
    <w:rsid w:val="00A26C96"/>
    <w:rsid w:val="00A2732C"/>
    <w:rsid w:val="00A277C7"/>
    <w:rsid w:val="00A27A71"/>
    <w:rsid w:val="00A27F02"/>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4FB9"/>
    <w:rsid w:val="00A352AF"/>
    <w:rsid w:val="00A353D8"/>
    <w:rsid w:val="00A35B31"/>
    <w:rsid w:val="00A3664B"/>
    <w:rsid w:val="00A36B46"/>
    <w:rsid w:val="00A36BD5"/>
    <w:rsid w:val="00A374B1"/>
    <w:rsid w:val="00A401BF"/>
    <w:rsid w:val="00A40906"/>
    <w:rsid w:val="00A40C3D"/>
    <w:rsid w:val="00A40D0C"/>
    <w:rsid w:val="00A41302"/>
    <w:rsid w:val="00A415E2"/>
    <w:rsid w:val="00A41C59"/>
    <w:rsid w:val="00A41C63"/>
    <w:rsid w:val="00A420F4"/>
    <w:rsid w:val="00A42130"/>
    <w:rsid w:val="00A421C0"/>
    <w:rsid w:val="00A4271D"/>
    <w:rsid w:val="00A42AD9"/>
    <w:rsid w:val="00A42CF9"/>
    <w:rsid w:val="00A43021"/>
    <w:rsid w:val="00A43278"/>
    <w:rsid w:val="00A434EC"/>
    <w:rsid w:val="00A44BAB"/>
    <w:rsid w:val="00A459D9"/>
    <w:rsid w:val="00A463EB"/>
    <w:rsid w:val="00A466BC"/>
    <w:rsid w:val="00A469C6"/>
    <w:rsid w:val="00A47029"/>
    <w:rsid w:val="00A47341"/>
    <w:rsid w:val="00A50299"/>
    <w:rsid w:val="00A503CF"/>
    <w:rsid w:val="00A50F4B"/>
    <w:rsid w:val="00A510C2"/>
    <w:rsid w:val="00A51D1A"/>
    <w:rsid w:val="00A51D94"/>
    <w:rsid w:val="00A52100"/>
    <w:rsid w:val="00A52885"/>
    <w:rsid w:val="00A53048"/>
    <w:rsid w:val="00A536D5"/>
    <w:rsid w:val="00A53FCE"/>
    <w:rsid w:val="00A5425D"/>
    <w:rsid w:val="00A54DAA"/>
    <w:rsid w:val="00A5510E"/>
    <w:rsid w:val="00A559F4"/>
    <w:rsid w:val="00A56547"/>
    <w:rsid w:val="00A56BBE"/>
    <w:rsid w:val="00A56D12"/>
    <w:rsid w:val="00A570E0"/>
    <w:rsid w:val="00A57343"/>
    <w:rsid w:val="00A57566"/>
    <w:rsid w:val="00A57880"/>
    <w:rsid w:val="00A57889"/>
    <w:rsid w:val="00A606A0"/>
    <w:rsid w:val="00A60AEA"/>
    <w:rsid w:val="00A60E0C"/>
    <w:rsid w:val="00A61263"/>
    <w:rsid w:val="00A614AD"/>
    <w:rsid w:val="00A61886"/>
    <w:rsid w:val="00A61C42"/>
    <w:rsid w:val="00A626C0"/>
    <w:rsid w:val="00A63706"/>
    <w:rsid w:val="00A63991"/>
    <w:rsid w:val="00A63A0E"/>
    <w:rsid w:val="00A63D89"/>
    <w:rsid w:val="00A64DAD"/>
    <w:rsid w:val="00A650DB"/>
    <w:rsid w:val="00A65406"/>
    <w:rsid w:val="00A65E52"/>
    <w:rsid w:val="00A6616B"/>
    <w:rsid w:val="00A66B3D"/>
    <w:rsid w:val="00A66E04"/>
    <w:rsid w:val="00A671B3"/>
    <w:rsid w:val="00A6775B"/>
    <w:rsid w:val="00A67E84"/>
    <w:rsid w:val="00A67F13"/>
    <w:rsid w:val="00A71084"/>
    <w:rsid w:val="00A71181"/>
    <w:rsid w:val="00A71996"/>
    <w:rsid w:val="00A71E69"/>
    <w:rsid w:val="00A7290C"/>
    <w:rsid w:val="00A72ADA"/>
    <w:rsid w:val="00A733CD"/>
    <w:rsid w:val="00A73642"/>
    <w:rsid w:val="00A73647"/>
    <w:rsid w:val="00A73915"/>
    <w:rsid w:val="00A740A9"/>
    <w:rsid w:val="00A740DC"/>
    <w:rsid w:val="00A74C0B"/>
    <w:rsid w:val="00A74CED"/>
    <w:rsid w:val="00A75085"/>
    <w:rsid w:val="00A753C1"/>
    <w:rsid w:val="00A7588B"/>
    <w:rsid w:val="00A76063"/>
    <w:rsid w:val="00A7661A"/>
    <w:rsid w:val="00A767A1"/>
    <w:rsid w:val="00A767FD"/>
    <w:rsid w:val="00A771BF"/>
    <w:rsid w:val="00A77A3F"/>
    <w:rsid w:val="00A801BC"/>
    <w:rsid w:val="00A80822"/>
    <w:rsid w:val="00A80B84"/>
    <w:rsid w:val="00A80D67"/>
    <w:rsid w:val="00A815D0"/>
    <w:rsid w:val="00A81953"/>
    <w:rsid w:val="00A81A3B"/>
    <w:rsid w:val="00A823AB"/>
    <w:rsid w:val="00A82C6D"/>
    <w:rsid w:val="00A84155"/>
    <w:rsid w:val="00A84AE2"/>
    <w:rsid w:val="00A84AEB"/>
    <w:rsid w:val="00A85936"/>
    <w:rsid w:val="00A861F3"/>
    <w:rsid w:val="00A86F1A"/>
    <w:rsid w:val="00A87A3E"/>
    <w:rsid w:val="00A87B18"/>
    <w:rsid w:val="00A90283"/>
    <w:rsid w:val="00A90686"/>
    <w:rsid w:val="00A9074A"/>
    <w:rsid w:val="00A90888"/>
    <w:rsid w:val="00A90B1F"/>
    <w:rsid w:val="00A90DB1"/>
    <w:rsid w:val="00A90DCE"/>
    <w:rsid w:val="00A910CC"/>
    <w:rsid w:val="00A9147B"/>
    <w:rsid w:val="00A9162D"/>
    <w:rsid w:val="00A917A8"/>
    <w:rsid w:val="00A91BA8"/>
    <w:rsid w:val="00A91DB9"/>
    <w:rsid w:val="00A91EF1"/>
    <w:rsid w:val="00A91EF2"/>
    <w:rsid w:val="00A91EF4"/>
    <w:rsid w:val="00A92331"/>
    <w:rsid w:val="00A92D3C"/>
    <w:rsid w:val="00A92E10"/>
    <w:rsid w:val="00A9325C"/>
    <w:rsid w:val="00A9390E"/>
    <w:rsid w:val="00A93B3D"/>
    <w:rsid w:val="00A94129"/>
    <w:rsid w:val="00A94171"/>
    <w:rsid w:val="00A947DA"/>
    <w:rsid w:val="00A94FD5"/>
    <w:rsid w:val="00A95559"/>
    <w:rsid w:val="00A95F9F"/>
    <w:rsid w:val="00A95FC9"/>
    <w:rsid w:val="00A96CAB"/>
    <w:rsid w:val="00A96E85"/>
    <w:rsid w:val="00A96FC6"/>
    <w:rsid w:val="00A97B61"/>
    <w:rsid w:val="00AA01DA"/>
    <w:rsid w:val="00AA046E"/>
    <w:rsid w:val="00AA049A"/>
    <w:rsid w:val="00AA04E0"/>
    <w:rsid w:val="00AA0766"/>
    <w:rsid w:val="00AA0F42"/>
    <w:rsid w:val="00AA115C"/>
    <w:rsid w:val="00AA1211"/>
    <w:rsid w:val="00AA1579"/>
    <w:rsid w:val="00AA2101"/>
    <w:rsid w:val="00AA2985"/>
    <w:rsid w:val="00AA2E76"/>
    <w:rsid w:val="00AA35E5"/>
    <w:rsid w:val="00AA37D3"/>
    <w:rsid w:val="00AA41E9"/>
    <w:rsid w:val="00AA4482"/>
    <w:rsid w:val="00AA450C"/>
    <w:rsid w:val="00AA4AE0"/>
    <w:rsid w:val="00AA5139"/>
    <w:rsid w:val="00AA5265"/>
    <w:rsid w:val="00AA5AEF"/>
    <w:rsid w:val="00AA5E31"/>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F20"/>
    <w:rsid w:val="00AB3F7B"/>
    <w:rsid w:val="00AB402C"/>
    <w:rsid w:val="00AB43A7"/>
    <w:rsid w:val="00AB4419"/>
    <w:rsid w:val="00AB4AD8"/>
    <w:rsid w:val="00AB5597"/>
    <w:rsid w:val="00AB6DFC"/>
    <w:rsid w:val="00AB7786"/>
    <w:rsid w:val="00AB7A79"/>
    <w:rsid w:val="00AB7CF8"/>
    <w:rsid w:val="00AB7DD2"/>
    <w:rsid w:val="00AC0189"/>
    <w:rsid w:val="00AC09CD"/>
    <w:rsid w:val="00AC1004"/>
    <w:rsid w:val="00AC165A"/>
    <w:rsid w:val="00AC2832"/>
    <w:rsid w:val="00AC2885"/>
    <w:rsid w:val="00AC3531"/>
    <w:rsid w:val="00AC37AF"/>
    <w:rsid w:val="00AC3DB7"/>
    <w:rsid w:val="00AC400E"/>
    <w:rsid w:val="00AC4293"/>
    <w:rsid w:val="00AC4E38"/>
    <w:rsid w:val="00AC549B"/>
    <w:rsid w:val="00AC561A"/>
    <w:rsid w:val="00AC570E"/>
    <w:rsid w:val="00AC57D2"/>
    <w:rsid w:val="00AC658F"/>
    <w:rsid w:val="00AC7899"/>
    <w:rsid w:val="00AC7F42"/>
    <w:rsid w:val="00AD0392"/>
    <w:rsid w:val="00AD0B96"/>
    <w:rsid w:val="00AD1966"/>
    <w:rsid w:val="00AD1A5F"/>
    <w:rsid w:val="00AD1A60"/>
    <w:rsid w:val="00AD1C44"/>
    <w:rsid w:val="00AD1C70"/>
    <w:rsid w:val="00AD2762"/>
    <w:rsid w:val="00AD27FC"/>
    <w:rsid w:val="00AD2ACE"/>
    <w:rsid w:val="00AD2B92"/>
    <w:rsid w:val="00AD3A38"/>
    <w:rsid w:val="00AD3FA7"/>
    <w:rsid w:val="00AD4029"/>
    <w:rsid w:val="00AD4B09"/>
    <w:rsid w:val="00AD4EF7"/>
    <w:rsid w:val="00AD4FA3"/>
    <w:rsid w:val="00AD50AD"/>
    <w:rsid w:val="00AD514D"/>
    <w:rsid w:val="00AD516C"/>
    <w:rsid w:val="00AD5DEF"/>
    <w:rsid w:val="00AD5FD1"/>
    <w:rsid w:val="00AD6407"/>
    <w:rsid w:val="00AD6E95"/>
    <w:rsid w:val="00AD752F"/>
    <w:rsid w:val="00AD79BB"/>
    <w:rsid w:val="00AE00CA"/>
    <w:rsid w:val="00AE10C4"/>
    <w:rsid w:val="00AE1197"/>
    <w:rsid w:val="00AE1524"/>
    <w:rsid w:val="00AE1AE1"/>
    <w:rsid w:val="00AE254F"/>
    <w:rsid w:val="00AE25B1"/>
    <w:rsid w:val="00AE260E"/>
    <w:rsid w:val="00AE2C77"/>
    <w:rsid w:val="00AE2D01"/>
    <w:rsid w:val="00AE415F"/>
    <w:rsid w:val="00AE4E21"/>
    <w:rsid w:val="00AE4F15"/>
    <w:rsid w:val="00AE55BC"/>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B6"/>
    <w:rsid w:val="00AF3A61"/>
    <w:rsid w:val="00AF3C6C"/>
    <w:rsid w:val="00AF49AE"/>
    <w:rsid w:val="00AF4AB5"/>
    <w:rsid w:val="00AF4E1B"/>
    <w:rsid w:val="00AF527E"/>
    <w:rsid w:val="00AF5407"/>
    <w:rsid w:val="00AF5AC5"/>
    <w:rsid w:val="00AF5D56"/>
    <w:rsid w:val="00AF6595"/>
    <w:rsid w:val="00AF7444"/>
    <w:rsid w:val="00AF782D"/>
    <w:rsid w:val="00B00BA9"/>
    <w:rsid w:val="00B00D08"/>
    <w:rsid w:val="00B00ED5"/>
    <w:rsid w:val="00B0144E"/>
    <w:rsid w:val="00B017EA"/>
    <w:rsid w:val="00B01B8C"/>
    <w:rsid w:val="00B02108"/>
    <w:rsid w:val="00B022CF"/>
    <w:rsid w:val="00B02808"/>
    <w:rsid w:val="00B0284A"/>
    <w:rsid w:val="00B02884"/>
    <w:rsid w:val="00B028BC"/>
    <w:rsid w:val="00B02BF0"/>
    <w:rsid w:val="00B02EEE"/>
    <w:rsid w:val="00B037DC"/>
    <w:rsid w:val="00B038A2"/>
    <w:rsid w:val="00B03AB4"/>
    <w:rsid w:val="00B04580"/>
    <w:rsid w:val="00B0459A"/>
    <w:rsid w:val="00B04830"/>
    <w:rsid w:val="00B04972"/>
    <w:rsid w:val="00B04BED"/>
    <w:rsid w:val="00B05B34"/>
    <w:rsid w:val="00B05B91"/>
    <w:rsid w:val="00B05FE5"/>
    <w:rsid w:val="00B0613A"/>
    <w:rsid w:val="00B062A6"/>
    <w:rsid w:val="00B0689A"/>
    <w:rsid w:val="00B069BA"/>
    <w:rsid w:val="00B06DD5"/>
    <w:rsid w:val="00B0711E"/>
    <w:rsid w:val="00B07297"/>
    <w:rsid w:val="00B077CC"/>
    <w:rsid w:val="00B07CD8"/>
    <w:rsid w:val="00B10346"/>
    <w:rsid w:val="00B10762"/>
    <w:rsid w:val="00B10B90"/>
    <w:rsid w:val="00B11197"/>
    <w:rsid w:val="00B119A6"/>
    <w:rsid w:val="00B11D78"/>
    <w:rsid w:val="00B11F38"/>
    <w:rsid w:val="00B123E2"/>
    <w:rsid w:val="00B12FD0"/>
    <w:rsid w:val="00B13F7C"/>
    <w:rsid w:val="00B1482F"/>
    <w:rsid w:val="00B148D0"/>
    <w:rsid w:val="00B14E03"/>
    <w:rsid w:val="00B1524E"/>
    <w:rsid w:val="00B152C6"/>
    <w:rsid w:val="00B152D7"/>
    <w:rsid w:val="00B1597B"/>
    <w:rsid w:val="00B15BB2"/>
    <w:rsid w:val="00B16611"/>
    <w:rsid w:val="00B16D29"/>
    <w:rsid w:val="00B17016"/>
    <w:rsid w:val="00B20AF2"/>
    <w:rsid w:val="00B214DD"/>
    <w:rsid w:val="00B216F9"/>
    <w:rsid w:val="00B21ED5"/>
    <w:rsid w:val="00B229BE"/>
    <w:rsid w:val="00B22AE1"/>
    <w:rsid w:val="00B22D02"/>
    <w:rsid w:val="00B23157"/>
    <w:rsid w:val="00B23C29"/>
    <w:rsid w:val="00B241E3"/>
    <w:rsid w:val="00B25C72"/>
    <w:rsid w:val="00B25E6F"/>
    <w:rsid w:val="00B27220"/>
    <w:rsid w:val="00B27A6D"/>
    <w:rsid w:val="00B27CC0"/>
    <w:rsid w:val="00B3098F"/>
    <w:rsid w:val="00B30A2A"/>
    <w:rsid w:val="00B30B07"/>
    <w:rsid w:val="00B30BCF"/>
    <w:rsid w:val="00B314D0"/>
    <w:rsid w:val="00B31F6E"/>
    <w:rsid w:val="00B321F3"/>
    <w:rsid w:val="00B324B7"/>
    <w:rsid w:val="00B32F2D"/>
    <w:rsid w:val="00B33321"/>
    <w:rsid w:val="00B3341E"/>
    <w:rsid w:val="00B3370B"/>
    <w:rsid w:val="00B34296"/>
    <w:rsid w:val="00B344C2"/>
    <w:rsid w:val="00B34C4E"/>
    <w:rsid w:val="00B3517D"/>
    <w:rsid w:val="00B35221"/>
    <w:rsid w:val="00B35520"/>
    <w:rsid w:val="00B3690C"/>
    <w:rsid w:val="00B36BFE"/>
    <w:rsid w:val="00B370C8"/>
    <w:rsid w:val="00B37966"/>
    <w:rsid w:val="00B37B57"/>
    <w:rsid w:val="00B40330"/>
    <w:rsid w:val="00B406E5"/>
    <w:rsid w:val="00B4180D"/>
    <w:rsid w:val="00B41B90"/>
    <w:rsid w:val="00B420FF"/>
    <w:rsid w:val="00B4299A"/>
    <w:rsid w:val="00B42A94"/>
    <w:rsid w:val="00B42C20"/>
    <w:rsid w:val="00B42D9A"/>
    <w:rsid w:val="00B42EFB"/>
    <w:rsid w:val="00B42F20"/>
    <w:rsid w:val="00B4329A"/>
    <w:rsid w:val="00B434EA"/>
    <w:rsid w:val="00B43CED"/>
    <w:rsid w:val="00B44D47"/>
    <w:rsid w:val="00B44D96"/>
    <w:rsid w:val="00B4521F"/>
    <w:rsid w:val="00B45928"/>
    <w:rsid w:val="00B45E16"/>
    <w:rsid w:val="00B45E8C"/>
    <w:rsid w:val="00B46B3C"/>
    <w:rsid w:val="00B470FE"/>
    <w:rsid w:val="00B47148"/>
    <w:rsid w:val="00B47B29"/>
    <w:rsid w:val="00B47FE8"/>
    <w:rsid w:val="00B50036"/>
    <w:rsid w:val="00B50B5A"/>
    <w:rsid w:val="00B50F51"/>
    <w:rsid w:val="00B51403"/>
    <w:rsid w:val="00B51A2F"/>
    <w:rsid w:val="00B51B5B"/>
    <w:rsid w:val="00B52111"/>
    <w:rsid w:val="00B528D0"/>
    <w:rsid w:val="00B52D8B"/>
    <w:rsid w:val="00B52FAF"/>
    <w:rsid w:val="00B5323F"/>
    <w:rsid w:val="00B536E0"/>
    <w:rsid w:val="00B539EB"/>
    <w:rsid w:val="00B54550"/>
    <w:rsid w:val="00B5495B"/>
    <w:rsid w:val="00B54A5A"/>
    <w:rsid w:val="00B54FEB"/>
    <w:rsid w:val="00B55695"/>
    <w:rsid w:val="00B55AE5"/>
    <w:rsid w:val="00B562E6"/>
    <w:rsid w:val="00B5639B"/>
    <w:rsid w:val="00B5660B"/>
    <w:rsid w:val="00B57643"/>
    <w:rsid w:val="00B576E1"/>
    <w:rsid w:val="00B6004E"/>
    <w:rsid w:val="00B60477"/>
    <w:rsid w:val="00B6072A"/>
    <w:rsid w:val="00B608F1"/>
    <w:rsid w:val="00B60F79"/>
    <w:rsid w:val="00B611B5"/>
    <w:rsid w:val="00B61337"/>
    <w:rsid w:val="00B61B49"/>
    <w:rsid w:val="00B62538"/>
    <w:rsid w:val="00B6254F"/>
    <w:rsid w:val="00B6317C"/>
    <w:rsid w:val="00B633B9"/>
    <w:rsid w:val="00B63545"/>
    <w:rsid w:val="00B63591"/>
    <w:rsid w:val="00B635C6"/>
    <w:rsid w:val="00B63704"/>
    <w:rsid w:val="00B63742"/>
    <w:rsid w:val="00B637D9"/>
    <w:rsid w:val="00B63B4A"/>
    <w:rsid w:val="00B64447"/>
    <w:rsid w:val="00B64496"/>
    <w:rsid w:val="00B64498"/>
    <w:rsid w:val="00B6604C"/>
    <w:rsid w:val="00B664B0"/>
    <w:rsid w:val="00B66853"/>
    <w:rsid w:val="00B66F08"/>
    <w:rsid w:val="00B67120"/>
    <w:rsid w:val="00B673CA"/>
    <w:rsid w:val="00B6753E"/>
    <w:rsid w:val="00B67550"/>
    <w:rsid w:val="00B679F5"/>
    <w:rsid w:val="00B67B36"/>
    <w:rsid w:val="00B7117A"/>
    <w:rsid w:val="00B71203"/>
    <w:rsid w:val="00B72053"/>
    <w:rsid w:val="00B7234F"/>
    <w:rsid w:val="00B72537"/>
    <w:rsid w:val="00B73B57"/>
    <w:rsid w:val="00B746D5"/>
    <w:rsid w:val="00B74753"/>
    <w:rsid w:val="00B74BDA"/>
    <w:rsid w:val="00B75037"/>
    <w:rsid w:val="00B75159"/>
    <w:rsid w:val="00B759D6"/>
    <w:rsid w:val="00B75AAD"/>
    <w:rsid w:val="00B75D3F"/>
    <w:rsid w:val="00B7745A"/>
    <w:rsid w:val="00B77723"/>
    <w:rsid w:val="00B77ABB"/>
    <w:rsid w:val="00B77E12"/>
    <w:rsid w:val="00B77E50"/>
    <w:rsid w:val="00B802CA"/>
    <w:rsid w:val="00B80B08"/>
    <w:rsid w:val="00B815D3"/>
    <w:rsid w:val="00B818D4"/>
    <w:rsid w:val="00B82DE1"/>
    <w:rsid w:val="00B83476"/>
    <w:rsid w:val="00B835D2"/>
    <w:rsid w:val="00B842EE"/>
    <w:rsid w:val="00B84396"/>
    <w:rsid w:val="00B843A1"/>
    <w:rsid w:val="00B848BE"/>
    <w:rsid w:val="00B84978"/>
    <w:rsid w:val="00B84FF8"/>
    <w:rsid w:val="00B8573A"/>
    <w:rsid w:val="00B85861"/>
    <w:rsid w:val="00B85AE3"/>
    <w:rsid w:val="00B861A7"/>
    <w:rsid w:val="00B86DA8"/>
    <w:rsid w:val="00B8748B"/>
    <w:rsid w:val="00B87BC1"/>
    <w:rsid w:val="00B87F56"/>
    <w:rsid w:val="00B911CB"/>
    <w:rsid w:val="00B91818"/>
    <w:rsid w:val="00B919AB"/>
    <w:rsid w:val="00B927B0"/>
    <w:rsid w:val="00B92F7A"/>
    <w:rsid w:val="00B93597"/>
    <w:rsid w:val="00B94798"/>
    <w:rsid w:val="00B947FD"/>
    <w:rsid w:val="00B94BE5"/>
    <w:rsid w:val="00B96011"/>
    <w:rsid w:val="00B965AF"/>
    <w:rsid w:val="00B96964"/>
    <w:rsid w:val="00B97182"/>
    <w:rsid w:val="00B977A2"/>
    <w:rsid w:val="00B97DBD"/>
    <w:rsid w:val="00BA0255"/>
    <w:rsid w:val="00BA064A"/>
    <w:rsid w:val="00BA06D4"/>
    <w:rsid w:val="00BA075F"/>
    <w:rsid w:val="00BA0A76"/>
    <w:rsid w:val="00BA0D2A"/>
    <w:rsid w:val="00BA0FA7"/>
    <w:rsid w:val="00BA1218"/>
    <w:rsid w:val="00BA1B48"/>
    <w:rsid w:val="00BA1BDC"/>
    <w:rsid w:val="00BA1D32"/>
    <w:rsid w:val="00BA256B"/>
    <w:rsid w:val="00BA3DFA"/>
    <w:rsid w:val="00BA52C1"/>
    <w:rsid w:val="00BA58C0"/>
    <w:rsid w:val="00BA6166"/>
    <w:rsid w:val="00BA683A"/>
    <w:rsid w:val="00BA739B"/>
    <w:rsid w:val="00BA76B1"/>
    <w:rsid w:val="00BA7CCB"/>
    <w:rsid w:val="00BB0423"/>
    <w:rsid w:val="00BB060E"/>
    <w:rsid w:val="00BB1CBD"/>
    <w:rsid w:val="00BB1EA8"/>
    <w:rsid w:val="00BB1FFA"/>
    <w:rsid w:val="00BB2B1F"/>
    <w:rsid w:val="00BB2F0B"/>
    <w:rsid w:val="00BB3326"/>
    <w:rsid w:val="00BB36C5"/>
    <w:rsid w:val="00BB4C56"/>
    <w:rsid w:val="00BB5F6C"/>
    <w:rsid w:val="00BB60C3"/>
    <w:rsid w:val="00BB61B4"/>
    <w:rsid w:val="00BB6796"/>
    <w:rsid w:val="00BB690D"/>
    <w:rsid w:val="00BB69B6"/>
    <w:rsid w:val="00BB6C88"/>
    <w:rsid w:val="00BB6ECF"/>
    <w:rsid w:val="00BB74B3"/>
    <w:rsid w:val="00BB76A1"/>
    <w:rsid w:val="00BB777A"/>
    <w:rsid w:val="00BB7C25"/>
    <w:rsid w:val="00BC0B9D"/>
    <w:rsid w:val="00BC11CE"/>
    <w:rsid w:val="00BC1286"/>
    <w:rsid w:val="00BC1424"/>
    <w:rsid w:val="00BC1765"/>
    <w:rsid w:val="00BC1CC3"/>
    <w:rsid w:val="00BC1DFC"/>
    <w:rsid w:val="00BC2243"/>
    <w:rsid w:val="00BC28A7"/>
    <w:rsid w:val="00BC2CA6"/>
    <w:rsid w:val="00BC44A4"/>
    <w:rsid w:val="00BC475C"/>
    <w:rsid w:val="00BC47D8"/>
    <w:rsid w:val="00BC5454"/>
    <w:rsid w:val="00BC58FB"/>
    <w:rsid w:val="00BC5961"/>
    <w:rsid w:val="00BC6437"/>
    <w:rsid w:val="00BC693E"/>
    <w:rsid w:val="00BD0152"/>
    <w:rsid w:val="00BD028F"/>
    <w:rsid w:val="00BD03C9"/>
    <w:rsid w:val="00BD07F4"/>
    <w:rsid w:val="00BD137C"/>
    <w:rsid w:val="00BD1693"/>
    <w:rsid w:val="00BD16D1"/>
    <w:rsid w:val="00BD219A"/>
    <w:rsid w:val="00BD2539"/>
    <w:rsid w:val="00BD26D8"/>
    <w:rsid w:val="00BD2C2C"/>
    <w:rsid w:val="00BD2C42"/>
    <w:rsid w:val="00BD307A"/>
    <w:rsid w:val="00BD3698"/>
    <w:rsid w:val="00BD4119"/>
    <w:rsid w:val="00BD44A4"/>
    <w:rsid w:val="00BD4655"/>
    <w:rsid w:val="00BD4D35"/>
    <w:rsid w:val="00BD542B"/>
    <w:rsid w:val="00BD55C0"/>
    <w:rsid w:val="00BD58F5"/>
    <w:rsid w:val="00BD5A8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3B56"/>
    <w:rsid w:val="00BE418C"/>
    <w:rsid w:val="00BE4C3A"/>
    <w:rsid w:val="00BE576A"/>
    <w:rsid w:val="00BE5B3E"/>
    <w:rsid w:val="00BE72FD"/>
    <w:rsid w:val="00BE74D1"/>
    <w:rsid w:val="00BE7863"/>
    <w:rsid w:val="00BE786F"/>
    <w:rsid w:val="00BF07C0"/>
    <w:rsid w:val="00BF0C38"/>
    <w:rsid w:val="00BF139F"/>
    <w:rsid w:val="00BF1728"/>
    <w:rsid w:val="00BF197F"/>
    <w:rsid w:val="00BF1EF8"/>
    <w:rsid w:val="00BF2674"/>
    <w:rsid w:val="00BF2CE4"/>
    <w:rsid w:val="00BF2DE5"/>
    <w:rsid w:val="00BF3C29"/>
    <w:rsid w:val="00BF4339"/>
    <w:rsid w:val="00BF461B"/>
    <w:rsid w:val="00BF4AD7"/>
    <w:rsid w:val="00BF4C49"/>
    <w:rsid w:val="00BF5A07"/>
    <w:rsid w:val="00BF5DA2"/>
    <w:rsid w:val="00BF5E36"/>
    <w:rsid w:val="00BF61B0"/>
    <w:rsid w:val="00BF6338"/>
    <w:rsid w:val="00BF6536"/>
    <w:rsid w:val="00BF6655"/>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44C2"/>
    <w:rsid w:val="00C04E1E"/>
    <w:rsid w:val="00C05343"/>
    <w:rsid w:val="00C05381"/>
    <w:rsid w:val="00C067E0"/>
    <w:rsid w:val="00C06EF0"/>
    <w:rsid w:val="00C074B8"/>
    <w:rsid w:val="00C075D0"/>
    <w:rsid w:val="00C07CD6"/>
    <w:rsid w:val="00C1025D"/>
    <w:rsid w:val="00C103AB"/>
    <w:rsid w:val="00C103C8"/>
    <w:rsid w:val="00C11131"/>
    <w:rsid w:val="00C11821"/>
    <w:rsid w:val="00C11EDA"/>
    <w:rsid w:val="00C12686"/>
    <w:rsid w:val="00C12D93"/>
    <w:rsid w:val="00C12EE2"/>
    <w:rsid w:val="00C13419"/>
    <w:rsid w:val="00C139DE"/>
    <w:rsid w:val="00C13B55"/>
    <w:rsid w:val="00C13C3F"/>
    <w:rsid w:val="00C13CBD"/>
    <w:rsid w:val="00C13DB6"/>
    <w:rsid w:val="00C142BD"/>
    <w:rsid w:val="00C148E5"/>
    <w:rsid w:val="00C14B57"/>
    <w:rsid w:val="00C14CDE"/>
    <w:rsid w:val="00C15473"/>
    <w:rsid w:val="00C159C1"/>
    <w:rsid w:val="00C15D34"/>
    <w:rsid w:val="00C1609D"/>
    <w:rsid w:val="00C16489"/>
    <w:rsid w:val="00C16848"/>
    <w:rsid w:val="00C168C0"/>
    <w:rsid w:val="00C16BF9"/>
    <w:rsid w:val="00C1711E"/>
    <w:rsid w:val="00C1746D"/>
    <w:rsid w:val="00C174C6"/>
    <w:rsid w:val="00C17E6E"/>
    <w:rsid w:val="00C2001A"/>
    <w:rsid w:val="00C20915"/>
    <w:rsid w:val="00C2140C"/>
    <w:rsid w:val="00C21A06"/>
    <w:rsid w:val="00C221D0"/>
    <w:rsid w:val="00C22309"/>
    <w:rsid w:val="00C23520"/>
    <w:rsid w:val="00C2366E"/>
    <w:rsid w:val="00C23E35"/>
    <w:rsid w:val="00C24097"/>
    <w:rsid w:val="00C24568"/>
    <w:rsid w:val="00C246D7"/>
    <w:rsid w:val="00C24DA9"/>
    <w:rsid w:val="00C24F12"/>
    <w:rsid w:val="00C24F98"/>
    <w:rsid w:val="00C25082"/>
    <w:rsid w:val="00C25277"/>
    <w:rsid w:val="00C25E1B"/>
    <w:rsid w:val="00C25E6A"/>
    <w:rsid w:val="00C25E7D"/>
    <w:rsid w:val="00C25F06"/>
    <w:rsid w:val="00C265D4"/>
    <w:rsid w:val="00C273AE"/>
    <w:rsid w:val="00C275FC"/>
    <w:rsid w:val="00C2789E"/>
    <w:rsid w:val="00C27D57"/>
    <w:rsid w:val="00C27E01"/>
    <w:rsid w:val="00C27E29"/>
    <w:rsid w:val="00C30D84"/>
    <w:rsid w:val="00C3106E"/>
    <w:rsid w:val="00C3145E"/>
    <w:rsid w:val="00C315AE"/>
    <w:rsid w:val="00C3160C"/>
    <w:rsid w:val="00C317A7"/>
    <w:rsid w:val="00C31D12"/>
    <w:rsid w:val="00C31EE1"/>
    <w:rsid w:val="00C32310"/>
    <w:rsid w:val="00C33431"/>
    <w:rsid w:val="00C337A9"/>
    <w:rsid w:val="00C33AEC"/>
    <w:rsid w:val="00C341FB"/>
    <w:rsid w:val="00C34536"/>
    <w:rsid w:val="00C34CDD"/>
    <w:rsid w:val="00C3608B"/>
    <w:rsid w:val="00C36203"/>
    <w:rsid w:val="00C36B2D"/>
    <w:rsid w:val="00C36E09"/>
    <w:rsid w:val="00C36EAF"/>
    <w:rsid w:val="00C37CDE"/>
    <w:rsid w:val="00C40C58"/>
    <w:rsid w:val="00C410D2"/>
    <w:rsid w:val="00C4116F"/>
    <w:rsid w:val="00C4149C"/>
    <w:rsid w:val="00C417CD"/>
    <w:rsid w:val="00C41AFB"/>
    <w:rsid w:val="00C41C08"/>
    <w:rsid w:val="00C42A78"/>
    <w:rsid w:val="00C42FB2"/>
    <w:rsid w:val="00C433BA"/>
    <w:rsid w:val="00C435C8"/>
    <w:rsid w:val="00C437D6"/>
    <w:rsid w:val="00C43C0C"/>
    <w:rsid w:val="00C4426C"/>
    <w:rsid w:val="00C4471A"/>
    <w:rsid w:val="00C44CC9"/>
    <w:rsid w:val="00C44FD9"/>
    <w:rsid w:val="00C45350"/>
    <w:rsid w:val="00C45DD1"/>
    <w:rsid w:val="00C45FDE"/>
    <w:rsid w:val="00C4601D"/>
    <w:rsid w:val="00C4698B"/>
    <w:rsid w:val="00C46FE3"/>
    <w:rsid w:val="00C473E7"/>
    <w:rsid w:val="00C47478"/>
    <w:rsid w:val="00C47BD2"/>
    <w:rsid w:val="00C47CE2"/>
    <w:rsid w:val="00C507C3"/>
    <w:rsid w:val="00C50A96"/>
    <w:rsid w:val="00C50DFC"/>
    <w:rsid w:val="00C51880"/>
    <w:rsid w:val="00C51FA8"/>
    <w:rsid w:val="00C51FF0"/>
    <w:rsid w:val="00C52782"/>
    <w:rsid w:val="00C52D4E"/>
    <w:rsid w:val="00C5300F"/>
    <w:rsid w:val="00C53027"/>
    <w:rsid w:val="00C53EE2"/>
    <w:rsid w:val="00C54473"/>
    <w:rsid w:val="00C54549"/>
    <w:rsid w:val="00C5569D"/>
    <w:rsid w:val="00C55D94"/>
    <w:rsid w:val="00C57567"/>
    <w:rsid w:val="00C57582"/>
    <w:rsid w:val="00C6017A"/>
    <w:rsid w:val="00C60848"/>
    <w:rsid w:val="00C6087E"/>
    <w:rsid w:val="00C608EF"/>
    <w:rsid w:val="00C60FC1"/>
    <w:rsid w:val="00C60FF0"/>
    <w:rsid w:val="00C612BB"/>
    <w:rsid w:val="00C612BF"/>
    <w:rsid w:val="00C619EE"/>
    <w:rsid w:val="00C6207E"/>
    <w:rsid w:val="00C625C7"/>
    <w:rsid w:val="00C6339B"/>
    <w:rsid w:val="00C63770"/>
    <w:rsid w:val="00C644D9"/>
    <w:rsid w:val="00C64784"/>
    <w:rsid w:val="00C64AD8"/>
    <w:rsid w:val="00C64FAE"/>
    <w:rsid w:val="00C65320"/>
    <w:rsid w:val="00C657D2"/>
    <w:rsid w:val="00C65CEF"/>
    <w:rsid w:val="00C66344"/>
    <w:rsid w:val="00C66679"/>
    <w:rsid w:val="00C66D4A"/>
    <w:rsid w:val="00C66E0E"/>
    <w:rsid w:val="00C674F7"/>
    <w:rsid w:val="00C67955"/>
    <w:rsid w:val="00C70074"/>
    <w:rsid w:val="00C70244"/>
    <w:rsid w:val="00C70341"/>
    <w:rsid w:val="00C70438"/>
    <w:rsid w:val="00C7089C"/>
    <w:rsid w:val="00C70918"/>
    <w:rsid w:val="00C70EE7"/>
    <w:rsid w:val="00C716CF"/>
    <w:rsid w:val="00C717CD"/>
    <w:rsid w:val="00C719A4"/>
    <w:rsid w:val="00C71AC2"/>
    <w:rsid w:val="00C725B9"/>
    <w:rsid w:val="00C72AE3"/>
    <w:rsid w:val="00C73402"/>
    <w:rsid w:val="00C745D7"/>
    <w:rsid w:val="00C74865"/>
    <w:rsid w:val="00C75391"/>
    <w:rsid w:val="00C755C8"/>
    <w:rsid w:val="00C7584E"/>
    <w:rsid w:val="00C758E0"/>
    <w:rsid w:val="00C75A25"/>
    <w:rsid w:val="00C76C64"/>
    <w:rsid w:val="00C76DBB"/>
    <w:rsid w:val="00C7702A"/>
    <w:rsid w:val="00C773C8"/>
    <w:rsid w:val="00C77404"/>
    <w:rsid w:val="00C77707"/>
    <w:rsid w:val="00C807B9"/>
    <w:rsid w:val="00C80A25"/>
    <w:rsid w:val="00C817D1"/>
    <w:rsid w:val="00C81DB4"/>
    <w:rsid w:val="00C81DF7"/>
    <w:rsid w:val="00C8240C"/>
    <w:rsid w:val="00C8242E"/>
    <w:rsid w:val="00C82930"/>
    <w:rsid w:val="00C82A83"/>
    <w:rsid w:val="00C82D33"/>
    <w:rsid w:val="00C8301A"/>
    <w:rsid w:val="00C83E34"/>
    <w:rsid w:val="00C84440"/>
    <w:rsid w:val="00C84687"/>
    <w:rsid w:val="00C85046"/>
    <w:rsid w:val="00C8531E"/>
    <w:rsid w:val="00C853A9"/>
    <w:rsid w:val="00C855FB"/>
    <w:rsid w:val="00C8572E"/>
    <w:rsid w:val="00C85B6C"/>
    <w:rsid w:val="00C85E1F"/>
    <w:rsid w:val="00C86BFE"/>
    <w:rsid w:val="00C86D8A"/>
    <w:rsid w:val="00C873ED"/>
    <w:rsid w:val="00C87F73"/>
    <w:rsid w:val="00C87F8D"/>
    <w:rsid w:val="00C900B0"/>
    <w:rsid w:val="00C90164"/>
    <w:rsid w:val="00C90231"/>
    <w:rsid w:val="00C9080B"/>
    <w:rsid w:val="00C90D8A"/>
    <w:rsid w:val="00C90EF9"/>
    <w:rsid w:val="00C9108F"/>
    <w:rsid w:val="00C92714"/>
    <w:rsid w:val="00C9286B"/>
    <w:rsid w:val="00C92949"/>
    <w:rsid w:val="00C92B1A"/>
    <w:rsid w:val="00C9312F"/>
    <w:rsid w:val="00C933D8"/>
    <w:rsid w:val="00C934AA"/>
    <w:rsid w:val="00C93DE5"/>
    <w:rsid w:val="00C94AD2"/>
    <w:rsid w:val="00C950CA"/>
    <w:rsid w:val="00C958E9"/>
    <w:rsid w:val="00C95ED6"/>
    <w:rsid w:val="00C95FCC"/>
    <w:rsid w:val="00C973FA"/>
    <w:rsid w:val="00CA1379"/>
    <w:rsid w:val="00CA1B03"/>
    <w:rsid w:val="00CA1DCF"/>
    <w:rsid w:val="00CA1FB0"/>
    <w:rsid w:val="00CA24D1"/>
    <w:rsid w:val="00CA27A0"/>
    <w:rsid w:val="00CA2E1D"/>
    <w:rsid w:val="00CA324D"/>
    <w:rsid w:val="00CA38D2"/>
    <w:rsid w:val="00CA39CC"/>
    <w:rsid w:val="00CA4743"/>
    <w:rsid w:val="00CA48B2"/>
    <w:rsid w:val="00CA5A8C"/>
    <w:rsid w:val="00CA6014"/>
    <w:rsid w:val="00CA6568"/>
    <w:rsid w:val="00CA65FC"/>
    <w:rsid w:val="00CA6B6A"/>
    <w:rsid w:val="00CA70B6"/>
    <w:rsid w:val="00CA735E"/>
    <w:rsid w:val="00CA73DD"/>
    <w:rsid w:val="00CA7931"/>
    <w:rsid w:val="00CA7D8A"/>
    <w:rsid w:val="00CB10A6"/>
    <w:rsid w:val="00CB1162"/>
    <w:rsid w:val="00CB138F"/>
    <w:rsid w:val="00CB13E0"/>
    <w:rsid w:val="00CB1B42"/>
    <w:rsid w:val="00CB2197"/>
    <w:rsid w:val="00CB248C"/>
    <w:rsid w:val="00CB254E"/>
    <w:rsid w:val="00CB25B9"/>
    <w:rsid w:val="00CB3934"/>
    <w:rsid w:val="00CB4046"/>
    <w:rsid w:val="00CB43FA"/>
    <w:rsid w:val="00CB4EF9"/>
    <w:rsid w:val="00CB5A89"/>
    <w:rsid w:val="00CB5B31"/>
    <w:rsid w:val="00CB5BE7"/>
    <w:rsid w:val="00CB64D1"/>
    <w:rsid w:val="00CB712E"/>
    <w:rsid w:val="00CB7234"/>
    <w:rsid w:val="00CB76B8"/>
    <w:rsid w:val="00CB7703"/>
    <w:rsid w:val="00CB783B"/>
    <w:rsid w:val="00CB7FBA"/>
    <w:rsid w:val="00CC1189"/>
    <w:rsid w:val="00CC1247"/>
    <w:rsid w:val="00CC1F79"/>
    <w:rsid w:val="00CC23C6"/>
    <w:rsid w:val="00CC2803"/>
    <w:rsid w:val="00CC3489"/>
    <w:rsid w:val="00CC3A68"/>
    <w:rsid w:val="00CC3E3F"/>
    <w:rsid w:val="00CC468B"/>
    <w:rsid w:val="00CC4B5B"/>
    <w:rsid w:val="00CC56AF"/>
    <w:rsid w:val="00CC6423"/>
    <w:rsid w:val="00CC657C"/>
    <w:rsid w:val="00CC68D6"/>
    <w:rsid w:val="00CC6A98"/>
    <w:rsid w:val="00CC707F"/>
    <w:rsid w:val="00CC79CD"/>
    <w:rsid w:val="00CC7CC8"/>
    <w:rsid w:val="00CD0761"/>
    <w:rsid w:val="00CD0CEE"/>
    <w:rsid w:val="00CD1841"/>
    <w:rsid w:val="00CD1BF1"/>
    <w:rsid w:val="00CD1E42"/>
    <w:rsid w:val="00CD2A3E"/>
    <w:rsid w:val="00CD31C1"/>
    <w:rsid w:val="00CD35F1"/>
    <w:rsid w:val="00CD4704"/>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D8E"/>
    <w:rsid w:val="00CE04AB"/>
    <w:rsid w:val="00CE0513"/>
    <w:rsid w:val="00CE073C"/>
    <w:rsid w:val="00CE0AAE"/>
    <w:rsid w:val="00CE1374"/>
    <w:rsid w:val="00CE16A7"/>
    <w:rsid w:val="00CE2B04"/>
    <w:rsid w:val="00CE3F20"/>
    <w:rsid w:val="00CE4396"/>
    <w:rsid w:val="00CE49FD"/>
    <w:rsid w:val="00CE4E5D"/>
    <w:rsid w:val="00CE4F18"/>
    <w:rsid w:val="00CE5298"/>
    <w:rsid w:val="00CE5803"/>
    <w:rsid w:val="00CE58EB"/>
    <w:rsid w:val="00CE596B"/>
    <w:rsid w:val="00CE5BE7"/>
    <w:rsid w:val="00CE5F0A"/>
    <w:rsid w:val="00CE643F"/>
    <w:rsid w:val="00CE681D"/>
    <w:rsid w:val="00CE6A32"/>
    <w:rsid w:val="00CE78C9"/>
    <w:rsid w:val="00CE7968"/>
    <w:rsid w:val="00CF091E"/>
    <w:rsid w:val="00CF0A69"/>
    <w:rsid w:val="00CF10F6"/>
    <w:rsid w:val="00CF1331"/>
    <w:rsid w:val="00CF15E2"/>
    <w:rsid w:val="00CF1E7E"/>
    <w:rsid w:val="00CF26A8"/>
    <w:rsid w:val="00CF35B2"/>
    <w:rsid w:val="00CF38D4"/>
    <w:rsid w:val="00CF3AB9"/>
    <w:rsid w:val="00CF472E"/>
    <w:rsid w:val="00CF4D48"/>
    <w:rsid w:val="00CF50F7"/>
    <w:rsid w:val="00CF5593"/>
    <w:rsid w:val="00CF5672"/>
    <w:rsid w:val="00CF5C9C"/>
    <w:rsid w:val="00CF5DEA"/>
    <w:rsid w:val="00CF60B2"/>
    <w:rsid w:val="00CF6BB9"/>
    <w:rsid w:val="00CF6DD6"/>
    <w:rsid w:val="00D00FDE"/>
    <w:rsid w:val="00D022D6"/>
    <w:rsid w:val="00D026EE"/>
    <w:rsid w:val="00D02876"/>
    <w:rsid w:val="00D029E9"/>
    <w:rsid w:val="00D0316E"/>
    <w:rsid w:val="00D03342"/>
    <w:rsid w:val="00D03563"/>
    <w:rsid w:val="00D038CF"/>
    <w:rsid w:val="00D03F31"/>
    <w:rsid w:val="00D045FD"/>
    <w:rsid w:val="00D06446"/>
    <w:rsid w:val="00D0774F"/>
    <w:rsid w:val="00D10303"/>
    <w:rsid w:val="00D103E0"/>
    <w:rsid w:val="00D1060F"/>
    <w:rsid w:val="00D1140B"/>
    <w:rsid w:val="00D11823"/>
    <w:rsid w:val="00D118F2"/>
    <w:rsid w:val="00D12D32"/>
    <w:rsid w:val="00D12E0E"/>
    <w:rsid w:val="00D12F07"/>
    <w:rsid w:val="00D132C3"/>
    <w:rsid w:val="00D13444"/>
    <w:rsid w:val="00D13887"/>
    <w:rsid w:val="00D1452D"/>
    <w:rsid w:val="00D148D1"/>
    <w:rsid w:val="00D149AD"/>
    <w:rsid w:val="00D14CD4"/>
    <w:rsid w:val="00D15416"/>
    <w:rsid w:val="00D159F8"/>
    <w:rsid w:val="00D1637D"/>
    <w:rsid w:val="00D16592"/>
    <w:rsid w:val="00D16CC4"/>
    <w:rsid w:val="00D1713A"/>
    <w:rsid w:val="00D171C8"/>
    <w:rsid w:val="00D17AFC"/>
    <w:rsid w:val="00D17CFB"/>
    <w:rsid w:val="00D17D1E"/>
    <w:rsid w:val="00D2009D"/>
    <w:rsid w:val="00D2051D"/>
    <w:rsid w:val="00D20822"/>
    <w:rsid w:val="00D2110E"/>
    <w:rsid w:val="00D22287"/>
    <w:rsid w:val="00D22567"/>
    <w:rsid w:val="00D226B9"/>
    <w:rsid w:val="00D23437"/>
    <w:rsid w:val="00D2381C"/>
    <w:rsid w:val="00D23842"/>
    <w:rsid w:val="00D23A94"/>
    <w:rsid w:val="00D23F38"/>
    <w:rsid w:val="00D24346"/>
    <w:rsid w:val="00D244E1"/>
    <w:rsid w:val="00D2459A"/>
    <w:rsid w:val="00D24774"/>
    <w:rsid w:val="00D248D9"/>
    <w:rsid w:val="00D24B50"/>
    <w:rsid w:val="00D24CD7"/>
    <w:rsid w:val="00D24D7B"/>
    <w:rsid w:val="00D2502F"/>
    <w:rsid w:val="00D25100"/>
    <w:rsid w:val="00D25450"/>
    <w:rsid w:val="00D25F3E"/>
    <w:rsid w:val="00D26C87"/>
    <w:rsid w:val="00D26D53"/>
    <w:rsid w:val="00D27131"/>
    <w:rsid w:val="00D300F7"/>
    <w:rsid w:val="00D30336"/>
    <w:rsid w:val="00D31BBD"/>
    <w:rsid w:val="00D32104"/>
    <w:rsid w:val="00D329A0"/>
    <w:rsid w:val="00D32CE1"/>
    <w:rsid w:val="00D32E58"/>
    <w:rsid w:val="00D33010"/>
    <w:rsid w:val="00D33362"/>
    <w:rsid w:val="00D334CD"/>
    <w:rsid w:val="00D3395C"/>
    <w:rsid w:val="00D34412"/>
    <w:rsid w:val="00D34D6B"/>
    <w:rsid w:val="00D35628"/>
    <w:rsid w:val="00D35BAA"/>
    <w:rsid w:val="00D36072"/>
    <w:rsid w:val="00D36122"/>
    <w:rsid w:val="00D36DCC"/>
    <w:rsid w:val="00D37397"/>
    <w:rsid w:val="00D37460"/>
    <w:rsid w:val="00D3756A"/>
    <w:rsid w:val="00D375DA"/>
    <w:rsid w:val="00D377AE"/>
    <w:rsid w:val="00D400D8"/>
    <w:rsid w:val="00D404B1"/>
    <w:rsid w:val="00D4113F"/>
    <w:rsid w:val="00D4119C"/>
    <w:rsid w:val="00D412B3"/>
    <w:rsid w:val="00D41378"/>
    <w:rsid w:val="00D41616"/>
    <w:rsid w:val="00D41FE1"/>
    <w:rsid w:val="00D42B1F"/>
    <w:rsid w:val="00D42CD9"/>
    <w:rsid w:val="00D42DD3"/>
    <w:rsid w:val="00D4335B"/>
    <w:rsid w:val="00D43988"/>
    <w:rsid w:val="00D43AC4"/>
    <w:rsid w:val="00D44448"/>
    <w:rsid w:val="00D44869"/>
    <w:rsid w:val="00D448E7"/>
    <w:rsid w:val="00D44B46"/>
    <w:rsid w:val="00D44BDE"/>
    <w:rsid w:val="00D44E88"/>
    <w:rsid w:val="00D45B50"/>
    <w:rsid w:val="00D45CA8"/>
    <w:rsid w:val="00D46109"/>
    <w:rsid w:val="00D4692A"/>
    <w:rsid w:val="00D46C3C"/>
    <w:rsid w:val="00D46D0E"/>
    <w:rsid w:val="00D46E71"/>
    <w:rsid w:val="00D4707E"/>
    <w:rsid w:val="00D4721D"/>
    <w:rsid w:val="00D47867"/>
    <w:rsid w:val="00D47D6E"/>
    <w:rsid w:val="00D47E2C"/>
    <w:rsid w:val="00D47EAF"/>
    <w:rsid w:val="00D504F6"/>
    <w:rsid w:val="00D50C02"/>
    <w:rsid w:val="00D50E7A"/>
    <w:rsid w:val="00D512EA"/>
    <w:rsid w:val="00D51552"/>
    <w:rsid w:val="00D51801"/>
    <w:rsid w:val="00D51B27"/>
    <w:rsid w:val="00D5227E"/>
    <w:rsid w:val="00D52583"/>
    <w:rsid w:val="00D52D7F"/>
    <w:rsid w:val="00D52F8D"/>
    <w:rsid w:val="00D53034"/>
    <w:rsid w:val="00D532F5"/>
    <w:rsid w:val="00D5331B"/>
    <w:rsid w:val="00D54373"/>
    <w:rsid w:val="00D545E9"/>
    <w:rsid w:val="00D547BC"/>
    <w:rsid w:val="00D54E43"/>
    <w:rsid w:val="00D54F28"/>
    <w:rsid w:val="00D5522A"/>
    <w:rsid w:val="00D559DA"/>
    <w:rsid w:val="00D55A05"/>
    <w:rsid w:val="00D564EF"/>
    <w:rsid w:val="00D5676E"/>
    <w:rsid w:val="00D56DB7"/>
    <w:rsid w:val="00D570FB"/>
    <w:rsid w:val="00D57447"/>
    <w:rsid w:val="00D60E3C"/>
    <w:rsid w:val="00D613B2"/>
    <w:rsid w:val="00D61679"/>
    <w:rsid w:val="00D61A9F"/>
    <w:rsid w:val="00D61EDD"/>
    <w:rsid w:val="00D628AF"/>
    <w:rsid w:val="00D6294B"/>
    <w:rsid w:val="00D62AF3"/>
    <w:rsid w:val="00D630BA"/>
    <w:rsid w:val="00D6353D"/>
    <w:rsid w:val="00D6429C"/>
    <w:rsid w:val="00D642D7"/>
    <w:rsid w:val="00D64490"/>
    <w:rsid w:val="00D64A3D"/>
    <w:rsid w:val="00D65D91"/>
    <w:rsid w:val="00D662EE"/>
    <w:rsid w:val="00D66331"/>
    <w:rsid w:val="00D66697"/>
    <w:rsid w:val="00D66EDC"/>
    <w:rsid w:val="00D67684"/>
    <w:rsid w:val="00D67ACA"/>
    <w:rsid w:val="00D67EA8"/>
    <w:rsid w:val="00D67F69"/>
    <w:rsid w:val="00D70737"/>
    <w:rsid w:val="00D70C0B"/>
    <w:rsid w:val="00D70E58"/>
    <w:rsid w:val="00D71103"/>
    <w:rsid w:val="00D72420"/>
    <w:rsid w:val="00D72551"/>
    <w:rsid w:val="00D725C6"/>
    <w:rsid w:val="00D72DF4"/>
    <w:rsid w:val="00D73302"/>
    <w:rsid w:val="00D7362F"/>
    <w:rsid w:val="00D73ADE"/>
    <w:rsid w:val="00D73AF1"/>
    <w:rsid w:val="00D73B4A"/>
    <w:rsid w:val="00D74504"/>
    <w:rsid w:val="00D74639"/>
    <w:rsid w:val="00D74DAF"/>
    <w:rsid w:val="00D74F04"/>
    <w:rsid w:val="00D75ECA"/>
    <w:rsid w:val="00D762C4"/>
    <w:rsid w:val="00D77EF0"/>
    <w:rsid w:val="00D77F35"/>
    <w:rsid w:val="00D8093F"/>
    <w:rsid w:val="00D809B7"/>
    <w:rsid w:val="00D8101C"/>
    <w:rsid w:val="00D810C4"/>
    <w:rsid w:val="00D813B0"/>
    <w:rsid w:val="00D81A07"/>
    <w:rsid w:val="00D81A57"/>
    <w:rsid w:val="00D81D6E"/>
    <w:rsid w:val="00D81FFC"/>
    <w:rsid w:val="00D82A4C"/>
    <w:rsid w:val="00D82E01"/>
    <w:rsid w:val="00D8371D"/>
    <w:rsid w:val="00D83A8B"/>
    <w:rsid w:val="00D84061"/>
    <w:rsid w:val="00D844E7"/>
    <w:rsid w:val="00D8483A"/>
    <w:rsid w:val="00D84858"/>
    <w:rsid w:val="00D851A0"/>
    <w:rsid w:val="00D85683"/>
    <w:rsid w:val="00D8682D"/>
    <w:rsid w:val="00D86B88"/>
    <w:rsid w:val="00D87125"/>
    <w:rsid w:val="00D87145"/>
    <w:rsid w:val="00D874FB"/>
    <w:rsid w:val="00D87776"/>
    <w:rsid w:val="00D908D7"/>
    <w:rsid w:val="00D90EC1"/>
    <w:rsid w:val="00D90F8A"/>
    <w:rsid w:val="00D91621"/>
    <w:rsid w:val="00D918C7"/>
    <w:rsid w:val="00D91B8F"/>
    <w:rsid w:val="00D92CF0"/>
    <w:rsid w:val="00D930F2"/>
    <w:rsid w:val="00D93342"/>
    <w:rsid w:val="00D93415"/>
    <w:rsid w:val="00D94D4B"/>
    <w:rsid w:val="00D94E0E"/>
    <w:rsid w:val="00D94F54"/>
    <w:rsid w:val="00D950AF"/>
    <w:rsid w:val="00D9545B"/>
    <w:rsid w:val="00D9553A"/>
    <w:rsid w:val="00D957EB"/>
    <w:rsid w:val="00D95BCF"/>
    <w:rsid w:val="00D95FC2"/>
    <w:rsid w:val="00D961EE"/>
    <w:rsid w:val="00D97077"/>
    <w:rsid w:val="00D971AA"/>
    <w:rsid w:val="00D97308"/>
    <w:rsid w:val="00D9740F"/>
    <w:rsid w:val="00D97A89"/>
    <w:rsid w:val="00D97BA1"/>
    <w:rsid w:val="00D97D8B"/>
    <w:rsid w:val="00DA09FC"/>
    <w:rsid w:val="00DA1779"/>
    <w:rsid w:val="00DA1EE5"/>
    <w:rsid w:val="00DA263F"/>
    <w:rsid w:val="00DA2A54"/>
    <w:rsid w:val="00DA3D60"/>
    <w:rsid w:val="00DA44CF"/>
    <w:rsid w:val="00DA47B9"/>
    <w:rsid w:val="00DA51F4"/>
    <w:rsid w:val="00DA59D2"/>
    <w:rsid w:val="00DA60CB"/>
    <w:rsid w:val="00DA669D"/>
    <w:rsid w:val="00DA776F"/>
    <w:rsid w:val="00DA7B84"/>
    <w:rsid w:val="00DB1749"/>
    <w:rsid w:val="00DB1FEA"/>
    <w:rsid w:val="00DB2B7E"/>
    <w:rsid w:val="00DB328A"/>
    <w:rsid w:val="00DB33D2"/>
    <w:rsid w:val="00DB36D2"/>
    <w:rsid w:val="00DB4099"/>
    <w:rsid w:val="00DB42F9"/>
    <w:rsid w:val="00DB452C"/>
    <w:rsid w:val="00DB476D"/>
    <w:rsid w:val="00DB47C5"/>
    <w:rsid w:val="00DB5719"/>
    <w:rsid w:val="00DB5D19"/>
    <w:rsid w:val="00DB5E4A"/>
    <w:rsid w:val="00DB6042"/>
    <w:rsid w:val="00DB624E"/>
    <w:rsid w:val="00DB6888"/>
    <w:rsid w:val="00DB7A4B"/>
    <w:rsid w:val="00DC02EA"/>
    <w:rsid w:val="00DC0A52"/>
    <w:rsid w:val="00DC0BDC"/>
    <w:rsid w:val="00DC0E65"/>
    <w:rsid w:val="00DC0F49"/>
    <w:rsid w:val="00DC1103"/>
    <w:rsid w:val="00DC1117"/>
    <w:rsid w:val="00DC13E6"/>
    <w:rsid w:val="00DC1CA6"/>
    <w:rsid w:val="00DC20CF"/>
    <w:rsid w:val="00DC224D"/>
    <w:rsid w:val="00DC2259"/>
    <w:rsid w:val="00DC2623"/>
    <w:rsid w:val="00DC2FC1"/>
    <w:rsid w:val="00DC30AE"/>
    <w:rsid w:val="00DC31CC"/>
    <w:rsid w:val="00DC37FD"/>
    <w:rsid w:val="00DC3A8D"/>
    <w:rsid w:val="00DC4BFD"/>
    <w:rsid w:val="00DC59AE"/>
    <w:rsid w:val="00DC6E61"/>
    <w:rsid w:val="00DC76C3"/>
    <w:rsid w:val="00DC77BF"/>
    <w:rsid w:val="00DC7A5D"/>
    <w:rsid w:val="00DC7BDA"/>
    <w:rsid w:val="00DC7E69"/>
    <w:rsid w:val="00DD02C0"/>
    <w:rsid w:val="00DD0DCC"/>
    <w:rsid w:val="00DD1B83"/>
    <w:rsid w:val="00DD1EC6"/>
    <w:rsid w:val="00DD2821"/>
    <w:rsid w:val="00DD2BAF"/>
    <w:rsid w:val="00DD2E32"/>
    <w:rsid w:val="00DD3308"/>
    <w:rsid w:val="00DD3316"/>
    <w:rsid w:val="00DD38FE"/>
    <w:rsid w:val="00DD40D7"/>
    <w:rsid w:val="00DD42D8"/>
    <w:rsid w:val="00DD460E"/>
    <w:rsid w:val="00DD4F5E"/>
    <w:rsid w:val="00DD5ADD"/>
    <w:rsid w:val="00DD5E57"/>
    <w:rsid w:val="00DD6DFD"/>
    <w:rsid w:val="00DD6E32"/>
    <w:rsid w:val="00DD70A2"/>
    <w:rsid w:val="00DD7695"/>
    <w:rsid w:val="00DE02B8"/>
    <w:rsid w:val="00DE02BE"/>
    <w:rsid w:val="00DE146E"/>
    <w:rsid w:val="00DE1B0C"/>
    <w:rsid w:val="00DE1FE4"/>
    <w:rsid w:val="00DE2A66"/>
    <w:rsid w:val="00DE2B78"/>
    <w:rsid w:val="00DE3385"/>
    <w:rsid w:val="00DE3554"/>
    <w:rsid w:val="00DE38A1"/>
    <w:rsid w:val="00DE4502"/>
    <w:rsid w:val="00DE4638"/>
    <w:rsid w:val="00DE4651"/>
    <w:rsid w:val="00DE4983"/>
    <w:rsid w:val="00DE6149"/>
    <w:rsid w:val="00DE637B"/>
    <w:rsid w:val="00DE6569"/>
    <w:rsid w:val="00DE66D7"/>
    <w:rsid w:val="00DE6A04"/>
    <w:rsid w:val="00DE6AAE"/>
    <w:rsid w:val="00DE7265"/>
    <w:rsid w:val="00DE7525"/>
    <w:rsid w:val="00DE7BDC"/>
    <w:rsid w:val="00DF048D"/>
    <w:rsid w:val="00DF0ACD"/>
    <w:rsid w:val="00DF1251"/>
    <w:rsid w:val="00DF1298"/>
    <w:rsid w:val="00DF16EB"/>
    <w:rsid w:val="00DF1791"/>
    <w:rsid w:val="00DF1AD3"/>
    <w:rsid w:val="00DF2353"/>
    <w:rsid w:val="00DF2C54"/>
    <w:rsid w:val="00DF3837"/>
    <w:rsid w:val="00DF3AB2"/>
    <w:rsid w:val="00DF49D8"/>
    <w:rsid w:val="00DF6677"/>
    <w:rsid w:val="00DF6FBC"/>
    <w:rsid w:val="00DF78B2"/>
    <w:rsid w:val="00DF7DD5"/>
    <w:rsid w:val="00DF7ED4"/>
    <w:rsid w:val="00E0054D"/>
    <w:rsid w:val="00E007BF"/>
    <w:rsid w:val="00E00868"/>
    <w:rsid w:val="00E00898"/>
    <w:rsid w:val="00E01CB2"/>
    <w:rsid w:val="00E01D44"/>
    <w:rsid w:val="00E01DD2"/>
    <w:rsid w:val="00E020A9"/>
    <w:rsid w:val="00E02546"/>
    <w:rsid w:val="00E0272B"/>
    <w:rsid w:val="00E02CFF"/>
    <w:rsid w:val="00E02E2F"/>
    <w:rsid w:val="00E03343"/>
    <w:rsid w:val="00E03938"/>
    <w:rsid w:val="00E03CBD"/>
    <w:rsid w:val="00E04020"/>
    <w:rsid w:val="00E04877"/>
    <w:rsid w:val="00E04C45"/>
    <w:rsid w:val="00E04D1C"/>
    <w:rsid w:val="00E05681"/>
    <w:rsid w:val="00E0576B"/>
    <w:rsid w:val="00E058EB"/>
    <w:rsid w:val="00E05A89"/>
    <w:rsid w:val="00E05FA9"/>
    <w:rsid w:val="00E0628E"/>
    <w:rsid w:val="00E06460"/>
    <w:rsid w:val="00E06826"/>
    <w:rsid w:val="00E0689E"/>
    <w:rsid w:val="00E073CF"/>
    <w:rsid w:val="00E07BA5"/>
    <w:rsid w:val="00E07F31"/>
    <w:rsid w:val="00E103E5"/>
    <w:rsid w:val="00E10C42"/>
    <w:rsid w:val="00E11C13"/>
    <w:rsid w:val="00E11F04"/>
    <w:rsid w:val="00E12535"/>
    <w:rsid w:val="00E12D4A"/>
    <w:rsid w:val="00E12D89"/>
    <w:rsid w:val="00E13167"/>
    <w:rsid w:val="00E132D0"/>
    <w:rsid w:val="00E1340B"/>
    <w:rsid w:val="00E13835"/>
    <w:rsid w:val="00E13999"/>
    <w:rsid w:val="00E13EF3"/>
    <w:rsid w:val="00E14108"/>
    <w:rsid w:val="00E1493B"/>
    <w:rsid w:val="00E149D3"/>
    <w:rsid w:val="00E14EE9"/>
    <w:rsid w:val="00E15082"/>
    <w:rsid w:val="00E15217"/>
    <w:rsid w:val="00E15282"/>
    <w:rsid w:val="00E1557E"/>
    <w:rsid w:val="00E15F3D"/>
    <w:rsid w:val="00E161AD"/>
    <w:rsid w:val="00E16D18"/>
    <w:rsid w:val="00E16E3C"/>
    <w:rsid w:val="00E17050"/>
    <w:rsid w:val="00E173BB"/>
    <w:rsid w:val="00E17DB2"/>
    <w:rsid w:val="00E17F53"/>
    <w:rsid w:val="00E211FF"/>
    <w:rsid w:val="00E21463"/>
    <w:rsid w:val="00E21479"/>
    <w:rsid w:val="00E21BA1"/>
    <w:rsid w:val="00E21DB7"/>
    <w:rsid w:val="00E2256E"/>
    <w:rsid w:val="00E24195"/>
    <w:rsid w:val="00E24567"/>
    <w:rsid w:val="00E25124"/>
    <w:rsid w:val="00E25239"/>
    <w:rsid w:val="00E25323"/>
    <w:rsid w:val="00E25A4F"/>
    <w:rsid w:val="00E25AC4"/>
    <w:rsid w:val="00E2603B"/>
    <w:rsid w:val="00E261F8"/>
    <w:rsid w:val="00E2664B"/>
    <w:rsid w:val="00E268EB"/>
    <w:rsid w:val="00E26973"/>
    <w:rsid w:val="00E26E57"/>
    <w:rsid w:val="00E27467"/>
    <w:rsid w:val="00E302E2"/>
    <w:rsid w:val="00E303A9"/>
    <w:rsid w:val="00E3043D"/>
    <w:rsid w:val="00E30628"/>
    <w:rsid w:val="00E30883"/>
    <w:rsid w:val="00E31251"/>
    <w:rsid w:val="00E31476"/>
    <w:rsid w:val="00E32231"/>
    <w:rsid w:val="00E324AD"/>
    <w:rsid w:val="00E32F9A"/>
    <w:rsid w:val="00E333FB"/>
    <w:rsid w:val="00E3342D"/>
    <w:rsid w:val="00E33683"/>
    <w:rsid w:val="00E33734"/>
    <w:rsid w:val="00E33C47"/>
    <w:rsid w:val="00E33C7F"/>
    <w:rsid w:val="00E33EE3"/>
    <w:rsid w:val="00E3440F"/>
    <w:rsid w:val="00E347F0"/>
    <w:rsid w:val="00E35085"/>
    <w:rsid w:val="00E35094"/>
    <w:rsid w:val="00E35693"/>
    <w:rsid w:val="00E356FF"/>
    <w:rsid w:val="00E3584D"/>
    <w:rsid w:val="00E36CFA"/>
    <w:rsid w:val="00E36EB2"/>
    <w:rsid w:val="00E36F56"/>
    <w:rsid w:val="00E377A0"/>
    <w:rsid w:val="00E4060A"/>
    <w:rsid w:val="00E4083B"/>
    <w:rsid w:val="00E40AEB"/>
    <w:rsid w:val="00E40F9D"/>
    <w:rsid w:val="00E4122C"/>
    <w:rsid w:val="00E417D0"/>
    <w:rsid w:val="00E422C4"/>
    <w:rsid w:val="00E429EC"/>
    <w:rsid w:val="00E42BA3"/>
    <w:rsid w:val="00E43330"/>
    <w:rsid w:val="00E4341C"/>
    <w:rsid w:val="00E439F8"/>
    <w:rsid w:val="00E43AD8"/>
    <w:rsid w:val="00E43DC4"/>
    <w:rsid w:val="00E43DF0"/>
    <w:rsid w:val="00E44064"/>
    <w:rsid w:val="00E4431C"/>
    <w:rsid w:val="00E44745"/>
    <w:rsid w:val="00E449F6"/>
    <w:rsid w:val="00E44CD4"/>
    <w:rsid w:val="00E450A6"/>
    <w:rsid w:val="00E455AB"/>
    <w:rsid w:val="00E45B91"/>
    <w:rsid w:val="00E46B50"/>
    <w:rsid w:val="00E46B92"/>
    <w:rsid w:val="00E46C57"/>
    <w:rsid w:val="00E46D9B"/>
    <w:rsid w:val="00E47385"/>
    <w:rsid w:val="00E474F1"/>
    <w:rsid w:val="00E50342"/>
    <w:rsid w:val="00E50533"/>
    <w:rsid w:val="00E508F6"/>
    <w:rsid w:val="00E50D34"/>
    <w:rsid w:val="00E50F7B"/>
    <w:rsid w:val="00E51467"/>
    <w:rsid w:val="00E5176B"/>
    <w:rsid w:val="00E51B5D"/>
    <w:rsid w:val="00E51CB9"/>
    <w:rsid w:val="00E528BA"/>
    <w:rsid w:val="00E53671"/>
    <w:rsid w:val="00E539CD"/>
    <w:rsid w:val="00E53CAB"/>
    <w:rsid w:val="00E53D6A"/>
    <w:rsid w:val="00E540EA"/>
    <w:rsid w:val="00E5446B"/>
    <w:rsid w:val="00E55339"/>
    <w:rsid w:val="00E55538"/>
    <w:rsid w:val="00E55ADF"/>
    <w:rsid w:val="00E565C2"/>
    <w:rsid w:val="00E56E95"/>
    <w:rsid w:val="00E56ECC"/>
    <w:rsid w:val="00E5731F"/>
    <w:rsid w:val="00E57F05"/>
    <w:rsid w:val="00E57F9B"/>
    <w:rsid w:val="00E60269"/>
    <w:rsid w:val="00E60586"/>
    <w:rsid w:val="00E60679"/>
    <w:rsid w:val="00E6073C"/>
    <w:rsid w:val="00E60C32"/>
    <w:rsid w:val="00E616A2"/>
    <w:rsid w:val="00E627F6"/>
    <w:rsid w:val="00E62907"/>
    <w:rsid w:val="00E632C3"/>
    <w:rsid w:val="00E63398"/>
    <w:rsid w:val="00E63E8A"/>
    <w:rsid w:val="00E63F1D"/>
    <w:rsid w:val="00E646D5"/>
    <w:rsid w:val="00E64A75"/>
    <w:rsid w:val="00E64B1B"/>
    <w:rsid w:val="00E65779"/>
    <w:rsid w:val="00E6602D"/>
    <w:rsid w:val="00E6603D"/>
    <w:rsid w:val="00E67336"/>
    <w:rsid w:val="00E67343"/>
    <w:rsid w:val="00E67E86"/>
    <w:rsid w:val="00E7009F"/>
    <w:rsid w:val="00E70752"/>
    <w:rsid w:val="00E7153E"/>
    <w:rsid w:val="00E71650"/>
    <w:rsid w:val="00E72A7F"/>
    <w:rsid w:val="00E72EC2"/>
    <w:rsid w:val="00E73243"/>
    <w:rsid w:val="00E7372A"/>
    <w:rsid w:val="00E73B54"/>
    <w:rsid w:val="00E74926"/>
    <w:rsid w:val="00E752A1"/>
    <w:rsid w:val="00E753AA"/>
    <w:rsid w:val="00E755A3"/>
    <w:rsid w:val="00E75A9D"/>
    <w:rsid w:val="00E75E7C"/>
    <w:rsid w:val="00E75EF0"/>
    <w:rsid w:val="00E76513"/>
    <w:rsid w:val="00E76A32"/>
    <w:rsid w:val="00E76C5E"/>
    <w:rsid w:val="00E803C3"/>
    <w:rsid w:val="00E80872"/>
    <w:rsid w:val="00E80E74"/>
    <w:rsid w:val="00E80EFB"/>
    <w:rsid w:val="00E81274"/>
    <w:rsid w:val="00E81B34"/>
    <w:rsid w:val="00E81B8E"/>
    <w:rsid w:val="00E81EBF"/>
    <w:rsid w:val="00E81ED7"/>
    <w:rsid w:val="00E8219D"/>
    <w:rsid w:val="00E825C6"/>
    <w:rsid w:val="00E82941"/>
    <w:rsid w:val="00E83371"/>
    <w:rsid w:val="00E8377F"/>
    <w:rsid w:val="00E84955"/>
    <w:rsid w:val="00E8543E"/>
    <w:rsid w:val="00E855CE"/>
    <w:rsid w:val="00E8607A"/>
    <w:rsid w:val="00E8623F"/>
    <w:rsid w:val="00E8704B"/>
    <w:rsid w:val="00E87631"/>
    <w:rsid w:val="00E878BE"/>
    <w:rsid w:val="00E87B3E"/>
    <w:rsid w:val="00E87B69"/>
    <w:rsid w:val="00E87D52"/>
    <w:rsid w:val="00E87F00"/>
    <w:rsid w:val="00E87F4D"/>
    <w:rsid w:val="00E90555"/>
    <w:rsid w:val="00E907BE"/>
    <w:rsid w:val="00E9176F"/>
    <w:rsid w:val="00E91942"/>
    <w:rsid w:val="00E91FBA"/>
    <w:rsid w:val="00E9222C"/>
    <w:rsid w:val="00E92248"/>
    <w:rsid w:val="00E9229E"/>
    <w:rsid w:val="00E925E4"/>
    <w:rsid w:val="00E92F79"/>
    <w:rsid w:val="00E933EB"/>
    <w:rsid w:val="00E937CF"/>
    <w:rsid w:val="00E9427A"/>
    <w:rsid w:val="00E9439E"/>
    <w:rsid w:val="00E9522B"/>
    <w:rsid w:val="00E9558B"/>
    <w:rsid w:val="00E95D1B"/>
    <w:rsid w:val="00E9623E"/>
    <w:rsid w:val="00E9649D"/>
    <w:rsid w:val="00E969F0"/>
    <w:rsid w:val="00E97925"/>
    <w:rsid w:val="00EA06D7"/>
    <w:rsid w:val="00EA09FE"/>
    <w:rsid w:val="00EA0A9B"/>
    <w:rsid w:val="00EA0D79"/>
    <w:rsid w:val="00EA175D"/>
    <w:rsid w:val="00EA2523"/>
    <w:rsid w:val="00EA2EFA"/>
    <w:rsid w:val="00EA32BF"/>
    <w:rsid w:val="00EA3852"/>
    <w:rsid w:val="00EA50D6"/>
    <w:rsid w:val="00EA5714"/>
    <w:rsid w:val="00EA63D0"/>
    <w:rsid w:val="00EA7070"/>
    <w:rsid w:val="00EA7662"/>
    <w:rsid w:val="00EB016F"/>
    <w:rsid w:val="00EB0635"/>
    <w:rsid w:val="00EB06EB"/>
    <w:rsid w:val="00EB0798"/>
    <w:rsid w:val="00EB0B50"/>
    <w:rsid w:val="00EB0C4A"/>
    <w:rsid w:val="00EB13E0"/>
    <w:rsid w:val="00EB222C"/>
    <w:rsid w:val="00EB3224"/>
    <w:rsid w:val="00EB33F4"/>
    <w:rsid w:val="00EB3B9C"/>
    <w:rsid w:val="00EB3C8F"/>
    <w:rsid w:val="00EB4242"/>
    <w:rsid w:val="00EB4C04"/>
    <w:rsid w:val="00EB4CA7"/>
    <w:rsid w:val="00EB4D10"/>
    <w:rsid w:val="00EB5E24"/>
    <w:rsid w:val="00EB5E87"/>
    <w:rsid w:val="00EB649D"/>
    <w:rsid w:val="00EB6C6B"/>
    <w:rsid w:val="00EB6E0D"/>
    <w:rsid w:val="00EB7363"/>
    <w:rsid w:val="00EB7714"/>
    <w:rsid w:val="00EB7A49"/>
    <w:rsid w:val="00EB7B5B"/>
    <w:rsid w:val="00EB7C4B"/>
    <w:rsid w:val="00EC0BAD"/>
    <w:rsid w:val="00EC1320"/>
    <w:rsid w:val="00EC1406"/>
    <w:rsid w:val="00EC225B"/>
    <w:rsid w:val="00EC2677"/>
    <w:rsid w:val="00EC2DAB"/>
    <w:rsid w:val="00EC36F2"/>
    <w:rsid w:val="00EC3712"/>
    <w:rsid w:val="00EC40B3"/>
    <w:rsid w:val="00EC476F"/>
    <w:rsid w:val="00EC486B"/>
    <w:rsid w:val="00EC48D7"/>
    <w:rsid w:val="00EC4B7C"/>
    <w:rsid w:val="00EC4BB6"/>
    <w:rsid w:val="00EC4F33"/>
    <w:rsid w:val="00EC5634"/>
    <w:rsid w:val="00EC68DA"/>
    <w:rsid w:val="00EC7129"/>
    <w:rsid w:val="00EC76CF"/>
    <w:rsid w:val="00ED0270"/>
    <w:rsid w:val="00ED0721"/>
    <w:rsid w:val="00ED07A3"/>
    <w:rsid w:val="00ED0BF1"/>
    <w:rsid w:val="00ED11C5"/>
    <w:rsid w:val="00ED1924"/>
    <w:rsid w:val="00ED1DED"/>
    <w:rsid w:val="00ED1E35"/>
    <w:rsid w:val="00ED1EEE"/>
    <w:rsid w:val="00ED2C8F"/>
    <w:rsid w:val="00ED2D4A"/>
    <w:rsid w:val="00ED2DB6"/>
    <w:rsid w:val="00ED304F"/>
    <w:rsid w:val="00ED47C8"/>
    <w:rsid w:val="00ED4A56"/>
    <w:rsid w:val="00ED4BF7"/>
    <w:rsid w:val="00ED4FB2"/>
    <w:rsid w:val="00ED507D"/>
    <w:rsid w:val="00ED6E92"/>
    <w:rsid w:val="00ED6F17"/>
    <w:rsid w:val="00ED76F1"/>
    <w:rsid w:val="00ED7BC1"/>
    <w:rsid w:val="00EE148A"/>
    <w:rsid w:val="00EE1C1C"/>
    <w:rsid w:val="00EE1C6D"/>
    <w:rsid w:val="00EE2406"/>
    <w:rsid w:val="00EE2431"/>
    <w:rsid w:val="00EE24DB"/>
    <w:rsid w:val="00EE24FB"/>
    <w:rsid w:val="00EE2D3F"/>
    <w:rsid w:val="00EE2FC2"/>
    <w:rsid w:val="00EE3270"/>
    <w:rsid w:val="00EE3367"/>
    <w:rsid w:val="00EE3730"/>
    <w:rsid w:val="00EE3DA2"/>
    <w:rsid w:val="00EE43C0"/>
    <w:rsid w:val="00EE4452"/>
    <w:rsid w:val="00EE4C7E"/>
    <w:rsid w:val="00EE4FEB"/>
    <w:rsid w:val="00EE51DB"/>
    <w:rsid w:val="00EE556D"/>
    <w:rsid w:val="00EE5713"/>
    <w:rsid w:val="00EE592A"/>
    <w:rsid w:val="00EE5DBE"/>
    <w:rsid w:val="00EE6128"/>
    <w:rsid w:val="00EE6184"/>
    <w:rsid w:val="00EE6F77"/>
    <w:rsid w:val="00EE7607"/>
    <w:rsid w:val="00EE7A2C"/>
    <w:rsid w:val="00EE7B9F"/>
    <w:rsid w:val="00EE7BEB"/>
    <w:rsid w:val="00EF0209"/>
    <w:rsid w:val="00EF0E5D"/>
    <w:rsid w:val="00EF0F3B"/>
    <w:rsid w:val="00EF20F2"/>
    <w:rsid w:val="00EF2141"/>
    <w:rsid w:val="00EF2240"/>
    <w:rsid w:val="00EF2F99"/>
    <w:rsid w:val="00EF3069"/>
    <w:rsid w:val="00EF3482"/>
    <w:rsid w:val="00EF352E"/>
    <w:rsid w:val="00EF3A6B"/>
    <w:rsid w:val="00EF3DE5"/>
    <w:rsid w:val="00EF4ACB"/>
    <w:rsid w:val="00EF4C4E"/>
    <w:rsid w:val="00EF51B0"/>
    <w:rsid w:val="00EF57A5"/>
    <w:rsid w:val="00EF5811"/>
    <w:rsid w:val="00EF5877"/>
    <w:rsid w:val="00EF5987"/>
    <w:rsid w:val="00EF6556"/>
    <w:rsid w:val="00EF6F14"/>
    <w:rsid w:val="00F002EF"/>
    <w:rsid w:val="00F012A8"/>
    <w:rsid w:val="00F01565"/>
    <w:rsid w:val="00F01733"/>
    <w:rsid w:val="00F020BB"/>
    <w:rsid w:val="00F0319D"/>
    <w:rsid w:val="00F03323"/>
    <w:rsid w:val="00F0385E"/>
    <w:rsid w:val="00F04D91"/>
    <w:rsid w:val="00F04E2E"/>
    <w:rsid w:val="00F05C43"/>
    <w:rsid w:val="00F066C8"/>
    <w:rsid w:val="00F06C0B"/>
    <w:rsid w:val="00F07089"/>
    <w:rsid w:val="00F07A0C"/>
    <w:rsid w:val="00F07BE2"/>
    <w:rsid w:val="00F07E6E"/>
    <w:rsid w:val="00F07F28"/>
    <w:rsid w:val="00F102EC"/>
    <w:rsid w:val="00F10548"/>
    <w:rsid w:val="00F105A7"/>
    <w:rsid w:val="00F106F3"/>
    <w:rsid w:val="00F108D6"/>
    <w:rsid w:val="00F10CFB"/>
    <w:rsid w:val="00F11001"/>
    <w:rsid w:val="00F117A0"/>
    <w:rsid w:val="00F1232F"/>
    <w:rsid w:val="00F12994"/>
    <w:rsid w:val="00F12D86"/>
    <w:rsid w:val="00F12DF2"/>
    <w:rsid w:val="00F13058"/>
    <w:rsid w:val="00F13B05"/>
    <w:rsid w:val="00F13F47"/>
    <w:rsid w:val="00F142D6"/>
    <w:rsid w:val="00F147B0"/>
    <w:rsid w:val="00F14A46"/>
    <w:rsid w:val="00F14BCA"/>
    <w:rsid w:val="00F154D4"/>
    <w:rsid w:val="00F15AF2"/>
    <w:rsid w:val="00F15F1E"/>
    <w:rsid w:val="00F1643F"/>
    <w:rsid w:val="00F16B06"/>
    <w:rsid w:val="00F16E49"/>
    <w:rsid w:val="00F17235"/>
    <w:rsid w:val="00F177C6"/>
    <w:rsid w:val="00F178AB"/>
    <w:rsid w:val="00F17B16"/>
    <w:rsid w:val="00F17F5B"/>
    <w:rsid w:val="00F2034E"/>
    <w:rsid w:val="00F20EA1"/>
    <w:rsid w:val="00F20F16"/>
    <w:rsid w:val="00F21290"/>
    <w:rsid w:val="00F219DB"/>
    <w:rsid w:val="00F21B53"/>
    <w:rsid w:val="00F2214E"/>
    <w:rsid w:val="00F231A1"/>
    <w:rsid w:val="00F23230"/>
    <w:rsid w:val="00F235C1"/>
    <w:rsid w:val="00F23DBA"/>
    <w:rsid w:val="00F23E5B"/>
    <w:rsid w:val="00F23F33"/>
    <w:rsid w:val="00F24A7D"/>
    <w:rsid w:val="00F25334"/>
    <w:rsid w:val="00F25416"/>
    <w:rsid w:val="00F25EC4"/>
    <w:rsid w:val="00F2606A"/>
    <w:rsid w:val="00F26092"/>
    <w:rsid w:val="00F26538"/>
    <w:rsid w:val="00F26808"/>
    <w:rsid w:val="00F268A4"/>
    <w:rsid w:val="00F26EE2"/>
    <w:rsid w:val="00F270D4"/>
    <w:rsid w:val="00F27C4F"/>
    <w:rsid w:val="00F307CC"/>
    <w:rsid w:val="00F30BBA"/>
    <w:rsid w:val="00F31259"/>
    <w:rsid w:val="00F31584"/>
    <w:rsid w:val="00F31630"/>
    <w:rsid w:val="00F3322B"/>
    <w:rsid w:val="00F34A95"/>
    <w:rsid w:val="00F34C99"/>
    <w:rsid w:val="00F34F03"/>
    <w:rsid w:val="00F353F7"/>
    <w:rsid w:val="00F35CF9"/>
    <w:rsid w:val="00F36007"/>
    <w:rsid w:val="00F3623B"/>
    <w:rsid w:val="00F367AD"/>
    <w:rsid w:val="00F36816"/>
    <w:rsid w:val="00F36FED"/>
    <w:rsid w:val="00F37072"/>
    <w:rsid w:val="00F37F90"/>
    <w:rsid w:val="00F40CF9"/>
    <w:rsid w:val="00F40F5F"/>
    <w:rsid w:val="00F4221B"/>
    <w:rsid w:val="00F4233C"/>
    <w:rsid w:val="00F427D5"/>
    <w:rsid w:val="00F439BB"/>
    <w:rsid w:val="00F43FCA"/>
    <w:rsid w:val="00F44640"/>
    <w:rsid w:val="00F449D7"/>
    <w:rsid w:val="00F455B8"/>
    <w:rsid w:val="00F4573E"/>
    <w:rsid w:val="00F45F5E"/>
    <w:rsid w:val="00F461AE"/>
    <w:rsid w:val="00F46B1C"/>
    <w:rsid w:val="00F46CA0"/>
    <w:rsid w:val="00F46D8C"/>
    <w:rsid w:val="00F47D6C"/>
    <w:rsid w:val="00F51106"/>
    <w:rsid w:val="00F51A00"/>
    <w:rsid w:val="00F51B88"/>
    <w:rsid w:val="00F52A4C"/>
    <w:rsid w:val="00F534D3"/>
    <w:rsid w:val="00F534ED"/>
    <w:rsid w:val="00F538AC"/>
    <w:rsid w:val="00F53968"/>
    <w:rsid w:val="00F53BAF"/>
    <w:rsid w:val="00F5421D"/>
    <w:rsid w:val="00F5470A"/>
    <w:rsid w:val="00F55A8B"/>
    <w:rsid w:val="00F562BE"/>
    <w:rsid w:val="00F567A9"/>
    <w:rsid w:val="00F56A51"/>
    <w:rsid w:val="00F56D0D"/>
    <w:rsid w:val="00F570FA"/>
    <w:rsid w:val="00F574E8"/>
    <w:rsid w:val="00F57A92"/>
    <w:rsid w:val="00F60458"/>
    <w:rsid w:val="00F60DF3"/>
    <w:rsid w:val="00F61026"/>
    <w:rsid w:val="00F613D5"/>
    <w:rsid w:val="00F61567"/>
    <w:rsid w:val="00F61AC8"/>
    <w:rsid w:val="00F61C20"/>
    <w:rsid w:val="00F62057"/>
    <w:rsid w:val="00F62582"/>
    <w:rsid w:val="00F64DC6"/>
    <w:rsid w:val="00F64F14"/>
    <w:rsid w:val="00F658CB"/>
    <w:rsid w:val="00F65BCB"/>
    <w:rsid w:val="00F66D31"/>
    <w:rsid w:val="00F67567"/>
    <w:rsid w:val="00F67C01"/>
    <w:rsid w:val="00F67C2B"/>
    <w:rsid w:val="00F709F5"/>
    <w:rsid w:val="00F7114B"/>
    <w:rsid w:val="00F71E7A"/>
    <w:rsid w:val="00F721EF"/>
    <w:rsid w:val="00F72203"/>
    <w:rsid w:val="00F72301"/>
    <w:rsid w:val="00F72599"/>
    <w:rsid w:val="00F72AC2"/>
    <w:rsid w:val="00F72BF8"/>
    <w:rsid w:val="00F74168"/>
    <w:rsid w:val="00F742F1"/>
    <w:rsid w:val="00F74339"/>
    <w:rsid w:val="00F74578"/>
    <w:rsid w:val="00F747FA"/>
    <w:rsid w:val="00F74871"/>
    <w:rsid w:val="00F7566E"/>
    <w:rsid w:val="00F76037"/>
    <w:rsid w:val="00F773B7"/>
    <w:rsid w:val="00F77724"/>
    <w:rsid w:val="00F7772A"/>
    <w:rsid w:val="00F777F7"/>
    <w:rsid w:val="00F77839"/>
    <w:rsid w:val="00F77995"/>
    <w:rsid w:val="00F77AB9"/>
    <w:rsid w:val="00F8097D"/>
    <w:rsid w:val="00F811B9"/>
    <w:rsid w:val="00F814F1"/>
    <w:rsid w:val="00F815CC"/>
    <w:rsid w:val="00F817E9"/>
    <w:rsid w:val="00F818AC"/>
    <w:rsid w:val="00F81A57"/>
    <w:rsid w:val="00F8246A"/>
    <w:rsid w:val="00F8285E"/>
    <w:rsid w:val="00F82F00"/>
    <w:rsid w:val="00F82FA7"/>
    <w:rsid w:val="00F8336F"/>
    <w:rsid w:val="00F83ED9"/>
    <w:rsid w:val="00F84796"/>
    <w:rsid w:val="00F85096"/>
    <w:rsid w:val="00F856ED"/>
    <w:rsid w:val="00F8574D"/>
    <w:rsid w:val="00F85B2B"/>
    <w:rsid w:val="00F85DEC"/>
    <w:rsid w:val="00F8615F"/>
    <w:rsid w:val="00F86637"/>
    <w:rsid w:val="00F86D4E"/>
    <w:rsid w:val="00F86E6F"/>
    <w:rsid w:val="00F87BEF"/>
    <w:rsid w:val="00F902F3"/>
    <w:rsid w:val="00F90C13"/>
    <w:rsid w:val="00F90DD7"/>
    <w:rsid w:val="00F91164"/>
    <w:rsid w:val="00F91524"/>
    <w:rsid w:val="00F92138"/>
    <w:rsid w:val="00F9270B"/>
    <w:rsid w:val="00F9275A"/>
    <w:rsid w:val="00F92AB1"/>
    <w:rsid w:val="00F92B0F"/>
    <w:rsid w:val="00F92C57"/>
    <w:rsid w:val="00F92D2C"/>
    <w:rsid w:val="00F92F53"/>
    <w:rsid w:val="00F93043"/>
    <w:rsid w:val="00F9310D"/>
    <w:rsid w:val="00F93D6C"/>
    <w:rsid w:val="00F93FCF"/>
    <w:rsid w:val="00F94068"/>
    <w:rsid w:val="00F9489A"/>
    <w:rsid w:val="00F9536B"/>
    <w:rsid w:val="00F95E59"/>
    <w:rsid w:val="00F963DB"/>
    <w:rsid w:val="00F96A71"/>
    <w:rsid w:val="00F96ACA"/>
    <w:rsid w:val="00F96D24"/>
    <w:rsid w:val="00F97090"/>
    <w:rsid w:val="00F97491"/>
    <w:rsid w:val="00F97BFD"/>
    <w:rsid w:val="00F97E96"/>
    <w:rsid w:val="00FA02C5"/>
    <w:rsid w:val="00FA1AEC"/>
    <w:rsid w:val="00FA26E3"/>
    <w:rsid w:val="00FA26ED"/>
    <w:rsid w:val="00FA44FB"/>
    <w:rsid w:val="00FA5580"/>
    <w:rsid w:val="00FA5BFC"/>
    <w:rsid w:val="00FA5F42"/>
    <w:rsid w:val="00FA620B"/>
    <w:rsid w:val="00FA6361"/>
    <w:rsid w:val="00FA69C3"/>
    <w:rsid w:val="00FA69E4"/>
    <w:rsid w:val="00FA6AAC"/>
    <w:rsid w:val="00FA6CBC"/>
    <w:rsid w:val="00FA6D48"/>
    <w:rsid w:val="00FA7398"/>
    <w:rsid w:val="00FA7EC0"/>
    <w:rsid w:val="00FB0BB2"/>
    <w:rsid w:val="00FB0CE0"/>
    <w:rsid w:val="00FB1582"/>
    <w:rsid w:val="00FB1938"/>
    <w:rsid w:val="00FB1AD3"/>
    <w:rsid w:val="00FB1C3A"/>
    <w:rsid w:val="00FB349A"/>
    <w:rsid w:val="00FB34D6"/>
    <w:rsid w:val="00FB38BE"/>
    <w:rsid w:val="00FB3E1A"/>
    <w:rsid w:val="00FB40D9"/>
    <w:rsid w:val="00FB448D"/>
    <w:rsid w:val="00FB4E5B"/>
    <w:rsid w:val="00FB5808"/>
    <w:rsid w:val="00FB6C88"/>
    <w:rsid w:val="00FB6DFE"/>
    <w:rsid w:val="00FB7CC7"/>
    <w:rsid w:val="00FC072E"/>
    <w:rsid w:val="00FC0921"/>
    <w:rsid w:val="00FC11A9"/>
    <w:rsid w:val="00FC1C6F"/>
    <w:rsid w:val="00FC25F7"/>
    <w:rsid w:val="00FC266E"/>
    <w:rsid w:val="00FC2921"/>
    <w:rsid w:val="00FC2A88"/>
    <w:rsid w:val="00FC2E53"/>
    <w:rsid w:val="00FC30E2"/>
    <w:rsid w:val="00FC3A30"/>
    <w:rsid w:val="00FC3B2B"/>
    <w:rsid w:val="00FC3CC4"/>
    <w:rsid w:val="00FC3E24"/>
    <w:rsid w:val="00FC5249"/>
    <w:rsid w:val="00FC551E"/>
    <w:rsid w:val="00FC5613"/>
    <w:rsid w:val="00FC5790"/>
    <w:rsid w:val="00FC5D6A"/>
    <w:rsid w:val="00FC5D96"/>
    <w:rsid w:val="00FC6969"/>
    <w:rsid w:val="00FC69C2"/>
    <w:rsid w:val="00FC6A12"/>
    <w:rsid w:val="00FC6D98"/>
    <w:rsid w:val="00FC6DD7"/>
    <w:rsid w:val="00FC759D"/>
    <w:rsid w:val="00FD039F"/>
    <w:rsid w:val="00FD0721"/>
    <w:rsid w:val="00FD1153"/>
    <w:rsid w:val="00FD13D5"/>
    <w:rsid w:val="00FD1995"/>
    <w:rsid w:val="00FD1D02"/>
    <w:rsid w:val="00FD1FF6"/>
    <w:rsid w:val="00FD25E1"/>
    <w:rsid w:val="00FD2B06"/>
    <w:rsid w:val="00FD2D75"/>
    <w:rsid w:val="00FD32CB"/>
    <w:rsid w:val="00FD37BD"/>
    <w:rsid w:val="00FD3C86"/>
    <w:rsid w:val="00FD3CAB"/>
    <w:rsid w:val="00FD40FF"/>
    <w:rsid w:val="00FD538C"/>
    <w:rsid w:val="00FD56F2"/>
    <w:rsid w:val="00FD5E1C"/>
    <w:rsid w:val="00FD62EB"/>
    <w:rsid w:val="00FD6327"/>
    <w:rsid w:val="00FD63DF"/>
    <w:rsid w:val="00FD6AB4"/>
    <w:rsid w:val="00FD7339"/>
    <w:rsid w:val="00FD7945"/>
    <w:rsid w:val="00FE02C1"/>
    <w:rsid w:val="00FE0B54"/>
    <w:rsid w:val="00FE0B5C"/>
    <w:rsid w:val="00FE1880"/>
    <w:rsid w:val="00FE1EB0"/>
    <w:rsid w:val="00FE2075"/>
    <w:rsid w:val="00FE23B0"/>
    <w:rsid w:val="00FE35A0"/>
    <w:rsid w:val="00FE3F8E"/>
    <w:rsid w:val="00FE47ED"/>
    <w:rsid w:val="00FE4AAD"/>
    <w:rsid w:val="00FE5206"/>
    <w:rsid w:val="00FE5330"/>
    <w:rsid w:val="00FE61DC"/>
    <w:rsid w:val="00FE67D0"/>
    <w:rsid w:val="00FE6D54"/>
    <w:rsid w:val="00FE7B01"/>
    <w:rsid w:val="00FF00BF"/>
    <w:rsid w:val="00FF081E"/>
    <w:rsid w:val="00FF0D09"/>
    <w:rsid w:val="00FF1187"/>
    <w:rsid w:val="00FF145C"/>
    <w:rsid w:val="00FF1BBA"/>
    <w:rsid w:val="00FF2151"/>
    <w:rsid w:val="00FF2318"/>
    <w:rsid w:val="00FF26EE"/>
    <w:rsid w:val="00FF2EC1"/>
    <w:rsid w:val="00FF3102"/>
    <w:rsid w:val="00FF3329"/>
    <w:rsid w:val="00FF3B3A"/>
    <w:rsid w:val="00FF41D8"/>
    <w:rsid w:val="00FF47A3"/>
    <w:rsid w:val="00FF4D23"/>
    <w:rsid w:val="00FF4D5B"/>
    <w:rsid w:val="00FF4F72"/>
    <w:rsid w:val="00FF602B"/>
    <w:rsid w:val="00FF6353"/>
    <w:rsid w:val="00FF6465"/>
    <w:rsid w:val="00FF6615"/>
    <w:rsid w:val="00FF6B39"/>
    <w:rsid w:val="00FF704A"/>
    <w:rsid w:val="00FF7512"/>
    <w:rsid w:val="00FF7846"/>
    <w:rsid w:val="00FF7877"/>
    <w:rsid w:val="51C10E4A"/>
    <w:rsid w:val="54C848A8"/>
    <w:rsid w:val="5E9960D8"/>
    <w:rsid w:val="6181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57"/>
    <w:qFormat/>
    <w:uiPriority w:val="0"/>
    <w:pPr>
      <w:keepNext w:val="0"/>
      <w:keepLines w:val="0"/>
      <w:tabs>
        <w:tab w:val="left" w:pos="426"/>
      </w:tabs>
      <w:spacing w:before="340" w:after="330" w:line="300" w:lineRule="auto"/>
      <w:jc w:val="center"/>
      <w:outlineLvl w:val="0"/>
    </w:pPr>
    <w:rPr>
      <w:rFonts w:eastAsia="黑体"/>
      <w:kern w:val="44"/>
      <w:sz w:val="32"/>
    </w:rPr>
  </w:style>
  <w:style w:type="paragraph" w:styleId="5">
    <w:name w:val="heading 2"/>
    <w:basedOn w:val="3"/>
    <w:next w:val="4"/>
    <w:qFormat/>
    <w:uiPriority w:val="0"/>
    <w:pPr>
      <w:tabs>
        <w:tab w:val="left" w:pos="426"/>
      </w:tabs>
      <w:textAlignment w:val="baseline"/>
      <w:outlineLvl w:val="1"/>
    </w:pPr>
    <w:rPr>
      <w:bCs w:val="0"/>
      <w:kern w:val="0"/>
      <w:szCs w:val="20"/>
    </w:rPr>
  </w:style>
  <w:style w:type="paragraph" w:styleId="3">
    <w:name w:val="heading 3"/>
    <w:basedOn w:val="4"/>
    <w:next w:val="1"/>
    <w:link w:val="56"/>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54"/>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18"/>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19"/>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0"/>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1"/>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2"/>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1"/>
    <w:semiHidden/>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2"/>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74"/>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14"/>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73"/>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84"/>
    <w:qFormat/>
    <w:uiPriority w:val="0"/>
    <w:rPr>
      <w:rFonts w:hAnsi="Courier New" w:cs="Times New Roman"/>
      <w:kern w:val="2"/>
      <w:sz w:val="32"/>
      <w:szCs w:val="20"/>
    </w:rPr>
  </w:style>
  <w:style w:type="paragraph" w:styleId="27">
    <w:name w:val="Body Text Indent 2"/>
    <w:basedOn w:val="1"/>
    <w:link w:val="213"/>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0"/>
    <w:semiHidden/>
    <w:qFormat/>
    <w:uiPriority w:val="0"/>
    <w:rPr>
      <w:rFonts w:ascii="Times New Roman" w:hAnsi="Times New Roman" w:cs="Times New Roman"/>
      <w:kern w:val="2"/>
      <w:sz w:val="18"/>
      <w:szCs w:val="18"/>
    </w:rPr>
  </w:style>
  <w:style w:type="paragraph" w:styleId="29">
    <w:name w:val="footer"/>
    <w:basedOn w:val="1"/>
    <w:link w:val="109"/>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79"/>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76"/>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69"/>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73"/>
    <w:qFormat/>
    <w:uiPriority w:val="0"/>
    <w:rPr>
      <w:rFonts w:ascii="Times New Roman" w:hAnsi="Times New Roman" w:cs="Times New Roman"/>
      <w:kern w:val="2"/>
      <w:sz w:val="24"/>
    </w:rPr>
  </w:style>
  <w:style w:type="paragraph" w:styleId="39">
    <w:name w:val="HTML Preformatted"/>
    <w:basedOn w:val="1"/>
    <w:link w:val="27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36"/>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1"/>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4 Char"/>
    <w:link w:val="4"/>
    <w:qFormat/>
    <w:uiPriority w:val="0"/>
    <w:rPr>
      <w:rFonts w:ascii="Arial" w:hAnsi="Arial" w:eastAsia="黑体"/>
      <w:b/>
      <w:bCs/>
      <w:kern w:val="2"/>
      <w:sz w:val="28"/>
      <w:szCs w:val="28"/>
      <w:lang w:val="en-US" w:eastAsia="zh-CN" w:bidi="ar-SA"/>
    </w:rPr>
  </w:style>
  <w:style w:type="paragraph" w:customStyle="1" w:styleId="55">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56">
    <w:name w:val="标题 3 Char1"/>
    <w:link w:val="3"/>
    <w:qFormat/>
    <w:uiPriority w:val="0"/>
    <w:rPr>
      <w:rFonts w:ascii="宋体" w:hAnsi="宋体"/>
      <w:b/>
      <w:bCs/>
      <w:kern w:val="2"/>
      <w:sz w:val="24"/>
      <w:szCs w:val="32"/>
      <w:shd w:val="clear" w:color="auto" w:fill="FFFFFF"/>
    </w:rPr>
  </w:style>
  <w:style w:type="character" w:customStyle="1" w:styleId="57">
    <w:name w:val="标题 1 Char"/>
    <w:link w:val="2"/>
    <w:qFormat/>
    <w:uiPriority w:val="0"/>
    <w:rPr>
      <w:rFonts w:ascii="宋体" w:hAnsi="宋体" w:eastAsia="黑体"/>
      <w:b/>
      <w:bCs/>
      <w:kern w:val="44"/>
      <w:sz w:val="32"/>
      <w:szCs w:val="32"/>
      <w:shd w:val="clear" w:color="auto" w:fill="FFFFFF"/>
    </w:rPr>
  </w:style>
  <w:style w:type="character" w:customStyle="1" w:styleId="58">
    <w:name w:val="正文缩进 Char1"/>
    <w:link w:val="7"/>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1">
    <w:name w:val="图"/>
    <w:basedOn w:val="1"/>
    <w:qFormat/>
    <w:uiPriority w:val="0"/>
    <w:pPr>
      <w:keepNext/>
      <w:spacing w:before="60" w:after="60" w:line="300" w:lineRule="auto"/>
      <w:jc w:val="center"/>
    </w:pPr>
    <w:rPr>
      <w:spacing w:val="20"/>
      <w:sz w:val="24"/>
      <w:szCs w:val="20"/>
    </w:rPr>
  </w:style>
  <w:style w:type="paragraph" w:customStyle="1" w:styleId="62">
    <w:name w:val="文档正文"/>
    <w:basedOn w:val="1"/>
    <w:qFormat/>
    <w:uiPriority w:val="0"/>
    <w:pPr>
      <w:spacing w:line="480" w:lineRule="atLeast"/>
      <w:ind w:firstLine="567" w:firstLineChars="200"/>
      <w:textAlignment w:val="baseline"/>
    </w:pPr>
    <w:rPr>
      <w:rFonts w:ascii="长城仿宋"/>
      <w:szCs w:val="20"/>
    </w:rPr>
  </w:style>
  <w:style w:type="paragraph" w:customStyle="1" w:styleId="63">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64">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65">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overflowPunct w:val="0"/>
      <w:autoSpaceDE w:val="0"/>
      <w:autoSpaceDN w:val="0"/>
      <w:jc w:val="left"/>
      <w:textAlignment w:val="baseline"/>
    </w:pPr>
    <w:rPr>
      <w:sz w:val="24"/>
      <w:szCs w:val="20"/>
    </w:rPr>
  </w:style>
  <w:style w:type="character" w:customStyle="1" w:styleId="72">
    <w:name w:val="批注文字 Char"/>
    <w:link w:val="18"/>
    <w:qFormat/>
    <w:uiPriority w:val="0"/>
    <w:rPr>
      <w:rFonts w:ascii="宋体" w:eastAsia="宋体"/>
      <w:sz w:val="34"/>
      <w:lang w:val="en-US" w:eastAsia="zh-CN" w:bidi="ar-SA"/>
    </w:rPr>
  </w:style>
  <w:style w:type="character" w:customStyle="1" w:styleId="73">
    <w:name w:val="纯文本 Char"/>
    <w:link w:val="24"/>
    <w:qFormat/>
    <w:uiPriority w:val="0"/>
    <w:rPr>
      <w:rFonts w:ascii="宋体" w:hAnsi="Courier New"/>
      <w:kern w:val="2"/>
      <w:sz w:val="21"/>
    </w:rPr>
  </w:style>
  <w:style w:type="character" w:customStyle="1" w:styleId="74">
    <w:name w:val="apple-converted-space"/>
    <w:basedOn w:val="47"/>
    <w:qFormat/>
    <w:uiPriority w:val="0"/>
  </w:style>
  <w:style w:type="paragraph" w:customStyle="1" w:styleId="75">
    <w:name w:val="TOC Heading"/>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76">
    <w:name w:val="副标题 Char"/>
    <w:link w:val="33"/>
    <w:qFormat/>
    <w:uiPriority w:val="0"/>
    <w:rPr>
      <w:rFonts w:ascii="Cambria" w:hAnsi="Cambria" w:cs="Times New Roman"/>
      <w:b/>
      <w:bCs/>
      <w:kern w:val="28"/>
      <w:sz w:val="28"/>
      <w:szCs w:val="32"/>
    </w:rPr>
  </w:style>
  <w:style w:type="paragraph" w:customStyle="1" w:styleId="77">
    <w:name w:val="Char Char Char"/>
    <w:basedOn w:val="1"/>
    <w:qFormat/>
    <w:uiPriority w:val="0"/>
    <w:rPr>
      <w:rFonts w:ascii="Tahoma" w:hAnsi="Tahoma"/>
      <w:sz w:val="24"/>
      <w:szCs w:val="20"/>
    </w:rPr>
  </w:style>
  <w:style w:type="paragraph" w:customStyle="1" w:styleId="78">
    <w:name w:val="列出段落1"/>
    <w:basedOn w:val="1"/>
    <w:link w:val="89"/>
    <w:qFormat/>
    <w:uiPriority w:val="0"/>
    <w:pPr>
      <w:ind w:firstLine="420" w:firstLineChars="200"/>
    </w:pPr>
    <w:rPr>
      <w:rFonts w:ascii="Times New Roman" w:hAnsi="Times New Roman" w:cs="Times New Roman"/>
      <w:kern w:val="2"/>
    </w:rPr>
  </w:style>
  <w:style w:type="character" w:customStyle="1" w:styleId="79">
    <w:name w:val="页眉 Char"/>
    <w:link w:val="30"/>
    <w:qFormat/>
    <w:uiPriority w:val="0"/>
    <w:rPr>
      <w:kern w:val="2"/>
      <w:sz w:val="18"/>
      <w:szCs w:val="18"/>
    </w:rPr>
  </w:style>
  <w:style w:type="paragraph" w:customStyle="1" w:styleId="80">
    <w:name w:val="Default"/>
    <w:link w:val="21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1">
    <w:name w:val="主题"/>
    <w:basedOn w:val="1"/>
    <w:qFormat/>
    <w:uiPriority w:val="0"/>
  </w:style>
  <w:style w:type="paragraph" w:customStyle="1" w:styleId="82">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83">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84">
    <w:name w:val="日期 Char"/>
    <w:link w:val="26"/>
    <w:qFormat/>
    <w:uiPriority w:val="0"/>
    <w:rPr>
      <w:rFonts w:ascii="宋体" w:hAnsi="Courier New"/>
      <w:kern w:val="2"/>
      <w:sz w:val="32"/>
    </w:rPr>
  </w:style>
  <w:style w:type="paragraph" w:customStyle="1" w:styleId="85">
    <w:name w:val="表1黑体居中"/>
    <w:basedOn w:val="1"/>
    <w:qFormat/>
    <w:uiPriority w:val="0"/>
    <w:pPr>
      <w:ind w:firstLine="435"/>
      <w:jc w:val="center"/>
      <w:textAlignment w:val="baseline"/>
    </w:pPr>
    <w:rPr>
      <w:rFonts w:ascii="黑体" w:eastAsia="黑体"/>
      <w:szCs w:val="21"/>
    </w:rPr>
  </w:style>
  <w:style w:type="paragraph" w:customStyle="1" w:styleId="86">
    <w:name w:val="MaoC2"/>
    <w:basedOn w:val="1"/>
    <w:qFormat/>
    <w:uiPriority w:val="0"/>
    <w:pPr>
      <w:numPr>
        <w:ilvl w:val="1"/>
        <w:numId w:val="2"/>
      </w:numPr>
      <w:spacing w:line="480" w:lineRule="auto"/>
      <w:outlineLvl w:val="1"/>
    </w:pPr>
    <w:rPr>
      <w:rFonts w:ascii="黑体" w:eastAsia="黑体"/>
      <w:szCs w:val="20"/>
    </w:rPr>
  </w:style>
  <w:style w:type="paragraph" w:customStyle="1" w:styleId="87">
    <w:name w:val="图目录4"/>
    <w:basedOn w:val="1"/>
    <w:next w:val="1"/>
    <w:qFormat/>
    <w:uiPriority w:val="0"/>
    <w:pPr>
      <w:numPr>
        <w:ilvl w:val="0"/>
        <w:numId w:val="3"/>
      </w:numPr>
      <w:ind w:hanging="448"/>
      <w:jc w:val="center"/>
      <w:textAlignment w:val="baseline"/>
    </w:pPr>
    <w:rPr>
      <w:szCs w:val="20"/>
    </w:rPr>
  </w:style>
  <w:style w:type="paragraph" w:customStyle="1" w:styleId="8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89">
    <w:name w:val="列出段落 Char"/>
    <w:link w:val="78"/>
    <w:qFormat/>
    <w:uiPriority w:val="0"/>
    <w:rPr>
      <w:kern w:val="2"/>
      <w:sz w:val="21"/>
      <w:szCs w:val="24"/>
    </w:rPr>
  </w:style>
  <w:style w:type="table" w:customStyle="1" w:styleId="90">
    <w:name w:val="Table Normal"/>
    <w:qFormat/>
    <w:uiPriority w:val="0"/>
    <w:pPr>
      <w:pBdr>
        <w:top w:val="none" w:color="auto" w:sz="0" w:space="0"/>
        <w:left w:val="none" w:color="auto" w:sz="0" w:space="0"/>
        <w:bottom w:val="none" w:color="auto" w:sz="0" w:space="0"/>
        <w:right w:val="none" w:color="auto" w:sz="0" w:space="0"/>
        <w:between w:val="none" w:color="auto" w:sz="0" w:space="0"/>
      </w:pBdr>
      <w:spacing w:line="360" w:lineRule="auto"/>
      <w:jc w:val="both"/>
    </w:pPr>
    <w:tblPr>
      <w:tblCellMar>
        <w:top w:w="0" w:type="dxa"/>
        <w:left w:w="0" w:type="dxa"/>
        <w:bottom w:w="0" w:type="dxa"/>
        <w:right w:w="0" w:type="dxa"/>
      </w:tblCellMar>
    </w:tblPr>
  </w:style>
  <w:style w:type="paragraph" w:customStyle="1" w:styleId="91">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2">
    <w:name w:val="参数内容"/>
    <w:basedOn w:val="78"/>
    <w:qFormat/>
    <w:uiPriority w:val="0"/>
    <w:pPr>
      <w:numPr>
        <w:ilvl w:val="0"/>
        <w:numId w:val="5"/>
      </w:numPr>
      <w:ind w:firstLine="0" w:firstLineChars="0"/>
    </w:pPr>
    <w:rPr>
      <w:szCs w:val="18"/>
    </w:rPr>
  </w:style>
  <w:style w:type="paragraph" w:customStyle="1" w:styleId="93">
    <w:name w:val="标准正文"/>
    <w:basedOn w:val="21"/>
    <w:link w:val="94"/>
    <w:qFormat/>
    <w:uiPriority w:val="0"/>
    <w:pPr>
      <w:spacing w:before="60" w:after="60"/>
      <w:ind w:firstLine="482" w:firstLineChars="0"/>
      <w:jc w:val="left"/>
    </w:pPr>
    <w:rPr>
      <w:rFonts w:ascii="宋体" w:hAnsi="宋体"/>
      <w:kern w:val="0"/>
      <w:sz w:val="24"/>
      <w:szCs w:val="20"/>
    </w:rPr>
  </w:style>
  <w:style w:type="character" w:customStyle="1" w:styleId="94">
    <w:name w:val="标准正文 Char"/>
    <w:link w:val="93"/>
    <w:qFormat/>
    <w:uiPriority w:val="0"/>
    <w:rPr>
      <w:rFonts w:ascii="宋体" w:hAnsi="宋体" w:cs="宋体"/>
      <w:sz w:val="24"/>
    </w:rPr>
  </w:style>
  <w:style w:type="paragraph" w:customStyle="1" w:styleId="95">
    <w:name w:val="下级参数内容"/>
    <w:basedOn w:val="78"/>
    <w:qFormat/>
    <w:uiPriority w:val="0"/>
    <w:pPr>
      <w:numPr>
        <w:ilvl w:val="0"/>
        <w:numId w:val="6"/>
      </w:numPr>
      <w:ind w:left="1134" w:firstLine="0" w:firstLineChars="0"/>
    </w:pPr>
    <w:rPr>
      <w:rFonts w:ascii="仿宋" w:hAnsi="仿宋"/>
    </w:rPr>
  </w:style>
  <w:style w:type="paragraph" w:customStyle="1" w:styleId="96">
    <w:name w:val="Char Char Char1"/>
    <w:basedOn w:val="1"/>
    <w:qFormat/>
    <w:uiPriority w:val="0"/>
    <w:rPr>
      <w:rFonts w:ascii="Tahoma" w:hAnsi="Tahoma"/>
      <w:sz w:val="24"/>
      <w:szCs w:val="20"/>
    </w:rPr>
  </w:style>
  <w:style w:type="paragraph" w:customStyle="1" w:styleId="97">
    <w:name w:val="Char Char10 Char Char"/>
    <w:basedOn w:val="16"/>
    <w:qFormat/>
    <w:uiPriority w:val="0"/>
    <w:rPr>
      <w:rFonts w:ascii="Tahoma" w:hAnsi="Tahoma"/>
      <w:sz w:val="24"/>
    </w:rPr>
  </w:style>
  <w:style w:type="paragraph" w:customStyle="1" w:styleId="98">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9">
    <w:name w:val="font5"/>
    <w:basedOn w:val="1"/>
    <w:qFormat/>
    <w:uiPriority w:val="0"/>
    <w:pPr>
      <w:spacing w:before="100" w:beforeAutospacing="1" w:after="100" w:afterAutospacing="1"/>
      <w:jc w:val="left"/>
    </w:pPr>
    <w:rPr>
      <w:sz w:val="18"/>
      <w:szCs w:val="18"/>
    </w:rPr>
  </w:style>
  <w:style w:type="paragraph" w:customStyle="1" w:styleId="10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1">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2">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0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04">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5">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06">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07">
    <w:name w:val="样式3"/>
    <w:basedOn w:val="1"/>
    <w:qFormat/>
    <w:uiPriority w:val="0"/>
    <w:pPr>
      <w:ind w:left="1620" w:hanging="420"/>
      <w:outlineLvl w:val="2"/>
    </w:pPr>
    <w:rPr>
      <w:b/>
    </w:rPr>
  </w:style>
  <w:style w:type="paragraph" w:customStyle="1" w:styleId="108">
    <w:name w:val="样式4"/>
    <w:basedOn w:val="78"/>
    <w:qFormat/>
    <w:uiPriority w:val="0"/>
    <w:pPr>
      <w:ind w:left="2040" w:firstLine="0" w:firstLineChars="0"/>
      <w:jc w:val="left"/>
      <w:outlineLvl w:val="3"/>
    </w:pPr>
    <w:rPr>
      <w:rFonts w:ascii="宋体" w:hAnsi="宋体"/>
    </w:rPr>
  </w:style>
  <w:style w:type="character" w:customStyle="1" w:styleId="109">
    <w:name w:val="页脚 Char"/>
    <w:link w:val="29"/>
    <w:qFormat/>
    <w:uiPriority w:val="99"/>
    <w:rPr>
      <w:kern w:val="2"/>
      <w:sz w:val="18"/>
      <w:szCs w:val="18"/>
    </w:rPr>
  </w:style>
  <w:style w:type="character" w:customStyle="1" w:styleId="110">
    <w:name w:val="批注框文本 Char"/>
    <w:link w:val="28"/>
    <w:semiHidden/>
    <w:qFormat/>
    <w:uiPriority w:val="0"/>
    <w:rPr>
      <w:kern w:val="2"/>
      <w:sz w:val="18"/>
      <w:szCs w:val="18"/>
    </w:rPr>
  </w:style>
  <w:style w:type="character" w:customStyle="1" w:styleId="111">
    <w:name w:val="文档结构图 Char"/>
    <w:link w:val="16"/>
    <w:semiHidden/>
    <w:qFormat/>
    <w:uiPriority w:val="0"/>
    <w:rPr>
      <w:kern w:val="2"/>
      <w:sz w:val="21"/>
      <w:szCs w:val="24"/>
      <w:shd w:val="clear" w:color="auto" w:fill="000080"/>
    </w:rPr>
  </w:style>
  <w:style w:type="paragraph" w:customStyle="1" w:styleId="112">
    <w:name w:val="p0"/>
    <w:basedOn w:val="1"/>
    <w:qFormat/>
    <w:uiPriority w:val="0"/>
    <w:rPr>
      <w:rFonts w:ascii="Calibri" w:hAnsi="Calibri"/>
      <w:szCs w:val="21"/>
    </w:rPr>
  </w:style>
  <w:style w:type="paragraph" w:customStyle="1" w:styleId="113">
    <w:name w:val="图标题"/>
    <w:basedOn w:val="1"/>
    <w:link w:val="117"/>
    <w:qFormat/>
    <w:uiPriority w:val="0"/>
    <w:pPr>
      <w:jc w:val="center"/>
    </w:pPr>
    <w:rPr>
      <w:rFonts w:cs="Times New Roman"/>
      <w:kern w:val="2"/>
    </w:rPr>
  </w:style>
  <w:style w:type="paragraph" w:customStyle="1" w:styleId="114">
    <w:name w:val="表标题"/>
    <w:basedOn w:val="1"/>
    <w:qFormat/>
    <w:uiPriority w:val="0"/>
    <w:pPr>
      <w:jc w:val="center"/>
    </w:pPr>
    <w:rPr>
      <w:rFonts w:eastAsia="黑体"/>
      <w:b/>
    </w:rPr>
  </w:style>
  <w:style w:type="paragraph" w:customStyle="1" w:styleId="115">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16">
    <w:name w:val="正文-1级列表-(1)"/>
    <w:basedOn w:val="1"/>
    <w:qFormat/>
    <w:uiPriority w:val="0"/>
    <w:pPr>
      <w:numPr>
        <w:ilvl w:val="1"/>
        <w:numId w:val="7"/>
      </w:numPr>
      <w:ind w:firstLine="0"/>
    </w:pPr>
    <w:rPr>
      <w:sz w:val="24"/>
      <w:lang w:val="en-GB"/>
    </w:rPr>
  </w:style>
  <w:style w:type="character" w:customStyle="1" w:styleId="117">
    <w:name w:val="图标题 Char"/>
    <w:link w:val="113"/>
    <w:qFormat/>
    <w:uiPriority w:val="0"/>
    <w:rPr>
      <w:rFonts w:ascii="宋体" w:hAnsi="宋体"/>
      <w:kern w:val="2"/>
      <w:sz w:val="21"/>
      <w:szCs w:val="24"/>
    </w:rPr>
  </w:style>
  <w:style w:type="character" w:customStyle="1" w:styleId="118">
    <w:name w:val="标题 5 Char"/>
    <w:link w:val="6"/>
    <w:qFormat/>
    <w:uiPriority w:val="0"/>
    <w:rPr>
      <w:b/>
      <w:kern w:val="2"/>
      <w:sz w:val="24"/>
    </w:rPr>
  </w:style>
  <w:style w:type="character" w:customStyle="1" w:styleId="119">
    <w:name w:val="标题 6 Char"/>
    <w:link w:val="8"/>
    <w:qFormat/>
    <w:uiPriority w:val="0"/>
    <w:rPr>
      <w:rFonts w:ascii="Arial" w:hAnsi="Arial" w:eastAsia="黑体"/>
      <w:b/>
      <w:kern w:val="2"/>
      <w:sz w:val="24"/>
    </w:rPr>
  </w:style>
  <w:style w:type="character" w:customStyle="1" w:styleId="120">
    <w:name w:val="标题 7 Char"/>
    <w:link w:val="9"/>
    <w:qFormat/>
    <w:uiPriority w:val="0"/>
    <w:rPr>
      <w:b/>
      <w:kern w:val="2"/>
      <w:sz w:val="24"/>
    </w:rPr>
  </w:style>
  <w:style w:type="character" w:customStyle="1" w:styleId="121">
    <w:name w:val="标题 8 Char"/>
    <w:link w:val="10"/>
    <w:qFormat/>
    <w:uiPriority w:val="0"/>
    <w:rPr>
      <w:rFonts w:ascii="Arial" w:hAnsi="Arial" w:eastAsia="黑体"/>
      <w:kern w:val="2"/>
      <w:sz w:val="24"/>
    </w:rPr>
  </w:style>
  <w:style w:type="character" w:customStyle="1" w:styleId="122">
    <w:name w:val="标题 9 Char"/>
    <w:link w:val="11"/>
    <w:qFormat/>
    <w:uiPriority w:val="0"/>
    <w:rPr>
      <w:rFonts w:ascii="Arial" w:hAnsi="Arial" w:eastAsia="黑体"/>
      <w:kern w:val="2"/>
      <w:sz w:val="21"/>
    </w:rPr>
  </w:style>
  <w:style w:type="paragraph" w:customStyle="1" w:styleId="123">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24">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25">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26">
    <w:name w:val="￥正文"/>
    <w:basedOn w:val="1"/>
    <w:link w:val="127"/>
    <w:qFormat/>
    <w:uiPriority w:val="0"/>
    <w:pPr>
      <w:ind w:firstLine="200" w:firstLineChars="200"/>
    </w:pPr>
    <w:rPr>
      <w:rFonts w:ascii="Calibri" w:hAnsi="Calibri" w:cs="Times New Roman"/>
      <w:kern w:val="2"/>
      <w:sz w:val="24"/>
      <w:szCs w:val="20"/>
    </w:rPr>
  </w:style>
  <w:style w:type="character" w:customStyle="1" w:styleId="127">
    <w:name w:val="￥正文 Char"/>
    <w:link w:val="126"/>
    <w:qFormat/>
    <w:uiPriority w:val="0"/>
    <w:rPr>
      <w:rFonts w:ascii="Calibri" w:hAnsi="Calibri"/>
      <w:kern w:val="2"/>
      <w:sz w:val="24"/>
    </w:rPr>
  </w:style>
  <w:style w:type="paragraph" w:customStyle="1" w:styleId="128">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29">
    <w:name w:val="!项目ALT+P"/>
    <w:basedOn w:val="1"/>
    <w:qFormat/>
    <w:uiPriority w:val="0"/>
    <w:pPr>
      <w:numPr>
        <w:ilvl w:val="0"/>
        <w:numId w:val="9"/>
      </w:numPr>
      <w:spacing w:line="320" w:lineRule="atLeast"/>
      <w:ind w:firstLine="0"/>
      <w:textAlignment w:val="baseline"/>
    </w:pPr>
    <w:rPr>
      <w:szCs w:val="21"/>
    </w:rPr>
  </w:style>
  <w:style w:type="paragraph" w:customStyle="1" w:styleId="130">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1">
    <w:name w:val="正文内容"/>
    <w:basedOn w:val="1"/>
    <w:next w:val="16"/>
    <w:link w:val="132"/>
    <w:qFormat/>
    <w:uiPriority w:val="0"/>
    <w:rPr>
      <w:rFonts w:ascii="Times New Roman" w:hAnsi="Times New Roman" w:cs="Times New Roman"/>
      <w:sz w:val="20"/>
    </w:rPr>
  </w:style>
  <w:style w:type="character" w:customStyle="1" w:styleId="132">
    <w:name w:val="正文内容 Char"/>
    <w:link w:val="131"/>
    <w:qFormat/>
    <w:uiPriority w:val="0"/>
    <w:rPr>
      <w:szCs w:val="24"/>
    </w:rPr>
  </w:style>
  <w:style w:type="paragraph" w:customStyle="1" w:styleId="133">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34">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35">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36">
    <w:name w:val="标题 Char"/>
    <w:link w:val="42"/>
    <w:qFormat/>
    <w:uiPriority w:val="0"/>
    <w:rPr>
      <w:rFonts w:ascii="Arial" w:hAnsi="Arial" w:cs="Arial"/>
      <w:b/>
      <w:bCs/>
      <w:kern w:val="2"/>
      <w:sz w:val="36"/>
      <w:szCs w:val="32"/>
    </w:rPr>
  </w:style>
  <w:style w:type="paragraph" w:customStyle="1" w:styleId="137">
    <w:name w:val="正文Land"/>
    <w:basedOn w:val="1"/>
    <w:qFormat/>
    <w:uiPriority w:val="0"/>
    <w:pPr>
      <w:spacing w:beforeLines="20" w:afterLines="50"/>
      <w:ind w:firstLine="200" w:firstLineChars="200"/>
    </w:pPr>
    <w:rPr>
      <w:color w:val="000000"/>
      <w:sz w:val="24"/>
    </w:rPr>
  </w:style>
  <w:style w:type="paragraph" w:customStyle="1" w:styleId="138">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39">
    <w:name w:val="font6"/>
    <w:basedOn w:val="1"/>
    <w:qFormat/>
    <w:uiPriority w:val="0"/>
    <w:pPr>
      <w:spacing w:beforeAutospacing="1" w:afterAutospacing="1"/>
      <w:jc w:val="left"/>
    </w:pPr>
    <w:rPr>
      <w:sz w:val="18"/>
      <w:szCs w:val="18"/>
    </w:rPr>
  </w:style>
  <w:style w:type="paragraph" w:customStyle="1" w:styleId="140">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1">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2">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3">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44">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45">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46">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47">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48">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49">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0">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2">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3">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55">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6">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57">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58">
    <w:name w:val="xl87"/>
    <w:basedOn w:val="1"/>
    <w:qFormat/>
    <w:uiPriority w:val="0"/>
    <w:pPr>
      <w:spacing w:beforeAutospacing="1" w:afterAutospacing="1"/>
      <w:jc w:val="left"/>
    </w:pPr>
    <w:rPr>
      <w:sz w:val="24"/>
    </w:rPr>
  </w:style>
  <w:style w:type="paragraph" w:customStyle="1" w:styleId="159">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0">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1">
    <w:name w:val="Bulleted Items--Level 2"/>
    <w:basedOn w:val="1"/>
    <w:qFormat/>
    <w:uiPriority w:val="0"/>
    <w:pPr>
      <w:numPr>
        <w:ilvl w:val="0"/>
        <w:numId w:val="12"/>
      </w:numPr>
      <w:tabs>
        <w:tab w:val="left" w:pos="1771"/>
        <w:tab w:val="left" w:pos="2520"/>
        <w:tab w:val="clear" w:pos="360"/>
      </w:tabs>
      <w:spacing w:line="280" w:lineRule="exact"/>
      <w:ind w:left="2520" w:firstLine="0"/>
    </w:pPr>
    <w:rPr>
      <w:color w:val="000000"/>
      <w:sz w:val="22"/>
      <w:szCs w:val="20"/>
      <w:lang w:eastAsia="en-US"/>
    </w:rPr>
  </w:style>
  <w:style w:type="paragraph" w:customStyle="1" w:styleId="162">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63">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64">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65">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66">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67">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68">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69">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0">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1">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2">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73">
    <w:name w:val="xl101"/>
    <w:basedOn w:val="1"/>
    <w:qFormat/>
    <w:uiPriority w:val="0"/>
    <w:pPr>
      <w:spacing w:beforeAutospacing="1" w:afterAutospacing="1"/>
      <w:jc w:val="left"/>
      <w:textAlignment w:val="center"/>
    </w:pPr>
    <w:rPr>
      <w:color w:val="FF0000"/>
      <w:sz w:val="20"/>
      <w:szCs w:val="20"/>
    </w:rPr>
  </w:style>
  <w:style w:type="paragraph" w:customStyle="1" w:styleId="174">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75">
    <w:name w:val="xl103"/>
    <w:basedOn w:val="1"/>
    <w:qFormat/>
    <w:uiPriority w:val="0"/>
    <w:pPr>
      <w:spacing w:beforeAutospacing="1" w:afterAutospacing="1"/>
      <w:jc w:val="left"/>
      <w:textAlignment w:val="center"/>
    </w:pPr>
    <w:rPr>
      <w:color w:val="FF0000"/>
      <w:sz w:val="22"/>
      <w:szCs w:val="22"/>
    </w:rPr>
  </w:style>
  <w:style w:type="paragraph" w:customStyle="1" w:styleId="176">
    <w:name w:val="xl104"/>
    <w:basedOn w:val="1"/>
    <w:qFormat/>
    <w:uiPriority w:val="0"/>
    <w:pPr>
      <w:spacing w:beforeAutospacing="1" w:afterAutospacing="1"/>
      <w:jc w:val="center"/>
    </w:pPr>
    <w:rPr>
      <w:sz w:val="24"/>
    </w:rPr>
  </w:style>
  <w:style w:type="paragraph" w:customStyle="1" w:styleId="177">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78">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79">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0">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1">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2">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83">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85">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86">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87">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8">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89">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0">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1">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2">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193">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194">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5">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6">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197">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98">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199">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1">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2">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03">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4">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5">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06">
    <w:name w:val="样式 首行缩进:  0 字符"/>
    <w:basedOn w:val="1"/>
    <w:qFormat/>
    <w:uiPriority w:val="0"/>
    <w:pPr>
      <w:ind w:firstLine="200" w:firstLineChars="200"/>
    </w:pPr>
    <w:rPr>
      <w:sz w:val="24"/>
      <w:szCs w:val="20"/>
    </w:rPr>
  </w:style>
  <w:style w:type="paragraph" w:customStyle="1" w:styleId="207">
    <w:name w:val="5"/>
    <w:basedOn w:val="1"/>
    <w:qFormat/>
    <w:uiPriority w:val="0"/>
    <w:pPr>
      <w:ind w:firstLine="200" w:firstLineChars="200"/>
      <w:jc w:val="left"/>
    </w:pPr>
    <w:rPr>
      <w:sz w:val="24"/>
    </w:rPr>
  </w:style>
  <w:style w:type="paragraph" w:customStyle="1" w:styleId="20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09">
    <w:name w:val="附件标题"/>
    <w:basedOn w:val="1"/>
    <w:qFormat/>
    <w:uiPriority w:val="0"/>
    <w:pPr>
      <w:ind w:firstLine="200" w:firstLineChars="200"/>
      <w:jc w:val="center"/>
    </w:pPr>
    <w:rPr>
      <w:rFonts w:ascii="Arial" w:hAnsi="Arial" w:eastAsia="黑体"/>
      <w:sz w:val="24"/>
    </w:rPr>
  </w:style>
  <w:style w:type="paragraph" w:customStyle="1" w:styleId="210">
    <w:name w:val="附件(1)"/>
    <w:basedOn w:val="1"/>
    <w:qFormat/>
    <w:uiPriority w:val="0"/>
    <w:pPr>
      <w:numPr>
        <w:ilvl w:val="0"/>
        <w:numId w:val="13"/>
      </w:numPr>
      <w:ind w:firstLine="200" w:firstLineChars="200"/>
    </w:pPr>
    <w:rPr>
      <w:sz w:val="24"/>
    </w:rPr>
  </w:style>
  <w:style w:type="paragraph" w:customStyle="1" w:styleId="21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2">
    <w:name w:val="附件圈"/>
    <w:basedOn w:val="210"/>
    <w:qFormat/>
    <w:uiPriority w:val="0"/>
    <w:pPr>
      <w:numPr>
        <w:numId w:val="0"/>
      </w:numPr>
      <w:tabs>
        <w:tab w:val="left" w:pos="420"/>
        <w:tab w:val="clear" w:pos="426"/>
      </w:tabs>
      <w:ind w:firstLine="420" w:firstLineChars="200"/>
    </w:pPr>
  </w:style>
  <w:style w:type="character" w:customStyle="1" w:styleId="213">
    <w:name w:val="正文文本缩进 2 Char"/>
    <w:link w:val="27"/>
    <w:qFormat/>
    <w:uiPriority w:val="0"/>
    <w:rPr>
      <w:rFonts w:ascii="宋体" w:hAnsi="宋体"/>
      <w:kern w:val="2"/>
      <w:sz w:val="21"/>
      <w:szCs w:val="24"/>
    </w:rPr>
  </w:style>
  <w:style w:type="character" w:customStyle="1" w:styleId="214">
    <w:name w:val="正文文本缩进 Char"/>
    <w:link w:val="21"/>
    <w:qFormat/>
    <w:uiPriority w:val="0"/>
    <w:rPr>
      <w:kern w:val="2"/>
      <w:sz w:val="21"/>
      <w:szCs w:val="24"/>
    </w:rPr>
  </w:style>
  <w:style w:type="paragraph" w:customStyle="1" w:styleId="215">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16">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character" w:customStyle="1" w:styleId="217">
    <w:name w:val="Default Char"/>
    <w:link w:val="80"/>
    <w:qFormat/>
    <w:uiPriority w:val="0"/>
    <w:rPr>
      <w:rFonts w:ascii="宋体" w:hAnsi="Calibri"/>
      <w:color w:val="000000"/>
      <w:sz w:val="24"/>
      <w:szCs w:val="24"/>
      <w:lang w:bidi="ar-SA"/>
    </w:rPr>
  </w:style>
  <w:style w:type="paragraph" w:customStyle="1" w:styleId="218">
    <w:name w:val="CM51"/>
    <w:basedOn w:val="80"/>
    <w:next w:val="80"/>
    <w:qFormat/>
    <w:uiPriority w:val="0"/>
    <w:pPr>
      <w:spacing w:after="103"/>
    </w:pPr>
    <w:rPr>
      <w:rFonts w:ascii="黑体" w:eastAsia="黑体"/>
      <w:color w:val="auto"/>
    </w:rPr>
  </w:style>
  <w:style w:type="paragraph" w:customStyle="1" w:styleId="219">
    <w:name w:val="pan"/>
    <w:basedOn w:val="78"/>
    <w:link w:val="220"/>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0">
    <w:name w:val="pan Char"/>
    <w:link w:val="219"/>
    <w:qFormat/>
    <w:uiPriority w:val="0"/>
    <w:rPr>
      <w:rFonts w:ascii="黑体" w:hAnsi="黑体" w:eastAsia="黑体"/>
      <w:kern w:val="2"/>
      <w:sz w:val="32"/>
      <w:szCs w:val="32"/>
      <w:shd w:val="clear" w:color="auto" w:fill="FFFFFF"/>
    </w:rPr>
  </w:style>
  <w:style w:type="paragraph" w:customStyle="1" w:styleId="221">
    <w:name w:val="pan2"/>
    <w:basedOn w:val="78"/>
    <w:link w:val="222"/>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2">
    <w:name w:val="pan2 Char"/>
    <w:link w:val="221"/>
    <w:qFormat/>
    <w:uiPriority w:val="0"/>
    <w:rPr>
      <w:rFonts w:ascii="黑体" w:hAnsi="黑体" w:eastAsia="黑体"/>
      <w:kern w:val="2"/>
      <w:sz w:val="30"/>
      <w:szCs w:val="30"/>
      <w:shd w:val="clear" w:color="auto" w:fill="FFFFFF"/>
    </w:rPr>
  </w:style>
  <w:style w:type="paragraph" w:customStyle="1" w:styleId="223">
    <w:name w:val="pan3"/>
    <w:basedOn w:val="78"/>
    <w:link w:val="224"/>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24">
    <w:name w:val="pan3 Char"/>
    <w:link w:val="223"/>
    <w:qFormat/>
    <w:uiPriority w:val="0"/>
    <w:rPr>
      <w:rFonts w:ascii="黑体" w:hAnsi="黑体" w:eastAsia="黑体"/>
      <w:kern w:val="2"/>
      <w:sz w:val="28"/>
      <w:szCs w:val="28"/>
      <w:shd w:val="clear" w:color="auto" w:fill="FFFFFF"/>
    </w:rPr>
  </w:style>
  <w:style w:type="paragraph" w:customStyle="1" w:styleId="225">
    <w:name w:val="pan4"/>
    <w:basedOn w:val="78"/>
    <w:link w:val="226"/>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26">
    <w:name w:val="pan4 Char"/>
    <w:link w:val="225"/>
    <w:qFormat/>
    <w:uiPriority w:val="0"/>
    <w:rPr>
      <w:rFonts w:ascii="黑体" w:hAnsi="黑体" w:eastAsia="黑体"/>
      <w:kern w:val="2"/>
      <w:sz w:val="28"/>
      <w:szCs w:val="28"/>
      <w:shd w:val="clear" w:color="auto" w:fill="FFFFFF"/>
    </w:rPr>
  </w:style>
  <w:style w:type="paragraph" w:customStyle="1" w:styleId="227">
    <w:name w:val="pan5"/>
    <w:basedOn w:val="78"/>
    <w:link w:val="228"/>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28">
    <w:name w:val="pan5 Char"/>
    <w:link w:val="227"/>
    <w:qFormat/>
    <w:uiPriority w:val="0"/>
    <w:rPr>
      <w:rFonts w:ascii="黑体" w:hAnsi="黑体" w:eastAsia="黑体"/>
      <w:kern w:val="2"/>
      <w:sz w:val="24"/>
      <w:szCs w:val="24"/>
      <w:shd w:val="clear" w:color="auto" w:fill="FFFFFF"/>
    </w:rPr>
  </w:style>
  <w:style w:type="paragraph" w:customStyle="1" w:styleId="229">
    <w:name w:val="一级标题"/>
    <w:basedOn w:val="78"/>
    <w:link w:val="231"/>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0">
    <w:name w:val="二级标题"/>
    <w:basedOn w:val="78"/>
    <w:link w:val="233"/>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1">
    <w:name w:val="一级标题 Char"/>
    <w:link w:val="229"/>
    <w:qFormat/>
    <w:uiPriority w:val="0"/>
    <w:rPr>
      <w:rFonts w:ascii="黑体" w:hAnsi="黑体" w:eastAsia="黑体"/>
      <w:kern w:val="2"/>
      <w:sz w:val="44"/>
      <w:szCs w:val="44"/>
      <w:shd w:val="clear" w:color="auto" w:fill="FFFFFF"/>
    </w:rPr>
  </w:style>
  <w:style w:type="paragraph" w:customStyle="1" w:styleId="232">
    <w:name w:val="三级标题"/>
    <w:basedOn w:val="78"/>
    <w:link w:val="235"/>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33">
    <w:name w:val="二级标题 Char"/>
    <w:link w:val="230"/>
    <w:qFormat/>
    <w:uiPriority w:val="0"/>
    <w:rPr>
      <w:rFonts w:ascii="黑体" w:hAnsi="黑体" w:eastAsia="黑体"/>
      <w:kern w:val="2"/>
      <w:sz w:val="36"/>
      <w:szCs w:val="36"/>
      <w:shd w:val="clear" w:color="auto" w:fill="FFFFFF"/>
    </w:rPr>
  </w:style>
  <w:style w:type="paragraph" w:customStyle="1" w:styleId="234">
    <w:name w:val="四级标题"/>
    <w:basedOn w:val="78"/>
    <w:link w:val="237"/>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35">
    <w:name w:val="三级标题 Char"/>
    <w:link w:val="232"/>
    <w:qFormat/>
    <w:uiPriority w:val="0"/>
    <w:rPr>
      <w:rFonts w:ascii="黑体" w:hAnsi="黑体" w:eastAsia="黑体"/>
      <w:kern w:val="2"/>
      <w:sz w:val="32"/>
      <w:szCs w:val="32"/>
      <w:shd w:val="clear" w:color="auto" w:fill="FFFFFF"/>
    </w:rPr>
  </w:style>
  <w:style w:type="paragraph" w:customStyle="1" w:styleId="236">
    <w:name w:val="五级标题"/>
    <w:basedOn w:val="78"/>
    <w:link w:val="238"/>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37">
    <w:name w:val="四级标题 Char"/>
    <w:link w:val="234"/>
    <w:qFormat/>
    <w:uiPriority w:val="0"/>
    <w:rPr>
      <w:rFonts w:ascii="黑体" w:hAnsi="黑体" w:eastAsia="黑体"/>
      <w:kern w:val="2"/>
      <w:sz w:val="30"/>
      <w:szCs w:val="30"/>
      <w:shd w:val="clear" w:color="auto" w:fill="FFFFFF"/>
    </w:rPr>
  </w:style>
  <w:style w:type="character" w:customStyle="1" w:styleId="238">
    <w:name w:val="五级标题 Char"/>
    <w:link w:val="236"/>
    <w:qFormat/>
    <w:uiPriority w:val="0"/>
    <w:rPr>
      <w:rFonts w:ascii="黑体" w:hAnsi="黑体" w:eastAsia="黑体"/>
      <w:kern w:val="2"/>
      <w:sz w:val="28"/>
      <w:szCs w:val="28"/>
      <w:shd w:val="clear" w:color="auto" w:fill="FFFFFF"/>
    </w:rPr>
  </w:style>
  <w:style w:type="paragraph" w:customStyle="1" w:styleId="239">
    <w:name w:val="图片"/>
    <w:basedOn w:val="1"/>
    <w:link w:val="241"/>
    <w:qFormat/>
    <w:uiPriority w:val="0"/>
    <w:pPr>
      <w:ind w:firstLine="200" w:firstLineChars="200"/>
      <w:jc w:val="center"/>
    </w:pPr>
    <w:rPr>
      <w:rFonts w:cs="Times New Roman"/>
      <w:kern w:val="2"/>
      <w:sz w:val="24"/>
    </w:rPr>
  </w:style>
  <w:style w:type="paragraph" w:customStyle="1" w:styleId="240">
    <w:name w:val="图片注释"/>
    <w:basedOn w:val="1"/>
    <w:link w:val="242"/>
    <w:qFormat/>
    <w:uiPriority w:val="0"/>
    <w:pPr>
      <w:spacing w:afterLines="25"/>
      <w:ind w:firstLine="200" w:firstLineChars="200"/>
      <w:jc w:val="center"/>
    </w:pPr>
    <w:rPr>
      <w:rFonts w:cs="Times New Roman"/>
      <w:kern w:val="2"/>
      <w:sz w:val="24"/>
      <w:u w:val="single"/>
    </w:rPr>
  </w:style>
  <w:style w:type="character" w:customStyle="1" w:styleId="241">
    <w:name w:val="图片 Char"/>
    <w:link w:val="239"/>
    <w:qFormat/>
    <w:uiPriority w:val="0"/>
    <w:rPr>
      <w:rFonts w:ascii="宋体" w:hAnsi="宋体"/>
      <w:kern w:val="2"/>
      <w:sz w:val="24"/>
      <w:szCs w:val="24"/>
    </w:rPr>
  </w:style>
  <w:style w:type="character" w:customStyle="1" w:styleId="242">
    <w:name w:val="图片注释 Char"/>
    <w:link w:val="240"/>
    <w:qFormat/>
    <w:uiPriority w:val="0"/>
    <w:rPr>
      <w:rFonts w:ascii="宋体" w:hAnsi="宋体"/>
      <w:kern w:val="2"/>
      <w:sz w:val="24"/>
      <w:szCs w:val="24"/>
      <w:u w:val="single"/>
    </w:rPr>
  </w:style>
  <w:style w:type="paragraph" w:customStyle="1" w:styleId="243">
    <w:name w:val="段内层标"/>
    <w:basedOn w:val="131"/>
    <w:link w:val="244"/>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44">
    <w:name w:val="段内层标 Char"/>
    <w:link w:val="243"/>
    <w:qFormat/>
    <w:uiPriority w:val="0"/>
    <w:rPr>
      <w:rFonts w:ascii="宋体" w:hAnsi="宋体"/>
      <w:b/>
      <w:kern w:val="2"/>
      <w:sz w:val="28"/>
      <w:szCs w:val="28"/>
      <w:shd w:val="clear" w:color="auto" w:fill="FFFFFF"/>
    </w:rPr>
  </w:style>
  <w:style w:type="paragraph" w:customStyle="1" w:styleId="245">
    <w:name w:val="方案设计1级标题"/>
    <w:basedOn w:val="7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46">
    <w:name w:val="方案设计2级标题"/>
    <w:basedOn w:val="78"/>
    <w:qFormat/>
    <w:uiPriority w:val="0"/>
    <w:pPr>
      <w:numPr>
        <w:ilvl w:val="1"/>
        <w:numId w:val="17"/>
      </w:numPr>
      <w:ind w:firstLine="0" w:firstLineChars="0"/>
      <w:outlineLvl w:val="1"/>
    </w:pPr>
    <w:rPr>
      <w:rFonts w:ascii="黑体" w:hAnsi="黑体" w:eastAsia="黑体"/>
      <w:sz w:val="32"/>
      <w:szCs w:val="32"/>
    </w:rPr>
  </w:style>
  <w:style w:type="paragraph" w:customStyle="1" w:styleId="247">
    <w:name w:val="标题3"/>
    <w:basedOn w:val="78"/>
    <w:link w:val="252"/>
    <w:qFormat/>
    <w:uiPriority w:val="0"/>
    <w:pPr>
      <w:numPr>
        <w:ilvl w:val="2"/>
        <w:numId w:val="17"/>
      </w:numPr>
      <w:ind w:firstLine="0" w:firstLineChars="0"/>
      <w:outlineLvl w:val="2"/>
    </w:pPr>
    <w:rPr>
      <w:rFonts w:ascii="黑体" w:hAnsi="黑体" w:eastAsia="黑体"/>
      <w:sz w:val="28"/>
      <w:szCs w:val="28"/>
    </w:rPr>
  </w:style>
  <w:style w:type="paragraph" w:customStyle="1" w:styleId="248">
    <w:name w:val="标题5"/>
    <w:basedOn w:val="7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49">
    <w:name w:val="正文标题"/>
    <w:basedOn w:val="1"/>
    <w:link w:val="250"/>
    <w:qFormat/>
    <w:uiPriority w:val="0"/>
    <w:pPr>
      <w:numPr>
        <w:ilvl w:val="0"/>
        <w:numId w:val="17"/>
      </w:numPr>
      <w:ind w:firstLine="200" w:firstLineChars="200"/>
    </w:pPr>
    <w:rPr>
      <w:rFonts w:ascii="Calibri" w:hAnsi="Calibri" w:cs="Times New Roman"/>
      <w:b/>
      <w:kern w:val="2"/>
      <w:sz w:val="28"/>
      <w:szCs w:val="28"/>
    </w:rPr>
  </w:style>
  <w:style w:type="character" w:customStyle="1" w:styleId="250">
    <w:name w:val="正文标题 Char"/>
    <w:link w:val="249"/>
    <w:qFormat/>
    <w:uiPriority w:val="0"/>
    <w:rPr>
      <w:rFonts w:ascii="Calibri" w:hAnsi="Calibri"/>
      <w:b/>
      <w:kern w:val="2"/>
      <w:sz w:val="28"/>
      <w:szCs w:val="28"/>
      <w:shd w:val="clear" w:color="auto" w:fill="FFFFFF"/>
    </w:rPr>
  </w:style>
  <w:style w:type="character" w:customStyle="1" w:styleId="251">
    <w:name w:val="批注主题 Char"/>
    <w:link w:val="43"/>
    <w:qFormat/>
    <w:uiPriority w:val="0"/>
    <w:rPr>
      <w:b/>
      <w:bCs/>
      <w:kern w:val="2"/>
      <w:sz w:val="21"/>
      <w:szCs w:val="24"/>
    </w:rPr>
  </w:style>
  <w:style w:type="character" w:customStyle="1" w:styleId="252">
    <w:name w:val="标题3 Char"/>
    <w:link w:val="247"/>
    <w:qFormat/>
    <w:uiPriority w:val="0"/>
    <w:rPr>
      <w:rFonts w:ascii="黑体" w:hAnsi="黑体" w:eastAsia="黑体"/>
      <w:kern w:val="2"/>
      <w:sz w:val="28"/>
      <w:szCs w:val="28"/>
      <w:shd w:val="clear" w:color="auto" w:fill="FFFFFF"/>
    </w:rPr>
  </w:style>
  <w:style w:type="paragraph" w:customStyle="1" w:styleId="253">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54">
    <w:name w:val="层标"/>
    <w:basedOn w:val="131"/>
    <w:link w:val="255"/>
    <w:qFormat/>
    <w:uiPriority w:val="0"/>
    <w:pPr>
      <w:numPr>
        <w:ilvl w:val="0"/>
        <w:numId w:val="18"/>
      </w:numPr>
      <w:spacing w:beforeLines="25" w:afterLines="25"/>
      <w:ind w:firstLine="0"/>
    </w:pPr>
    <w:rPr>
      <w:rFonts w:ascii="宋体" w:hAnsi="宋体"/>
      <w:b/>
      <w:kern w:val="2"/>
      <w:sz w:val="28"/>
      <w:szCs w:val="28"/>
    </w:rPr>
  </w:style>
  <w:style w:type="character" w:customStyle="1" w:styleId="255">
    <w:name w:val="层标 Char"/>
    <w:link w:val="254"/>
    <w:qFormat/>
    <w:uiPriority w:val="0"/>
    <w:rPr>
      <w:rFonts w:ascii="宋体" w:hAnsi="宋体"/>
      <w:b/>
      <w:kern w:val="2"/>
      <w:sz w:val="28"/>
      <w:szCs w:val="28"/>
      <w:shd w:val="clear" w:color="auto" w:fill="FFFFFF"/>
    </w:rPr>
  </w:style>
  <w:style w:type="paragraph" w:styleId="256">
    <w:name w:val="Quote"/>
    <w:basedOn w:val="1"/>
    <w:next w:val="1"/>
    <w:link w:val="257"/>
    <w:qFormat/>
    <w:uiPriority w:val="29"/>
    <w:pPr>
      <w:jc w:val="center"/>
    </w:pPr>
    <w:rPr>
      <w:rFonts w:ascii="Times New Roman" w:hAnsi="Times New Roman" w:cs="Times New Roman"/>
      <w:iCs/>
      <w:color w:val="000000"/>
      <w:kern w:val="2"/>
      <w:sz w:val="24"/>
    </w:rPr>
  </w:style>
  <w:style w:type="character" w:customStyle="1" w:styleId="257">
    <w:name w:val="引用 Char"/>
    <w:link w:val="256"/>
    <w:qFormat/>
    <w:uiPriority w:val="29"/>
    <w:rPr>
      <w:iCs/>
      <w:color w:val="000000"/>
      <w:kern w:val="2"/>
      <w:sz w:val="24"/>
      <w:szCs w:val="24"/>
    </w:rPr>
  </w:style>
  <w:style w:type="character" w:customStyle="1" w:styleId="258">
    <w:name w:val="Intense Reference"/>
    <w:qFormat/>
    <w:uiPriority w:val="32"/>
    <w:rPr>
      <w:rFonts w:eastAsia="宋体"/>
      <w:bCs/>
      <w:smallCaps/>
      <w:color w:val="000000"/>
      <w:spacing w:val="5"/>
      <w:sz w:val="24"/>
      <w:u w:val="single"/>
    </w:rPr>
  </w:style>
  <w:style w:type="paragraph" w:customStyle="1" w:styleId="259">
    <w:name w:val="段落强调"/>
    <w:basedOn w:val="1"/>
    <w:link w:val="261"/>
    <w:qFormat/>
    <w:uiPriority w:val="0"/>
    <w:pPr>
      <w:numPr>
        <w:ilvl w:val="0"/>
        <w:numId w:val="19"/>
      </w:numPr>
      <w:ind w:left="0" w:firstLine="420"/>
    </w:pPr>
    <w:rPr>
      <w:rFonts w:ascii="Times New Roman" w:hAnsi="Times New Roman" w:cs="Times New Roman"/>
      <w:b/>
      <w:kern w:val="2"/>
      <w:sz w:val="24"/>
    </w:rPr>
  </w:style>
  <w:style w:type="character" w:customStyle="1" w:styleId="260">
    <w:name w:val="Book Title"/>
    <w:qFormat/>
    <w:uiPriority w:val="33"/>
    <w:rPr>
      <w:b/>
      <w:bCs/>
      <w:smallCaps/>
      <w:spacing w:val="5"/>
    </w:rPr>
  </w:style>
  <w:style w:type="character" w:customStyle="1" w:styleId="261">
    <w:name w:val="段落强调 Char"/>
    <w:link w:val="259"/>
    <w:qFormat/>
    <w:uiPriority w:val="0"/>
    <w:rPr>
      <w:b/>
      <w:kern w:val="2"/>
      <w:sz w:val="24"/>
      <w:szCs w:val="24"/>
      <w:shd w:val="clear" w:color="auto" w:fill="FFFFFF"/>
    </w:rPr>
  </w:style>
  <w:style w:type="paragraph" w:customStyle="1" w:styleId="262">
    <w:name w:val="段内主题"/>
    <w:basedOn w:val="1"/>
    <w:link w:val="264"/>
    <w:qFormat/>
    <w:uiPriority w:val="0"/>
    <w:pPr>
      <w:numPr>
        <w:ilvl w:val="1"/>
        <w:numId w:val="20"/>
      </w:numPr>
      <w:ind w:firstLine="0"/>
    </w:pPr>
    <w:rPr>
      <w:rFonts w:cs="Times New Roman"/>
      <w:b/>
      <w:kern w:val="2"/>
      <w:sz w:val="24"/>
    </w:rPr>
  </w:style>
  <w:style w:type="paragraph" w:customStyle="1" w:styleId="263">
    <w:name w:val="图片注释新"/>
    <w:basedOn w:val="240"/>
    <w:link w:val="265"/>
    <w:qFormat/>
    <w:uiPriority w:val="0"/>
    <w:pPr>
      <w:spacing w:after="81"/>
      <w:ind w:firstLine="0" w:firstLineChars="0"/>
    </w:pPr>
  </w:style>
  <w:style w:type="character" w:customStyle="1" w:styleId="264">
    <w:name w:val="段内主题 Char"/>
    <w:link w:val="262"/>
    <w:qFormat/>
    <w:uiPriority w:val="0"/>
    <w:rPr>
      <w:rFonts w:ascii="宋体" w:hAnsi="宋体"/>
      <w:b/>
      <w:kern w:val="2"/>
      <w:sz w:val="24"/>
      <w:szCs w:val="24"/>
      <w:shd w:val="clear" w:color="auto" w:fill="FFFFFF"/>
    </w:rPr>
  </w:style>
  <w:style w:type="character" w:customStyle="1" w:styleId="265">
    <w:name w:val="图片注释新 Char"/>
    <w:link w:val="263"/>
    <w:qFormat/>
    <w:uiPriority w:val="0"/>
    <w:rPr>
      <w:rFonts w:ascii="宋体" w:hAnsi="宋体"/>
      <w:kern w:val="2"/>
      <w:sz w:val="24"/>
      <w:szCs w:val="24"/>
      <w:u w:val="single"/>
    </w:rPr>
  </w:style>
  <w:style w:type="paragraph" w:customStyle="1" w:styleId="266">
    <w:name w:val="正文（缩进）"/>
    <w:basedOn w:val="1"/>
    <w:link w:val="267"/>
    <w:qFormat/>
    <w:uiPriority w:val="0"/>
    <w:pPr>
      <w:spacing w:beforeLines="50" w:afterLines="50"/>
      <w:ind w:firstLine="480" w:firstLineChars="200"/>
    </w:pPr>
    <w:rPr>
      <w:rFonts w:ascii="Times New Roman" w:hAnsi="Times New Roman" w:cs="Times New Roman"/>
      <w:sz w:val="24"/>
    </w:rPr>
  </w:style>
  <w:style w:type="character" w:customStyle="1" w:styleId="267">
    <w:name w:val="正文（缩进） Char"/>
    <w:link w:val="266"/>
    <w:qFormat/>
    <w:uiPriority w:val="0"/>
    <w:rPr>
      <w:sz w:val="24"/>
      <w:szCs w:val="24"/>
    </w:rPr>
  </w:style>
  <w:style w:type="character" w:customStyle="1" w:styleId="268">
    <w:name w:val="Char Char4"/>
    <w:qFormat/>
    <w:uiPriority w:val="0"/>
    <w:rPr>
      <w:rFonts w:eastAsia="宋体"/>
      <w:b/>
      <w:kern w:val="2"/>
      <w:sz w:val="24"/>
      <w:lang w:val="en-US" w:eastAsia="zh-CN" w:bidi="ar-SA"/>
    </w:rPr>
  </w:style>
  <w:style w:type="character" w:customStyle="1" w:styleId="269">
    <w:name w:val="正文文本缩进 3 Char"/>
    <w:link w:val="35"/>
    <w:qFormat/>
    <w:uiPriority w:val="0"/>
    <w:rPr>
      <w:rFonts w:ascii="宋体"/>
      <w:b/>
      <w:bCs/>
      <w:kern w:val="2"/>
      <w:sz w:val="24"/>
      <w:szCs w:val="24"/>
    </w:rPr>
  </w:style>
  <w:style w:type="paragraph" w:customStyle="1" w:styleId="270">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1">
    <w:name w:val="pa-2"/>
    <w:basedOn w:val="1"/>
    <w:qFormat/>
    <w:uiPriority w:val="0"/>
    <w:pPr>
      <w:spacing w:before="100" w:beforeAutospacing="1" w:after="100" w:afterAutospacing="1"/>
      <w:jc w:val="left"/>
    </w:pPr>
    <w:rPr>
      <w:sz w:val="24"/>
    </w:rPr>
  </w:style>
  <w:style w:type="character" w:customStyle="1" w:styleId="272">
    <w:name w:val="HTML 预设格式 Char"/>
    <w:link w:val="39"/>
    <w:qFormat/>
    <w:uiPriority w:val="0"/>
    <w:rPr>
      <w:rFonts w:ascii="Arial Unicode MS" w:hAnsi="Arial Unicode MS" w:eastAsia="Arial Unicode MS"/>
      <w:color w:val="000000"/>
    </w:rPr>
  </w:style>
  <w:style w:type="character" w:customStyle="1" w:styleId="273">
    <w:name w:val="正文文本 2 Char"/>
    <w:link w:val="38"/>
    <w:qFormat/>
    <w:uiPriority w:val="0"/>
    <w:rPr>
      <w:kern w:val="2"/>
      <w:sz w:val="24"/>
      <w:szCs w:val="24"/>
    </w:rPr>
  </w:style>
  <w:style w:type="character" w:customStyle="1" w:styleId="274">
    <w:name w:val="正文文本 3 Char"/>
    <w:link w:val="19"/>
    <w:qFormat/>
    <w:uiPriority w:val="0"/>
    <w:rPr>
      <w:kern w:val="2"/>
      <w:sz w:val="16"/>
      <w:szCs w:val="16"/>
    </w:rPr>
  </w:style>
  <w:style w:type="paragraph" w:customStyle="1" w:styleId="275">
    <w:name w:val="方案正文段落"/>
    <w:basedOn w:val="1"/>
    <w:link w:val="276"/>
    <w:qFormat/>
    <w:uiPriority w:val="0"/>
    <w:pPr>
      <w:ind w:firstLine="420" w:firstLineChars="200"/>
    </w:pPr>
    <w:rPr>
      <w:rFonts w:ascii="Times New Roman" w:hAnsi="Times New Roman" w:cs="Times New Roman"/>
      <w:kern w:val="2"/>
      <w:szCs w:val="20"/>
    </w:rPr>
  </w:style>
  <w:style w:type="character" w:customStyle="1" w:styleId="276">
    <w:name w:val="方案正文段落 Char"/>
    <w:link w:val="275"/>
    <w:qFormat/>
    <w:uiPriority w:val="0"/>
    <w:rPr>
      <w:kern w:val="2"/>
      <w:sz w:val="21"/>
    </w:rPr>
  </w:style>
  <w:style w:type="paragraph" w:customStyle="1" w:styleId="277">
    <w:name w:val="Revision"/>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78">
    <w:name w:val="模板正文"/>
    <w:basedOn w:val="1"/>
    <w:link w:val="279"/>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79">
    <w:name w:val="模板正文 Char"/>
    <w:link w:val="278"/>
    <w:qFormat/>
    <w:locked/>
    <w:uiPriority w:val="0"/>
    <w:rPr>
      <w:rFonts w:eastAsia="仿宋_GB2312"/>
      <w:sz w:val="28"/>
      <w:szCs w:val="21"/>
    </w:rPr>
  </w:style>
  <w:style w:type="paragraph" w:styleId="280">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83">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84">
    <w:name w:val="未处理的提及1"/>
    <w:basedOn w:val="47"/>
    <w:semiHidden/>
    <w:unhideWhenUsed/>
    <w:qFormat/>
    <w:uiPriority w:val="99"/>
    <w:rPr>
      <w:color w:val="605E5C"/>
      <w:shd w:val="clear" w:color="auto" w:fill="E1DFDD"/>
    </w:rPr>
  </w:style>
  <w:style w:type="character" w:customStyle="1" w:styleId="285">
    <w:name w:val="批注文字 Char1"/>
    <w:qFormat/>
    <w:uiPriority w:val="0"/>
    <w:rPr>
      <w:rFonts w:ascii="宋体"/>
      <w:sz w:val="34"/>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10939-B063-400D-B096-8912CDA8806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7499</Words>
  <Characters>42750</Characters>
  <Lines>356</Lines>
  <Paragraphs>100</Paragraphs>
  <TotalTime>1156</TotalTime>
  <ScaleCrop>false</ScaleCrop>
  <LinksUpToDate>false</LinksUpToDate>
  <CharactersWithSpaces>50149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2020-11-13T09:44:00Z</dcterms:created>
  <dc:creator>huchun</dc:creator>
  <cp:lastModifiedBy>Administrator</cp:lastModifiedBy>
  <cp:lastPrinted>2020-11-19T09:01:00Z</cp:lastPrinted>
  <dcterms:modified xsi:type="dcterms:W3CDTF">2020-11-29T07:02:00Z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